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B94D6" w14:textId="77777777" w:rsidR="009B633D" w:rsidRDefault="009B633D" w:rsidP="009B633D">
      <w:pPr>
        <w:jc w:val="center"/>
        <w:rPr>
          <w:sz w:val="28"/>
          <w:szCs w:val="28"/>
        </w:rPr>
      </w:pPr>
      <w:bookmarkStart w:id="0" w:name="_GoBack"/>
      <w:bookmarkEnd w:id="0"/>
    </w:p>
    <w:p w14:paraId="69D9A397" w14:textId="77777777" w:rsidR="009B633D" w:rsidRDefault="00456179" w:rsidP="009B633D">
      <w:pPr>
        <w:jc w:val="center"/>
        <w:rPr>
          <w:b/>
          <w:sz w:val="28"/>
          <w:szCs w:val="28"/>
        </w:rPr>
      </w:pPr>
      <w:r w:rsidRPr="00456179">
        <w:rPr>
          <w:b/>
          <w:sz w:val="28"/>
          <w:szCs w:val="28"/>
        </w:rPr>
        <w:t>SUPPORTING STATEMENT</w:t>
      </w:r>
    </w:p>
    <w:p w14:paraId="5D65CD7E" w14:textId="77777777" w:rsidR="00635119" w:rsidRDefault="00635119" w:rsidP="009B633D">
      <w:pPr>
        <w:jc w:val="center"/>
        <w:rPr>
          <w:b/>
          <w:sz w:val="28"/>
          <w:szCs w:val="28"/>
        </w:rPr>
      </w:pPr>
    </w:p>
    <w:p w14:paraId="25893B5C" w14:textId="77777777" w:rsidR="009B633D" w:rsidRDefault="00456179" w:rsidP="009B633D">
      <w:pPr>
        <w:jc w:val="center"/>
        <w:rPr>
          <w:sz w:val="28"/>
          <w:szCs w:val="28"/>
        </w:rPr>
      </w:pPr>
      <w:r>
        <w:rPr>
          <w:b/>
          <w:sz w:val="28"/>
          <w:szCs w:val="28"/>
        </w:rPr>
        <w:t>Part A</w:t>
      </w:r>
    </w:p>
    <w:p w14:paraId="1CB6F112" w14:textId="77777777" w:rsidR="009B633D" w:rsidRDefault="009B633D" w:rsidP="009B633D">
      <w:pPr>
        <w:jc w:val="center"/>
        <w:rPr>
          <w:sz w:val="28"/>
          <w:szCs w:val="28"/>
        </w:rPr>
      </w:pPr>
    </w:p>
    <w:p w14:paraId="314AFF4E" w14:textId="77777777" w:rsidR="009B633D" w:rsidRDefault="009B633D" w:rsidP="009B633D">
      <w:pPr>
        <w:jc w:val="center"/>
        <w:rPr>
          <w:sz w:val="28"/>
          <w:szCs w:val="28"/>
        </w:rPr>
      </w:pPr>
    </w:p>
    <w:p w14:paraId="25311CEB" w14:textId="77777777" w:rsidR="009B633D" w:rsidRDefault="009B633D" w:rsidP="009B633D">
      <w:pPr>
        <w:jc w:val="center"/>
        <w:rPr>
          <w:sz w:val="28"/>
          <w:szCs w:val="28"/>
        </w:rPr>
      </w:pPr>
    </w:p>
    <w:p w14:paraId="682F2515" w14:textId="77777777" w:rsidR="009B633D" w:rsidRDefault="009B633D" w:rsidP="009B633D">
      <w:pPr>
        <w:jc w:val="center"/>
        <w:rPr>
          <w:sz w:val="28"/>
          <w:szCs w:val="28"/>
        </w:rPr>
      </w:pPr>
    </w:p>
    <w:p w14:paraId="73AE7BEE" w14:textId="77777777" w:rsidR="009B633D" w:rsidRDefault="009B633D" w:rsidP="009B633D">
      <w:pPr>
        <w:jc w:val="center"/>
        <w:rPr>
          <w:sz w:val="28"/>
          <w:szCs w:val="28"/>
        </w:rPr>
      </w:pPr>
    </w:p>
    <w:p w14:paraId="07D5497C" w14:textId="77777777" w:rsidR="009B633D" w:rsidRDefault="009B633D" w:rsidP="009B633D">
      <w:pPr>
        <w:jc w:val="center"/>
        <w:rPr>
          <w:sz w:val="28"/>
          <w:szCs w:val="28"/>
        </w:rPr>
      </w:pPr>
    </w:p>
    <w:p w14:paraId="1C70BC71" w14:textId="77777777" w:rsidR="000A10BF" w:rsidRDefault="000A10BF" w:rsidP="000A10BF">
      <w:pPr>
        <w:jc w:val="center"/>
        <w:rPr>
          <w:b/>
          <w:sz w:val="28"/>
          <w:szCs w:val="28"/>
        </w:rPr>
      </w:pPr>
      <w:r w:rsidRPr="00ED24F1">
        <w:rPr>
          <w:b/>
          <w:sz w:val="28"/>
          <w:szCs w:val="28"/>
        </w:rPr>
        <w:t xml:space="preserve">American Recovery and Reinvestment Act </w:t>
      </w:r>
    </w:p>
    <w:p w14:paraId="2BF9FCD7" w14:textId="4C9BC7D0" w:rsidR="000A10BF" w:rsidRDefault="000A10BF" w:rsidP="000A10BF">
      <w:pPr>
        <w:jc w:val="center"/>
        <w:rPr>
          <w:b/>
          <w:sz w:val="28"/>
          <w:szCs w:val="28"/>
        </w:rPr>
      </w:pPr>
      <w:r w:rsidRPr="00ED24F1">
        <w:rPr>
          <w:b/>
          <w:sz w:val="28"/>
          <w:szCs w:val="28"/>
        </w:rPr>
        <w:t>“</w:t>
      </w:r>
      <w:r w:rsidR="00804579">
        <w:rPr>
          <w:b/>
          <w:sz w:val="28"/>
          <w:szCs w:val="28"/>
        </w:rPr>
        <w:t>Registry of Patient Registries</w:t>
      </w:r>
      <w:r w:rsidRPr="00ED24F1">
        <w:rPr>
          <w:b/>
          <w:sz w:val="28"/>
          <w:szCs w:val="28"/>
        </w:rPr>
        <w:t xml:space="preserve">” </w:t>
      </w:r>
    </w:p>
    <w:p w14:paraId="30658A04" w14:textId="3DD95AE1" w:rsidR="000A10BF" w:rsidRPr="00ED24F1" w:rsidRDefault="000A10BF" w:rsidP="000A10BF">
      <w:pPr>
        <w:jc w:val="center"/>
        <w:rPr>
          <w:b/>
          <w:sz w:val="28"/>
          <w:szCs w:val="28"/>
        </w:rPr>
      </w:pPr>
      <w:r w:rsidRPr="00ED24F1">
        <w:rPr>
          <w:b/>
          <w:sz w:val="28"/>
          <w:szCs w:val="28"/>
        </w:rPr>
        <w:t xml:space="preserve">Contract No. </w:t>
      </w:r>
      <w:r w:rsidR="00804579" w:rsidRPr="00804579">
        <w:rPr>
          <w:b/>
          <w:sz w:val="28"/>
          <w:szCs w:val="28"/>
        </w:rPr>
        <w:t>HHSA290201400004C</w:t>
      </w:r>
    </w:p>
    <w:p w14:paraId="426C80FD" w14:textId="77777777" w:rsidR="000A10BF" w:rsidRPr="00082047" w:rsidRDefault="000A10BF" w:rsidP="000A10BF">
      <w:pPr>
        <w:jc w:val="center"/>
        <w:rPr>
          <w:i/>
          <w:sz w:val="28"/>
          <w:szCs w:val="28"/>
        </w:rPr>
      </w:pPr>
    </w:p>
    <w:p w14:paraId="579D32F7" w14:textId="77777777" w:rsidR="000A10BF" w:rsidRDefault="000A10BF" w:rsidP="000A10BF">
      <w:pPr>
        <w:jc w:val="center"/>
        <w:rPr>
          <w:sz w:val="28"/>
          <w:szCs w:val="28"/>
        </w:rPr>
      </w:pPr>
    </w:p>
    <w:p w14:paraId="44B90B64" w14:textId="77777777" w:rsidR="000A10BF" w:rsidRDefault="000A10BF" w:rsidP="000A10BF">
      <w:pPr>
        <w:jc w:val="center"/>
        <w:rPr>
          <w:sz w:val="28"/>
          <w:szCs w:val="28"/>
        </w:rPr>
      </w:pPr>
    </w:p>
    <w:p w14:paraId="09F6D71E" w14:textId="77777777" w:rsidR="000A10BF" w:rsidRDefault="000A10BF" w:rsidP="000A10BF">
      <w:pPr>
        <w:jc w:val="center"/>
        <w:rPr>
          <w:sz w:val="28"/>
          <w:szCs w:val="28"/>
        </w:rPr>
      </w:pPr>
    </w:p>
    <w:p w14:paraId="5DA760EE" w14:textId="3C9B2DE9" w:rsidR="000A10BF" w:rsidRPr="00C4006D" w:rsidRDefault="000A10BF" w:rsidP="000A10BF">
      <w:pPr>
        <w:jc w:val="center"/>
        <w:rPr>
          <w:i/>
          <w:sz w:val="28"/>
          <w:szCs w:val="28"/>
        </w:rPr>
      </w:pPr>
      <w:r w:rsidRPr="00C91C29">
        <w:rPr>
          <w:b/>
          <w:sz w:val="28"/>
          <w:szCs w:val="28"/>
        </w:rPr>
        <w:t>Version</w:t>
      </w:r>
      <w:r>
        <w:rPr>
          <w:b/>
          <w:sz w:val="28"/>
          <w:szCs w:val="28"/>
        </w:rPr>
        <w:t>:</w:t>
      </w:r>
      <w:r>
        <w:rPr>
          <w:sz w:val="28"/>
          <w:szCs w:val="28"/>
        </w:rPr>
        <w:t xml:space="preserve"> </w:t>
      </w:r>
      <w:r w:rsidR="00D20F53">
        <w:rPr>
          <w:sz w:val="28"/>
          <w:szCs w:val="28"/>
        </w:rPr>
        <w:t>April 19, 2018</w:t>
      </w:r>
    </w:p>
    <w:p w14:paraId="793E6BCA" w14:textId="77777777" w:rsidR="009B633D" w:rsidRDefault="009B633D" w:rsidP="009B633D">
      <w:pPr>
        <w:jc w:val="center"/>
        <w:rPr>
          <w:sz w:val="28"/>
          <w:szCs w:val="28"/>
        </w:rPr>
      </w:pPr>
    </w:p>
    <w:p w14:paraId="6ABA22B6" w14:textId="77777777" w:rsidR="009B633D" w:rsidRDefault="009B633D" w:rsidP="009B633D">
      <w:pPr>
        <w:jc w:val="center"/>
        <w:rPr>
          <w:sz w:val="28"/>
          <w:szCs w:val="28"/>
        </w:rPr>
      </w:pPr>
    </w:p>
    <w:p w14:paraId="01D2838D" w14:textId="77777777" w:rsidR="009B633D" w:rsidRDefault="009B633D" w:rsidP="009B633D">
      <w:pPr>
        <w:jc w:val="center"/>
        <w:rPr>
          <w:sz w:val="28"/>
          <w:szCs w:val="28"/>
        </w:rPr>
      </w:pPr>
    </w:p>
    <w:p w14:paraId="040D6D20" w14:textId="77777777" w:rsidR="009B633D" w:rsidRDefault="009B633D" w:rsidP="009B633D">
      <w:pPr>
        <w:jc w:val="center"/>
        <w:rPr>
          <w:b/>
          <w:sz w:val="28"/>
          <w:szCs w:val="28"/>
        </w:rPr>
      </w:pPr>
    </w:p>
    <w:p w14:paraId="1220213F" w14:textId="77777777" w:rsidR="000A10BF" w:rsidRDefault="000A10BF" w:rsidP="009B633D">
      <w:pPr>
        <w:jc w:val="center"/>
        <w:rPr>
          <w:i/>
          <w:sz w:val="28"/>
          <w:szCs w:val="28"/>
        </w:rPr>
      </w:pPr>
    </w:p>
    <w:p w14:paraId="75A83654" w14:textId="77777777" w:rsidR="009B633D" w:rsidRDefault="009B633D" w:rsidP="009B633D">
      <w:pPr>
        <w:jc w:val="center"/>
        <w:rPr>
          <w:sz w:val="28"/>
          <w:szCs w:val="28"/>
        </w:rPr>
      </w:pPr>
    </w:p>
    <w:p w14:paraId="51393E45" w14:textId="77777777" w:rsidR="009B633D" w:rsidRDefault="009B633D" w:rsidP="009B633D">
      <w:pPr>
        <w:jc w:val="center"/>
        <w:rPr>
          <w:sz w:val="28"/>
          <w:szCs w:val="28"/>
        </w:rPr>
      </w:pPr>
    </w:p>
    <w:p w14:paraId="1C16C824" w14:textId="77777777" w:rsidR="009B633D" w:rsidRDefault="009B633D" w:rsidP="009B633D">
      <w:pPr>
        <w:jc w:val="center"/>
        <w:rPr>
          <w:sz w:val="28"/>
          <w:szCs w:val="28"/>
        </w:rPr>
      </w:pPr>
    </w:p>
    <w:p w14:paraId="3108D636" w14:textId="77777777" w:rsidR="009B633D" w:rsidRDefault="009B633D" w:rsidP="009B633D">
      <w:pPr>
        <w:jc w:val="center"/>
        <w:rPr>
          <w:sz w:val="28"/>
          <w:szCs w:val="28"/>
        </w:rPr>
      </w:pPr>
    </w:p>
    <w:p w14:paraId="3B0E93E2" w14:textId="77777777" w:rsidR="009B633D" w:rsidRDefault="009B633D" w:rsidP="009B633D">
      <w:pPr>
        <w:jc w:val="center"/>
        <w:rPr>
          <w:sz w:val="28"/>
          <w:szCs w:val="28"/>
        </w:rPr>
      </w:pPr>
    </w:p>
    <w:p w14:paraId="394C1CC5" w14:textId="30000990" w:rsidR="009B633D" w:rsidRDefault="009B633D" w:rsidP="009B633D">
      <w:pPr>
        <w:jc w:val="center"/>
        <w:rPr>
          <w:sz w:val="28"/>
          <w:szCs w:val="28"/>
        </w:rPr>
      </w:pPr>
      <w:r w:rsidRPr="00677A0B">
        <w:rPr>
          <w:sz w:val="28"/>
          <w:szCs w:val="28"/>
        </w:rPr>
        <w:t xml:space="preserve">Agency </w:t>
      </w:r>
      <w:r w:rsidR="005F4AC3">
        <w:rPr>
          <w:sz w:val="28"/>
          <w:szCs w:val="28"/>
        </w:rPr>
        <w:t>for</w:t>
      </w:r>
      <w:r w:rsidR="005F4AC3" w:rsidRPr="00677A0B">
        <w:rPr>
          <w:sz w:val="28"/>
          <w:szCs w:val="28"/>
        </w:rPr>
        <w:t xml:space="preserve"> </w:t>
      </w:r>
      <w:r w:rsidRPr="00677A0B">
        <w:rPr>
          <w:sz w:val="28"/>
          <w:szCs w:val="28"/>
        </w:rPr>
        <w:t>Healthcare Research and Quality (AHRQ)</w:t>
      </w:r>
    </w:p>
    <w:p w14:paraId="37F878F9" w14:textId="77777777" w:rsidR="009B633D" w:rsidRDefault="009B633D">
      <w:pPr>
        <w:rPr>
          <w:sz w:val="28"/>
          <w:szCs w:val="28"/>
        </w:rPr>
      </w:pPr>
    </w:p>
    <w:p w14:paraId="5245C644" w14:textId="77777777" w:rsidR="009B633D" w:rsidRDefault="009B633D">
      <w:pPr>
        <w:rPr>
          <w:sz w:val="28"/>
          <w:szCs w:val="28"/>
        </w:rPr>
      </w:pPr>
    </w:p>
    <w:p w14:paraId="59D4086D" w14:textId="3D634CB3" w:rsidR="0084492F" w:rsidRDefault="000A10BF" w:rsidP="0084492F">
      <w:pPr>
        <w:jc w:val="center"/>
        <w:rPr>
          <w:b/>
        </w:rPr>
      </w:pPr>
      <w:r>
        <w:rPr>
          <w:i/>
        </w:rPr>
        <w:br w:type="page"/>
      </w:r>
      <w:r w:rsidR="0084492F" w:rsidRPr="001D0454">
        <w:rPr>
          <w:b/>
        </w:rPr>
        <w:lastRenderedPageBreak/>
        <w:t xml:space="preserve">Table of </w:t>
      </w:r>
      <w:r w:rsidR="00437AE2">
        <w:rPr>
          <w:b/>
        </w:rPr>
        <w:t>Contents</w:t>
      </w:r>
    </w:p>
    <w:p w14:paraId="365422C0" w14:textId="77777777" w:rsidR="0084492F" w:rsidRDefault="0084492F" w:rsidP="0084492F"/>
    <w:p w14:paraId="36872B91" w14:textId="29B70435" w:rsidR="00B81F1E" w:rsidRDefault="0084492F">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6096617" w:history="1">
        <w:r w:rsidR="00B81F1E" w:rsidRPr="00C31B52">
          <w:rPr>
            <w:rStyle w:val="Hyperlink"/>
            <w:noProof/>
          </w:rPr>
          <w:t>A. Justification</w:t>
        </w:r>
        <w:r w:rsidR="00B81F1E">
          <w:rPr>
            <w:noProof/>
            <w:webHidden/>
          </w:rPr>
          <w:tab/>
        </w:r>
        <w:r w:rsidR="00B81F1E">
          <w:rPr>
            <w:noProof/>
            <w:webHidden/>
          </w:rPr>
          <w:fldChar w:fldCharType="begin"/>
        </w:r>
        <w:r w:rsidR="00B81F1E">
          <w:rPr>
            <w:noProof/>
            <w:webHidden/>
          </w:rPr>
          <w:instrText xml:space="preserve"> PAGEREF _Toc496096617 \h </w:instrText>
        </w:r>
        <w:r w:rsidR="00B81F1E">
          <w:rPr>
            <w:noProof/>
            <w:webHidden/>
          </w:rPr>
        </w:r>
        <w:r w:rsidR="00B81F1E">
          <w:rPr>
            <w:noProof/>
            <w:webHidden/>
          </w:rPr>
          <w:fldChar w:fldCharType="separate"/>
        </w:r>
        <w:r w:rsidR="00B81F1E">
          <w:rPr>
            <w:noProof/>
            <w:webHidden/>
          </w:rPr>
          <w:t>- 3 -</w:t>
        </w:r>
        <w:r w:rsidR="00B81F1E">
          <w:rPr>
            <w:noProof/>
            <w:webHidden/>
          </w:rPr>
          <w:fldChar w:fldCharType="end"/>
        </w:r>
      </w:hyperlink>
    </w:p>
    <w:p w14:paraId="7A9F2520" w14:textId="4AD4D2FB"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18" w:history="1">
        <w:r w:rsidR="00B81F1E" w:rsidRPr="00C31B52">
          <w:rPr>
            <w:rStyle w:val="Hyperlink"/>
            <w:noProof/>
          </w:rPr>
          <w:t>1. Circumstances that Make the Collection of Information Necessary</w:t>
        </w:r>
        <w:r w:rsidR="00B81F1E">
          <w:rPr>
            <w:noProof/>
            <w:webHidden/>
          </w:rPr>
          <w:tab/>
        </w:r>
        <w:r w:rsidR="00B81F1E">
          <w:rPr>
            <w:noProof/>
            <w:webHidden/>
          </w:rPr>
          <w:fldChar w:fldCharType="begin"/>
        </w:r>
        <w:r w:rsidR="00B81F1E">
          <w:rPr>
            <w:noProof/>
            <w:webHidden/>
          </w:rPr>
          <w:instrText xml:space="preserve"> PAGEREF _Toc496096618 \h </w:instrText>
        </w:r>
        <w:r w:rsidR="00B81F1E">
          <w:rPr>
            <w:noProof/>
            <w:webHidden/>
          </w:rPr>
        </w:r>
        <w:r w:rsidR="00B81F1E">
          <w:rPr>
            <w:noProof/>
            <w:webHidden/>
          </w:rPr>
          <w:fldChar w:fldCharType="separate"/>
        </w:r>
        <w:r w:rsidR="00B81F1E">
          <w:rPr>
            <w:noProof/>
            <w:webHidden/>
          </w:rPr>
          <w:t>- 3 -</w:t>
        </w:r>
        <w:r w:rsidR="00B81F1E">
          <w:rPr>
            <w:noProof/>
            <w:webHidden/>
          </w:rPr>
          <w:fldChar w:fldCharType="end"/>
        </w:r>
      </w:hyperlink>
    </w:p>
    <w:p w14:paraId="46603975" w14:textId="7C9A4A03"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19" w:history="1">
        <w:r w:rsidR="00B81F1E" w:rsidRPr="00C31B52">
          <w:rPr>
            <w:rStyle w:val="Hyperlink"/>
            <w:noProof/>
          </w:rPr>
          <w:t>2. Purpose and Use of Information</w:t>
        </w:r>
        <w:r w:rsidR="00B81F1E">
          <w:rPr>
            <w:noProof/>
            <w:webHidden/>
          </w:rPr>
          <w:tab/>
        </w:r>
        <w:r w:rsidR="00B81F1E">
          <w:rPr>
            <w:noProof/>
            <w:webHidden/>
          </w:rPr>
          <w:fldChar w:fldCharType="begin"/>
        </w:r>
        <w:r w:rsidR="00B81F1E">
          <w:rPr>
            <w:noProof/>
            <w:webHidden/>
          </w:rPr>
          <w:instrText xml:space="preserve"> PAGEREF _Toc496096619 \h </w:instrText>
        </w:r>
        <w:r w:rsidR="00B81F1E">
          <w:rPr>
            <w:noProof/>
            <w:webHidden/>
          </w:rPr>
        </w:r>
        <w:r w:rsidR="00B81F1E">
          <w:rPr>
            <w:noProof/>
            <w:webHidden/>
          </w:rPr>
          <w:fldChar w:fldCharType="separate"/>
        </w:r>
        <w:r w:rsidR="00B81F1E">
          <w:rPr>
            <w:noProof/>
            <w:webHidden/>
          </w:rPr>
          <w:t>- 4 -</w:t>
        </w:r>
        <w:r w:rsidR="00B81F1E">
          <w:rPr>
            <w:noProof/>
            <w:webHidden/>
          </w:rPr>
          <w:fldChar w:fldCharType="end"/>
        </w:r>
      </w:hyperlink>
    </w:p>
    <w:p w14:paraId="748908A7" w14:textId="5394092B"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20" w:history="1">
        <w:r w:rsidR="00B81F1E" w:rsidRPr="00C31B52">
          <w:rPr>
            <w:rStyle w:val="Hyperlink"/>
            <w:noProof/>
          </w:rPr>
          <w:t>3. Use of Improved Information Technology</w:t>
        </w:r>
        <w:r w:rsidR="00B81F1E">
          <w:rPr>
            <w:noProof/>
            <w:webHidden/>
          </w:rPr>
          <w:tab/>
        </w:r>
        <w:r w:rsidR="00B81F1E">
          <w:rPr>
            <w:noProof/>
            <w:webHidden/>
          </w:rPr>
          <w:fldChar w:fldCharType="begin"/>
        </w:r>
        <w:r w:rsidR="00B81F1E">
          <w:rPr>
            <w:noProof/>
            <w:webHidden/>
          </w:rPr>
          <w:instrText xml:space="preserve"> PAGEREF _Toc496096620 \h </w:instrText>
        </w:r>
        <w:r w:rsidR="00B81F1E">
          <w:rPr>
            <w:noProof/>
            <w:webHidden/>
          </w:rPr>
        </w:r>
        <w:r w:rsidR="00B81F1E">
          <w:rPr>
            <w:noProof/>
            <w:webHidden/>
          </w:rPr>
          <w:fldChar w:fldCharType="separate"/>
        </w:r>
        <w:r w:rsidR="00B81F1E">
          <w:rPr>
            <w:noProof/>
            <w:webHidden/>
          </w:rPr>
          <w:t>- 4 -</w:t>
        </w:r>
        <w:r w:rsidR="00B81F1E">
          <w:rPr>
            <w:noProof/>
            <w:webHidden/>
          </w:rPr>
          <w:fldChar w:fldCharType="end"/>
        </w:r>
      </w:hyperlink>
    </w:p>
    <w:p w14:paraId="481DF5FD" w14:textId="5D6FE7D0"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21" w:history="1">
        <w:r w:rsidR="00B81F1E" w:rsidRPr="00C31B52">
          <w:rPr>
            <w:rStyle w:val="Hyperlink"/>
            <w:noProof/>
          </w:rPr>
          <w:t>4. Efforts to Identify Duplication</w:t>
        </w:r>
        <w:r w:rsidR="00B81F1E">
          <w:rPr>
            <w:noProof/>
            <w:webHidden/>
          </w:rPr>
          <w:tab/>
        </w:r>
        <w:r w:rsidR="00B81F1E">
          <w:rPr>
            <w:noProof/>
            <w:webHidden/>
          </w:rPr>
          <w:fldChar w:fldCharType="begin"/>
        </w:r>
        <w:r w:rsidR="00B81F1E">
          <w:rPr>
            <w:noProof/>
            <w:webHidden/>
          </w:rPr>
          <w:instrText xml:space="preserve"> PAGEREF _Toc496096621 \h </w:instrText>
        </w:r>
        <w:r w:rsidR="00B81F1E">
          <w:rPr>
            <w:noProof/>
            <w:webHidden/>
          </w:rPr>
        </w:r>
        <w:r w:rsidR="00B81F1E">
          <w:rPr>
            <w:noProof/>
            <w:webHidden/>
          </w:rPr>
          <w:fldChar w:fldCharType="separate"/>
        </w:r>
        <w:r w:rsidR="00B81F1E">
          <w:rPr>
            <w:noProof/>
            <w:webHidden/>
          </w:rPr>
          <w:t>- 5 -</w:t>
        </w:r>
        <w:r w:rsidR="00B81F1E">
          <w:rPr>
            <w:noProof/>
            <w:webHidden/>
          </w:rPr>
          <w:fldChar w:fldCharType="end"/>
        </w:r>
      </w:hyperlink>
    </w:p>
    <w:p w14:paraId="4072C68C" w14:textId="61423C9F"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22" w:history="1">
        <w:r w:rsidR="00B81F1E" w:rsidRPr="00C31B52">
          <w:rPr>
            <w:rStyle w:val="Hyperlink"/>
            <w:noProof/>
          </w:rPr>
          <w:t>5. Involvement of Small Entities</w:t>
        </w:r>
        <w:r w:rsidR="00B81F1E">
          <w:rPr>
            <w:noProof/>
            <w:webHidden/>
          </w:rPr>
          <w:tab/>
        </w:r>
        <w:r w:rsidR="00B81F1E">
          <w:rPr>
            <w:noProof/>
            <w:webHidden/>
          </w:rPr>
          <w:fldChar w:fldCharType="begin"/>
        </w:r>
        <w:r w:rsidR="00B81F1E">
          <w:rPr>
            <w:noProof/>
            <w:webHidden/>
          </w:rPr>
          <w:instrText xml:space="preserve"> PAGEREF _Toc496096622 \h </w:instrText>
        </w:r>
        <w:r w:rsidR="00B81F1E">
          <w:rPr>
            <w:noProof/>
            <w:webHidden/>
          </w:rPr>
        </w:r>
        <w:r w:rsidR="00B81F1E">
          <w:rPr>
            <w:noProof/>
            <w:webHidden/>
          </w:rPr>
          <w:fldChar w:fldCharType="separate"/>
        </w:r>
        <w:r w:rsidR="00B81F1E">
          <w:rPr>
            <w:noProof/>
            <w:webHidden/>
          </w:rPr>
          <w:t>- 5 -</w:t>
        </w:r>
        <w:r w:rsidR="00B81F1E">
          <w:rPr>
            <w:noProof/>
            <w:webHidden/>
          </w:rPr>
          <w:fldChar w:fldCharType="end"/>
        </w:r>
      </w:hyperlink>
    </w:p>
    <w:p w14:paraId="0E37C852" w14:textId="0AAA700F"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23" w:history="1">
        <w:r w:rsidR="00B81F1E" w:rsidRPr="00C31B52">
          <w:rPr>
            <w:rStyle w:val="Hyperlink"/>
            <w:noProof/>
          </w:rPr>
          <w:t>6. Consequences if Information Collected Less Frequently</w:t>
        </w:r>
        <w:r w:rsidR="00B81F1E">
          <w:rPr>
            <w:noProof/>
            <w:webHidden/>
          </w:rPr>
          <w:tab/>
        </w:r>
        <w:r w:rsidR="00B81F1E">
          <w:rPr>
            <w:noProof/>
            <w:webHidden/>
          </w:rPr>
          <w:fldChar w:fldCharType="begin"/>
        </w:r>
        <w:r w:rsidR="00B81F1E">
          <w:rPr>
            <w:noProof/>
            <w:webHidden/>
          </w:rPr>
          <w:instrText xml:space="preserve"> PAGEREF _Toc496096623 \h </w:instrText>
        </w:r>
        <w:r w:rsidR="00B81F1E">
          <w:rPr>
            <w:noProof/>
            <w:webHidden/>
          </w:rPr>
        </w:r>
        <w:r w:rsidR="00B81F1E">
          <w:rPr>
            <w:noProof/>
            <w:webHidden/>
          </w:rPr>
          <w:fldChar w:fldCharType="separate"/>
        </w:r>
        <w:r w:rsidR="00B81F1E">
          <w:rPr>
            <w:noProof/>
            <w:webHidden/>
          </w:rPr>
          <w:t>- 5 -</w:t>
        </w:r>
        <w:r w:rsidR="00B81F1E">
          <w:rPr>
            <w:noProof/>
            <w:webHidden/>
          </w:rPr>
          <w:fldChar w:fldCharType="end"/>
        </w:r>
      </w:hyperlink>
    </w:p>
    <w:p w14:paraId="0D0CB501" w14:textId="6850E65F"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24" w:history="1">
        <w:r w:rsidR="00B81F1E" w:rsidRPr="00C31B52">
          <w:rPr>
            <w:rStyle w:val="Hyperlink"/>
            <w:noProof/>
          </w:rPr>
          <w:t>7. Special Circumstances</w:t>
        </w:r>
        <w:r w:rsidR="00B81F1E">
          <w:rPr>
            <w:noProof/>
            <w:webHidden/>
          </w:rPr>
          <w:tab/>
        </w:r>
        <w:r w:rsidR="00B81F1E">
          <w:rPr>
            <w:noProof/>
            <w:webHidden/>
          </w:rPr>
          <w:fldChar w:fldCharType="begin"/>
        </w:r>
        <w:r w:rsidR="00B81F1E">
          <w:rPr>
            <w:noProof/>
            <w:webHidden/>
          </w:rPr>
          <w:instrText xml:space="preserve"> PAGEREF _Toc496096624 \h </w:instrText>
        </w:r>
        <w:r w:rsidR="00B81F1E">
          <w:rPr>
            <w:noProof/>
            <w:webHidden/>
          </w:rPr>
        </w:r>
        <w:r w:rsidR="00B81F1E">
          <w:rPr>
            <w:noProof/>
            <w:webHidden/>
          </w:rPr>
          <w:fldChar w:fldCharType="separate"/>
        </w:r>
        <w:r w:rsidR="00B81F1E">
          <w:rPr>
            <w:noProof/>
            <w:webHidden/>
          </w:rPr>
          <w:t>- 6 -</w:t>
        </w:r>
        <w:r w:rsidR="00B81F1E">
          <w:rPr>
            <w:noProof/>
            <w:webHidden/>
          </w:rPr>
          <w:fldChar w:fldCharType="end"/>
        </w:r>
      </w:hyperlink>
    </w:p>
    <w:p w14:paraId="3B889838" w14:textId="006422BE"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25" w:history="1">
        <w:r w:rsidR="00B81F1E" w:rsidRPr="00C31B52">
          <w:rPr>
            <w:rStyle w:val="Hyperlink"/>
            <w:noProof/>
          </w:rPr>
          <w:t>8. Federal Register Notice and Outside Consultations</w:t>
        </w:r>
        <w:r w:rsidR="00B81F1E">
          <w:rPr>
            <w:noProof/>
            <w:webHidden/>
          </w:rPr>
          <w:tab/>
        </w:r>
        <w:r w:rsidR="00B81F1E">
          <w:rPr>
            <w:noProof/>
            <w:webHidden/>
          </w:rPr>
          <w:fldChar w:fldCharType="begin"/>
        </w:r>
        <w:r w:rsidR="00B81F1E">
          <w:rPr>
            <w:noProof/>
            <w:webHidden/>
          </w:rPr>
          <w:instrText xml:space="preserve"> PAGEREF _Toc496096625 \h </w:instrText>
        </w:r>
        <w:r w:rsidR="00B81F1E">
          <w:rPr>
            <w:noProof/>
            <w:webHidden/>
          </w:rPr>
        </w:r>
        <w:r w:rsidR="00B81F1E">
          <w:rPr>
            <w:noProof/>
            <w:webHidden/>
          </w:rPr>
          <w:fldChar w:fldCharType="separate"/>
        </w:r>
        <w:r w:rsidR="00B81F1E">
          <w:rPr>
            <w:noProof/>
            <w:webHidden/>
          </w:rPr>
          <w:t>- 6 -</w:t>
        </w:r>
        <w:r w:rsidR="00B81F1E">
          <w:rPr>
            <w:noProof/>
            <w:webHidden/>
          </w:rPr>
          <w:fldChar w:fldCharType="end"/>
        </w:r>
      </w:hyperlink>
    </w:p>
    <w:p w14:paraId="38484390" w14:textId="01FD2770" w:rsidR="009511DE" w:rsidRDefault="00B0024F" w:rsidP="009511DE">
      <w:pPr>
        <w:pStyle w:val="TOC2"/>
        <w:tabs>
          <w:tab w:val="right" w:leader="dot" w:pos="8630"/>
        </w:tabs>
        <w:rPr>
          <w:noProof/>
        </w:rPr>
      </w:pPr>
      <w:hyperlink w:anchor="_Toc496096626" w:history="1">
        <w:r w:rsidR="009511DE" w:rsidRPr="00C31B52">
          <w:rPr>
            <w:rStyle w:val="Hyperlink"/>
            <w:noProof/>
          </w:rPr>
          <w:t>8.</w:t>
        </w:r>
        <w:r w:rsidR="009511DE">
          <w:rPr>
            <w:rStyle w:val="Hyperlink"/>
            <w:noProof/>
          </w:rPr>
          <w:t>a</w:t>
        </w:r>
        <w:r w:rsidR="009511DE" w:rsidRPr="00C31B52">
          <w:rPr>
            <w:rStyle w:val="Hyperlink"/>
            <w:noProof/>
          </w:rPr>
          <w:t xml:space="preserve">.  </w:t>
        </w:r>
        <w:r w:rsidR="009511DE">
          <w:rPr>
            <w:rStyle w:val="Hyperlink"/>
            <w:noProof/>
          </w:rPr>
          <w:t>Federal Register Notice</w:t>
        </w:r>
        <w:r w:rsidR="009511DE">
          <w:rPr>
            <w:noProof/>
            <w:webHidden/>
          </w:rPr>
          <w:tab/>
        </w:r>
        <w:r w:rsidR="009511DE">
          <w:rPr>
            <w:noProof/>
            <w:webHidden/>
          </w:rPr>
          <w:fldChar w:fldCharType="begin"/>
        </w:r>
        <w:r w:rsidR="009511DE">
          <w:rPr>
            <w:noProof/>
            <w:webHidden/>
          </w:rPr>
          <w:instrText xml:space="preserve"> PAGEREF _Toc496096626 \h </w:instrText>
        </w:r>
        <w:r w:rsidR="009511DE">
          <w:rPr>
            <w:noProof/>
            <w:webHidden/>
          </w:rPr>
        </w:r>
        <w:r w:rsidR="009511DE">
          <w:rPr>
            <w:noProof/>
            <w:webHidden/>
          </w:rPr>
          <w:fldChar w:fldCharType="separate"/>
        </w:r>
        <w:r w:rsidR="009511DE">
          <w:rPr>
            <w:noProof/>
            <w:webHidden/>
          </w:rPr>
          <w:t>- 6 -</w:t>
        </w:r>
        <w:r w:rsidR="009511DE">
          <w:rPr>
            <w:noProof/>
            <w:webHidden/>
          </w:rPr>
          <w:fldChar w:fldCharType="end"/>
        </w:r>
      </w:hyperlink>
    </w:p>
    <w:p w14:paraId="33062427" w14:textId="77777777" w:rsidR="009511DE" w:rsidRDefault="00B0024F" w:rsidP="009511DE">
      <w:pPr>
        <w:pStyle w:val="TOC2"/>
        <w:tabs>
          <w:tab w:val="right" w:leader="dot" w:pos="8630"/>
        </w:tabs>
        <w:rPr>
          <w:rFonts w:asciiTheme="minorHAnsi" w:eastAsiaTheme="minorEastAsia" w:hAnsiTheme="minorHAnsi" w:cstheme="minorBidi"/>
          <w:noProof/>
          <w:sz w:val="22"/>
          <w:szCs w:val="22"/>
        </w:rPr>
      </w:pPr>
      <w:hyperlink w:anchor="_Toc496096626" w:history="1">
        <w:r w:rsidR="009511DE" w:rsidRPr="00C31B52">
          <w:rPr>
            <w:rStyle w:val="Hyperlink"/>
            <w:noProof/>
          </w:rPr>
          <w:t>8.b.  Outside Consultations</w:t>
        </w:r>
        <w:r w:rsidR="009511DE">
          <w:rPr>
            <w:noProof/>
            <w:webHidden/>
          </w:rPr>
          <w:tab/>
        </w:r>
        <w:r w:rsidR="009511DE">
          <w:rPr>
            <w:noProof/>
            <w:webHidden/>
          </w:rPr>
          <w:fldChar w:fldCharType="begin"/>
        </w:r>
        <w:r w:rsidR="009511DE">
          <w:rPr>
            <w:noProof/>
            <w:webHidden/>
          </w:rPr>
          <w:instrText xml:space="preserve"> PAGEREF _Toc496096626 \h </w:instrText>
        </w:r>
        <w:r w:rsidR="009511DE">
          <w:rPr>
            <w:noProof/>
            <w:webHidden/>
          </w:rPr>
        </w:r>
        <w:r w:rsidR="009511DE">
          <w:rPr>
            <w:noProof/>
            <w:webHidden/>
          </w:rPr>
          <w:fldChar w:fldCharType="separate"/>
        </w:r>
        <w:r w:rsidR="009511DE">
          <w:rPr>
            <w:noProof/>
            <w:webHidden/>
          </w:rPr>
          <w:t>- 6 -</w:t>
        </w:r>
        <w:r w:rsidR="009511DE">
          <w:rPr>
            <w:noProof/>
            <w:webHidden/>
          </w:rPr>
          <w:fldChar w:fldCharType="end"/>
        </w:r>
      </w:hyperlink>
    </w:p>
    <w:p w14:paraId="142F6083" w14:textId="7E8A7116"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27" w:history="1">
        <w:r w:rsidR="00B81F1E" w:rsidRPr="00C31B52">
          <w:rPr>
            <w:rStyle w:val="Hyperlink"/>
            <w:noProof/>
          </w:rPr>
          <w:t>9. Payments/Gifts to Respondents</w:t>
        </w:r>
        <w:r w:rsidR="00B81F1E">
          <w:rPr>
            <w:noProof/>
            <w:webHidden/>
          </w:rPr>
          <w:tab/>
        </w:r>
        <w:r w:rsidR="00B81F1E">
          <w:rPr>
            <w:noProof/>
            <w:webHidden/>
          </w:rPr>
          <w:fldChar w:fldCharType="begin"/>
        </w:r>
        <w:r w:rsidR="00B81F1E">
          <w:rPr>
            <w:noProof/>
            <w:webHidden/>
          </w:rPr>
          <w:instrText xml:space="preserve"> PAGEREF _Toc496096627 \h </w:instrText>
        </w:r>
        <w:r w:rsidR="00B81F1E">
          <w:rPr>
            <w:noProof/>
            <w:webHidden/>
          </w:rPr>
        </w:r>
        <w:r w:rsidR="00B81F1E">
          <w:rPr>
            <w:noProof/>
            <w:webHidden/>
          </w:rPr>
          <w:fldChar w:fldCharType="separate"/>
        </w:r>
        <w:r w:rsidR="00B81F1E">
          <w:rPr>
            <w:noProof/>
            <w:webHidden/>
          </w:rPr>
          <w:t>- 6 -</w:t>
        </w:r>
        <w:r w:rsidR="00B81F1E">
          <w:rPr>
            <w:noProof/>
            <w:webHidden/>
          </w:rPr>
          <w:fldChar w:fldCharType="end"/>
        </w:r>
      </w:hyperlink>
    </w:p>
    <w:p w14:paraId="789642B4" w14:textId="72EFD289"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28" w:history="1">
        <w:r w:rsidR="00B81F1E" w:rsidRPr="00C31B52">
          <w:rPr>
            <w:rStyle w:val="Hyperlink"/>
            <w:noProof/>
          </w:rPr>
          <w:t>10. Assurance of Confidentiality</w:t>
        </w:r>
        <w:r w:rsidR="00B81F1E">
          <w:rPr>
            <w:noProof/>
            <w:webHidden/>
          </w:rPr>
          <w:tab/>
        </w:r>
        <w:r w:rsidR="00B81F1E">
          <w:rPr>
            <w:noProof/>
            <w:webHidden/>
          </w:rPr>
          <w:fldChar w:fldCharType="begin"/>
        </w:r>
        <w:r w:rsidR="00B81F1E">
          <w:rPr>
            <w:noProof/>
            <w:webHidden/>
          </w:rPr>
          <w:instrText xml:space="preserve"> PAGEREF _Toc496096628 \h </w:instrText>
        </w:r>
        <w:r w:rsidR="00B81F1E">
          <w:rPr>
            <w:noProof/>
            <w:webHidden/>
          </w:rPr>
        </w:r>
        <w:r w:rsidR="00B81F1E">
          <w:rPr>
            <w:noProof/>
            <w:webHidden/>
          </w:rPr>
          <w:fldChar w:fldCharType="separate"/>
        </w:r>
        <w:r w:rsidR="00B81F1E">
          <w:rPr>
            <w:noProof/>
            <w:webHidden/>
          </w:rPr>
          <w:t>- 6 -</w:t>
        </w:r>
        <w:r w:rsidR="00B81F1E">
          <w:rPr>
            <w:noProof/>
            <w:webHidden/>
          </w:rPr>
          <w:fldChar w:fldCharType="end"/>
        </w:r>
      </w:hyperlink>
    </w:p>
    <w:p w14:paraId="3789DE50" w14:textId="452AEDAE"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29" w:history="1">
        <w:r w:rsidR="00B81F1E" w:rsidRPr="00C31B52">
          <w:rPr>
            <w:rStyle w:val="Hyperlink"/>
            <w:noProof/>
          </w:rPr>
          <w:t>11. Questions of a Sensitive Nature</w:t>
        </w:r>
        <w:r w:rsidR="00B81F1E">
          <w:rPr>
            <w:noProof/>
            <w:webHidden/>
          </w:rPr>
          <w:tab/>
        </w:r>
        <w:r w:rsidR="00B81F1E">
          <w:rPr>
            <w:noProof/>
            <w:webHidden/>
          </w:rPr>
          <w:fldChar w:fldCharType="begin"/>
        </w:r>
        <w:r w:rsidR="00B81F1E">
          <w:rPr>
            <w:noProof/>
            <w:webHidden/>
          </w:rPr>
          <w:instrText xml:space="preserve"> PAGEREF _Toc496096629 \h </w:instrText>
        </w:r>
        <w:r w:rsidR="00B81F1E">
          <w:rPr>
            <w:noProof/>
            <w:webHidden/>
          </w:rPr>
        </w:r>
        <w:r w:rsidR="00B81F1E">
          <w:rPr>
            <w:noProof/>
            <w:webHidden/>
          </w:rPr>
          <w:fldChar w:fldCharType="separate"/>
        </w:r>
        <w:r w:rsidR="00B81F1E">
          <w:rPr>
            <w:noProof/>
            <w:webHidden/>
          </w:rPr>
          <w:t>- 7 -</w:t>
        </w:r>
        <w:r w:rsidR="00B81F1E">
          <w:rPr>
            <w:noProof/>
            <w:webHidden/>
          </w:rPr>
          <w:fldChar w:fldCharType="end"/>
        </w:r>
      </w:hyperlink>
    </w:p>
    <w:p w14:paraId="3F2284B2" w14:textId="40E8278C"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30" w:history="1">
        <w:r w:rsidR="00B81F1E" w:rsidRPr="00C31B52">
          <w:rPr>
            <w:rStyle w:val="Hyperlink"/>
            <w:noProof/>
          </w:rPr>
          <w:t>12. Estimates of Annualized Burden Hours and Costs</w:t>
        </w:r>
        <w:r w:rsidR="00B81F1E">
          <w:rPr>
            <w:noProof/>
            <w:webHidden/>
          </w:rPr>
          <w:tab/>
        </w:r>
        <w:r w:rsidR="00B81F1E">
          <w:rPr>
            <w:noProof/>
            <w:webHidden/>
          </w:rPr>
          <w:fldChar w:fldCharType="begin"/>
        </w:r>
        <w:r w:rsidR="00B81F1E">
          <w:rPr>
            <w:noProof/>
            <w:webHidden/>
          </w:rPr>
          <w:instrText xml:space="preserve"> PAGEREF _Toc496096630 \h </w:instrText>
        </w:r>
        <w:r w:rsidR="00B81F1E">
          <w:rPr>
            <w:noProof/>
            <w:webHidden/>
          </w:rPr>
        </w:r>
        <w:r w:rsidR="00B81F1E">
          <w:rPr>
            <w:noProof/>
            <w:webHidden/>
          </w:rPr>
          <w:fldChar w:fldCharType="separate"/>
        </w:r>
        <w:r w:rsidR="00B81F1E">
          <w:rPr>
            <w:noProof/>
            <w:webHidden/>
          </w:rPr>
          <w:t xml:space="preserve">- </w:t>
        </w:r>
        <w:r w:rsidR="009511DE">
          <w:rPr>
            <w:noProof/>
            <w:webHidden/>
          </w:rPr>
          <w:t>7</w:t>
        </w:r>
        <w:r w:rsidR="00B81F1E">
          <w:rPr>
            <w:noProof/>
            <w:webHidden/>
          </w:rPr>
          <w:t xml:space="preserve"> -</w:t>
        </w:r>
        <w:r w:rsidR="00B81F1E">
          <w:rPr>
            <w:noProof/>
            <w:webHidden/>
          </w:rPr>
          <w:fldChar w:fldCharType="end"/>
        </w:r>
      </w:hyperlink>
    </w:p>
    <w:p w14:paraId="2A496E24" w14:textId="2DB50684"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31" w:history="1">
        <w:r w:rsidR="00B81F1E" w:rsidRPr="00C31B52">
          <w:rPr>
            <w:rStyle w:val="Hyperlink"/>
            <w:noProof/>
          </w:rPr>
          <w:t>13. Estimates of Annualized Respondent Capital and Maintenance Costs</w:t>
        </w:r>
        <w:r w:rsidR="00B81F1E">
          <w:rPr>
            <w:noProof/>
            <w:webHidden/>
          </w:rPr>
          <w:tab/>
        </w:r>
        <w:r w:rsidR="00B81F1E">
          <w:rPr>
            <w:noProof/>
            <w:webHidden/>
          </w:rPr>
          <w:fldChar w:fldCharType="begin"/>
        </w:r>
        <w:r w:rsidR="00B81F1E">
          <w:rPr>
            <w:noProof/>
            <w:webHidden/>
          </w:rPr>
          <w:instrText xml:space="preserve"> PAGEREF _Toc496096631 \h </w:instrText>
        </w:r>
        <w:r w:rsidR="00B81F1E">
          <w:rPr>
            <w:noProof/>
            <w:webHidden/>
          </w:rPr>
        </w:r>
        <w:r w:rsidR="00B81F1E">
          <w:rPr>
            <w:noProof/>
            <w:webHidden/>
          </w:rPr>
          <w:fldChar w:fldCharType="separate"/>
        </w:r>
        <w:r w:rsidR="00B81F1E">
          <w:rPr>
            <w:noProof/>
            <w:webHidden/>
          </w:rPr>
          <w:t xml:space="preserve">- </w:t>
        </w:r>
        <w:r w:rsidR="009511DE">
          <w:rPr>
            <w:noProof/>
            <w:webHidden/>
          </w:rPr>
          <w:t>8</w:t>
        </w:r>
        <w:r w:rsidR="00B81F1E">
          <w:rPr>
            <w:noProof/>
            <w:webHidden/>
          </w:rPr>
          <w:t xml:space="preserve"> -</w:t>
        </w:r>
        <w:r w:rsidR="00B81F1E">
          <w:rPr>
            <w:noProof/>
            <w:webHidden/>
          </w:rPr>
          <w:fldChar w:fldCharType="end"/>
        </w:r>
      </w:hyperlink>
    </w:p>
    <w:p w14:paraId="5E132DDF" w14:textId="4885D12F"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32" w:history="1">
        <w:r w:rsidR="00B81F1E" w:rsidRPr="00C31B52">
          <w:rPr>
            <w:rStyle w:val="Hyperlink"/>
            <w:noProof/>
          </w:rPr>
          <w:t>14. Estimates of Annualized Costs to the Federal Government</w:t>
        </w:r>
        <w:r w:rsidR="00B81F1E">
          <w:rPr>
            <w:noProof/>
            <w:webHidden/>
          </w:rPr>
          <w:tab/>
        </w:r>
        <w:r w:rsidR="00B81F1E">
          <w:rPr>
            <w:noProof/>
            <w:webHidden/>
          </w:rPr>
          <w:fldChar w:fldCharType="begin"/>
        </w:r>
        <w:r w:rsidR="00B81F1E">
          <w:rPr>
            <w:noProof/>
            <w:webHidden/>
          </w:rPr>
          <w:instrText xml:space="preserve"> PAGEREF _Toc496096632 \h </w:instrText>
        </w:r>
        <w:r w:rsidR="00B81F1E">
          <w:rPr>
            <w:noProof/>
            <w:webHidden/>
          </w:rPr>
        </w:r>
        <w:r w:rsidR="00B81F1E">
          <w:rPr>
            <w:noProof/>
            <w:webHidden/>
          </w:rPr>
          <w:fldChar w:fldCharType="separate"/>
        </w:r>
        <w:r w:rsidR="00B81F1E">
          <w:rPr>
            <w:noProof/>
            <w:webHidden/>
          </w:rPr>
          <w:t xml:space="preserve">- </w:t>
        </w:r>
        <w:r w:rsidR="009511DE">
          <w:rPr>
            <w:noProof/>
            <w:webHidden/>
          </w:rPr>
          <w:t>8</w:t>
        </w:r>
        <w:r w:rsidR="00B81F1E">
          <w:rPr>
            <w:noProof/>
            <w:webHidden/>
          </w:rPr>
          <w:t xml:space="preserve"> -</w:t>
        </w:r>
        <w:r w:rsidR="00B81F1E">
          <w:rPr>
            <w:noProof/>
            <w:webHidden/>
          </w:rPr>
          <w:fldChar w:fldCharType="end"/>
        </w:r>
      </w:hyperlink>
    </w:p>
    <w:p w14:paraId="20D3B934" w14:textId="55AE8EFF"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33" w:history="1">
        <w:r w:rsidR="00B81F1E" w:rsidRPr="00C31B52">
          <w:rPr>
            <w:rStyle w:val="Hyperlink"/>
            <w:noProof/>
          </w:rPr>
          <w:t>15. Changes in Hour Burden</w:t>
        </w:r>
        <w:r w:rsidR="00B81F1E">
          <w:rPr>
            <w:noProof/>
            <w:webHidden/>
          </w:rPr>
          <w:tab/>
        </w:r>
        <w:r w:rsidR="00B81F1E">
          <w:rPr>
            <w:noProof/>
            <w:webHidden/>
          </w:rPr>
          <w:fldChar w:fldCharType="begin"/>
        </w:r>
        <w:r w:rsidR="00B81F1E">
          <w:rPr>
            <w:noProof/>
            <w:webHidden/>
          </w:rPr>
          <w:instrText xml:space="preserve"> PAGEREF _Toc496096633 \h </w:instrText>
        </w:r>
        <w:r w:rsidR="00B81F1E">
          <w:rPr>
            <w:noProof/>
            <w:webHidden/>
          </w:rPr>
        </w:r>
        <w:r w:rsidR="00B81F1E">
          <w:rPr>
            <w:noProof/>
            <w:webHidden/>
          </w:rPr>
          <w:fldChar w:fldCharType="separate"/>
        </w:r>
        <w:r w:rsidR="00B81F1E">
          <w:rPr>
            <w:noProof/>
            <w:webHidden/>
          </w:rPr>
          <w:t xml:space="preserve">- </w:t>
        </w:r>
        <w:r w:rsidR="009511DE">
          <w:rPr>
            <w:noProof/>
            <w:webHidden/>
          </w:rPr>
          <w:t>9</w:t>
        </w:r>
        <w:r w:rsidR="00B81F1E">
          <w:rPr>
            <w:noProof/>
            <w:webHidden/>
          </w:rPr>
          <w:t xml:space="preserve"> -</w:t>
        </w:r>
        <w:r w:rsidR="00B81F1E">
          <w:rPr>
            <w:noProof/>
            <w:webHidden/>
          </w:rPr>
          <w:fldChar w:fldCharType="end"/>
        </w:r>
      </w:hyperlink>
    </w:p>
    <w:p w14:paraId="7574B6A9" w14:textId="5C59C4F1"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34" w:history="1">
        <w:r w:rsidR="00B81F1E" w:rsidRPr="00C31B52">
          <w:rPr>
            <w:rStyle w:val="Hyperlink"/>
            <w:noProof/>
          </w:rPr>
          <w:t>16. Time Schedule, Publication, and Analysis Plans</w:t>
        </w:r>
        <w:r w:rsidR="00B81F1E">
          <w:rPr>
            <w:noProof/>
            <w:webHidden/>
          </w:rPr>
          <w:tab/>
        </w:r>
        <w:r w:rsidR="00B81F1E">
          <w:rPr>
            <w:noProof/>
            <w:webHidden/>
          </w:rPr>
          <w:fldChar w:fldCharType="begin"/>
        </w:r>
        <w:r w:rsidR="00B81F1E">
          <w:rPr>
            <w:noProof/>
            <w:webHidden/>
          </w:rPr>
          <w:instrText xml:space="preserve"> PAGEREF _Toc496096634 \h </w:instrText>
        </w:r>
        <w:r w:rsidR="00B81F1E">
          <w:rPr>
            <w:noProof/>
            <w:webHidden/>
          </w:rPr>
        </w:r>
        <w:r w:rsidR="00B81F1E">
          <w:rPr>
            <w:noProof/>
            <w:webHidden/>
          </w:rPr>
          <w:fldChar w:fldCharType="separate"/>
        </w:r>
        <w:r w:rsidR="00B81F1E">
          <w:rPr>
            <w:noProof/>
            <w:webHidden/>
          </w:rPr>
          <w:t xml:space="preserve">- </w:t>
        </w:r>
        <w:r w:rsidR="009511DE">
          <w:rPr>
            <w:noProof/>
            <w:webHidden/>
          </w:rPr>
          <w:t>9</w:t>
        </w:r>
        <w:r w:rsidR="00B81F1E">
          <w:rPr>
            <w:noProof/>
            <w:webHidden/>
          </w:rPr>
          <w:t xml:space="preserve"> -</w:t>
        </w:r>
        <w:r w:rsidR="00B81F1E">
          <w:rPr>
            <w:noProof/>
            <w:webHidden/>
          </w:rPr>
          <w:fldChar w:fldCharType="end"/>
        </w:r>
      </w:hyperlink>
    </w:p>
    <w:p w14:paraId="19906922" w14:textId="14C79628" w:rsidR="00B81F1E" w:rsidRDefault="00B0024F">
      <w:pPr>
        <w:pStyle w:val="TOC2"/>
        <w:tabs>
          <w:tab w:val="right" w:leader="dot" w:pos="8630"/>
        </w:tabs>
        <w:rPr>
          <w:rFonts w:asciiTheme="minorHAnsi" w:eastAsiaTheme="minorEastAsia" w:hAnsiTheme="minorHAnsi" w:cstheme="minorBidi"/>
          <w:noProof/>
          <w:sz w:val="22"/>
          <w:szCs w:val="22"/>
        </w:rPr>
      </w:pPr>
      <w:hyperlink w:anchor="_Toc496096635" w:history="1">
        <w:r w:rsidR="00B81F1E" w:rsidRPr="00C31B52">
          <w:rPr>
            <w:rStyle w:val="Hyperlink"/>
            <w:noProof/>
          </w:rPr>
          <w:t>17. Exemption for Display of Expiration Date</w:t>
        </w:r>
        <w:r w:rsidR="00B81F1E">
          <w:rPr>
            <w:noProof/>
            <w:webHidden/>
          </w:rPr>
          <w:tab/>
        </w:r>
        <w:r w:rsidR="00B81F1E">
          <w:rPr>
            <w:noProof/>
            <w:webHidden/>
          </w:rPr>
          <w:fldChar w:fldCharType="begin"/>
        </w:r>
        <w:r w:rsidR="00B81F1E">
          <w:rPr>
            <w:noProof/>
            <w:webHidden/>
          </w:rPr>
          <w:instrText xml:space="preserve"> PAGEREF _Toc496096635 \h </w:instrText>
        </w:r>
        <w:r w:rsidR="00B81F1E">
          <w:rPr>
            <w:noProof/>
            <w:webHidden/>
          </w:rPr>
        </w:r>
        <w:r w:rsidR="00B81F1E">
          <w:rPr>
            <w:noProof/>
            <w:webHidden/>
          </w:rPr>
          <w:fldChar w:fldCharType="separate"/>
        </w:r>
        <w:r w:rsidR="00B81F1E">
          <w:rPr>
            <w:noProof/>
            <w:webHidden/>
          </w:rPr>
          <w:t xml:space="preserve">- </w:t>
        </w:r>
        <w:r w:rsidR="009511DE">
          <w:rPr>
            <w:noProof/>
            <w:webHidden/>
          </w:rPr>
          <w:t>9</w:t>
        </w:r>
        <w:r w:rsidR="00B81F1E">
          <w:rPr>
            <w:noProof/>
            <w:webHidden/>
          </w:rPr>
          <w:t xml:space="preserve"> -</w:t>
        </w:r>
        <w:r w:rsidR="00B81F1E">
          <w:rPr>
            <w:noProof/>
            <w:webHidden/>
          </w:rPr>
          <w:fldChar w:fldCharType="end"/>
        </w:r>
      </w:hyperlink>
    </w:p>
    <w:p w14:paraId="29DB4566" w14:textId="207EAB87" w:rsidR="0084492F" w:rsidRDefault="0084492F" w:rsidP="0084492F">
      <w:pPr>
        <w:rPr>
          <w:i/>
        </w:rPr>
      </w:pPr>
      <w:r>
        <w:rPr>
          <w:b/>
          <w:bCs/>
          <w:noProof/>
        </w:rPr>
        <w:fldChar w:fldCharType="end"/>
      </w:r>
    </w:p>
    <w:p w14:paraId="5C022F66" w14:textId="77777777" w:rsidR="009B633D" w:rsidRDefault="009B633D" w:rsidP="009B633D">
      <w:pPr>
        <w:jc w:val="center"/>
        <w:rPr>
          <w:b/>
        </w:rPr>
      </w:pPr>
    </w:p>
    <w:p w14:paraId="5AE1319F"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0C398B3D" w14:textId="77777777" w:rsidR="009B633D" w:rsidRPr="001D0454" w:rsidRDefault="009B633D" w:rsidP="009B633D">
      <w:pPr>
        <w:jc w:val="center"/>
        <w:rPr>
          <w:b/>
        </w:rPr>
      </w:pPr>
      <w:r>
        <w:rPr>
          <w:b/>
        </w:rPr>
        <w:fldChar w:fldCharType="end"/>
      </w:r>
    </w:p>
    <w:p w14:paraId="169F5AE9" w14:textId="77777777" w:rsidR="009B633D" w:rsidRPr="006014DB" w:rsidRDefault="009B633D" w:rsidP="009B633D">
      <w:pPr>
        <w:pStyle w:val="Heading1"/>
        <w:rPr>
          <w:sz w:val="24"/>
          <w:szCs w:val="24"/>
        </w:rPr>
      </w:pPr>
      <w:r>
        <w:br w:type="page"/>
      </w:r>
      <w:bookmarkStart w:id="1" w:name="_Toc151782175"/>
      <w:bookmarkStart w:id="2" w:name="_Toc158526215"/>
      <w:bookmarkStart w:id="3" w:name="_Toc496096617"/>
      <w:r w:rsidRPr="006014DB">
        <w:rPr>
          <w:sz w:val="24"/>
          <w:szCs w:val="24"/>
        </w:rPr>
        <w:t>A. Justification</w:t>
      </w:r>
      <w:bookmarkEnd w:id="1"/>
      <w:bookmarkEnd w:id="2"/>
      <w:bookmarkEnd w:id="3"/>
    </w:p>
    <w:p w14:paraId="7A6F5583" w14:textId="77777777" w:rsidR="009B633D" w:rsidRPr="006014DB" w:rsidRDefault="009B633D" w:rsidP="009B633D"/>
    <w:p w14:paraId="1C307DA0" w14:textId="01858FA8" w:rsidR="009B633D" w:rsidRDefault="009B633D" w:rsidP="006014DB">
      <w:pPr>
        <w:pStyle w:val="Heading2"/>
        <w:spacing w:before="0" w:after="0"/>
        <w:rPr>
          <w:sz w:val="24"/>
          <w:szCs w:val="24"/>
        </w:rPr>
      </w:pPr>
      <w:bookmarkStart w:id="4" w:name="_Toc151782176"/>
      <w:bookmarkStart w:id="5" w:name="_Toc158526216"/>
      <w:bookmarkStart w:id="6" w:name="_Toc496096618"/>
      <w:r w:rsidRPr="006014DB">
        <w:rPr>
          <w:sz w:val="24"/>
          <w:szCs w:val="24"/>
        </w:rPr>
        <w:t xml:space="preserve">1. </w:t>
      </w:r>
      <w:bookmarkEnd w:id="4"/>
      <w:bookmarkEnd w:id="5"/>
      <w:r w:rsidR="006014DB" w:rsidRPr="006014DB">
        <w:rPr>
          <w:sz w:val="24"/>
          <w:szCs w:val="24"/>
        </w:rPr>
        <w:t xml:space="preserve">Circumstances that </w:t>
      </w:r>
      <w:r w:rsidR="000353E8">
        <w:rPr>
          <w:sz w:val="24"/>
          <w:szCs w:val="24"/>
        </w:rPr>
        <w:t>M</w:t>
      </w:r>
      <w:r w:rsidR="006014DB" w:rsidRPr="006014DB">
        <w:rPr>
          <w:sz w:val="24"/>
          <w:szCs w:val="24"/>
        </w:rPr>
        <w:t xml:space="preserve">ake the </w:t>
      </w:r>
      <w:r w:rsidR="000353E8">
        <w:rPr>
          <w:sz w:val="24"/>
          <w:szCs w:val="24"/>
        </w:rPr>
        <w:t>C</w:t>
      </w:r>
      <w:r w:rsidR="006014DB" w:rsidRPr="006014DB">
        <w:rPr>
          <w:sz w:val="24"/>
          <w:szCs w:val="24"/>
        </w:rPr>
        <w:t xml:space="preserve">ollection of </w:t>
      </w:r>
      <w:r w:rsidR="000353E8">
        <w:rPr>
          <w:sz w:val="24"/>
          <w:szCs w:val="24"/>
        </w:rPr>
        <w:t>I</w:t>
      </w:r>
      <w:r w:rsidR="006014DB" w:rsidRPr="006014DB">
        <w:rPr>
          <w:sz w:val="24"/>
          <w:szCs w:val="24"/>
        </w:rPr>
        <w:t xml:space="preserve">nformation </w:t>
      </w:r>
      <w:r w:rsidR="000353E8">
        <w:rPr>
          <w:sz w:val="24"/>
          <w:szCs w:val="24"/>
        </w:rPr>
        <w:t>N</w:t>
      </w:r>
      <w:r w:rsidR="006014DB" w:rsidRPr="006014DB">
        <w:rPr>
          <w:sz w:val="24"/>
          <w:szCs w:val="24"/>
        </w:rPr>
        <w:t>ecessary</w:t>
      </w:r>
      <w:bookmarkEnd w:id="6"/>
    </w:p>
    <w:p w14:paraId="0B50207F" w14:textId="77777777" w:rsidR="006014DB" w:rsidRDefault="006014DB" w:rsidP="006014DB"/>
    <w:p w14:paraId="139A975C" w14:textId="44291BD5" w:rsidR="006014DB" w:rsidRDefault="000A140E" w:rsidP="006014DB">
      <w:r>
        <w:t xml:space="preserve">The mission of the Agency for Healthcare Research and Quality (AHRQ) set out in its authorizing legislation, The Healthcare Research and Quality Act of 1999 (see </w:t>
      </w:r>
      <w:r w:rsidR="008573ED"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2CAD5760" w14:textId="77777777" w:rsidR="00606400" w:rsidRDefault="00606400" w:rsidP="00606400">
      <w:pPr>
        <w:tabs>
          <w:tab w:val="left" w:pos="360"/>
        </w:tabs>
      </w:pPr>
      <w:r>
        <w:tab/>
      </w:r>
    </w:p>
    <w:p w14:paraId="10FDC523" w14:textId="77777777" w:rsidR="00606400" w:rsidRDefault="00606400" w:rsidP="00606400">
      <w:pPr>
        <w:tabs>
          <w:tab w:val="left" w:pos="360"/>
        </w:tabs>
        <w:ind w:left="360"/>
      </w:pPr>
      <w:r>
        <w:t>1.</w:t>
      </w:r>
      <w:r>
        <w:tab/>
      </w:r>
      <w:r w:rsidR="000A10BF">
        <w:t>Research</w:t>
      </w:r>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14:paraId="72807939" w14:textId="77777777" w:rsidR="00325B9C" w:rsidRDefault="00325B9C" w:rsidP="00606400">
      <w:pPr>
        <w:tabs>
          <w:tab w:val="left" w:pos="360"/>
        </w:tabs>
        <w:ind w:left="360"/>
      </w:pPr>
    </w:p>
    <w:p w14:paraId="45B771AC" w14:textId="77777777" w:rsidR="00325B9C" w:rsidRDefault="00325B9C" w:rsidP="00606400">
      <w:pPr>
        <w:tabs>
          <w:tab w:val="left" w:pos="360"/>
        </w:tabs>
        <w:ind w:left="360"/>
      </w:pPr>
      <w:r>
        <w:t>2.</w:t>
      </w:r>
      <w:r>
        <w:tab/>
      </w:r>
      <w:r w:rsidR="000A10BF">
        <w:t>The</w:t>
      </w:r>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14:paraId="2990B7F7" w14:textId="77777777" w:rsidR="00B645ED" w:rsidRDefault="00B645ED" w:rsidP="00606400">
      <w:pPr>
        <w:tabs>
          <w:tab w:val="left" w:pos="360"/>
        </w:tabs>
        <w:ind w:left="360"/>
      </w:pPr>
    </w:p>
    <w:p w14:paraId="2FEE4876" w14:textId="77777777" w:rsidR="00B645ED" w:rsidRDefault="00B645ED" w:rsidP="00606400">
      <w:pPr>
        <w:tabs>
          <w:tab w:val="left" w:pos="360"/>
        </w:tabs>
        <w:ind w:left="360"/>
      </w:pPr>
      <w:r>
        <w:t>3.</w:t>
      </w:r>
      <w:r>
        <w:tab/>
      </w:r>
      <w:r w:rsidR="000A10BF">
        <w:t>Initiatives</w:t>
      </w:r>
      <w:r>
        <w:t xml:space="preserve"> to advance private and public efforts to improve health care quality.</w:t>
      </w:r>
    </w:p>
    <w:p w14:paraId="635EA684" w14:textId="77777777" w:rsidR="00B645ED" w:rsidRDefault="00B645ED" w:rsidP="00B645ED">
      <w:pPr>
        <w:tabs>
          <w:tab w:val="left" w:pos="360"/>
        </w:tabs>
      </w:pPr>
    </w:p>
    <w:p w14:paraId="4126F304"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0E45AADC" w14:textId="6E733CD6" w:rsidR="008450C0" w:rsidRDefault="008450C0" w:rsidP="00B645ED">
      <w:pPr>
        <w:tabs>
          <w:tab w:val="left" w:pos="360"/>
        </w:tabs>
      </w:pPr>
    </w:p>
    <w:p w14:paraId="08374D51" w14:textId="7F418019" w:rsidR="00B15004" w:rsidRPr="00C4006D" w:rsidRDefault="00C06C19" w:rsidP="00B15004">
      <w:pPr>
        <w:tabs>
          <w:tab w:val="left" w:pos="360"/>
        </w:tabs>
      </w:pPr>
      <w:r>
        <w:t xml:space="preserve">In line with the </w:t>
      </w:r>
      <w:r w:rsidRPr="00B15004">
        <w:t xml:space="preserve">organization’s goals, AHRQ </w:t>
      </w:r>
      <w:r w:rsidR="001661CA" w:rsidRPr="00B15004">
        <w:t xml:space="preserve">has developed the Registry of Patient Registries (RoPR). </w:t>
      </w:r>
      <w:r w:rsidR="00B15004" w:rsidRPr="00B15004">
        <w:t xml:space="preserve"> By providing a centralized point of collection for information about all patient registries in the United States, the RoPR furthers AHRQ’s goals by enhancing patient registry information, extracted from ClinicalTrials.gov or modeled based on the ClinicalTrials.gov data elements, to further describe the quality, appropriateness, and effectiveness of health services (and patient registries in particular) in a more readily available, central location.</w:t>
      </w:r>
      <w:r w:rsidR="00B15004" w:rsidRPr="001815F9">
        <w:t xml:space="preserve">  </w:t>
      </w:r>
    </w:p>
    <w:p w14:paraId="55F1C298" w14:textId="0FB516CD" w:rsidR="008674E3" w:rsidRDefault="008674E3" w:rsidP="00B645ED">
      <w:pPr>
        <w:tabs>
          <w:tab w:val="left" w:pos="360"/>
        </w:tabs>
      </w:pPr>
    </w:p>
    <w:p w14:paraId="75A1944D" w14:textId="200A9996" w:rsidR="007B54B2" w:rsidRDefault="00B15004" w:rsidP="00B645ED">
      <w:pPr>
        <w:tabs>
          <w:tab w:val="left" w:pos="360"/>
        </w:tabs>
      </w:pPr>
      <w:r>
        <w:t>AHRQ is now proposing the development of the Outcome Measure Repository (OMR), a web-based database intended to house</w:t>
      </w:r>
      <w:r w:rsidR="00992264">
        <w:t xml:space="preserve"> detailed</w:t>
      </w:r>
      <w:r>
        <w:t xml:space="preserve"> information about outcome measures currently used in patient registries.  </w:t>
      </w:r>
      <w:r w:rsidR="005C4567">
        <w:t>This system will</w:t>
      </w:r>
      <w:r w:rsidR="007B54B2">
        <w:t xml:space="preserve"> be linked to RoPR in two key ways.  First, users entering registry inf</w:t>
      </w:r>
      <w:r w:rsidR="005C4567">
        <w:t>ormation in the RoPR system will</w:t>
      </w:r>
      <w:r w:rsidR="007B54B2">
        <w:t xml:space="preserve"> be able to associate OMR measure records with the</w:t>
      </w:r>
      <w:r w:rsidR="005C4567">
        <w:t xml:space="preserve"> RoPR</w:t>
      </w:r>
      <w:r w:rsidR="007B54B2">
        <w:t xml:space="preserve"> registry record</w:t>
      </w:r>
      <w:r w:rsidR="005C4567">
        <w:t>s</w:t>
      </w:r>
      <w:r w:rsidR="007B54B2">
        <w:t xml:space="preserve">.  Second, measure stewards listing a measure record in the OMR system will be able to associate the measure with an </w:t>
      </w:r>
      <w:r w:rsidR="00992264">
        <w:t>existing RoPR patient registry.  Users</w:t>
      </w:r>
      <w:r w:rsidR="00D678CF">
        <w:t xml:space="preserve"> will be able to access both da</w:t>
      </w:r>
      <w:r w:rsidR="005C4567">
        <w:t xml:space="preserve">tabases with a single account (i.e., </w:t>
      </w:r>
      <w:r w:rsidR="00D678CF">
        <w:t>users</w:t>
      </w:r>
      <w:r w:rsidR="00992264">
        <w:t xml:space="preserve"> with a RoPR account will be able to log in/access the OMR usi</w:t>
      </w:r>
      <w:r w:rsidR="005C4567">
        <w:t>ng that account, and vice versa).</w:t>
      </w:r>
    </w:p>
    <w:p w14:paraId="416E21E5" w14:textId="77777777" w:rsidR="00C06C19" w:rsidRDefault="00C06C19" w:rsidP="00B645ED">
      <w:pPr>
        <w:tabs>
          <w:tab w:val="left" w:pos="360"/>
        </w:tabs>
      </w:pPr>
    </w:p>
    <w:p w14:paraId="644F5FC2" w14:textId="16CE9D5D" w:rsidR="00527BBD" w:rsidRDefault="00DE2B4E" w:rsidP="006014DB">
      <w:r>
        <w:t xml:space="preserve">The </w:t>
      </w:r>
      <w:r w:rsidR="000353E8">
        <w:t>OMR d</w:t>
      </w:r>
      <w:r>
        <w:t>atabase system aims to achieve the following objectives:</w:t>
      </w:r>
    </w:p>
    <w:p w14:paraId="6F9C5EEA" w14:textId="5C2AE412" w:rsidR="00161279" w:rsidRPr="005C4567" w:rsidRDefault="00161279" w:rsidP="000B070B">
      <w:pPr>
        <w:pStyle w:val="MediumGrid1-Accent21"/>
        <w:numPr>
          <w:ilvl w:val="0"/>
          <w:numId w:val="45"/>
        </w:numPr>
        <w:spacing w:after="0" w:line="240" w:lineRule="auto"/>
        <w:rPr>
          <w:rFonts w:ascii="Times New Roman" w:hAnsi="Times New Roman"/>
          <w:sz w:val="24"/>
          <w:szCs w:val="24"/>
        </w:rPr>
      </w:pPr>
      <w:r w:rsidRPr="005C4567">
        <w:rPr>
          <w:rFonts w:ascii="Times New Roman" w:hAnsi="Times New Roman"/>
          <w:sz w:val="24"/>
          <w:szCs w:val="24"/>
        </w:rPr>
        <w:t>Provid</w:t>
      </w:r>
      <w:r w:rsidR="00DE2B4E" w:rsidRPr="005C4567">
        <w:rPr>
          <w:rFonts w:ascii="Times New Roman" w:hAnsi="Times New Roman"/>
          <w:sz w:val="24"/>
          <w:szCs w:val="24"/>
        </w:rPr>
        <w:t>e</w:t>
      </w:r>
      <w:r w:rsidR="005C4567" w:rsidRPr="005C4567">
        <w:rPr>
          <w:rFonts w:ascii="Times New Roman" w:hAnsi="Times New Roman"/>
          <w:sz w:val="24"/>
          <w:szCs w:val="24"/>
        </w:rPr>
        <w:t xml:space="preserve"> a searchable database of outcome measures used in </w:t>
      </w:r>
      <w:r w:rsidRPr="005C4567">
        <w:rPr>
          <w:rFonts w:ascii="Times New Roman" w:hAnsi="Times New Roman"/>
          <w:sz w:val="24"/>
          <w:szCs w:val="24"/>
        </w:rPr>
        <w:t>patient registries in the United States (to promote collaboration, reduce redundancy, and improve transparency);</w:t>
      </w:r>
    </w:p>
    <w:p w14:paraId="5CF21EB5" w14:textId="209468B2" w:rsidR="00161279" w:rsidRPr="005C4567" w:rsidRDefault="00DE2B4E" w:rsidP="000B070B">
      <w:pPr>
        <w:pStyle w:val="MediumGrid1-Accent21"/>
        <w:numPr>
          <w:ilvl w:val="0"/>
          <w:numId w:val="45"/>
        </w:numPr>
        <w:spacing w:after="0" w:line="240" w:lineRule="auto"/>
        <w:rPr>
          <w:rFonts w:ascii="Times New Roman" w:hAnsi="Times New Roman"/>
          <w:sz w:val="24"/>
          <w:szCs w:val="24"/>
        </w:rPr>
      </w:pPr>
      <w:r w:rsidRPr="005C4567">
        <w:rPr>
          <w:rFonts w:ascii="Times New Roman" w:hAnsi="Times New Roman"/>
          <w:sz w:val="24"/>
          <w:szCs w:val="24"/>
        </w:rPr>
        <w:t xml:space="preserve">Facilitate </w:t>
      </w:r>
      <w:r w:rsidR="00161279" w:rsidRPr="005C4567">
        <w:rPr>
          <w:rFonts w:ascii="Times New Roman" w:hAnsi="Times New Roman"/>
          <w:sz w:val="24"/>
          <w:szCs w:val="24"/>
        </w:rPr>
        <w:t>the us</w:t>
      </w:r>
      <w:r w:rsidR="005C4567" w:rsidRPr="005C4567">
        <w:rPr>
          <w:rFonts w:ascii="Times New Roman" w:hAnsi="Times New Roman"/>
          <w:sz w:val="24"/>
          <w:szCs w:val="24"/>
        </w:rPr>
        <w:t>e of standardized data elements and outcome measures;</w:t>
      </w:r>
    </w:p>
    <w:p w14:paraId="3C61FF3B" w14:textId="232C5A18" w:rsidR="005C4567" w:rsidRPr="005C4567" w:rsidRDefault="005C4567" w:rsidP="005C4567">
      <w:pPr>
        <w:pStyle w:val="MediumGrid1-Accent21"/>
        <w:numPr>
          <w:ilvl w:val="0"/>
          <w:numId w:val="45"/>
        </w:numPr>
        <w:spacing w:after="0" w:line="240" w:lineRule="auto"/>
        <w:rPr>
          <w:rFonts w:ascii="Times New Roman" w:hAnsi="Times New Roman"/>
          <w:sz w:val="24"/>
          <w:szCs w:val="24"/>
        </w:rPr>
      </w:pPr>
      <w:r w:rsidRPr="005C4567">
        <w:rPr>
          <w:rFonts w:ascii="Times New Roman" w:hAnsi="Times New Roman"/>
          <w:sz w:val="24"/>
          <w:szCs w:val="24"/>
        </w:rPr>
        <w:t>Facilitate the identification of potential areas of harmonization;</w:t>
      </w:r>
    </w:p>
    <w:p w14:paraId="36507AEB" w14:textId="77777777" w:rsidR="005C4567" w:rsidRPr="005C4567" w:rsidRDefault="005C4567" w:rsidP="005C4567">
      <w:pPr>
        <w:pStyle w:val="MediumGrid1-Accent21"/>
        <w:spacing w:after="0" w:line="240" w:lineRule="auto"/>
        <w:ind w:left="360"/>
        <w:rPr>
          <w:rFonts w:ascii="Times New Roman" w:hAnsi="Times New Roman"/>
          <w:color w:val="FF0000"/>
          <w:sz w:val="24"/>
          <w:szCs w:val="24"/>
        </w:rPr>
      </w:pPr>
    </w:p>
    <w:p w14:paraId="0BE2DA04" w14:textId="6DEAE4FE" w:rsidR="00527BBD" w:rsidRDefault="00527BBD" w:rsidP="006014DB">
      <w:r>
        <w:t xml:space="preserve">To achieve the </w:t>
      </w:r>
      <w:r w:rsidR="00EE1A96">
        <w:t xml:space="preserve">three </w:t>
      </w:r>
      <w:r w:rsidR="00CB7686">
        <w:t xml:space="preserve">objectives </w:t>
      </w:r>
      <w:r>
        <w:t>of this project</w:t>
      </w:r>
      <w:r w:rsidR="003D1A4D">
        <w:t>,</w:t>
      </w:r>
      <w:r>
        <w:t xml:space="preserve"> the following data collections will be implemented:</w:t>
      </w:r>
    </w:p>
    <w:p w14:paraId="18D27CFC" w14:textId="0EDC3266" w:rsidR="00161279" w:rsidRDefault="00161279" w:rsidP="00161279">
      <w:pPr>
        <w:numPr>
          <w:ilvl w:val="0"/>
          <w:numId w:val="46"/>
        </w:numPr>
        <w:tabs>
          <w:tab w:val="left" w:pos="360"/>
        </w:tabs>
      </w:pPr>
      <w:r w:rsidRPr="00943B9A">
        <w:t xml:space="preserve">Collect information </w:t>
      </w:r>
      <w:r w:rsidR="00E2570B">
        <w:t xml:space="preserve">on </w:t>
      </w:r>
      <w:r w:rsidR="000353E8">
        <w:t xml:space="preserve">outcome measures </w:t>
      </w:r>
      <w:r w:rsidR="00917EA3">
        <w:t xml:space="preserve">and </w:t>
      </w:r>
      <w:r w:rsidR="00013EB3">
        <w:t xml:space="preserve">related </w:t>
      </w:r>
      <w:r w:rsidR="00917EA3">
        <w:t xml:space="preserve">sub-elements </w:t>
      </w:r>
      <w:r w:rsidR="000353E8">
        <w:t>from measure stewards who</w:t>
      </w:r>
      <w:r w:rsidRPr="00943B9A">
        <w:t xml:space="preserve"> populate the </w:t>
      </w:r>
      <w:r w:rsidR="000353E8">
        <w:t>OMR</w:t>
      </w:r>
      <w:r w:rsidRPr="00943B9A">
        <w:t xml:space="preserve"> database system.</w:t>
      </w:r>
    </w:p>
    <w:p w14:paraId="4E562D16" w14:textId="3BBA0D65" w:rsidR="00DE2B4E" w:rsidRDefault="00DE2B4E" w:rsidP="006014DB"/>
    <w:p w14:paraId="0DA9D169" w14:textId="4C460B0C" w:rsidR="00527BBD" w:rsidRDefault="002A4FA9" w:rsidP="006014DB">
      <w:r>
        <w:t xml:space="preserve">The </w:t>
      </w:r>
      <w:r w:rsidR="000353E8">
        <w:t>new OMR database</w:t>
      </w:r>
      <w:r>
        <w:t xml:space="preserve"> </w:t>
      </w:r>
      <w:r w:rsidR="00CB7686">
        <w:t>is</w:t>
      </w:r>
      <w:r>
        <w:t xml:space="preserve"> being developed</w:t>
      </w:r>
      <w:r w:rsidR="00527BBD" w:rsidRPr="00527BBD">
        <w:t xml:space="preserve"> by AHRQ through its contractor, </w:t>
      </w:r>
      <w:r w:rsidR="00010695">
        <w:t xml:space="preserve">L&amp;M Policy Research and </w:t>
      </w:r>
      <w:r w:rsidR="00BB7871">
        <w:t>subcontractor</w:t>
      </w:r>
      <w:r w:rsidR="001D7AA9">
        <w:t>s</w:t>
      </w:r>
      <w:r w:rsidR="00BB7871">
        <w:t xml:space="preserve"> </w:t>
      </w:r>
      <w:r w:rsidR="00035585">
        <w:t>Truven Health Analytics</w:t>
      </w:r>
      <w:r w:rsidR="00BB7871">
        <w:t>, an IBM Company</w:t>
      </w:r>
      <w:r w:rsidR="00527BBD" w:rsidRPr="00527BBD">
        <w:t xml:space="preserve">, </w:t>
      </w:r>
      <w:r w:rsidR="001D7AA9">
        <w:t xml:space="preserve">and OM1, </w:t>
      </w:r>
      <w:r w:rsidR="00527BBD" w:rsidRPr="00527BBD">
        <w:t>pursuant to AHRQ’s statutory authority to conduct and support research on health</w:t>
      </w:r>
      <w:r w:rsidR="00EE1A96">
        <w:t xml:space="preserve"> </w:t>
      </w:r>
      <w:r w:rsidR="00527BBD" w:rsidRPr="00527BBD">
        <w:t>care and on systems for the delivery of such care, including activities with respect to the</w:t>
      </w:r>
      <w:r w:rsidR="00EE1A96">
        <w:t xml:space="preserve"> outcomes, cost, cost-effectiveness, and use of health care services and access to such services,</w:t>
      </w:r>
      <w:r w:rsidR="00527BBD" w:rsidRPr="00527BBD">
        <w:t xml:space="preserve"> </w:t>
      </w:r>
      <w:r w:rsidR="00527BBD" w:rsidRPr="006A536F">
        <w:t xml:space="preserve">and with respect to </w:t>
      </w:r>
      <w:r w:rsidR="00EE1A96">
        <w:t>health statistics and database development</w:t>
      </w:r>
      <w:r w:rsidR="00527BBD" w:rsidRPr="006A536F">
        <w:t>.  42 U.S.C. 299a(a)(</w:t>
      </w:r>
      <w:r w:rsidR="00EE1A96">
        <w:t>3</w:t>
      </w:r>
      <w:r w:rsidR="00527BBD" w:rsidRPr="006A536F">
        <w:t>) and (</w:t>
      </w:r>
      <w:r w:rsidR="00EE1A96">
        <w:t>8</w:t>
      </w:r>
      <w:r w:rsidR="00527BBD" w:rsidRPr="006A536F">
        <w:t>).</w:t>
      </w:r>
    </w:p>
    <w:p w14:paraId="24D75BA8" w14:textId="02F12174" w:rsidR="009350FF" w:rsidRDefault="009350FF" w:rsidP="006014DB"/>
    <w:p w14:paraId="46D373C6" w14:textId="77777777" w:rsidR="009B633D" w:rsidRPr="00983636" w:rsidRDefault="009B633D" w:rsidP="009B633D">
      <w:pPr>
        <w:pStyle w:val="Heading2"/>
        <w:rPr>
          <w:sz w:val="24"/>
        </w:rPr>
      </w:pPr>
      <w:bookmarkStart w:id="7" w:name="_Toc151782177"/>
      <w:bookmarkStart w:id="8" w:name="_Toc158526217"/>
      <w:bookmarkStart w:id="9" w:name="_Toc496096619"/>
      <w:r w:rsidRPr="00983636">
        <w:rPr>
          <w:sz w:val="24"/>
        </w:rPr>
        <w:t>2. Purpose and Use of Information</w:t>
      </w:r>
      <w:bookmarkEnd w:id="7"/>
      <w:bookmarkEnd w:id="8"/>
      <w:bookmarkEnd w:id="9"/>
    </w:p>
    <w:p w14:paraId="2245FC3E" w14:textId="3622AEB7" w:rsidR="0060485B" w:rsidRDefault="00C37448" w:rsidP="00C37448">
      <w:pPr>
        <w:spacing w:before="100" w:beforeAutospacing="1" w:after="100" w:afterAutospacing="1"/>
        <w:rPr>
          <w:i/>
        </w:rPr>
      </w:pPr>
      <w:r w:rsidRPr="00943B9A">
        <w:t xml:space="preserve">The purpose </w:t>
      </w:r>
      <w:r w:rsidR="0060485B">
        <w:t xml:space="preserve">of the OMR </w:t>
      </w:r>
      <w:r w:rsidRPr="00943B9A">
        <w:t xml:space="preserve">is to </w:t>
      </w:r>
      <w:r>
        <w:t xml:space="preserve">provide </w:t>
      </w:r>
      <w:r w:rsidRPr="00943B9A">
        <w:t>a re</w:t>
      </w:r>
      <w:r>
        <w:t>adily available public resource</w:t>
      </w:r>
      <w:r w:rsidR="00AF5132">
        <w:t xml:space="preserve"> </w:t>
      </w:r>
      <w:r w:rsidR="0060485B">
        <w:t xml:space="preserve">that houses definitions of outcome measures associated with patient registries.  </w:t>
      </w:r>
      <w:r>
        <w:t xml:space="preserve">The information being collected in </w:t>
      </w:r>
      <w:r w:rsidR="0060485B">
        <w:t>each OMR record will be</w:t>
      </w:r>
      <w:r>
        <w:t xml:space="preserve"> visible to the public visiting the </w:t>
      </w:r>
      <w:r w:rsidR="003A745D">
        <w:t>OMR website</w:t>
      </w:r>
      <w:r w:rsidR="0060485B">
        <w:t xml:space="preserve"> and</w:t>
      </w:r>
      <w:r w:rsidR="00AF5132">
        <w:t xml:space="preserve"> readily</w:t>
      </w:r>
      <w:r w:rsidR="00B647AA">
        <w:t xml:space="preserve"> available for public use. </w:t>
      </w:r>
      <w:r w:rsidRPr="00943B9A">
        <w:rPr>
          <w:i/>
        </w:rPr>
        <w:t xml:space="preserve"> </w:t>
      </w:r>
    </w:p>
    <w:p w14:paraId="6748F8AC" w14:textId="56217428" w:rsidR="0060485B" w:rsidRDefault="0060485B" w:rsidP="0060485B">
      <w:bookmarkStart w:id="10" w:name="_Toc151782178"/>
      <w:bookmarkStart w:id="11" w:name="_Toc158526218"/>
      <w:r>
        <w:t>Users of the OMR will primarily fall into two types: those stewarding a registry who will provide information on the data they collect in their registry, and those who will search for information about how a particular type of outcome measure is collected within patient registries.  For the OMR to succeed, the first group of users – registry stewards – must be able to enter information into the system easily and efficiently.  The second group of users – parties interested in seeking information on outcome measures – must be able to find sufficient information efficiently on outcome measures to identify items for use in their own registry or research.  Meeting the needs of both sets of users is an important consideration in the design of the OMR.</w:t>
      </w:r>
    </w:p>
    <w:p w14:paraId="48AADA87" w14:textId="0E096AED" w:rsidR="009B633D" w:rsidRPr="00983636" w:rsidRDefault="000353E8" w:rsidP="009B633D">
      <w:pPr>
        <w:pStyle w:val="Heading2"/>
        <w:rPr>
          <w:sz w:val="24"/>
        </w:rPr>
      </w:pPr>
      <w:r>
        <w:rPr>
          <w:sz w:val="24"/>
        </w:rPr>
        <w:br/>
      </w:r>
      <w:bookmarkStart w:id="12" w:name="_Toc496096620"/>
      <w:r w:rsidR="009B633D" w:rsidRPr="00983636">
        <w:rPr>
          <w:sz w:val="24"/>
        </w:rPr>
        <w:t>3. Use of Improved Information Technology</w:t>
      </w:r>
      <w:bookmarkEnd w:id="10"/>
      <w:bookmarkEnd w:id="11"/>
      <w:bookmarkEnd w:id="12"/>
    </w:p>
    <w:p w14:paraId="63B3C536" w14:textId="0CBD287D" w:rsidR="00D346E1" w:rsidRDefault="00D346E1" w:rsidP="0060485B">
      <w:bookmarkStart w:id="13" w:name="_Toc151782179"/>
      <w:bookmarkStart w:id="14" w:name="_Toc158526219"/>
      <w:r>
        <w:t xml:space="preserve">The </w:t>
      </w:r>
      <w:r w:rsidR="0060485B">
        <w:t>OMR</w:t>
      </w:r>
      <w:r>
        <w:t xml:space="preserve"> </w:t>
      </w:r>
      <w:r w:rsidR="006E4D96">
        <w:t>is</w:t>
      </w:r>
      <w:r>
        <w:t xml:space="preserve"> web-based, and </w:t>
      </w:r>
      <w:r w:rsidR="006E4D96">
        <w:t xml:space="preserve">does </w:t>
      </w:r>
      <w:r>
        <w:t xml:space="preserve">not require users to submit any type of paper forms.  </w:t>
      </w:r>
      <w:r w:rsidR="0060485B">
        <w:t>As the OMR is affiliated with and connected to the existing RoPR system, it will use the same web-based data collection system.  U</w:t>
      </w:r>
      <w:r w:rsidRPr="00190956">
        <w:t xml:space="preserve">sers </w:t>
      </w:r>
      <w:r w:rsidR="0060485B">
        <w:t>will enter</w:t>
      </w:r>
      <w:r w:rsidRPr="00190956">
        <w:t xml:space="preserve"> information into the web-based system manually,</w:t>
      </w:r>
      <w:r w:rsidR="0060485B">
        <w:t xml:space="preserve"> through an </w:t>
      </w:r>
      <w:r w:rsidRPr="00190956">
        <w:t>intuitive and logical ste</w:t>
      </w:r>
      <w:r w:rsidR="0060485B">
        <w:t>p-by-step data entry process.  Whenever applicable, the system allows for users to select from check box, radio button, or dropdown menu options.</w:t>
      </w:r>
      <w:r w:rsidR="000B043F">
        <w:t xml:space="preserve">  The results of information collection will be av</w:t>
      </w:r>
      <w:r w:rsidR="003A745D">
        <w:t>ailable to the public online, via</w:t>
      </w:r>
      <w:r w:rsidR="000B043F">
        <w:t xml:space="preserve"> the OMR website.</w:t>
      </w:r>
    </w:p>
    <w:p w14:paraId="02A1A3F4" w14:textId="77777777" w:rsidR="004668DB" w:rsidRPr="00943B9A" w:rsidRDefault="004668DB" w:rsidP="00D346E1"/>
    <w:p w14:paraId="0E1B7A5F" w14:textId="77777777" w:rsidR="009B633D" w:rsidRDefault="009B633D" w:rsidP="009B633D">
      <w:pPr>
        <w:pStyle w:val="Heading2"/>
        <w:rPr>
          <w:sz w:val="24"/>
        </w:rPr>
      </w:pPr>
      <w:bookmarkStart w:id="15" w:name="_Toc496096621"/>
      <w:r w:rsidRPr="00983636">
        <w:rPr>
          <w:sz w:val="24"/>
        </w:rPr>
        <w:t>4. Efforts to Identify Duplication</w:t>
      </w:r>
      <w:bookmarkEnd w:id="13"/>
      <w:bookmarkEnd w:id="14"/>
      <w:bookmarkEnd w:id="15"/>
    </w:p>
    <w:p w14:paraId="4F3240DE" w14:textId="63A5D201" w:rsidR="00CC1545" w:rsidRDefault="00F518D5" w:rsidP="00CC1545">
      <w:pPr>
        <w:spacing w:after="240"/>
      </w:pPr>
      <w:r>
        <w:t>Patient registry information, including limited information about outcome measures, is collected by</w:t>
      </w:r>
      <w:r w:rsidR="00CC1545">
        <w:t xml:space="preserve"> ClinicalTrials.gov.  However, </w:t>
      </w:r>
      <w:r w:rsidR="00BF32E3">
        <w:t xml:space="preserve">because </w:t>
      </w:r>
      <w:r w:rsidR="00CC1545">
        <w:t>registration in ClinicalTrials.gov is not currently mandated for registries and observational studies, the information that ClinicalTr</w:t>
      </w:r>
      <w:r w:rsidR="00BB7871">
        <w:t>ia</w:t>
      </w:r>
      <w:r w:rsidR="00CC1545">
        <w:t xml:space="preserve">ls.gov collects is not completely sufficient for the </w:t>
      </w:r>
      <w:r w:rsidR="00BF32E3">
        <w:t>needs of users registering information about existing</w:t>
      </w:r>
      <w:r w:rsidR="00CC1545">
        <w:t xml:space="preserve"> patient registries</w:t>
      </w:r>
      <w:r>
        <w:t xml:space="preserve"> and related measures</w:t>
      </w:r>
      <w:r w:rsidR="005B79B5">
        <w:t xml:space="preserve">.  </w:t>
      </w:r>
      <w:r>
        <w:t>For example, the only measure-related fields collected in ClinicalTrials.gov are title, time frame, and description.  The OMR will collect additional details about measures (e.g., precise sub-element definitions, numerators, and denominators) that will better facilitate the identification and adoption of standardized measures across patient registries.</w:t>
      </w:r>
    </w:p>
    <w:p w14:paraId="6198B876" w14:textId="7903BD73" w:rsidR="00BB7871" w:rsidRDefault="00F518D5" w:rsidP="00837A0F">
      <w:pPr>
        <w:spacing w:after="240"/>
      </w:pPr>
      <w:r>
        <w:t xml:space="preserve">The National </w:t>
      </w:r>
      <w:r w:rsidR="004C5F21">
        <w:t>Library of Medicine’s (NLM) Common Data Element (CDE) Repository is an existing resource designed to provide access to structured</w:t>
      </w:r>
      <w:r w:rsidR="00DF37B7">
        <w:t xml:space="preserve"> data element definitions r</w:t>
      </w:r>
      <w:r w:rsidR="00DF37B7" w:rsidRPr="00DF37B7">
        <w:t xml:space="preserve">ecommended by </w:t>
      </w:r>
      <w:r w:rsidR="00DF37B7">
        <w:t>National Institutes of Health (</w:t>
      </w:r>
      <w:r w:rsidR="00DF37B7" w:rsidRPr="00DF37B7">
        <w:t>NIH</w:t>
      </w:r>
      <w:r w:rsidR="00DF37B7">
        <w:t>)</w:t>
      </w:r>
      <w:r w:rsidR="00DF37B7" w:rsidRPr="00DF37B7">
        <w:t xml:space="preserve"> Institutes and Centers and other organizations for use in research</w:t>
      </w:r>
      <w:r w:rsidR="00DF37B7">
        <w:t xml:space="preserve">.  </w:t>
      </w:r>
      <w:r w:rsidR="00C95A3B">
        <w:t xml:space="preserve">Currently, the CDE Repository </w:t>
      </w:r>
      <w:r w:rsidR="001773F6">
        <w:t>includes data elements that may contribute to a measure definition, but does not contain complete measure information.  Distinctly, the OMR will group data elements at a higher level, as components of outcomes measures</w:t>
      </w:r>
      <w:r w:rsidR="00C95A3B">
        <w:t xml:space="preserve">.  </w:t>
      </w:r>
      <w:r w:rsidR="004C5F21">
        <w:t>The OMR design</w:t>
      </w:r>
      <w:r w:rsidR="00837A0F">
        <w:t xml:space="preserve"> and development team will collaborate </w:t>
      </w:r>
      <w:r w:rsidR="004C5F21">
        <w:t xml:space="preserve">with NLM to align the </w:t>
      </w:r>
      <w:r w:rsidR="00837A0F">
        <w:t>OMR and CDE repositories, apply CDE tools and best practices to the OMR, and facilitate the incorporation of OMR records into the CDE resource portal.</w:t>
      </w:r>
      <w:bookmarkStart w:id="16" w:name="_Toc151782180"/>
      <w:bookmarkStart w:id="17" w:name="_Toc158526220"/>
      <w:r w:rsidR="00837A0F">
        <w:br/>
      </w:r>
    </w:p>
    <w:p w14:paraId="723576EE" w14:textId="5642F408" w:rsidR="009B633D" w:rsidRPr="00983636" w:rsidRDefault="009B633D" w:rsidP="009B633D">
      <w:pPr>
        <w:pStyle w:val="Heading2"/>
        <w:rPr>
          <w:sz w:val="24"/>
        </w:rPr>
      </w:pPr>
      <w:bookmarkStart w:id="18" w:name="_Toc496096622"/>
      <w:r w:rsidRPr="00983636">
        <w:rPr>
          <w:sz w:val="24"/>
        </w:rPr>
        <w:t>5. Involvement of Small Entities</w:t>
      </w:r>
      <w:bookmarkEnd w:id="16"/>
      <w:bookmarkEnd w:id="17"/>
      <w:bookmarkEnd w:id="18"/>
    </w:p>
    <w:p w14:paraId="633332FC" w14:textId="371F1B6B" w:rsidR="007A146F" w:rsidRPr="009B1CB4" w:rsidRDefault="00CC1545" w:rsidP="00CC1545">
      <w:pPr>
        <w:spacing w:after="240"/>
      </w:pPr>
      <w:r w:rsidRPr="009B1CB4">
        <w:t xml:space="preserve">While small businesses and </w:t>
      </w:r>
      <w:r>
        <w:t xml:space="preserve">other </w:t>
      </w:r>
      <w:r w:rsidRPr="009B1CB4">
        <w:t xml:space="preserve">small entities may use </w:t>
      </w:r>
      <w:r w:rsidR="000B043F">
        <w:t>the OMR</w:t>
      </w:r>
      <w:r w:rsidRPr="009B1CB4">
        <w:t xml:space="preserve"> to enter information, participation is not compulsory.  </w:t>
      </w:r>
      <w:r>
        <w:t>The informa</w:t>
      </w:r>
      <w:r w:rsidR="000B043F">
        <w:t>tion being requested by the OMR</w:t>
      </w:r>
      <w:r>
        <w:t xml:space="preserve"> </w:t>
      </w:r>
      <w:r w:rsidR="002352DC">
        <w:t>is</w:t>
      </w:r>
      <w:r>
        <w:t xml:space="preserve"> held to the absolute minimum required for the intended use.  It is not expected that smal</w:t>
      </w:r>
      <w:r w:rsidR="00BF324D">
        <w:t xml:space="preserve">l businesses </w:t>
      </w:r>
      <w:r>
        <w:t>need to provide less information than any other business or entit</w:t>
      </w:r>
      <w:r w:rsidR="00C91ACC">
        <w:t>y</w:t>
      </w:r>
      <w:r>
        <w:t xml:space="preserve"> re</w:t>
      </w:r>
      <w:r w:rsidR="000B043F">
        <w:t>gistering a registry in the OMR</w:t>
      </w:r>
      <w:r>
        <w:t xml:space="preserve">.  </w:t>
      </w:r>
      <w:r w:rsidRPr="009B1CB4">
        <w:t>The burden is voluntary</w:t>
      </w:r>
      <w:r>
        <w:t xml:space="preserve"> and minimal</w:t>
      </w:r>
      <w:r w:rsidRPr="009B1CB4">
        <w:t xml:space="preserve">, and therefore should not be taken into consideration.  </w:t>
      </w:r>
      <w:r w:rsidR="00804579">
        <w:br/>
      </w:r>
    </w:p>
    <w:p w14:paraId="3E37E3C9" w14:textId="77777777" w:rsidR="009B633D" w:rsidRPr="00983636" w:rsidRDefault="009B633D" w:rsidP="009B633D">
      <w:pPr>
        <w:pStyle w:val="Heading2"/>
        <w:rPr>
          <w:sz w:val="24"/>
        </w:rPr>
      </w:pPr>
      <w:bookmarkStart w:id="19" w:name="_Toc151782181"/>
      <w:bookmarkStart w:id="20" w:name="_Toc158526221"/>
      <w:bookmarkStart w:id="21" w:name="_Toc496096623"/>
      <w:r w:rsidRPr="00983636">
        <w:rPr>
          <w:sz w:val="24"/>
        </w:rPr>
        <w:t>6. Consequences if Information Collected Less Frequently</w:t>
      </w:r>
      <w:bookmarkEnd w:id="19"/>
      <w:bookmarkEnd w:id="20"/>
      <w:bookmarkEnd w:id="21"/>
    </w:p>
    <w:p w14:paraId="012A61A0" w14:textId="2373D14E" w:rsidR="00CC1545" w:rsidRDefault="00CC1545" w:rsidP="00CC1545">
      <w:pPr>
        <w:spacing w:after="240"/>
      </w:pPr>
      <w:bookmarkStart w:id="22" w:name="_Toc151782182"/>
      <w:bookmarkStart w:id="23" w:name="_Toc158526222"/>
      <w:r>
        <w:t>If the</w:t>
      </w:r>
      <w:r w:rsidR="000353E8">
        <w:t xml:space="preserve"> OMR</w:t>
      </w:r>
      <w:r>
        <w:t xml:space="preserve"> </w:t>
      </w:r>
      <w:r w:rsidR="004668DB">
        <w:t>ceases to</w:t>
      </w:r>
      <w:r w:rsidR="000353E8">
        <w:t xml:space="preserve"> collect the measure </w:t>
      </w:r>
      <w:r>
        <w:t xml:space="preserve">information it is intended to collect, then </w:t>
      </w:r>
      <w:r w:rsidR="000353E8">
        <w:t xml:space="preserve">outcome measure </w:t>
      </w:r>
      <w:r>
        <w:t xml:space="preserve">information will </w:t>
      </w:r>
      <w:r w:rsidR="007A146F">
        <w:t xml:space="preserve">continue to </w:t>
      </w:r>
      <w:r>
        <w:t xml:space="preserve">be stored and accessed as it is currently: in a fragmented and inconsistent way </w:t>
      </w:r>
      <w:r w:rsidR="000353E8">
        <w:t>that</w:t>
      </w:r>
      <w:r>
        <w:t xml:space="preserve"> does not facilitate collaboration among researchers</w:t>
      </w:r>
      <w:r w:rsidR="000353E8">
        <w:t xml:space="preserve"> and other stakeholders,</w:t>
      </w:r>
      <w:r>
        <w:t xml:space="preserve"> reduced redundancy in research, and improved transparency in registry practice.</w:t>
      </w:r>
    </w:p>
    <w:p w14:paraId="2B859499" w14:textId="5725CAA9" w:rsidR="007A146F" w:rsidRPr="007A146F" w:rsidRDefault="00CC1545" w:rsidP="000B043F">
      <w:pPr>
        <w:spacing w:after="240"/>
      </w:pPr>
      <w:r>
        <w:t>Because</w:t>
      </w:r>
      <w:r w:rsidRPr="00032709">
        <w:t xml:space="preserve"> participation in the </w:t>
      </w:r>
      <w:r w:rsidR="000353E8">
        <w:t xml:space="preserve">OMR </w:t>
      </w:r>
      <w:r w:rsidRPr="00032709">
        <w:t xml:space="preserve">is not obligatory, it is possible that collection </w:t>
      </w:r>
      <w:r>
        <w:t xml:space="preserve">from a given entity </w:t>
      </w:r>
      <w:r w:rsidRPr="00032709">
        <w:t>may</w:t>
      </w:r>
      <w:r>
        <w:t xml:space="preserve"> only</w:t>
      </w:r>
      <w:r w:rsidRPr="00032709">
        <w:t xml:space="preserve"> occur once, or less</w:t>
      </w:r>
      <w:r>
        <w:t xml:space="preserve"> </w:t>
      </w:r>
      <w:r w:rsidRPr="00032709">
        <w:t>frequent</w:t>
      </w:r>
      <w:r>
        <w:t>ly</w:t>
      </w:r>
      <w:r w:rsidRPr="00032709">
        <w:t xml:space="preserve"> than recommended.  </w:t>
      </w:r>
      <w:r w:rsidR="000353E8">
        <w:t>Measure stewards</w:t>
      </w:r>
      <w:r w:rsidRPr="00032709">
        <w:t xml:space="preserve"> may choose to only post info</w:t>
      </w:r>
      <w:r w:rsidR="000B043F">
        <w:t xml:space="preserve">rmation regarding an outcome measure </w:t>
      </w:r>
      <w:r w:rsidRPr="00032709">
        <w:t>one time, expecting users to seek them out for updated data.</w:t>
      </w:r>
      <w:r w:rsidR="000353E8">
        <w:br/>
      </w:r>
    </w:p>
    <w:p w14:paraId="3EA2704C" w14:textId="77777777" w:rsidR="009B633D" w:rsidRDefault="009B633D" w:rsidP="009B633D">
      <w:pPr>
        <w:pStyle w:val="Heading2"/>
        <w:rPr>
          <w:sz w:val="24"/>
        </w:rPr>
      </w:pPr>
      <w:bookmarkStart w:id="24" w:name="_Toc496096624"/>
      <w:r w:rsidRPr="00412C6F">
        <w:rPr>
          <w:sz w:val="24"/>
        </w:rPr>
        <w:t>7. Special Circumstances</w:t>
      </w:r>
      <w:bookmarkEnd w:id="22"/>
      <w:bookmarkEnd w:id="23"/>
      <w:bookmarkEnd w:id="24"/>
    </w:p>
    <w:p w14:paraId="78BAEEB8" w14:textId="77777777" w:rsidR="00CC1545" w:rsidRPr="00032709" w:rsidRDefault="00CC1545" w:rsidP="00CC1545">
      <w:pPr>
        <w:spacing w:before="120"/>
      </w:pPr>
      <w:r w:rsidRPr="00032709">
        <w:t>This request is consistent with the general information collection guidelines of 5 CFR 1320.5(d)(2).  No special circumstances apply.</w:t>
      </w:r>
    </w:p>
    <w:p w14:paraId="36650440" w14:textId="77777777" w:rsidR="00CC1545" w:rsidRDefault="00CC1545" w:rsidP="00FB6500">
      <w:pPr>
        <w:rPr>
          <w:i/>
        </w:rPr>
      </w:pPr>
    </w:p>
    <w:p w14:paraId="5C60EB62" w14:textId="77777777" w:rsidR="004E3A1B" w:rsidRDefault="009B633D" w:rsidP="004E3A1B">
      <w:pPr>
        <w:pStyle w:val="Heading2"/>
        <w:rPr>
          <w:sz w:val="24"/>
          <w:szCs w:val="24"/>
        </w:rPr>
      </w:pPr>
      <w:bookmarkStart w:id="25" w:name="_Toc151782183"/>
      <w:bookmarkStart w:id="26" w:name="_Toc158526223"/>
      <w:bookmarkStart w:id="27" w:name="_Toc496096625"/>
      <w:r w:rsidRPr="00412C6F">
        <w:rPr>
          <w:sz w:val="24"/>
        </w:rPr>
        <w:t>8.</w:t>
      </w:r>
      <w:r w:rsidRPr="004E3A1B">
        <w:rPr>
          <w:sz w:val="24"/>
          <w:szCs w:val="24"/>
        </w:rPr>
        <w:t xml:space="preserve"> </w:t>
      </w:r>
      <w:bookmarkEnd w:id="25"/>
      <w:bookmarkEnd w:id="26"/>
      <w:r w:rsidR="004E3A1B" w:rsidRPr="004E3A1B">
        <w:rPr>
          <w:sz w:val="24"/>
          <w:szCs w:val="24"/>
        </w:rPr>
        <w:t>Federal Register Notice and Outside Consultations</w:t>
      </w:r>
      <w:bookmarkEnd w:id="27"/>
    </w:p>
    <w:p w14:paraId="0D32EA2B" w14:textId="77777777" w:rsidR="004E3A1B" w:rsidRDefault="004E3A1B" w:rsidP="004E3A1B"/>
    <w:p w14:paraId="754E25BF" w14:textId="77777777" w:rsidR="00131443" w:rsidRPr="00A73CF0" w:rsidRDefault="004E3A1B" w:rsidP="004E3A1B">
      <w:pPr>
        <w:rPr>
          <w:rFonts w:ascii="Arial" w:hAnsi="Arial" w:cs="Arial"/>
          <w:b/>
          <w:bCs/>
          <w:i/>
          <w:iCs/>
        </w:rPr>
      </w:pPr>
      <w:r w:rsidRPr="00A73CF0">
        <w:rPr>
          <w:rFonts w:ascii="Arial" w:hAnsi="Arial" w:cs="Arial"/>
          <w:b/>
          <w:i/>
        </w:rPr>
        <w:t>8.a.</w:t>
      </w:r>
      <w:r w:rsidRPr="00A73CF0">
        <w:t xml:space="preserve"> </w:t>
      </w:r>
      <w:r w:rsidRPr="00A73CF0">
        <w:rPr>
          <w:rFonts w:ascii="Arial" w:hAnsi="Arial" w:cs="Arial"/>
          <w:b/>
          <w:bCs/>
          <w:i/>
          <w:iCs/>
        </w:rPr>
        <w:t>Federal Register Notice</w:t>
      </w:r>
    </w:p>
    <w:p w14:paraId="0AC24279" w14:textId="14A52D9B" w:rsidR="007C1ECB" w:rsidRPr="00A73CF0" w:rsidRDefault="007C1ECB" w:rsidP="004E3A1B"/>
    <w:p w14:paraId="597CE370" w14:textId="602FC8C4" w:rsidR="00CC1545" w:rsidRPr="00A73CF0" w:rsidRDefault="00A30D9A" w:rsidP="004E3A1B">
      <w:bookmarkStart w:id="28" w:name="OLE_LINK3"/>
      <w:bookmarkStart w:id="29" w:name="OLE_LINK4"/>
      <w:r w:rsidRPr="00A73CF0">
        <w:t xml:space="preserve">As required by </w:t>
      </w:r>
      <w:r w:rsidR="0037771B" w:rsidRPr="00A73CF0">
        <w:t>5 CFR 1320.8(d), n</w:t>
      </w:r>
      <w:r w:rsidR="009374DF" w:rsidRPr="00A73CF0">
        <w:t>otice was published in the Federal Register on</w:t>
      </w:r>
      <w:r w:rsidR="0038246E" w:rsidRPr="00A73CF0">
        <w:t xml:space="preserve"> Page </w:t>
      </w:r>
      <w:r w:rsidR="00A73CF0" w:rsidRPr="00A73CF0">
        <w:t>4053</w:t>
      </w:r>
      <w:r w:rsidR="0038246E" w:rsidRPr="00A73CF0">
        <w:t xml:space="preserve"> of Federal Register</w:t>
      </w:r>
      <w:r w:rsidR="00EA6CF4" w:rsidRPr="00A73CF0">
        <w:t>,</w:t>
      </w:r>
      <w:r w:rsidR="00B205AC" w:rsidRPr="00A73CF0">
        <w:t xml:space="preserve"> </w:t>
      </w:r>
      <w:r w:rsidR="00A73CF0" w:rsidRPr="00A73CF0">
        <w:t>Volume 83, Number 19, Monday, January 29</w:t>
      </w:r>
      <w:r w:rsidR="00B205AC" w:rsidRPr="00A73CF0">
        <w:t>, 201</w:t>
      </w:r>
      <w:r w:rsidR="00A73CF0" w:rsidRPr="00A73CF0">
        <w:t>8</w:t>
      </w:r>
      <w:r w:rsidR="0038246E" w:rsidRPr="00A73CF0">
        <w:t xml:space="preserve"> </w:t>
      </w:r>
      <w:r w:rsidR="009374DF" w:rsidRPr="00A73CF0">
        <w:t>for 60 days</w:t>
      </w:r>
      <w:r w:rsidR="00016560" w:rsidRPr="00A73CF0">
        <w:t xml:space="preserve"> </w:t>
      </w:r>
      <w:r w:rsidR="00620B93" w:rsidRPr="00A73CF0">
        <w:t>(see A</w:t>
      </w:r>
      <w:r w:rsidR="00EE4455" w:rsidRPr="00A73CF0">
        <w:t xml:space="preserve">ttachment </w:t>
      </w:r>
      <w:r w:rsidR="00D621BB" w:rsidRPr="00A73CF0">
        <w:t>A</w:t>
      </w:r>
      <w:r w:rsidR="00016560" w:rsidRPr="00A73CF0">
        <w:t>)</w:t>
      </w:r>
      <w:r w:rsidR="009374DF" w:rsidRPr="00A73CF0">
        <w:t xml:space="preserve">.  </w:t>
      </w:r>
      <w:bookmarkEnd w:id="28"/>
      <w:bookmarkEnd w:id="29"/>
    </w:p>
    <w:p w14:paraId="5BE73DA6" w14:textId="147AF554" w:rsidR="00285A91" w:rsidRPr="00D621BB" w:rsidRDefault="00285A91" w:rsidP="004E3A1B"/>
    <w:p w14:paraId="34C0A6E8" w14:textId="77777777" w:rsidR="009B633D" w:rsidRPr="00412C6F" w:rsidRDefault="004E3A1B" w:rsidP="009B633D">
      <w:pPr>
        <w:pStyle w:val="Heading2"/>
        <w:rPr>
          <w:sz w:val="24"/>
        </w:rPr>
      </w:pPr>
      <w:bookmarkStart w:id="30" w:name="_Toc299288849"/>
      <w:bookmarkStart w:id="31" w:name="_Toc496096626"/>
      <w:r>
        <w:rPr>
          <w:sz w:val="24"/>
        </w:rPr>
        <w:t xml:space="preserve">8.b.  </w:t>
      </w:r>
      <w:r w:rsidRPr="004E3A1B">
        <w:rPr>
          <w:sz w:val="24"/>
          <w:szCs w:val="24"/>
        </w:rPr>
        <w:t>Outside Consultations</w:t>
      </w:r>
      <w:bookmarkEnd w:id="30"/>
      <w:bookmarkEnd w:id="31"/>
    </w:p>
    <w:p w14:paraId="704DB982" w14:textId="6DE8A954" w:rsidR="000B070B" w:rsidRDefault="00712B2C" w:rsidP="00804579">
      <w:pPr>
        <w:spacing w:after="240"/>
      </w:pPr>
      <w:bookmarkStart w:id="32" w:name="_Toc457285506"/>
      <w:bookmarkStart w:id="33" w:name="_Toc58725294"/>
      <w:bookmarkStart w:id="34" w:name="_Toc151782184"/>
      <w:bookmarkStart w:id="35" w:name="_Toc158526224"/>
      <w:r>
        <w:t>The structure of the OMR system is based on the Outcome Measures Framework Information Model Report developed by</w:t>
      </w:r>
      <w:r w:rsidR="00BB7871">
        <w:t xml:space="preserve"> </w:t>
      </w:r>
      <w:r w:rsidR="00CC1545" w:rsidRPr="00E67349">
        <w:t>AHRQ and its contractor</w:t>
      </w:r>
      <w:r>
        <w:t>, L&amp;M Policy Research and subcontractor</w:t>
      </w:r>
      <w:r w:rsidR="001D7AA9">
        <w:t>s</w:t>
      </w:r>
      <w:r>
        <w:t xml:space="preserve"> OM1</w:t>
      </w:r>
      <w:r w:rsidR="001D7AA9">
        <w:t xml:space="preserve"> and Quintiles</w:t>
      </w:r>
      <w:r>
        <w:t xml:space="preserve">.  </w:t>
      </w:r>
      <w:r w:rsidR="00B7512D">
        <w:t>The OMR is also based on the harmonized outcome measures produced through the Outcome Measures Framework harmonization project, conducted by L&amp;M Policy Research and its subcontractors OM1 and Academy</w:t>
      </w:r>
      <w:r w:rsidR="006F7E54">
        <w:t xml:space="preserve"> </w:t>
      </w:r>
      <w:r w:rsidR="00B7512D">
        <w:t xml:space="preserve">Health.  </w:t>
      </w:r>
      <w:r>
        <w:t xml:space="preserve">In constructing this framework and corresponding data definitions, these organizations </w:t>
      </w:r>
      <w:r w:rsidR="00CC1545" w:rsidRPr="00E67349">
        <w:t xml:space="preserve">consulted with </w:t>
      </w:r>
      <w:r>
        <w:t>work groups comprising registry sponsors/developers, policymakers, clinicians, informaticists, patients/caregivers, and representatives from industry, health systems, federal agencies, and relevant non-governmental organizations.</w:t>
      </w:r>
      <w:r w:rsidR="00804579">
        <w:br/>
      </w:r>
    </w:p>
    <w:p w14:paraId="7D09CCFA" w14:textId="0625B998" w:rsidR="0038217D" w:rsidRPr="000B070B" w:rsidRDefault="009B633D" w:rsidP="0038217D">
      <w:pPr>
        <w:pStyle w:val="Heading2"/>
        <w:rPr>
          <w:sz w:val="24"/>
          <w:szCs w:val="24"/>
        </w:rPr>
      </w:pPr>
      <w:bookmarkStart w:id="36" w:name="_Toc496096627"/>
      <w:r w:rsidRPr="000B070B">
        <w:rPr>
          <w:sz w:val="24"/>
          <w:szCs w:val="24"/>
        </w:rPr>
        <w:t>9. Payments/Gifts to Respondents</w:t>
      </w:r>
      <w:bookmarkEnd w:id="32"/>
      <w:bookmarkEnd w:id="33"/>
      <w:bookmarkEnd w:id="34"/>
      <w:bookmarkEnd w:id="35"/>
      <w:bookmarkEnd w:id="36"/>
    </w:p>
    <w:p w14:paraId="4CD8A1AE" w14:textId="2DDAF0CA" w:rsidR="000B070B" w:rsidRDefault="00712B2C" w:rsidP="00804579">
      <w:r>
        <w:t>Participation in the OMR</w:t>
      </w:r>
      <w:r w:rsidR="00CC1545">
        <w:t xml:space="preserve"> </w:t>
      </w:r>
      <w:r w:rsidR="004668DB">
        <w:t>is</w:t>
      </w:r>
      <w:r w:rsidR="00CC1545">
        <w:t xml:space="preserve"> voluntary.  As such, there </w:t>
      </w:r>
      <w:r w:rsidR="007A146F">
        <w:t>is</w:t>
      </w:r>
      <w:r w:rsidR="00CC1545">
        <w:t xml:space="preserve"> no payment or remuneration offered to users for </w:t>
      </w:r>
      <w:r>
        <w:t>entering an outcome measure in the OMR system</w:t>
      </w:r>
      <w:r w:rsidR="00CC1545">
        <w:t>.</w:t>
      </w:r>
      <w:bookmarkStart w:id="37" w:name="_Toc151782185"/>
      <w:bookmarkStart w:id="38" w:name="_Toc158526225"/>
      <w:r w:rsidR="00804579">
        <w:br/>
      </w:r>
    </w:p>
    <w:p w14:paraId="6F3650D1" w14:textId="17CDCA5A" w:rsidR="009B633D" w:rsidRPr="000B070B" w:rsidRDefault="009B633D" w:rsidP="009B633D">
      <w:pPr>
        <w:pStyle w:val="Heading2"/>
        <w:rPr>
          <w:sz w:val="24"/>
          <w:szCs w:val="24"/>
        </w:rPr>
      </w:pPr>
      <w:bookmarkStart w:id="39" w:name="_Toc496096628"/>
      <w:r w:rsidRPr="000B070B">
        <w:rPr>
          <w:sz w:val="24"/>
          <w:szCs w:val="24"/>
        </w:rPr>
        <w:t>10. Assurance of Confidentiality</w:t>
      </w:r>
      <w:bookmarkEnd w:id="37"/>
      <w:bookmarkEnd w:id="38"/>
      <w:bookmarkEnd w:id="39"/>
    </w:p>
    <w:p w14:paraId="6FBEE768" w14:textId="3800FB5A" w:rsidR="00D87085" w:rsidRDefault="00CC1545" w:rsidP="00CC1545">
      <w:pPr>
        <w:autoSpaceDE w:val="0"/>
        <w:autoSpaceDN w:val="0"/>
        <w:adjustRightInd w:val="0"/>
      </w:pPr>
      <w:r w:rsidRPr="008C525E">
        <w:t xml:space="preserve">Individuals and organizations </w:t>
      </w:r>
      <w:r w:rsidR="00BF324D">
        <w:t>are</w:t>
      </w:r>
      <w:r w:rsidRPr="008C525E">
        <w:t xml:space="preserve"> </w:t>
      </w:r>
      <w:r w:rsidR="00D87085">
        <w:t xml:space="preserve">to be </w:t>
      </w:r>
      <w:r w:rsidRPr="008C525E">
        <w:t>assured of the confidentiality of their replies under Section 9</w:t>
      </w:r>
      <w:r>
        <w:t>3</w:t>
      </w:r>
      <w:r w:rsidRPr="008C525E">
        <w:t xml:space="preserve">4(c) of the </w:t>
      </w:r>
      <w:r>
        <w:t>Public Health Service Act, 42 USC 299c-3(c)</w:t>
      </w:r>
      <w:r w:rsidR="00D87085">
        <w:t xml:space="preserve">, which </w:t>
      </w:r>
      <w:r w:rsidR="00D87085" w:rsidRPr="00D87085">
        <w:t>requires that information that is obtained in the course of AHRQ-supported activities and that identifies individuals or establishments be used only for the purpose for which it was supplied</w:t>
      </w:r>
      <w:r w:rsidR="005B79B5">
        <w:t xml:space="preserve">.  </w:t>
      </w:r>
      <w:r w:rsidR="00D87085" w:rsidRPr="00D87085">
        <w:t>Information that is obtained in the course of AHRQ-supported activities and that identifies an individual may be published or released only with the consent of the individual who supplied the information or is described in it</w:t>
      </w:r>
      <w:r>
        <w:t xml:space="preserve">.  </w:t>
      </w:r>
    </w:p>
    <w:p w14:paraId="37F622BF" w14:textId="77777777" w:rsidR="00D87085" w:rsidRDefault="00D87085" w:rsidP="00CC1545">
      <w:pPr>
        <w:autoSpaceDE w:val="0"/>
        <w:autoSpaceDN w:val="0"/>
        <w:adjustRightInd w:val="0"/>
      </w:pPr>
    </w:p>
    <w:p w14:paraId="6E1A5B43" w14:textId="682722D7" w:rsidR="00937C0D" w:rsidRDefault="00981C36" w:rsidP="00CC1545">
      <w:pPr>
        <w:autoSpaceDE w:val="0"/>
        <w:autoSpaceDN w:val="0"/>
        <w:adjustRightInd w:val="0"/>
      </w:pPr>
      <w:r>
        <w:t>When creating an OMR (or RoPR) account,</w:t>
      </w:r>
      <w:r w:rsidR="00937C0D">
        <w:t xml:space="preserve"> users are required to enter an email address associated with the account</w:t>
      </w:r>
      <w:r w:rsidR="005B79B5">
        <w:t xml:space="preserve">.  </w:t>
      </w:r>
      <w:r w:rsidR="00937C0D" w:rsidRPr="00E321CD">
        <w:t>This information is mandatory and is not made public</w:t>
      </w:r>
      <w:r w:rsidR="00937C0D">
        <w:t>.  It is only used for administrative purposes such as communicating information about password updates and resets</w:t>
      </w:r>
      <w:r w:rsidR="005B79B5">
        <w:t xml:space="preserve">.  </w:t>
      </w:r>
      <w:r w:rsidR="00937C0D">
        <w:t>First name, last name, and organization fields are optional.</w:t>
      </w:r>
    </w:p>
    <w:p w14:paraId="0021EFA5" w14:textId="77777777" w:rsidR="00937C0D" w:rsidRDefault="00937C0D" w:rsidP="00CC1545">
      <w:pPr>
        <w:autoSpaceDE w:val="0"/>
        <w:autoSpaceDN w:val="0"/>
        <w:adjustRightInd w:val="0"/>
      </w:pPr>
    </w:p>
    <w:p w14:paraId="78171871" w14:textId="4280615E" w:rsidR="00CC1545" w:rsidRPr="002475EB" w:rsidRDefault="00981C36" w:rsidP="00CC1545">
      <w:pPr>
        <w:autoSpaceDE w:val="0"/>
        <w:autoSpaceDN w:val="0"/>
        <w:adjustRightInd w:val="0"/>
      </w:pPr>
      <w:r>
        <w:t>For each measure</w:t>
      </w:r>
      <w:r w:rsidR="00937C0D">
        <w:t>, t</w:t>
      </w:r>
      <w:r w:rsidR="00D87085" w:rsidRPr="002475EB">
        <w:t>he</w:t>
      </w:r>
      <w:r w:rsidR="00D87085">
        <w:t xml:space="preserve"> </w:t>
      </w:r>
      <w:r>
        <w:t xml:space="preserve">OMR </w:t>
      </w:r>
      <w:r w:rsidR="00D87085">
        <w:t xml:space="preserve">interface collects the e-mail address of the </w:t>
      </w:r>
      <w:r>
        <w:t xml:space="preserve">measure </w:t>
      </w:r>
      <w:r w:rsidR="00D87085">
        <w:t>record owner</w:t>
      </w:r>
      <w:r w:rsidR="00937C0D">
        <w:t>.</w:t>
      </w:r>
      <w:r w:rsidR="005B3796" w:rsidRPr="005B3796">
        <w:rPr>
          <w:color w:val="1F497D"/>
        </w:rPr>
        <w:t xml:space="preserve"> </w:t>
      </w:r>
      <w:r w:rsidR="00937C0D">
        <w:rPr>
          <w:color w:val="1F497D"/>
        </w:rPr>
        <w:t xml:space="preserve"> </w:t>
      </w:r>
      <w:r w:rsidR="005B3796" w:rsidRPr="00E321CD">
        <w:t>This information is mandatory and is not made public</w:t>
      </w:r>
      <w:r w:rsidR="00D87085">
        <w:t xml:space="preserve">.  </w:t>
      </w:r>
      <w:r w:rsidR="004C6501">
        <w:t xml:space="preserve">It is </w:t>
      </w:r>
      <w:r w:rsidR="00D87085">
        <w:t xml:space="preserve">used </w:t>
      </w:r>
      <w:r w:rsidR="004C6501">
        <w:t>only for</w:t>
      </w:r>
      <w:r w:rsidR="00D87085">
        <w:t xml:space="preserve"> periodic </w:t>
      </w:r>
      <w:r w:rsidR="004C6501">
        <w:t>auto-</w:t>
      </w:r>
      <w:r w:rsidR="00D87085">
        <w:t>generation of e-mail</w:t>
      </w:r>
      <w:r w:rsidR="004C6501">
        <w:t xml:space="preserve"> reminder</w:t>
      </w:r>
      <w:r w:rsidR="00D87085">
        <w:t xml:space="preserve">s pertaining to the maintenance of </w:t>
      </w:r>
      <w:r>
        <w:t>outcome measure records</w:t>
      </w:r>
      <w:r w:rsidR="00D87085">
        <w:t xml:space="preserve">.  </w:t>
      </w:r>
      <w:r w:rsidR="005B3796">
        <w:t xml:space="preserve">There is no human administrator </w:t>
      </w:r>
      <w:r w:rsidR="00E321CD">
        <w:t xml:space="preserve">that is </w:t>
      </w:r>
      <w:r w:rsidR="005B3796">
        <w:t xml:space="preserve">pulling this information </w:t>
      </w:r>
      <w:r w:rsidR="00E321CD">
        <w:t xml:space="preserve">for the purpose of </w:t>
      </w:r>
      <w:r w:rsidR="005B3796">
        <w:t>sending out e-mails</w:t>
      </w:r>
      <w:r w:rsidR="005B79B5">
        <w:t xml:space="preserve">.  </w:t>
      </w:r>
      <w:r w:rsidR="004C6501">
        <w:t xml:space="preserve">Therefore, individuals </w:t>
      </w:r>
      <w:r>
        <w:t>contributing to the OMR</w:t>
      </w:r>
      <w:r w:rsidR="004C6501">
        <w:t xml:space="preserve"> are told the purposes for which this information (e</w:t>
      </w:r>
      <w:r w:rsidR="003A3A79">
        <w:t>.g., e-mail) is collected</w:t>
      </w:r>
      <w:r w:rsidR="004C6501">
        <w:t xml:space="preserve">, in accordance with the Privacy Act, not to be used, or disclosed for any other purpose than for </w:t>
      </w:r>
      <w:r>
        <w:t>the OMR</w:t>
      </w:r>
      <w:r w:rsidR="004C6501">
        <w:t xml:space="preserve">.  </w:t>
      </w:r>
      <w:r w:rsidR="00D87085">
        <w:t>To this effect, a</w:t>
      </w:r>
      <w:r w:rsidR="00CC1545">
        <w:t xml:space="preserve"> disclaimer </w:t>
      </w:r>
      <w:r w:rsidR="00D87085">
        <w:t xml:space="preserve">statement </w:t>
      </w:r>
      <w:r w:rsidR="004668DB">
        <w:t>is</w:t>
      </w:r>
      <w:r w:rsidR="00CC1545">
        <w:t xml:space="preserve"> clearly stated within the </w:t>
      </w:r>
      <w:r w:rsidR="00A73CF0">
        <w:t>OMR</w:t>
      </w:r>
      <w:r w:rsidR="00D87085">
        <w:t xml:space="preserve"> </w:t>
      </w:r>
      <w:r w:rsidR="00CC1545">
        <w:t>system</w:t>
      </w:r>
      <w:r w:rsidR="006142CB">
        <w:t xml:space="preserve">: </w:t>
      </w:r>
      <w:r w:rsidR="006142CB" w:rsidRPr="006142CB">
        <w:rPr>
          <w:i/>
        </w:rPr>
        <w:t>“Th</w:t>
      </w:r>
      <w:r>
        <w:rPr>
          <w:i/>
        </w:rPr>
        <w:t>is email will only be used by OMR</w:t>
      </w:r>
      <w:r w:rsidR="006142CB" w:rsidRPr="006142CB">
        <w:rPr>
          <w:i/>
        </w:rPr>
        <w:t xml:space="preserve"> and will not be distributed.”</w:t>
      </w:r>
    </w:p>
    <w:p w14:paraId="0CBDB621" w14:textId="188414AE" w:rsidR="00E516E4" w:rsidRPr="00F64636" w:rsidRDefault="00396089" w:rsidP="00E516E4">
      <w:pPr>
        <w:spacing w:before="100" w:beforeAutospacing="1" w:after="100" w:afterAutospacing="1"/>
      </w:pPr>
      <w:r>
        <w:t>Registration b</w:t>
      </w:r>
      <w:r w:rsidRPr="00396089">
        <w:t xml:space="preserve">urden is reduced by </w:t>
      </w:r>
      <w:r w:rsidR="004D550A">
        <w:t>clearly indicating that the</w:t>
      </w:r>
      <w:r w:rsidRPr="00396089">
        <w:t xml:space="preserve"> submission of</w:t>
      </w:r>
      <w:r w:rsidR="005B3796" w:rsidRPr="00396089">
        <w:t xml:space="preserve"> First Name/Last Name, of the primary contact person </w:t>
      </w:r>
      <w:r w:rsidR="002A13F4">
        <w:t xml:space="preserve">purely voluntary, for the purpose of knowledge exchange between the </w:t>
      </w:r>
      <w:r w:rsidR="00981C36">
        <w:t>measure steward</w:t>
      </w:r>
      <w:r w:rsidR="002A13F4">
        <w:t xml:space="preserve"> and concerned members of the public</w:t>
      </w:r>
      <w:bookmarkStart w:id="40" w:name="_Toc151782186"/>
      <w:bookmarkStart w:id="41" w:name="_Toc158526226"/>
      <w:bookmarkStart w:id="42" w:name="_Toc496096629"/>
      <w:r w:rsidR="00A73CF0">
        <w:t xml:space="preserve"> (</w:t>
      </w:r>
      <w:r w:rsidR="00E516E4">
        <w:t>See Attachmen</w:t>
      </w:r>
      <w:r w:rsidR="00A73CF0">
        <w:t>t C: Privacy Impact Assessment f</w:t>
      </w:r>
      <w:r w:rsidR="00E516E4">
        <w:t>or The</w:t>
      </w:r>
      <w:r w:rsidR="00A73CF0">
        <w:t xml:space="preserve"> Registry of Patient Registries</w:t>
      </w:r>
      <w:r w:rsidR="00E516E4">
        <w:t>)</w:t>
      </w:r>
      <w:r w:rsidR="00A73CF0">
        <w:t>.</w:t>
      </w:r>
      <w:r w:rsidR="00E516E4">
        <w:t xml:space="preserve"> </w:t>
      </w:r>
      <w:r w:rsidR="00E516E4" w:rsidRPr="00F64636">
        <w:rPr>
          <w:i/>
        </w:rPr>
        <w:t xml:space="preserve"> </w:t>
      </w:r>
    </w:p>
    <w:p w14:paraId="25897784" w14:textId="64FAE11C" w:rsidR="009B633D" w:rsidRPr="00412C6F" w:rsidRDefault="009B633D" w:rsidP="009B633D">
      <w:pPr>
        <w:pStyle w:val="Heading2"/>
        <w:rPr>
          <w:sz w:val="24"/>
        </w:rPr>
      </w:pPr>
      <w:r w:rsidRPr="00412C6F">
        <w:rPr>
          <w:sz w:val="24"/>
        </w:rPr>
        <w:t>11. Questions of a Sensitive Nature</w:t>
      </w:r>
      <w:bookmarkEnd w:id="40"/>
      <w:bookmarkEnd w:id="41"/>
      <w:bookmarkEnd w:id="42"/>
    </w:p>
    <w:p w14:paraId="0B98963A" w14:textId="5135C5F2" w:rsidR="00CC1545" w:rsidRPr="00804579" w:rsidRDefault="00CC1545" w:rsidP="00CC1545">
      <w:pPr>
        <w:spacing w:after="240"/>
      </w:pPr>
      <w:bookmarkStart w:id="43" w:name="_Toc151782187"/>
      <w:bookmarkStart w:id="44" w:name="_Toc158526227"/>
      <w:r w:rsidRPr="00E67349">
        <w:t xml:space="preserve">The </w:t>
      </w:r>
      <w:r w:rsidR="005147FC">
        <w:t>OMR</w:t>
      </w:r>
      <w:r w:rsidRPr="00E67349">
        <w:t xml:space="preserve"> </w:t>
      </w:r>
      <w:r w:rsidR="004668DB">
        <w:t>does</w:t>
      </w:r>
      <w:r w:rsidRPr="00E67349">
        <w:t xml:space="preserve"> not collect any information of a sensitive nature</w:t>
      </w:r>
      <w:r>
        <w:t>, or i</w:t>
      </w:r>
      <w:r w:rsidRPr="00E02C8D">
        <w:t>nformation that can directly identify t</w:t>
      </w:r>
      <w:r>
        <w:t xml:space="preserve">he respondent, such as </w:t>
      </w:r>
      <w:r w:rsidR="004668DB">
        <w:t xml:space="preserve">a </w:t>
      </w:r>
      <w:r w:rsidRPr="00E02C8D">
        <w:t>social security number</w:t>
      </w:r>
      <w:r>
        <w:t xml:space="preserve"> or Medicare/Medicaid number.</w:t>
      </w:r>
      <w:r w:rsidR="00804579">
        <w:br/>
      </w:r>
    </w:p>
    <w:p w14:paraId="7D2EA2AA" w14:textId="52FD2CC8" w:rsidR="007F54BD" w:rsidRDefault="009B633D" w:rsidP="000B070B">
      <w:pPr>
        <w:pStyle w:val="Heading2"/>
        <w:rPr>
          <w:rStyle w:val="Strong"/>
        </w:rPr>
      </w:pPr>
      <w:bookmarkStart w:id="45" w:name="_Toc496096630"/>
      <w:r w:rsidRPr="00412C6F">
        <w:rPr>
          <w:sz w:val="24"/>
        </w:rPr>
        <w:t>12. Estimates of Annualized Burden Hours and Costs</w:t>
      </w:r>
      <w:bookmarkEnd w:id="43"/>
      <w:bookmarkEnd w:id="44"/>
      <w:bookmarkEnd w:id="45"/>
    </w:p>
    <w:p w14:paraId="3FA20A88" w14:textId="77777777" w:rsidR="00D540C6" w:rsidRDefault="00FA5EA7" w:rsidP="00A90D10">
      <w:pPr>
        <w:rPr>
          <w:rStyle w:val="Strong"/>
          <w:b w:val="0"/>
        </w:rPr>
      </w:pPr>
      <w:r>
        <w:rPr>
          <w:rStyle w:val="Strong"/>
          <w:b w:val="0"/>
        </w:rPr>
        <w:t xml:space="preserve">Exhibit 1 shows the estimated annualized burden hours for the respondent’s time to </w:t>
      </w:r>
      <w:r w:rsidR="00D540C6">
        <w:rPr>
          <w:rStyle w:val="Strong"/>
          <w:b w:val="0"/>
        </w:rPr>
        <w:t>contribute to the OMR</w:t>
      </w:r>
      <w:r>
        <w:rPr>
          <w:rStyle w:val="Strong"/>
          <w:b w:val="0"/>
        </w:rPr>
        <w:t xml:space="preserve">.   </w:t>
      </w:r>
    </w:p>
    <w:p w14:paraId="624D1157" w14:textId="77777777" w:rsidR="00D540C6" w:rsidRDefault="00D540C6" w:rsidP="00A90D10">
      <w:pPr>
        <w:rPr>
          <w:rStyle w:val="Strong"/>
          <w:b w:val="0"/>
        </w:rPr>
      </w:pPr>
    </w:p>
    <w:p w14:paraId="79175520" w14:textId="2D4AB955" w:rsidR="00D540C6" w:rsidRDefault="00EE1A96" w:rsidP="00A90D10">
      <w:pPr>
        <w:rPr>
          <w:rStyle w:val="Strong"/>
          <w:b w:val="0"/>
        </w:rPr>
      </w:pPr>
      <w:r>
        <w:rPr>
          <w:rStyle w:val="Strong"/>
          <w:b w:val="0"/>
        </w:rPr>
        <w:t>Based on the number of respondents submitting RoPR records in 2016 (65 respondents), i</w:t>
      </w:r>
      <w:r w:rsidR="00D540C6">
        <w:rPr>
          <w:rStyle w:val="Strong"/>
          <w:b w:val="0"/>
        </w:rPr>
        <w:t>t is expected that a similar number of stakeholders (approximately 70 respondents) will provide measure information in the OMR on an annual basis.</w:t>
      </w:r>
    </w:p>
    <w:p w14:paraId="1A2ABEE5" w14:textId="7EEABC84" w:rsidR="00CC1545" w:rsidRDefault="00CC1545" w:rsidP="00CC1545">
      <w:pPr>
        <w:rPr>
          <w:rStyle w:val="Strong"/>
          <w:b w:val="0"/>
        </w:rPr>
      </w:pPr>
    </w:p>
    <w:p w14:paraId="62E58523" w14:textId="5ED7B0F6" w:rsidR="00D916DB" w:rsidRDefault="00D916DB" w:rsidP="00CC1545">
      <w:pPr>
        <w:rPr>
          <w:rStyle w:val="Strong"/>
          <w:b w:val="0"/>
        </w:rPr>
      </w:pPr>
      <w:r>
        <w:rPr>
          <w:rStyle w:val="Strong"/>
          <w:b w:val="0"/>
        </w:rPr>
        <w:t>All users will complete required fields on the “Measure Profile” form.  Some users will also choose to complete the “Sub-Element Profile” form for one or more s</w:t>
      </w:r>
      <w:r w:rsidR="00083E86">
        <w:rPr>
          <w:rStyle w:val="Strong"/>
          <w:b w:val="0"/>
        </w:rPr>
        <w:t xml:space="preserve">ub-elements associated with a given </w:t>
      </w:r>
      <w:r>
        <w:rPr>
          <w:rStyle w:val="Strong"/>
          <w:b w:val="0"/>
        </w:rPr>
        <w:t xml:space="preserve">measure. </w:t>
      </w:r>
      <w:r w:rsidR="00083E86">
        <w:rPr>
          <w:rStyle w:val="Strong"/>
          <w:b w:val="0"/>
        </w:rPr>
        <w:t xml:space="preserve"> </w:t>
      </w:r>
      <w:r>
        <w:rPr>
          <w:rStyle w:val="Strong"/>
          <w:b w:val="0"/>
        </w:rPr>
        <w:t xml:space="preserve">Sub-element information is not required.  </w:t>
      </w:r>
      <w:r w:rsidR="00B81F1E">
        <w:rPr>
          <w:rStyle w:val="Strong"/>
          <w:b w:val="0"/>
        </w:rPr>
        <w:t xml:space="preserve">The number of sub-elements for a given measure is expected to vary widely.  Many users may not provide sub-element information, while others may include five or more.  </w:t>
      </w:r>
      <w:r>
        <w:rPr>
          <w:rStyle w:val="Strong"/>
          <w:b w:val="0"/>
        </w:rPr>
        <w:t>It is expected that on average, measure steward</w:t>
      </w:r>
      <w:r w:rsidR="00B81F1E">
        <w:rPr>
          <w:rStyle w:val="Strong"/>
          <w:b w:val="0"/>
        </w:rPr>
        <w:t>s will enter information for two</w:t>
      </w:r>
      <w:r>
        <w:rPr>
          <w:rStyle w:val="Strong"/>
          <w:b w:val="0"/>
        </w:rPr>
        <w:t xml:space="preserve"> sub-element</w:t>
      </w:r>
      <w:r w:rsidR="00B81F1E">
        <w:rPr>
          <w:rStyle w:val="Strong"/>
          <w:b w:val="0"/>
        </w:rPr>
        <w:t>s.</w:t>
      </w:r>
    </w:p>
    <w:p w14:paraId="130F2958" w14:textId="77777777" w:rsidR="00D916DB" w:rsidRDefault="00D916DB" w:rsidP="00CC1545">
      <w:pPr>
        <w:rPr>
          <w:rStyle w:val="Strong"/>
          <w:b w:val="0"/>
        </w:rPr>
      </w:pPr>
    </w:p>
    <w:p w14:paraId="521B5D13" w14:textId="7D3F2E4D" w:rsidR="009350FF" w:rsidRDefault="00D540C6" w:rsidP="00CC1545">
      <w:pPr>
        <w:rPr>
          <w:rStyle w:val="Strong"/>
          <w:b w:val="0"/>
        </w:rPr>
      </w:pPr>
      <w:r>
        <w:rPr>
          <w:rStyle w:val="Strong"/>
          <w:b w:val="0"/>
        </w:rPr>
        <w:t>In September 2017</w:t>
      </w:r>
      <w:r w:rsidR="007F54BD" w:rsidRPr="007F54BD">
        <w:rPr>
          <w:rStyle w:val="Strong"/>
          <w:b w:val="0"/>
        </w:rPr>
        <w:t xml:space="preserve">, </w:t>
      </w:r>
      <w:r w:rsidR="007D7A7A">
        <w:rPr>
          <w:rStyle w:val="Strong"/>
          <w:b w:val="0"/>
        </w:rPr>
        <w:t xml:space="preserve">Truven Health Analytics </w:t>
      </w:r>
      <w:r>
        <w:rPr>
          <w:rStyle w:val="Strong"/>
          <w:b w:val="0"/>
        </w:rPr>
        <w:t xml:space="preserve">consulted with several stakeholders and </w:t>
      </w:r>
      <w:r w:rsidR="007D7A7A">
        <w:rPr>
          <w:rStyle w:val="Strong"/>
          <w:b w:val="0"/>
        </w:rPr>
        <w:t>used a sample of existing</w:t>
      </w:r>
      <w:r>
        <w:rPr>
          <w:rStyle w:val="Strong"/>
          <w:b w:val="0"/>
        </w:rPr>
        <w:t xml:space="preserve"> measure definitions </w:t>
      </w:r>
      <w:r w:rsidR="009350FF">
        <w:rPr>
          <w:rStyle w:val="Strong"/>
          <w:b w:val="0"/>
        </w:rPr>
        <w:t>to estimate the time</w:t>
      </w:r>
      <w:r w:rsidR="00450EE9">
        <w:rPr>
          <w:rStyle w:val="Strong"/>
          <w:b w:val="0"/>
        </w:rPr>
        <w:t xml:space="preserve"> required</w:t>
      </w:r>
      <w:r w:rsidR="009350FF">
        <w:rPr>
          <w:rStyle w:val="Strong"/>
          <w:b w:val="0"/>
        </w:rPr>
        <w:t xml:space="preserve"> to </w:t>
      </w:r>
      <w:r w:rsidR="004B326E">
        <w:rPr>
          <w:rStyle w:val="Strong"/>
          <w:b w:val="0"/>
        </w:rPr>
        <w:t xml:space="preserve">enter </w:t>
      </w:r>
      <w:r>
        <w:rPr>
          <w:rStyle w:val="Strong"/>
          <w:b w:val="0"/>
        </w:rPr>
        <w:t>all OMR fields</w:t>
      </w:r>
      <w:r w:rsidR="007D7A7A">
        <w:rPr>
          <w:rStyle w:val="Strong"/>
          <w:b w:val="0"/>
        </w:rPr>
        <w:t xml:space="preserve">. </w:t>
      </w:r>
      <w:r w:rsidR="004B326E">
        <w:rPr>
          <w:rStyle w:val="Strong"/>
          <w:b w:val="0"/>
        </w:rPr>
        <w:t xml:space="preserve"> </w:t>
      </w:r>
      <w:r w:rsidR="007D7A7A">
        <w:rPr>
          <w:rStyle w:val="Strong"/>
          <w:b w:val="0"/>
        </w:rPr>
        <w:t xml:space="preserve">The sample included </w:t>
      </w:r>
      <w:r>
        <w:rPr>
          <w:rStyle w:val="Strong"/>
          <w:b w:val="0"/>
        </w:rPr>
        <w:t>measures</w:t>
      </w:r>
      <w:r w:rsidR="007D7A7A">
        <w:rPr>
          <w:rStyle w:val="Strong"/>
          <w:b w:val="0"/>
        </w:rPr>
        <w:t xml:space="preserve"> representing a range of depth and complexity. </w:t>
      </w:r>
      <w:r w:rsidR="004B326E">
        <w:rPr>
          <w:rStyle w:val="Strong"/>
          <w:b w:val="0"/>
        </w:rPr>
        <w:t xml:space="preserve"> </w:t>
      </w:r>
      <w:r w:rsidR="007D7A7A">
        <w:rPr>
          <w:rStyle w:val="Strong"/>
          <w:b w:val="0"/>
        </w:rPr>
        <w:t xml:space="preserve">For example, one </w:t>
      </w:r>
      <w:r>
        <w:rPr>
          <w:rStyle w:val="Strong"/>
          <w:b w:val="0"/>
        </w:rPr>
        <w:t>measure record containe</w:t>
      </w:r>
      <w:r w:rsidR="00EF3455">
        <w:rPr>
          <w:rStyle w:val="Strong"/>
          <w:b w:val="0"/>
        </w:rPr>
        <w:t>d no sub-element information, only required fields, and short responses to open text fields (e.g., title and description)</w:t>
      </w:r>
      <w:r w:rsidR="005B79B5">
        <w:rPr>
          <w:rStyle w:val="Strong"/>
          <w:b w:val="0"/>
        </w:rPr>
        <w:t xml:space="preserve">.  </w:t>
      </w:r>
      <w:r w:rsidR="007D7A7A">
        <w:rPr>
          <w:rStyle w:val="Strong"/>
          <w:b w:val="0"/>
        </w:rPr>
        <w:t xml:space="preserve">Another record </w:t>
      </w:r>
      <w:r w:rsidR="00EF3455">
        <w:rPr>
          <w:rStyle w:val="Strong"/>
          <w:b w:val="0"/>
        </w:rPr>
        <w:t>contained two sub-elements, all optional fields, and longer responses to open text fields.</w:t>
      </w:r>
    </w:p>
    <w:p w14:paraId="093366E6" w14:textId="77777777" w:rsidR="009350FF" w:rsidRDefault="009350FF" w:rsidP="00CC1545">
      <w:pPr>
        <w:rPr>
          <w:rStyle w:val="Strong"/>
          <w:b w:val="0"/>
        </w:rPr>
      </w:pPr>
    </w:p>
    <w:p w14:paraId="38031D18" w14:textId="5032A59D" w:rsidR="00397678" w:rsidRDefault="00CC1545" w:rsidP="00CC1545">
      <w:pPr>
        <w:rPr>
          <w:rStyle w:val="Strong"/>
          <w:b w:val="0"/>
        </w:rPr>
      </w:pPr>
      <w:r w:rsidRPr="007F54BD">
        <w:rPr>
          <w:rStyle w:val="Strong"/>
          <w:b w:val="0"/>
        </w:rPr>
        <w:t>As a result of the knowledge gained during the</w:t>
      </w:r>
      <w:r w:rsidR="00CE673B" w:rsidRPr="007F54BD">
        <w:rPr>
          <w:rStyle w:val="Strong"/>
          <w:b w:val="0"/>
        </w:rPr>
        <w:t>se processes</w:t>
      </w:r>
      <w:r w:rsidRPr="007F54BD">
        <w:rPr>
          <w:rStyle w:val="Strong"/>
          <w:b w:val="0"/>
        </w:rPr>
        <w:t xml:space="preserve">, </w:t>
      </w:r>
      <w:r w:rsidR="00CE673B" w:rsidRPr="007F54BD">
        <w:rPr>
          <w:rStyle w:val="Strong"/>
          <w:b w:val="0"/>
        </w:rPr>
        <w:t xml:space="preserve">it is </w:t>
      </w:r>
      <w:r w:rsidRPr="007F54BD">
        <w:rPr>
          <w:rStyle w:val="Strong"/>
          <w:b w:val="0"/>
        </w:rPr>
        <w:t>estimate</w:t>
      </w:r>
      <w:r w:rsidR="00CE673B" w:rsidRPr="007F54BD">
        <w:rPr>
          <w:rStyle w:val="Strong"/>
          <w:b w:val="0"/>
        </w:rPr>
        <w:t>d</w:t>
      </w:r>
      <w:r w:rsidRPr="007F54BD">
        <w:rPr>
          <w:rStyle w:val="Strong"/>
          <w:b w:val="0"/>
        </w:rPr>
        <w:t xml:space="preserve"> that it </w:t>
      </w:r>
      <w:r w:rsidR="00CB7686">
        <w:rPr>
          <w:rStyle w:val="Strong"/>
          <w:b w:val="0"/>
        </w:rPr>
        <w:t xml:space="preserve">will </w:t>
      </w:r>
      <w:r w:rsidRPr="007F54BD">
        <w:rPr>
          <w:rStyle w:val="Strong"/>
          <w:b w:val="0"/>
        </w:rPr>
        <w:t xml:space="preserve">take users </w:t>
      </w:r>
      <w:r w:rsidR="001C3FD0">
        <w:rPr>
          <w:rStyle w:val="Strong"/>
          <w:b w:val="0"/>
        </w:rPr>
        <w:t>1</w:t>
      </w:r>
      <w:r w:rsidR="00856F51">
        <w:rPr>
          <w:rStyle w:val="Strong"/>
          <w:b w:val="0"/>
        </w:rPr>
        <w:t>6</w:t>
      </w:r>
      <w:r w:rsidR="009350FF">
        <w:rPr>
          <w:rStyle w:val="Strong"/>
          <w:b w:val="0"/>
        </w:rPr>
        <w:t xml:space="preserve"> minutes</w:t>
      </w:r>
      <w:r w:rsidR="00285A91">
        <w:rPr>
          <w:rStyle w:val="Strong"/>
          <w:b w:val="0"/>
        </w:rPr>
        <w:t>,</w:t>
      </w:r>
      <w:r w:rsidR="00285A91" w:rsidRPr="00285A91">
        <w:rPr>
          <w:rStyle w:val="Strong"/>
          <w:b w:val="0"/>
        </w:rPr>
        <w:t xml:space="preserve"> </w:t>
      </w:r>
      <w:r w:rsidR="00285A91" w:rsidRPr="007F54BD">
        <w:rPr>
          <w:rStyle w:val="Strong"/>
          <w:b w:val="0"/>
        </w:rPr>
        <w:t>on average</w:t>
      </w:r>
      <w:r w:rsidR="00285A91">
        <w:rPr>
          <w:rStyle w:val="Strong"/>
          <w:b w:val="0"/>
        </w:rPr>
        <w:t>,</w:t>
      </w:r>
      <w:r w:rsidR="00285A91" w:rsidRPr="007F54BD">
        <w:rPr>
          <w:rStyle w:val="Strong"/>
          <w:b w:val="0"/>
        </w:rPr>
        <w:t xml:space="preserve"> </w:t>
      </w:r>
      <w:r w:rsidRPr="007F54BD">
        <w:rPr>
          <w:rStyle w:val="Strong"/>
          <w:b w:val="0"/>
        </w:rPr>
        <w:t xml:space="preserve">to </w:t>
      </w:r>
      <w:r w:rsidR="009350FF">
        <w:rPr>
          <w:rStyle w:val="Strong"/>
          <w:b w:val="0"/>
        </w:rPr>
        <w:t>manually enter the additional fields</w:t>
      </w:r>
      <w:r w:rsidR="00A90D10">
        <w:rPr>
          <w:rStyle w:val="Strong"/>
          <w:b w:val="0"/>
        </w:rPr>
        <w:t xml:space="preserve"> added through the self-registration process</w:t>
      </w:r>
      <w:r w:rsidR="001C3FD0">
        <w:rPr>
          <w:rStyle w:val="Strong"/>
          <w:b w:val="0"/>
        </w:rPr>
        <w:t xml:space="preserve"> (an average of 12 minutes to complete the Measure Profile </w:t>
      </w:r>
      <w:r w:rsidR="00B81F1E">
        <w:rPr>
          <w:rStyle w:val="Strong"/>
          <w:b w:val="0"/>
        </w:rPr>
        <w:t xml:space="preserve">form and </w:t>
      </w:r>
      <w:r w:rsidR="00856F51">
        <w:rPr>
          <w:rStyle w:val="Strong"/>
          <w:b w:val="0"/>
        </w:rPr>
        <w:t>4</w:t>
      </w:r>
      <w:r w:rsidR="00B81F1E">
        <w:rPr>
          <w:rStyle w:val="Strong"/>
          <w:b w:val="0"/>
        </w:rPr>
        <w:t xml:space="preserve"> minutes to complete </w:t>
      </w:r>
      <w:r w:rsidR="00856F51">
        <w:rPr>
          <w:rStyle w:val="Strong"/>
          <w:b w:val="0"/>
        </w:rPr>
        <w:t xml:space="preserve">two </w:t>
      </w:r>
      <w:r w:rsidR="001C3FD0">
        <w:rPr>
          <w:rStyle w:val="Strong"/>
          <w:b w:val="0"/>
        </w:rPr>
        <w:t xml:space="preserve">Sub-Element Profile </w:t>
      </w:r>
      <w:r w:rsidR="005F4AC3">
        <w:rPr>
          <w:rStyle w:val="Strong"/>
          <w:b w:val="0"/>
        </w:rPr>
        <w:t>sub-</w:t>
      </w:r>
      <w:r w:rsidR="001C3FD0">
        <w:rPr>
          <w:rStyle w:val="Strong"/>
          <w:b w:val="0"/>
        </w:rPr>
        <w:t>form</w:t>
      </w:r>
      <w:r w:rsidR="00856F51">
        <w:rPr>
          <w:rStyle w:val="Strong"/>
          <w:b w:val="0"/>
        </w:rPr>
        <w:t>s</w:t>
      </w:r>
      <w:r w:rsidR="001C3FD0">
        <w:rPr>
          <w:rStyle w:val="Strong"/>
          <w:b w:val="0"/>
        </w:rPr>
        <w:t>).  If 7</w:t>
      </w:r>
      <w:r w:rsidR="00B81F1E">
        <w:rPr>
          <w:rStyle w:val="Strong"/>
          <w:b w:val="0"/>
        </w:rPr>
        <w:t xml:space="preserve">0 respondents complete the Measure Profile form and two Sub-Element Profile </w:t>
      </w:r>
      <w:r w:rsidR="005F4AC3">
        <w:rPr>
          <w:rStyle w:val="Strong"/>
          <w:b w:val="0"/>
        </w:rPr>
        <w:t>sub-</w:t>
      </w:r>
      <w:r w:rsidR="00B81F1E">
        <w:rPr>
          <w:rStyle w:val="Strong"/>
          <w:b w:val="0"/>
        </w:rPr>
        <w:t>forms</w:t>
      </w:r>
      <w:r w:rsidR="001C3FD0">
        <w:rPr>
          <w:rStyle w:val="Strong"/>
          <w:b w:val="0"/>
        </w:rPr>
        <w:t>, the estimat</w:t>
      </w:r>
      <w:r w:rsidR="00B81F1E">
        <w:rPr>
          <w:rStyle w:val="Strong"/>
          <w:b w:val="0"/>
        </w:rPr>
        <w:t xml:space="preserve">ed annualized burden would be </w:t>
      </w:r>
      <w:r w:rsidR="00EC1277">
        <w:rPr>
          <w:rStyle w:val="Strong"/>
          <w:b w:val="0"/>
        </w:rPr>
        <w:t xml:space="preserve">18.7 </w:t>
      </w:r>
      <w:r w:rsidR="001C3FD0">
        <w:rPr>
          <w:rStyle w:val="Strong"/>
          <w:b w:val="0"/>
        </w:rPr>
        <w:t>hours total.</w:t>
      </w:r>
    </w:p>
    <w:p w14:paraId="0BB11921" w14:textId="52CEA295" w:rsidR="00D540C6" w:rsidRDefault="00D540C6">
      <w:pPr>
        <w:rPr>
          <w:b/>
          <w:bCs/>
          <w:color w:val="000000"/>
        </w:rPr>
      </w:pPr>
      <w:bookmarkStart w:id="46" w:name="OLE_LINK1"/>
      <w:bookmarkStart w:id="47" w:name="OLE_LINK2"/>
    </w:p>
    <w:p w14:paraId="5E4E62D4" w14:textId="46DC4788" w:rsidR="0038246E" w:rsidRPr="00CA1D51" w:rsidRDefault="0038246E" w:rsidP="0038246E">
      <w:r w:rsidRPr="00CA1D51">
        <w:rPr>
          <w:b/>
          <w:bCs/>
          <w:color w:val="000000"/>
        </w:rPr>
        <w:t>Exhibit 1.  Estimated annualized burden hours</w:t>
      </w:r>
    </w:p>
    <w:tbl>
      <w:tblPr>
        <w:tblW w:w="0" w:type="auto"/>
        <w:tblCellMar>
          <w:left w:w="0" w:type="dxa"/>
          <w:right w:w="0" w:type="dxa"/>
        </w:tblCellMar>
        <w:tblLook w:val="0000" w:firstRow="0" w:lastRow="0" w:firstColumn="0" w:lastColumn="0" w:noHBand="0" w:noVBand="0"/>
      </w:tblPr>
      <w:tblGrid>
        <w:gridCol w:w="2507"/>
        <w:gridCol w:w="2180"/>
        <w:gridCol w:w="1343"/>
        <w:gridCol w:w="1114"/>
        <w:gridCol w:w="1476"/>
      </w:tblGrid>
      <w:tr w:rsidR="0038246E" w:rsidRPr="00D50897" w14:paraId="57DC7F72" w14:textId="77777777" w:rsidTr="00A73CF0">
        <w:tc>
          <w:tcPr>
            <w:tcW w:w="25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3239E8" w14:textId="77777777" w:rsidR="0038246E" w:rsidRPr="00D50897" w:rsidRDefault="0038246E" w:rsidP="008674E3">
            <w:pPr>
              <w:jc w:val="center"/>
            </w:pPr>
            <w:r w:rsidRPr="00D50897">
              <w:rPr>
                <w:color w:val="000000"/>
              </w:rPr>
              <w:t>Form Name</w:t>
            </w:r>
          </w:p>
        </w:tc>
        <w:tc>
          <w:tcPr>
            <w:tcW w:w="21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E4396C" w14:textId="77777777" w:rsidR="0038246E" w:rsidRPr="00D50897" w:rsidRDefault="0038246E" w:rsidP="008674E3">
            <w:pPr>
              <w:jc w:val="center"/>
            </w:pPr>
            <w:r w:rsidRPr="00D50897">
              <w:rPr>
                <w:color w:val="000000"/>
              </w:rPr>
              <w:t>Number of respondents</w:t>
            </w:r>
          </w:p>
        </w:tc>
        <w:tc>
          <w:tcPr>
            <w:tcW w:w="13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7BAA4B" w14:textId="77777777" w:rsidR="0038246E" w:rsidRPr="00D50897" w:rsidRDefault="0038246E" w:rsidP="008674E3">
            <w:pPr>
              <w:jc w:val="center"/>
            </w:pPr>
            <w:r w:rsidRPr="00D50897">
              <w:t>Number of responses per respondent</w:t>
            </w:r>
          </w:p>
        </w:tc>
        <w:tc>
          <w:tcPr>
            <w:tcW w:w="1114" w:type="dxa"/>
            <w:tcBorders>
              <w:top w:val="single" w:sz="8" w:space="0" w:color="auto"/>
              <w:left w:val="nil"/>
              <w:bottom w:val="single" w:sz="8" w:space="0" w:color="auto"/>
              <w:right w:val="single" w:sz="8" w:space="0" w:color="auto"/>
            </w:tcBorders>
            <w:vAlign w:val="center"/>
          </w:tcPr>
          <w:p w14:paraId="6240E11A" w14:textId="77777777" w:rsidR="0038246E" w:rsidRPr="00D50897" w:rsidRDefault="0038246E" w:rsidP="008674E3">
            <w:pPr>
              <w:jc w:val="center"/>
            </w:pPr>
            <w:r w:rsidRPr="00D50897">
              <w:rPr>
                <w:color w:val="000000"/>
              </w:rPr>
              <w:t>Minutes per response</w:t>
            </w:r>
          </w:p>
        </w:tc>
        <w:tc>
          <w:tcPr>
            <w:tcW w:w="14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0884D3" w14:textId="77777777" w:rsidR="0038246E" w:rsidRPr="00D50897" w:rsidRDefault="0038246E" w:rsidP="008674E3">
            <w:pPr>
              <w:jc w:val="center"/>
            </w:pPr>
            <w:r w:rsidRPr="00D50897">
              <w:rPr>
                <w:color w:val="000000"/>
              </w:rPr>
              <w:t>Total burden hours</w:t>
            </w:r>
          </w:p>
        </w:tc>
      </w:tr>
      <w:tr w:rsidR="0038246E" w:rsidRPr="00D50897" w14:paraId="2FBE5185" w14:textId="77777777" w:rsidTr="00A73CF0">
        <w:tc>
          <w:tcPr>
            <w:tcW w:w="2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122EBA" w14:textId="61FDCEDA" w:rsidR="0038246E" w:rsidRPr="00D50897" w:rsidRDefault="00D540C6" w:rsidP="008674E3">
            <w:r>
              <w:t xml:space="preserve">OMR Measure </w:t>
            </w:r>
            <w:r w:rsidR="001C3FD0">
              <w:t>Profile</w:t>
            </w:r>
            <w:r w:rsidR="00401F3E">
              <w:t xml:space="preserve"> / Sub-Element Profile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976823" w14:textId="7C6D8845" w:rsidR="0038246E" w:rsidRPr="000B070B" w:rsidRDefault="00D916DB" w:rsidP="008674E3">
            <w:pPr>
              <w:jc w:val="center"/>
              <w:rPr>
                <w:highlight w:val="yellow"/>
              </w:rPr>
            </w:pPr>
            <w:r>
              <w:t>70</w:t>
            </w:r>
          </w:p>
        </w:tc>
        <w:tc>
          <w:tcPr>
            <w:tcW w:w="1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830D5C" w14:textId="6E61FE1B" w:rsidR="0038246E" w:rsidRPr="009B6E43" w:rsidRDefault="0038246E" w:rsidP="008674E3">
            <w:pPr>
              <w:jc w:val="center"/>
            </w:pPr>
            <w:r w:rsidRPr="009B6E43">
              <w:t>1</w:t>
            </w:r>
            <w:r w:rsidR="00856F51">
              <w:t xml:space="preserve"> </w:t>
            </w:r>
          </w:p>
        </w:tc>
        <w:tc>
          <w:tcPr>
            <w:tcW w:w="1114" w:type="dxa"/>
            <w:tcBorders>
              <w:top w:val="nil"/>
              <w:left w:val="nil"/>
              <w:bottom w:val="single" w:sz="8" w:space="0" w:color="auto"/>
              <w:right w:val="single" w:sz="8" w:space="0" w:color="auto"/>
            </w:tcBorders>
            <w:shd w:val="clear" w:color="auto" w:fill="auto"/>
          </w:tcPr>
          <w:p w14:paraId="36A46BFF" w14:textId="42086727" w:rsidR="0038246E" w:rsidRPr="009B6E43" w:rsidRDefault="00401F3E" w:rsidP="008674E3">
            <w:pPr>
              <w:jc w:val="center"/>
            </w:pPr>
            <w:r>
              <w:t>16</w:t>
            </w:r>
            <w:r w:rsidR="001C3FD0">
              <w:t>/</w:t>
            </w:r>
            <w:r w:rsidR="0038246E" w:rsidRPr="009B6E43">
              <w:t>60</w:t>
            </w:r>
          </w:p>
        </w:tc>
        <w:tc>
          <w:tcPr>
            <w:tcW w:w="14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CFECDA" w14:textId="576A2B51" w:rsidR="0038246E" w:rsidRPr="000B070B" w:rsidRDefault="00401F3E" w:rsidP="008674E3">
            <w:pPr>
              <w:jc w:val="center"/>
              <w:rPr>
                <w:highlight w:val="yellow"/>
              </w:rPr>
            </w:pPr>
            <w:r>
              <w:t>18.7</w:t>
            </w:r>
          </w:p>
        </w:tc>
      </w:tr>
      <w:tr w:rsidR="0038246E" w:rsidRPr="00D50897" w14:paraId="2A64031D" w14:textId="77777777" w:rsidTr="00A73CF0">
        <w:tc>
          <w:tcPr>
            <w:tcW w:w="25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95E54D" w14:textId="77777777" w:rsidR="0038246E" w:rsidRPr="00D50897" w:rsidRDefault="0038246E" w:rsidP="008674E3">
            <w:r w:rsidRPr="00D50897">
              <w:rPr>
                <w:bCs/>
                <w:color w:val="000000"/>
              </w:rPr>
              <w:t>Total</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8A9E7B" w14:textId="3813107C" w:rsidR="0038246E" w:rsidRPr="000B070B" w:rsidRDefault="001C3FD0">
            <w:pPr>
              <w:jc w:val="center"/>
              <w:rPr>
                <w:highlight w:val="yellow"/>
              </w:rPr>
            </w:pPr>
            <w:r>
              <w:rPr>
                <w:shd w:val="clear" w:color="auto" w:fill="FFFFFF" w:themeFill="background1"/>
              </w:rPr>
              <w:t>70</w:t>
            </w:r>
          </w:p>
        </w:tc>
        <w:tc>
          <w:tcPr>
            <w:tcW w:w="1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EE908D" w14:textId="1F0CAEB3" w:rsidR="0038246E" w:rsidRPr="000B070B" w:rsidRDefault="00856F51" w:rsidP="008674E3">
            <w:pPr>
              <w:jc w:val="center"/>
              <w:rPr>
                <w:highlight w:val="yellow"/>
              </w:rPr>
            </w:pPr>
            <w:r>
              <w:t>1</w:t>
            </w:r>
          </w:p>
        </w:tc>
        <w:tc>
          <w:tcPr>
            <w:tcW w:w="1114" w:type="dxa"/>
            <w:tcBorders>
              <w:top w:val="nil"/>
              <w:left w:val="nil"/>
              <w:bottom w:val="single" w:sz="8" w:space="0" w:color="auto"/>
              <w:right w:val="single" w:sz="8" w:space="0" w:color="auto"/>
            </w:tcBorders>
          </w:tcPr>
          <w:p w14:paraId="492C5015" w14:textId="4496CE90" w:rsidR="0038246E" w:rsidRPr="000B070B" w:rsidRDefault="00EC1277" w:rsidP="008674E3">
            <w:pPr>
              <w:jc w:val="center"/>
              <w:rPr>
                <w:highlight w:val="yellow"/>
              </w:rPr>
            </w:pPr>
            <w:r>
              <w:t>16/60</w:t>
            </w:r>
          </w:p>
        </w:tc>
        <w:tc>
          <w:tcPr>
            <w:tcW w:w="14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090DD2" w14:textId="6B46DB04" w:rsidR="0038246E" w:rsidRPr="000B070B" w:rsidRDefault="00EC1277" w:rsidP="008674E3">
            <w:pPr>
              <w:jc w:val="center"/>
              <w:rPr>
                <w:highlight w:val="yellow"/>
              </w:rPr>
            </w:pPr>
            <w:r>
              <w:t>18.7</w:t>
            </w:r>
          </w:p>
        </w:tc>
      </w:tr>
    </w:tbl>
    <w:p w14:paraId="59D8307F" w14:textId="1521C0F5" w:rsidR="0038246E" w:rsidRPr="00B141F0" w:rsidRDefault="007E7B84" w:rsidP="0038246E">
      <w:r>
        <w:t xml:space="preserve"> </w:t>
      </w:r>
    </w:p>
    <w:p w14:paraId="55C9647B" w14:textId="0350D76D" w:rsidR="0038246E" w:rsidRPr="00B141F0" w:rsidRDefault="0038246E" w:rsidP="0038246E">
      <w:pPr>
        <w:rPr>
          <w:bCs/>
        </w:rPr>
      </w:pPr>
      <w:r w:rsidRPr="00C46D9F">
        <w:rPr>
          <w:bCs/>
        </w:rPr>
        <w:t>Exhibit 2 shows the estimated cost burden associated with the respondent’s time to participate in th</w:t>
      </w:r>
      <w:r w:rsidR="001C3FD0">
        <w:rPr>
          <w:bCs/>
        </w:rPr>
        <w:t>e OMR</w:t>
      </w:r>
      <w:r w:rsidRPr="00C46D9F">
        <w:rPr>
          <w:bCs/>
        </w:rPr>
        <w:t xml:space="preserve">.  The total cost burden to respondents is estimated at an average of </w:t>
      </w:r>
      <w:r w:rsidR="00046981">
        <w:rPr>
          <w:bCs/>
        </w:rPr>
        <w:t>$</w:t>
      </w:r>
      <w:r w:rsidR="00EC1277">
        <w:rPr>
          <w:bCs/>
        </w:rPr>
        <w:t>711.72</w:t>
      </w:r>
      <w:r w:rsidRPr="00C46D9F">
        <w:rPr>
          <w:bCs/>
        </w:rPr>
        <w:t>annually.</w:t>
      </w:r>
    </w:p>
    <w:p w14:paraId="62893596" w14:textId="2C767ACE" w:rsidR="009B6E43" w:rsidRDefault="009B6E43">
      <w:pPr>
        <w:rPr>
          <w:b/>
        </w:rPr>
      </w:pPr>
    </w:p>
    <w:p w14:paraId="42D68791" w14:textId="07299D6E" w:rsidR="0038246E" w:rsidRPr="00CA1D51" w:rsidRDefault="0038246E" w:rsidP="0038246E">
      <w:pPr>
        <w:rPr>
          <w:b/>
        </w:rPr>
      </w:pPr>
      <w:r w:rsidRPr="00CA1D51">
        <w:rPr>
          <w:b/>
        </w:rPr>
        <w:t>Exhibit 2.  Estimated annualized cost burden</w:t>
      </w:r>
    </w:p>
    <w:tbl>
      <w:tblPr>
        <w:tblW w:w="0" w:type="auto"/>
        <w:tblCellMar>
          <w:left w:w="0" w:type="dxa"/>
          <w:right w:w="0" w:type="dxa"/>
        </w:tblCellMar>
        <w:tblLook w:val="0000" w:firstRow="0" w:lastRow="0" w:firstColumn="0" w:lastColumn="0" w:noHBand="0" w:noVBand="0"/>
      </w:tblPr>
      <w:tblGrid>
        <w:gridCol w:w="2060"/>
        <w:gridCol w:w="1363"/>
        <w:gridCol w:w="1921"/>
        <w:gridCol w:w="1959"/>
        <w:gridCol w:w="1520"/>
      </w:tblGrid>
      <w:tr w:rsidR="00C46D9F" w:rsidRPr="00D50897" w14:paraId="5E68152C" w14:textId="77777777" w:rsidTr="00812095">
        <w:tc>
          <w:tcPr>
            <w:tcW w:w="20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1B9DF1" w14:textId="5852086D" w:rsidR="00C46D9F" w:rsidRPr="00D50897" w:rsidRDefault="00C46D9F" w:rsidP="00C46D9F">
            <w:pPr>
              <w:jc w:val="center"/>
            </w:pPr>
            <w:r w:rsidRPr="00D50897">
              <w:rPr>
                <w:color w:val="000000"/>
              </w:rPr>
              <w:t>Form Name</w:t>
            </w:r>
          </w:p>
        </w:tc>
        <w:tc>
          <w:tcPr>
            <w:tcW w:w="1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86FF58" w14:textId="5E1A2466" w:rsidR="00C46D9F" w:rsidRPr="00D50897" w:rsidRDefault="00C46D9F" w:rsidP="00C46D9F">
            <w:pPr>
              <w:jc w:val="center"/>
            </w:pPr>
            <w:r w:rsidRPr="00D50897">
              <w:rPr>
                <w:color w:val="000000"/>
              </w:rPr>
              <w:t>Number of respondents</w:t>
            </w:r>
          </w:p>
        </w:tc>
        <w:tc>
          <w:tcPr>
            <w:tcW w:w="19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FE8FD0" w14:textId="77777777" w:rsidR="00C46D9F" w:rsidRPr="00D50897" w:rsidRDefault="00C46D9F" w:rsidP="00C46D9F">
            <w:pPr>
              <w:jc w:val="center"/>
            </w:pPr>
            <w:r w:rsidRPr="00D50897">
              <w:t>Total burden hours</w:t>
            </w:r>
          </w:p>
        </w:tc>
        <w:tc>
          <w:tcPr>
            <w:tcW w:w="19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DFE4EB" w14:textId="77777777" w:rsidR="00C46D9F" w:rsidRPr="00D50897" w:rsidRDefault="00C46D9F" w:rsidP="00C46D9F">
            <w:pPr>
              <w:jc w:val="center"/>
            </w:pPr>
            <w:r w:rsidRPr="00D50897">
              <w:t>Average hourly wage rate</w:t>
            </w:r>
            <w:r w:rsidRPr="00D50897">
              <w:rPr>
                <w:vertAlign w:val="superscript"/>
              </w:rPr>
              <w:t>†</w:t>
            </w:r>
          </w:p>
        </w:tc>
        <w:tc>
          <w:tcPr>
            <w:tcW w:w="1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5DFAB8" w14:textId="2BF33EFD" w:rsidR="00C46D9F" w:rsidRPr="00D50897" w:rsidRDefault="00C46D9F" w:rsidP="00C46D9F">
            <w:pPr>
              <w:jc w:val="center"/>
            </w:pPr>
            <w:r w:rsidRPr="00D50897">
              <w:t>Total cost burden</w:t>
            </w:r>
          </w:p>
        </w:tc>
      </w:tr>
      <w:tr w:rsidR="001C3FD0" w:rsidRPr="00D50897" w14:paraId="40F281C4" w14:textId="77777777" w:rsidTr="00812095">
        <w:tc>
          <w:tcPr>
            <w:tcW w:w="20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0118E4" w14:textId="7248AD6B" w:rsidR="001C3FD0" w:rsidRPr="00D50897" w:rsidRDefault="001C3FD0" w:rsidP="001C3FD0">
            <w:r>
              <w:t>OMR Measure Profile</w:t>
            </w:r>
            <w:r w:rsidR="00401F3E">
              <w:t xml:space="preserve"> / Sub-Element Profile</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24CFD9" w14:textId="072005BE" w:rsidR="001C3FD0" w:rsidRPr="000B070B" w:rsidRDefault="001C3FD0" w:rsidP="001C3FD0">
            <w:pPr>
              <w:jc w:val="center"/>
              <w:rPr>
                <w:highlight w:val="yellow"/>
              </w:rPr>
            </w:pPr>
            <w:r>
              <w:t>70</w:t>
            </w:r>
          </w:p>
        </w:tc>
        <w:tc>
          <w:tcPr>
            <w:tcW w:w="1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469CAF" w14:textId="4F65104B" w:rsidR="001C3FD0" w:rsidRPr="000B070B" w:rsidRDefault="00401F3E" w:rsidP="001C3FD0">
            <w:pPr>
              <w:jc w:val="center"/>
              <w:rPr>
                <w:highlight w:val="yellow"/>
              </w:rPr>
            </w:pPr>
            <w:r>
              <w:t>18.7</w:t>
            </w:r>
          </w:p>
        </w:tc>
        <w:tc>
          <w:tcPr>
            <w:tcW w:w="1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F5D225" w14:textId="2D8937D3" w:rsidR="001C3FD0" w:rsidRPr="007D7A7A" w:rsidRDefault="001C3FD0" w:rsidP="001C3FD0">
            <w:pPr>
              <w:jc w:val="center"/>
            </w:pPr>
            <w:r w:rsidRPr="007D7A7A">
              <w:t>$</w:t>
            </w:r>
            <w:r w:rsidR="00C42585">
              <w:t>38.06</w:t>
            </w:r>
          </w:p>
        </w:tc>
        <w:tc>
          <w:tcPr>
            <w:tcW w:w="1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8BB6D9" w14:textId="23BE8ABD" w:rsidR="001C3FD0" w:rsidRPr="000B070B" w:rsidRDefault="001C3FD0" w:rsidP="001C3FD0">
            <w:pPr>
              <w:jc w:val="center"/>
              <w:rPr>
                <w:highlight w:val="yellow"/>
              </w:rPr>
            </w:pPr>
            <w:r w:rsidRPr="000B070B">
              <w:t>$</w:t>
            </w:r>
            <w:r w:rsidR="00401F3E">
              <w:t>711.72</w:t>
            </w:r>
          </w:p>
        </w:tc>
      </w:tr>
      <w:tr w:rsidR="00C46D9F" w:rsidRPr="00D50897" w14:paraId="7B067177" w14:textId="77777777" w:rsidTr="00812095">
        <w:tc>
          <w:tcPr>
            <w:tcW w:w="206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14:paraId="54776A49" w14:textId="407A167B" w:rsidR="00C46D9F" w:rsidRPr="00D50897" w:rsidRDefault="00C46D9F" w:rsidP="00C46D9F">
            <w:r w:rsidRPr="00D50897">
              <w:rPr>
                <w:bCs/>
                <w:color w:val="000000"/>
              </w:rPr>
              <w:t>Total</w:t>
            </w:r>
          </w:p>
        </w:tc>
        <w:tc>
          <w:tcPr>
            <w:tcW w:w="1160" w:type="dxa"/>
            <w:tcBorders>
              <w:top w:val="nil"/>
              <w:left w:val="nil"/>
              <w:bottom w:val="nil"/>
              <w:right w:val="single" w:sz="8" w:space="0" w:color="auto"/>
            </w:tcBorders>
            <w:shd w:val="clear" w:color="auto" w:fill="auto"/>
            <w:tcMar>
              <w:top w:w="0" w:type="dxa"/>
              <w:left w:w="108" w:type="dxa"/>
              <w:bottom w:w="0" w:type="dxa"/>
              <w:right w:w="108" w:type="dxa"/>
            </w:tcMar>
          </w:tcPr>
          <w:p w14:paraId="043556DA" w14:textId="392C7211" w:rsidR="00C46D9F" w:rsidRPr="000B070B" w:rsidRDefault="001C3FD0" w:rsidP="00C46D9F">
            <w:pPr>
              <w:jc w:val="center"/>
              <w:rPr>
                <w:highlight w:val="yellow"/>
              </w:rPr>
            </w:pPr>
            <w:r>
              <w:rPr>
                <w:shd w:val="clear" w:color="auto" w:fill="FFFFFF" w:themeFill="background1"/>
              </w:rPr>
              <w:t>70</w:t>
            </w:r>
          </w:p>
        </w:tc>
        <w:tc>
          <w:tcPr>
            <w:tcW w:w="1921" w:type="dxa"/>
            <w:tcBorders>
              <w:top w:val="nil"/>
              <w:left w:val="nil"/>
              <w:bottom w:val="nil"/>
              <w:right w:val="single" w:sz="8" w:space="0" w:color="auto"/>
            </w:tcBorders>
            <w:shd w:val="clear" w:color="auto" w:fill="auto"/>
            <w:tcMar>
              <w:top w:w="0" w:type="dxa"/>
              <w:left w:w="108" w:type="dxa"/>
              <w:bottom w:w="0" w:type="dxa"/>
              <w:right w:w="108" w:type="dxa"/>
            </w:tcMar>
          </w:tcPr>
          <w:p w14:paraId="0D51A4FE" w14:textId="015E1B9C" w:rsidR="00C46D9F" w:rsidRPr="000B070B" w:rsidRDefault="00EC1277" w:rsidP="00C46D9F">
            <w:pPr>
              <w:jc w:val="center"/>
              <w:rPr>
                <w:highlight w:val="yellow"/>
              </w:rPr>
            </w:pPr>
            <w:r>
              <w:t>18.7</w:t>
            </w:r>
          </w:p>
        </w:tc>
        <w:tc>
          <w:tcPr>
            <w:tcW w:w="1959" w:type="dxa"/>
            <w:tcBorders>
              <w:top w:val="nil"/>
              <w:left w:val="nil"/>
              <w:bottom w:val="nil"/>
              <w:right w:val="single" w:sz="8" w:space="0" w:color="auto"/>
            </w:tcBorders>
            <w:shd w:val="clear" w:color="auto" w:fill="auto"/>
            <w:tcMar>
              <w:top w:w="0" w:type="dxa"/>
              <w:left w:w="108" w:type="dxa"/>
              <w:bottom w:w="0" w:type="dxa"/>
              <w:right w:w="108" w:type="dxa"/>
            </w:tcMar>
          </w:tcPr>
          <w:p w14:paraId="103355CE" w14:textId="0E3AB388" w:rsidR="00C46D9F" w:rsidRPr="000B070B" w:rsidRDefault="00C42585" w:rsidP="00C46D9F">
            <w:pPr>
              <w:jc w:val="center"/>
              <w:rPr>
                <w:highlight w:val="yellow"/>
              </w:rPr>
            </w:pPr>
            <w:r w:rsidRPr="007D7A7A">
              <w:t>$</w:t>
            </w:r>
            <w:r>
              <w:t>38.06</w:t>
            </w:r>
          </w:p>
        </w:tc>
        <w:tc>
          <w:tcPr>
            <w:tcW w:w="1520" w:type="dxa"/>
            <w:tcBorders>
              <w:top w:val="nil"/>
              <w:left w:val="nil"/>
              <w:bottom w:val="nil"/>
              <w:right w:val="single" w:sz="8" w:space="0" w:color="auto"/>
            </w:tcBorders>
            <w:shd w:val="clear" w:color="auto" w:fill="auto"/>
            <w:tcMar>
              <w:top w:w="0" w:type="dxa"/>
              <w:left w:w="108" w:type="dxa"/>
              <w:bottom w:w="0" w:type="dxa"/>
              <w:right w:w="108" w:type="dxa"/>
            </w:tcMar>
          </w:tcPr>
          <w:p w14:paraId="1C6F75C9" w14:textId="04C6F12C" w:rsidR="00C46D9F" w:rsidRPr="000B070B" w:rsidRDefault="00B81F1E" w:rsidP="007E7B84">
            <w:pPr>
              <w:jc w:val="center"/>
              <w:rPr>
                <w:highlight w:val="yellow"/>
              </w:rPr>
            </w:pPr>
            <w:r>
              <w:t>$</w:t>
            </w:r>
            <w:r w:rsidR="00EC1277">
              <w:t>711.72</w:t>
            </w:r>
          </w:p>
        </w:tc>
      </w:tr>
      <w:tr w:rsidR="0095239E" w:rsidRPr="00D50897" w14:paraId="3B6851CE" w14:textId="77777777" w:rsidTr="00812095">
        <w:tc>
          <w:tcPr>
            <w:tcW w:w="20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19F55A" w14:textId="77777777" w:rsidR="0095239E" w:rsidRPr="00D50897" w:rsidRDefault="0095239E" w:rsidP="008674E3">
            <w:pPr>
              <w:rPr>
                <w:bCs/>
                <w:color w:val="000000"/>
              </w:rPr>
            </w:pP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E64D6C" w14:textId="77777777" w:rsidR="0095239E" w:rsidRPr="007D7A7A" w:rsidRDefault="0095239E" w:rsidP="008674E3">
            <w:pPr>
              <w:jc w:val="center"/>
              <w:rPr>
                <w:highlight w:val="yellow"/>
              </w:rPr>
            </w:pPr>
          </w:p>
        </w:tc>
        <w:tc>
          <w:tcPr>
            <w:tcW w:w="1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34E5E7" w14:textId="77777777" w:rsidR="0095239E" w:rsidRPr="007D7A7A" w:rsidRDefault="0095239E" w:rsidP="008674E3">
            <w:pPr>
              <w:jc w:val="center"/>
              <w:rPr>
                <w:highlight w:val="yellow"/>
              </w:rPr>
            </w:pPr>
          </w:p>
        </w:tc>
        <w:tc>
          <w:tcPr>
            <w:tcW w:w="1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649533" w14:textId="77777777" w:rsidR="0095239E" w:rsidRPr="007D7A7A" w:rsidRDefault="0095239E" w:rsidP="008674E3">
            <w:pPr>
              <w:jc w:val="center"/>
              <w:rPr>
                <w:highlight w:val="yellow"/>
              </w:rPr>
            </w:pPr>
          </w:p>
        </w:tc>
        <w:tc>
          <w:tcPr>
            <w:tcW w:w="1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BCADE8" w14:textId="77777777" w:rsidR="0095239E" w:rsidRPr="007D7A7A" w:rsidRDefault="0095239E" w:rsidP="008674E3">
            <w:pPr>
              <w:jc w:val="center"/>
              <w:rPr>
                <w:highlight w:val="yellow"/>
              </w:rPr>
            </w:pPr>
          </w:p>
        </w:tc>
      </w:tr>
    </w:tbl>
    <w:p w14:paraId="7728D31A" w14:textId="3E767DD3" w:rsidR="00134A78" w:rsidRPr="001C3FD0" w:rsidRDefault="0038246E" w:rsidP="00134A78">
      <w:pPr>
        <w:rPr>
          <w:b/>
          <w:bCs/>
        </w:rPr>
      </w:pPr>
      <w:r w:rsidRPr="00CA1D51">
        <w:rPr>
          <w:color w:val="000000"/>
          <w:sz w:val="20"/>
          <w:szCs w:val="20"/>
        </w:rPr>
        <w:t xml:space="preserve">* Based on the mean wages for </w:t>
      </w:r>
      <w:r w:rsidRPr="001C3FD0">
        <w:rPr>
          <w:color w:val="000000"/>
          <w:sz w:val="20"/>
          <w:szCs w:val="20"/>
        </w:rPr>
        <w:t xml:space="preserve">Healthcare Practitioners and Technical Occupations, </w:t>
      </w:r>
      <w:r w:rsidRPr="001C3FD0">
        <w:rPr>
          <w:color w:val="333333"/>
          <w:sz w:val="20"/>
          <w:szCs w:val="20"/>
          <w:shd w:val="clear" w:color="auto" w:fill="FFFFFF"/>
        </w:rPr>
        <w:t xml:space="preserve">29-0000.  </w:t>
      </w:r>
      <w:r w:rsidRPr="001C3FD0">
        <w:rPr>
          <w:color w:val="000000"/>
          <w:sz w:val="20"/>
          <w:szCs w:val="20"/>
        </w:rPr>
        <w:t>National Com</w:t>
      </w:r>
      <w:r w:rsidR="00C42585">
        <w:rPr>
          <w:color w:val="000000"/>
          <w:sz w:val="20"/>
          <w:szCs w:val="20"/>
        </w:rPr>
        <w:t>pensation Survey: Occupational W</w:t>
      </w:r>
      <w:r w:rsidRPr="001C3FD0">
        <w:rPr>
          <w:color w:val="000000"/>
          <w:sz w:val="20"/>
          <w:szCs w:val="20"/>
        </w:rPr>
        <w:t>ages in the United States May 201</w:t>
      </w:r>
      <w:r w:rsidR="00C42585">
        <w:rPr>
          <w:color w:val="000000"/>
          <w:sz w:val="20"/>
          <w:szCs w:val="20"/>
        </w:rPr>
        <w:t>6</w:t>
      </w:r>
      <w:r w:rsidRPr="001C3FD0">
        <w:rPr>
          <w:color w:val="000000"/>
          <w:sz w:val="20"/>
          <w:szCs w:val="20"/>
        </w:rPr>
        <w:t xml:space="preserve">, “U.S. Department of Labor, Bureau of Labor Statistics.”  Available at: </w:t>
      </w:r>
      <w:r w:rsidR="007D7A7A" w:rsidRPr="001C3FD0">
        <w:rPr>
          <w:color w:val="000000"/>
          <w:sz w:val="20"/>
          <w:szCs w:val="20"/>
        </w:rPr>
        <w:t>https://www.bls.gov/oes/current/oes290000.htm</w:t>
      </w:r>
      <w:bookmarkEnd w:id="46"/>
      <w:bookmarkEnd w:id="47"/>
    </w:p>
    <w:p w14:paraId="6CDE5CFA" w14:textId="77777777" w:rsidR="0086537F" w:rsidRDefault="0086537F" w:rsidP="00414C80">
      <w:pPr>
        <w:rPr>
          <w:i/>
          <w:color w:val="000000"/>
          <w:sz w:val="20"/>
          <w:szCs w:val="20"/>
        </w:rPr>
      </w:pPr>
    </w:p>
    <w:p w14:paraId="29A1DEAE" w14:textId="77777777" w:rsidR="009B633D" w:rsidRPr="00412C6F" w:rsidRDefault="009B633D" w:rsidP="009B633D">
      <w:pPr>
        <w:pStyle w:val="Heading2"/>
        <w:rPr>
          <w:sz w:val="24"/>
        </w:rPr>
      </w:pPr>
      <w:bookmarkStart w:id="48" w:name="_Toc151782188"/>
      <w:bookmarkStart w:id="49" w:name="_Toc158526228"/>
      <w:bookmarkStart w:id="50" w:name="_Toc299288854"/>
      <w:bookmarkStart w:id="51" w:name="_Toc496096631"/>
      <w:r w:rsidRPr="00412C6F">
        <w:rPr>
          <w:sz w:val="24"/>
        </w:rPr>
        <w:t>13. Estimates of Annualized Respondent Capital and Maintenance Costs</w:t>
      </w:r>
      <w:bookmarkEnd w:id="48"/>
      <w:bookmarkEnd w:id="49"/>
      <w:bookmarkEnd w:id="50"/>
      <w:bookmarkEnd w:id="51"/>
    </w:p>
    <w:p w14:paraId="41E8766D" w14:textId="77777777" w:rsidR="00E14FC3" w:rsidRDefault="00C205C8" w:rsidP="00C205C8">
      <w:pPr>
        <w:spacing w:before="120"/>
      </w:pPr>
      <w:r>
        <w:t>T</w:t>
      </w:r>
      <w:r w:rsidR="0080612B">
        <w:t>here are no direct costs to respondents other than their time to participate in the study.</w:t>
      </w:r>
    </w:p>
    <w:p w14:paraId="0E141CCD" w14:textId="77777777" w:rsidR="00F84044" w:rsidRDefault="00F84044" w:rsidP="00C205C8">
      <w:pPr>
        <w:spacing w:before="120"/>
      </w:pPr>
    </w:p>
    <w:p w14:paraId="34A198D9" w14:textId="30CCDF27" w:rsidR="009B633D" w:rsidRDefault="009B633D" w:rsidP="009B633D">
      <w:pPr>
        <w:pStyle w:val="Heading2"/>
        <w:rPr>
          <w:sz w:val="24"/>
        </w:rPr>
      </w:pPr>
      <w:bookmarkStart w:id="52" w:name="_Toc58725299"/>
      <w:bookmarkStart w:id="53" w:name="_Toc151782189"/>
      <w:bookmarkStart w:id="54" w:name="_Toc158526229"/>
      <w:bookmarkStart w:id="55" w:name="_Toc496096632"/>
      <w:r w:rsidRPr="00412C6F">
        <w:rPr>
          <w:sz w:val="24"/>
        </w:rPr>
        <w:t>14. Estimates of Annualized Cost</w:t>
      </w:r>
      <w:r w:rsidR="008E1F8B">
        <w:rPr>
          <w:sz w:val="24"/>
        </w:rPr>
        <w:t>s</w:t>
      </w:r>
      <w:r w:rsidRPr="00412C6F">
        <w:rPr>
          <w:sz w:val="24"/>
        </w:rPr>
        <w:t xml:space="preserve"> to the </w:t>
      </w:r>
      <w:r w:rsidR="008E1F8B">
        <w:rPr>
          <w:sz w:val="24"/>
        </w:rPr>
        <w:t xml:space="preserve">Federal </w:t>
      </w:r>
      <w:r w:rsidRPr="00412C6F">
        <w:rPr>
          <w:sz w:val="24"/>
        </w:rPr>
        <w:t>Government</w:t>
      </w:r>
      <w:bookmarkEnd w:id="52"/>
      <w:bookmarkEnd w:id="53"/>
      <w:bookmarkEnd w:id="54"/>
      <w:bookmarkEnd w:id="55"/>
    </w:p>
    <w:p w14:paraId="13BFA4F9" w14:textId="77777777" w:rsidR="00971EC4" w:rsidRDefault="00971EC4" w:rsidP="009C7F7B"/>
    <w:p w14:paraId="66599EEF" w14:textId="08AB7EB6" w:rsidR="00724FE6" w:rsidRPr="00FC2D2F" w:rsidRDefault="008E1F8B" w:rsidP="00724FE6">
      <w:r w:rsidRPr="00724FE6">
        <w:t xml:space="preserve">Costs to the federal government </w:t>
      </w:r>
      <w:r w:rsidR="00724FE6" w:rsidRPr="00724FE6">
        <w:t>are those</w:t>
      </w:r>
      <w:r w:rsidR="00724FE6">
        <w:t xml:space="preserve"> costs</w:t>
      </w:r>
      <w:r w:rsidR="00724FE6" w:rsidRPr="00724FE6">
        <w:t xml:space="preserve"> associated with work by AHRQ’s contractor, L&amp;M Policy Research; and L&amp;M’s sub-contractor</w:t>
      </w:r>
      <w:r w:rsidR="00FC2D2F">
        <w:t>s</w:t>
      </w:r>
      <w:r w:rsidR="00724FE6" w:rsidRPr="00724FE6">
        <w:t>, Truven Health Analytics, an IBM Company</w:t>
      </w:r>
      <w:r w:rsidR="00FC2D2F">
        <w:t>, and OM1</w:t>
      </w:r>
      <w:r w:rsidR="001D7AA9">
        <w:t>,</w:t>
      </w:r>
      <w:r w:rsidR="00724FE6">
        <w:t xml:space="preserve"> to develop a prototype of the OMR</w:t>
      </w:r>
      <w:r w:rsidR="003C26F0">
        <w:t xml:space="preserve"> and implement the system within the</w:t>
      </w:r>
      <w:r w:rsidR="00724FE6">
        <w:t xml:space="preserve"> existing RoPR site.  Over a two-year period, the total amount allocated for these tasks is </w:t>
      </w:r>
      <w:r w:rsidR="00FC2D2F">
        <w:t>$1,488,029.00</w:t>
      </w:r>
      <w:r w:rsidR="00724FE6">
        <w:t xml:space="preserve">.  As such, the </w:t>
      </w:r>
      <w:r w:rsidR="00F65927">
        <w:t>estimated</w:t>
      </w:r>
      <w:r w:rsidR="00724FE6">
        <w:t xml:space="preserve"> annualized cost to the federal government is</w:t>
      </w:r>
      <w:r w:rsidR="00FC2D2F" w:rsidRPr="00B81F1E">
        <w:t xml:space="preserve"> $744,014.50.</w:t>
      </w:r>
    </w:p>
    <w:p w14:paraId="6AFE00AA" w14:textId="64EADBE4" w:rsidR="00525A79" w:rsidRDefault="00525A79" w:rsidP="00525A79">
      <w:bookmarkStart w:id="56" w:name="_Toc151782190"/>
      <w:bookmarkStart w:id="57" w:name="_Toc158526230"/>
    </w:p>
    <w:p w14:paraId="4DAAAE0A" w14:textId="09071729" w:rsidR="00612319" w:rsidRPr="00724FE6" w:rsidRDefault="00525A79" w:rsidP="00CF50ED">
      <w:r w:rsidRPr="00724FE6">
        <w:t>Per exhibit 3, the Federal Government Personnel Cost (at approximately 5%, or 104 hours, of an FTE Project Officer, GS 15, Step 5) is estimated at $7,</w:t>
      </w:r>
      <w:r w:rsidR="0023089F" w:rsidRPr="00724FE6">
        <w:t>258.10</w:t>
      </w:r>
      <w:r w:rsidRPr="00724FE6">
        <w:t xml:space="preserve"> on an annual basis.</w:t>
      </w:r>
    </w:p>
    <w:p w14:paraId="0EEC3A24" w14:textId="5E062B4C" w:rsidR="00E71937" w:rsidRPr="00724FE6" w:rsidRDefault="00E71937">
      <w:pPr>
        <w:rPr>
          <w:b/>
        </w:rPr>
      </w:pPr>
    </w:p>
    <w:p w14:paraId="3C6E56B2" w14:textId="55512FB8" w:rsidR="00340431" w:rsidRPr="00724FE6" w:rsidRDefault="00724FE6" w:rsidP="00340431">
      <w:pPr>
        <w:ind w:firstLine="90"/>
        <w:rPr>
          <w:b/>
        </w:rPr>
      </w:pPr>
      <w:r w:rsidRPr="00724FE6">
        <w:rPr>
          <w:b/>
        </w:rPr>
        <w:t>Exhibit 3</w:t>
      </w:r>
      <w:r w:rsidR="00340431" w:rsidRPr="00724FE6">
        <w:rPr>
          <w:b/>
        </w:rPr>
        <w:t>. Federal Government Personnel Cost</w:t>
      </w:r>
    </w:p>
    <w:tbl>
      <w:tblPr>
        <w:tblW w:w="8726" w:type="dxa"/>
        <w:jc w:val="center"/>
        <w:tblLayout w:type="fixed"/>
        <w:tblCellMar>
          <w:left w:w="100" w:type="dxa"/>
          <w:right w:w="100" w:type="dxa"/>
        </w:tblCellMar>
        <w:tblLook w:val="04A0" w:firstRow="1" w:lastRow="0" w:firstColumn="1" w:lastColumn="0" w:noHBand="0" w:noVBand="1"/>
      </w:tblPr>
      <w:tblGrid>
        <w:gridCol w:w="1972"/>
        <w:gridCol w:w="2610"/>
        <w:gridCol w:w="1620"/>
        <w:gridCol w:w="1260"/>
        <w:gridCol w:w="1264"/>
      </w:tblGrid>
      <w:tr w:rsidR="00340431" w:rsidRPr="00724FE6" w14:paraId="67C22D7A" w14:textId="77777777" w:rsidTr="000B070B">
        <w:trPr>
          <w:cantSplit/>
          <w:trHeight w:val="403"/>
          <w:jc w:val="center"/>
        </w:trPr>
        <w:tc>
          <w:tcPr>
            <w:tcW w:w="1972" w:type="dxa"/>
            <w:tcBorders>
              <w:top w:val="single" w:sz="6" w:space="0" w:color="auto"/>
              <w:left w:val="single" w:sz="6" w:space="0" w:color="auto"/>
              <w:bottom w:val="nil"/>
              <w:right w:val="nil"/>
            </w:tcBorders>
          </w:tcPr>
          <w:p w14:paraId="7000D223" w14:textId="77777777" w:rsidR="00340431" w:rsidRPr="00724FE6" w:rsidRDefault="00340431" w:rsidP="008756FE">
            <w:pPr>
              <w:jc w:val="center"/>
              <w:rPr>
                <w:b/>
                <w:bCs/>
              </w:rPr>
            </w:pPr>
            <w:r w:rsidRPr="00724FE6">
              <w:rPr>
                <w:b/>
                <w:bCs/>
              </w:rPr>
              <w:t>Activity</w:t>
            </w:r>
          </w:p>
        </w:tc>
        <w:tc>
          <w:tcPr>
            <w:tcW w:w="2610" w:type="dxa"/>
            <w:tcBorders>
              <w:top w:val="single" w:sz="6" w:space="0" w:color="auto"/>
              <w:left w:val="single" w:sz="6" w:space="0" w:color="auto"/>
              <w:bottom w:val="single" w:sz="6" w:space="0" w:color="auto"/>
              <w:right w:val="nil"/>
            </w:tcBorders>
          </w:tcPr>
          <w:p w14:paraId="6A8A82FF" w14:textId="77777777" w:rsidR="00340431" w:rsidRPr="00724FE6" w:rsidRDefault="00340431" w:rsidP="008756FE">
            <w:pPr>
              <w:jc w:val="center"/>
              <w:rPr>
                <w:b/>
                <w:bCs/>
              </w:rPr>
            </w:pPr>
            <w:r w:rsidRPr="00724FE6">
              <w:rPr>
                <w:b/>
                <w:bCs/>
              </w:rPr>
              <w:t>Federal Personnel</w:t>
            </w:r>
            <w:r w:rsidR="00F86454" w:rsidRPr="00724FE6">
              <w:rPr>
                <w:b/>
                <w:bCs/>
              </w:rPr>
              <w:t>*</w:t>
            </w:r>
          </w:p>
        </w:tc>
        <w:tc>
          <w:tcPr>
            <w:tcW w:w="1620" w:type="dxa"/>
            <w:tcBorders>
              <w:top w:val="single" w:sz="6" w:space="0" w:color="auto"/>
              <w:left w:val="single" w:sz="6" w:space="0" w:color="auto"/>
              <w:bottom w:val="single" w:sz="6" w:space="0" w:color="auto"/>
              <w:right w:val="single" w:sz="6" w:space="0" w:color="auto"/>
            </w:tcBorders>
          </w:tcPr>
          <w:p w14:paraId="5ED05B42" w14:textId="4293B00A" w:rsidR="00340431" w:rsidRPr="00724FE6" w:rsidRDefault="00971EC4" w:rsidP="008756FE">
            <w:pPr>
              <w:jc w:val="center"/>
              <w:rPr>
                <w:b/>
                <w:bCs/>
              </w:rPr>
            </w:pPr>
            <w:r w:rsidRPr="00724FE6">
              <w:rPr>
                <w:b/>
                <w:bCs/>
              </w:rPr>
              <w:t xml:space="preserve">Annual </w:t>
            </w:r>
            <w:r w:rsidR="00340431" w:rsidRPr="00724FE6">
              <w:rPr>
                <w:b/>
                <w:bCs/>
              </w:rPr>
              <w:t>Rate</w:t>
            </w:r>
          </w:p>
        </w:tc>
        <w:tc>
          <w:tcPr>
            <w:tcW w:w="1260" w:type="dxa"/>
            <w:tcBorders>
              <w:top w:val="single" w:sz="6" w:space="0" w:color="auto"/>
              <w:left w:val="single" w:sz="6" w:space="0" w:color="auto"/>
              <w:bottom w:val="single" w:sz="6" w:space="0" w:color="auto"/>
              <w:right w:val="nil"/>
            </w:tcBorders>
          </w:tcPr>
          <w:p w14:paraId="7A49DF05" w14:textId="77777777" w:rsidR="00340431" w:rsidRPr="00724FE6" w:rsidRDefault="00340431" w:rsidP="008756FE">
            <w:pPr>
              <w:jc w:val="center"/>
              <w:rPr>
                <w:b/>
                <w:bCs/>
              </w:rPr>
            </w:pPr>
            <w:r w:rsidRPr="00724FE6">
              <w:rPr>
                <w:b/>
                <w:bCs/>
              </w:rPr>
              <w:t>Estimated Hours</w:t>
            </w:r>
          </w:p>
        </w:tc>
        <w:tc>
          <w:tcPr>
            <w:tcW w:w="1264" w:type="dxa"/>
            <w:tcBorders>
              <w:top w:val="single" w:sz="6" w:space="0" w:color="auto"/>
              <w:left w:val="single" w:sz="6" w:space="0" w:color="auto"/>
              <w:bottom w:val="single" w:sz="6" w:space="0" w:color="auto"/>
              <w:right w:val="single" w:sz="6" w:space="0" w:color="auto"/>
            </w:tcBorders>
          </w:tcPr>
          <w:p w14:paraId="3766E966" w14:textId="0214B398" w:rsidR="00612319" w:rsidRPr="00724FE6" w:rsidRDefault="00612319" w:rsidP="008756FE">
            <w:pPr>
              <w:jc w:val="center"/>
              <w:rPr>
                <w:b/>
                <w:bCs/>
              </w:rPr>
            </w:pPr>
            <w:r w:rsidRPr="00724FE6">
              <w:rPr>
                <w:b/>
                <w:bCs/>
              </w:rPr>
              <w:t>Annual</w:t>
            </w:r>
          </w:p>
          <w:p w14:paraId="7EFDC02B" w14:textId="77777777" w:rsidR="00340431" w:rsidRPr="00724FE6" w:rsidRDefault="00340431" w:rsidP="008756FE">
            <w:pPr>
              <w:jc w:val="center"/>
              <w:rPr>
                <w:b/>
                <w:bCs/>
              </w:rPr>
            </w:pPr>
            <w:r w:rsidRPr="00724FE6">
              <w:rPr>
                <w:b/>
                <w:bCs/>
              </w:rPr>
              <w:t>Cost</w:t>
            </w:r>
          </w:p>
        </w:tc>
      </w:tr>
      <w:tr w:rsidR="00340431" w:rsidRPr="00724FE6" w14:paraId="70DD79B0" w14:textId="77777777" w:rsidTr="000B070B">
        <w:trPr>
          <w:cantSplit/>
          <w:trHeight w:val="403"/>
          <w:jc w:val="center"/>
        </w:trPr>
        <w:tc>
          <w:tcPr>
            <w:tcW w:w="1972" w:type="dxa"/>
            <w:tcBorders>
              <w:top w:val="single" w:sz="6" w:space="0" w:color="auto"/>
              <w:left w:val="single" w:sz="6" w:space="0" w:color="auto"/>
              <w:bottom w:val="nil"/>
              <w:right w:val="nil"/>
            </w:tcBorders>
          </w:tcPr>
          <w:p w14:paraId="1F5784E7" w14:textId="36D53E15" w:rsidR="00340431" w:rsidRPr="00724FE6" w:rsidRDefault="00612319" w:rsidP="008756FE">
            <w:r w:rsidRPr="00724FE6">
              <w:rPr>
                <w:bCs/>
              </w:rPr>
              <w:t xml:space="preserve">Project Oversight  </w:t>
            </w:r>
          </w:p>
        </w:tc>
        <w:tc>
          <w:tcPr>
            <w:tcW w:w="2610" w:type="dxa"/>
            <w:tcBorders>
              <w:top w:val="single" w:sz="6" w:space="0" w:color="auto"/>
              <w:left w:val="single" w:sz="6" w:space="0" w:color="auto"/>
              <w:bottom w:val="single" w:sz="6" w:space="0" w:color="auto"/>
              <w:right w:val="nil"/>
            </w:tcBorders>
          </w:tcPr>
          <w:p w14:paraId="7B9254C0" w14:textId="0F01B280" w:rsidR="00340431" w:rsidRPr="00724FE6" w:rsidRDefault="00612319" w:rsidP="009C7F7B">
            <w:r w:rsidRPr="00724FE6">
              <w:t>P</w:t>
            </w:r>
            <w:r w:rsidR="00971EC4" w:rsidRPr="00724FE6">
              <w:t>roject Officer, GS 15, Step 5</w:t>
            </w:r>
          </w:p>
        </w:tc>
        <w:tc>
          <w:tcPr>
            <w:tcW w:w="1620" w:type="dxa"/>
            <w:tcBorders>
              <w:top w:val="single" w:sz="6" w:space="0" w:color="auto"/>
              <w:left w:val="single" w:sz="6" w:space="0" w:color="auto"/>
              <w:bottom w:val="single" w:sz="6" w:space="0" w:color="auto"/>
              <w:right w:val="single" w:sz="6" w:space="0" w:color="auto"/>
            </w:tcBorders>
          </w:tcPr>
          <w:p w14:paraId="37CA4ADA" w14:textId="2DB7FD32" w:rsidR="00340431" w:rsidRPr="00724FE6" w:rsidRDefault="00971EC4" w:rsidP="008756FE">
            <w:pPr>
              <w:jc w:val="center"/>
            </w:pPr>
            <w:r w:rsidRPr="00724FE6">
              <w:t>$</w:t>
            </w:r>
            <w:r w:rsidR="007D7A7A" w:rsidRPr="00724FE6">
              <w:t>145,162</w:t>
            </w:r>
          </w:p>
        </w:tc>
        <w:tc>
          <w:tcPr>
            <w:tcW w:w="1260" w:type="dxa"/>
            <w:tcBorders>
              <w:top w:val="single" w:sz="6" w:space="0" w:color="auto"/>
              <w:left w:val="single" w:sz="6" w:space="0" w:color="auto"/>
              <w:bottom w:val="single" w:sz="6" w:space="0" w:color="auto"/>
              <w:right w:val="nil"/>
            </w:tcBorders>
          </w:tcPr>
          <w:p w14:paraId="66A665D5" w14:textId="6F4C1C3E" w:rsidR="00340431" w:rsidRPr="00724FE6" w:rsidRDefault="00340431">
            <w:pPr>
              <w:jc w:val="center"/>
            </w:pPr>
            <w:r w:rsidRPr="00724FE6">
              <w:t xml:space="preserve"> </w:t>
            </w:r>
            <w:r w:rsidR="00971EC4" w:rsidRPr="00724FE6">
              <w:t>104</w:t>
            </w:r>
          </w:p>
        </w:tc>
        <w:tc>
          <w:tcPr>
            <w:tcW w:w="1264" w:type="dxa"/>
            <w:tcBorders>
              <w:top w:val="single" w:sz="6" w:space="0" w:color="auto"/>
              <w:left w:val="single" w:sz="6" w:space="0" w:color="auto"/>
              <w:bottom w:val="single" w:sz="6" w:space="0" w:color="auto"/>
              <w:right w:val="single" w:sz="6" w:space="0" w:color="auto"/>
            </w:tcBorders>
          </w:tcPr>
          <w:p w14:paraId="189D9803" w14:textId="067920F0" w:rsidR="00340431" w:rsidRPr="00724FE6" w:rsidRDefault="00612319" w:rsidP="008756FE">
            <w:pPr>
              <w:jc w:val="center"/>
            </w:pPr>
            <w:r w:rsidRPr="00724FE6">
              <w:t>$7,</w:t>
            </w:r>
            <w:r w:rsidR="0023089F" w:rsidRPr="00724FE6">
              <w:t>258.10</w:t>
            </w:r>
          </w:p>
        </w:tc>
      </w:tr>
      <w:tr w:rsidR="00340431" w:rsidRPr="00525A79" w14:paraId="303A7DBB" w14:textId="77777777" w:rsidTr="000B070B">
        <w:trPr>
          <w:cantSplit/>
          <w:trHeight w:val="403"/>
          <w:jc w:val="center"/>
        </w:trPr>
        <w:tc>
          <w:tcPr>
            <w:tcW w:w="7462" w:type="dxa"/>
            <w:gridSpan w:val="4"/>
            <w:tcBorders>
              <w:top w:val="single" w:sz="6" w:space="0" w:color="auto"/>
              <w:left w:val="single" w:sz="6" w:space="0" w:color="auto"/>
              <w:bottom w:val="single" w:sz="6" w:space="0" w:color="auto"/>
              <w:right w:val="nil"/>
            </w:tcBorders>
            <w:hideMark/>
          </w:tcPr>
          <w:p w14:paraId="18930BD6" w14:textId="77777777" w:rsidR="00340431" w:rsidRPr="00724FE6" w:rsidRDefault="00340431" w:rsidP="008756FE">
            <w:pPr>
              <w:rPr>
                <w:b/>
                <w:bCs/>
              </w:rPr>
            </w:pPr>
            <w:r w:rsidRPr="00724FE6">
              <w:rPr>
                <w:b/>
                <w:bCs/>
              </w:rPr>
              <w:t>Total</w:t>
            </w:r>
          </w:p>
        </w:tc>
        <w:tc>
          <w:tcPr>
            <w:tcW w:w="1264" w:type="dxa"/>
            <w:tcBorders>
              <w:top w:val="single" w:sz="6" w:space="0" w:color="auto"/>
              <w:left w:val="single" w:sz="6" w:space="0" w:color="auto"/>
              <w:bottom w:val="single" w:sz="6" w:space="0" w:color="auto"/>
              <w:right w:val="single" w:sz="6" w:space="0" w:color="auto"/>
            </w:tcBorders>
            <w:hideMark/>
          </w:tcPr>
          <w:p w14:paraId="5C39CB56" w14:textId="6FF14C62" w:rsidR="00340431" w:rsidRPr="0023089F" w:rsidRDefault="002E02DE" w:rsidP="008756FE">
            <w:pPr>
              <w:jc w:val="center"/>
              <w:rPr>
                <w:b/>
                <w:bCs/>
              </w:rPr>
            </w:pPr>
            <w:r w:rsidRPr="00724FE6">
              <w:rPr>
                <w:b/>
                <w:bCs/>
              </w:rPr>
              <w:t>$7,</w:t>
            </w:r>
            <w:r w:rsidR="0023089F" w:rsidRPr="00724FE6">
              <w:rPr>
                <w:b/>
                <w:bCs/>
              </w:rPr>
              <w:t>258.10</w:t>
            </w:r>
          </w:p>
        </w:tc>
      </w:tr>
    </w:tbl>
    <w:p w14:paraId="4EF64074" w14:textId="3ECFDE7F" w:rsidR="00340431" w:rsidRPr="000B070B" w:rsidRDefault="00046981" w:rsidP="00340431">
      <w:pPr>
        <w:rPr>
          <w:sz w:val="22"/>
          <w:szCs w:val="22"/>
        </w:rPr>
      </w:pPr>
      <w:r>
        <w:rPr>
          <w:color w:val="000000"/>
          <w:sz w:val="20"/>
          <w:szCs w:val="22"/>
        </w:rPr>
        <w:t>Annual salaries based on 2016</w:t>
      </w:r>
      <w:r w:rsidR="00340431" w:rsidRPr="000B070B">
        <w:rPr>
          <w:color w:val="000000"/>
          <w:sz w:val="20"/>
          <w:szCs w:val="22"/>
        </w:rPr>
        <w:t xml:space="preserve"> OPM Pay Schedule for Washington/DC area:</w:t>
      </w:r>
      <w:r w:rsidR="00340431" w:rsidRPr="000B070B">
        <w:rPr>
          <w:sz w:val="22"/>
          <w:szCs w:val="22"/>
        </w:rPr>
        <w:t xml:space="preserve"> </w:t>
      </w:r>
      <w:hyperlink r:id="rId9" w:history="1">
        <w:r w:rsidR="007D7A7A" w:rsidRPr="000B070B">
          <w:rPr>
            <w:rStyle w:val="Hyperlink"/>
            <w:sz w:val="22"/>
            <w:szCs w:val="22"/>
          </w:rPr>
          <w:t>http://www.opm.gov/policy-data-oversight/pay-leave/salaries-wages/salary-tables/pdf/</w:t>
        </w:r>
        <w:r w:rsidR="007D7A7A" w:rsidRPr="000B070B" w:rsidDel="007D7A7A">
          <w:rPr>
            <w:rStyle w:val="Hyperlink"/>
            <w:sz w:val="22"/>
            <w:szCs w:val="22"/>
          </w:rPr>
          <w:t>2015</w:t>
        </w:r>
        <w:r w:rsidR="007D7A7A" w:rsidRPr="000B070B">
          <w:rPr>
            <w:rStyle w:val="Hyperlink"/>
            <w:sz w:val="22"/>
            <w:szCs w:val="22"/>
          </w:rPr>
          <w:t>2016/DCB.pdf</w:t>
        </w:r>
      </w:hyperlink>
    </w:p>
    <w:p w14:paraId="021FF47A" w14:textId="77777777" w:rsidR="009B633D" w:rsidRPr="00412C6F" w:rsidRDefault="009B633D" w:rsidP="009B633D">
      <w:pPr>
        <w:pStyle w:val="Heading2"/>
        <w:rPr>
          <w:sz w:val="24"/>
        </w:rPr>
      </w:pPr>
      <w:bookmarkStart w:id="58" w:name="_Toc496096633"/>
      <w:r w:rsidRPr="00412C6F">
        <w:rPr>
          <w:sz w:val="24"/>
        </w:rPr>
        <w:t>15. Changes in Hour Burden</w:t>
      </w:r>
      <w:bookmarkEnd w:id="56"/>
      <w:bookmarkEnd w:id="57"/>
      <w:bookmarkEnd w:id="58"/>
    </w:p>
    <w:p w14:paraId="5AB00064" w14:textId="61374F8C" w:rsidR="00C656DE" w:rsidRPr="00C656DE" w:rsidRDefault="00046981" w:rsidP="00C656DE">
      <w:pPr>
        <w:spacing w:before="100" w:beforeAutospacing="1" w:after="100" w:afterAutospacing="1"/>
      </w:pPr>
      <w:bookmarkStart w:id="59" w:name="_Toc151782191"/>
      <w:bookmarkStart w:id="60" w:name="_Toc158526231"/>
      <w:r>
        <w:t>The OMR is a new data collection instrument.</w:t>
      </w:r>
      <w:r>
        <w:br/>
      </w:r>
    </w:p>
    <w:p w14:paraId="2D0BD0B3" w14:textId="235B0D4B" w:rsidR="009B633D" w:rsidRPr="00412C6F" w:rsidRDefault="009B633D" w:rsidP="009B633D">
      <w:pPr>
        <w:pStyle w:val="Heading2"/>
        <w:rPr>
          <w:sz w:val="24"/>
        </w:rPr>
      </w:pPr>
      <w:bookmarkStart w:id="61" w:name="_Toc299288857"/>
      <w:bookmarkStart w:id="62" w:name="_Toc496096634"/>
      <w:r w:rsidRPr="00412C6F">
        <w:rPr>
          <w:sz w:val="24"/>
        </w:rPr>
        <w:t>16. Time Schedule, Publication</w:t>
      </w:r>
      <w:r w:rsidR="000B043F">
        <w:rPr>
          <w:sz w:val="24"/>
        </w:rPr>
        <w:t>,</w:t>
      </w:r>
      <w:r w:rsidRPr="00412C6F">
        <w:rPr>
          <w:sz w:val="24"/>
        </w:rPr>
        <w:t xml:space="preserve"> and Analysis Plans</w:t>
      </w:r>
      <w:bookmarkEnd w:id="59"/>
      <w:bookmarkEnd w:id="60"/>
      <w:bookmarkEnd w:id="61"/>
      <w:bookmarkEnd w:id="62"/>
    </w:p>
    <w:p w14:paraId="39522ABC" w14:textId="1DEBE874" w:rsidR="00BF324D" w:rsidRDefault="00BF324D" w:rsidP="00BF324D">
      <w:pPr>
        <w:spacing w:before="120"/>
      </w:pPr>
      <w:bookmarkStart w:id="63" w:name="_Toc151782192"/>
      <w:bookmarkStart w:id="64" w:name="_Toc151782196"/>
      <w:bookmarkStart w:id="65" w:name="_Toc158526232"/>
      <w:r>
        <w:t xml:space="preserve">There are no plans to publish or analyze the information collected in the </w:t>
      </w:r>
      <w:r w:rsidR="00437AE2">
        <w:t>OMR</w:t>
      </w:r>
      <w:r w:rsidR="00B7512D">
        <w:t xml:space="preserve"> at this time</w:t>
      </w:r>
      <w:r>
        <w:t>.</w:t>
      </w:r>
    </w:p>
    <w:p w14:paraId="203E419F" w14:textId="77777777" w:rsidR="00BF324D" w:rsidRPr="00286B04" w:rsidRDefault="00BF324D" w:rsidP="00BF324D">
      <w:pPr>
        <w:spacing w:before="120"/>
      </w:pPr>
    </w:p>
    <w:p w14:paraId="0F6823A4" w14:textId="77777777" w:rsidR="009B633D" w:rsidRPr="00424E6E" w:rsidRDefault="009B633D" w:rsidP="009B633D">
      <w:pPr>
        <w:pStyle w:val="Heading2"/>
        <w:rPr>
          <w:sz w:val="24"/>
        </w:rPr>
      </w:pPr>
      <w:bookmarkStart w:id="66" w:name="_Toc299288858"/>
      <w:bookmarkStart w:id="67" w:name="_Toc496096635"/>
      <w:bookmarkEnd w:id="63"/>
      <w:r w:rsidRPr="00424E6E">
        <w:rPr>
          <w:sz w:val="24"/>
        </w:rPr>
        <w:t>17. Exemption for Display of Expiration Date</w:t>
      </w:r>
      <w:bookmarkEnd w:id="64"/>
      <w:bookmarkEnd w:id="65"/>
      <w:bookmarkEnd w:id="66"/>
      <w:bookmarkEnd w:id="67"/>
    </w:p>
    <w:p w14:paraId="292C0ADE" w14:textId="77777777" w:rsidR="009B633D" w:rsidRDefault="009B633D" w:rsidP="009B633D">
      <w:r w:rsidRPr="004F03D2">
        <w:t>AHRQ does not seek this exemption</w:t>
      </w:r>
      <w:r>
        <w:t>.</w:t>
      </w:r>
    </w:p>
    <w:p w14:paraId="30693ACE" w14:textId="77777777" w:rsidR="000F2C62" w:rsidRDefault="000F2C62" w:rsidP="00450538">
      <w:pPr>
        <w:pStyle w:val="NormalWeb"/>
        <w:rPr>
          <w:rFonts w:ascii="Arial" w:hAnsi="Arial" w:cs="Arial"/>
          <w:b/>
        </w:rPr>
      </w:pPr>
    </w:p>
    <w:p w14:paraId="19A9BAA5" w14:textId="14739008" w:rsidR="00016560" w:rsidRPr="00016560" w:rsidRDefault="00904CC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14:paraId="2EF650E5" w14:textId="1C48AE15" w:rsidR="00BA7111" w:rsidRPr="005147FC" w:rsidRDefault="00BF324D" w:rsidP="00D621BB">
      <w:r w:rsidRPr="005147FC">
        <w:t xml:space="preserve">Attachment A: </w:t>
      </w:r>
      <w:r w:rsidR="0038246E" w:rsidRPr="005147FC">
        <w:t>Federal Register Notice</w:t>
      </w:r>
    </w:p>
    <w:p w14:paraId="6ED94FC3" w14:textId="77777777" w:rsidR="002C4BFB" w:rsidRPr="005147FC" w:rsidRDefault="002C4BFB" w:rsidP="00BF324D"/>
    <w:p w14:paraId="76A63639" w14:textId="16D88CD2" w:rsidR="00BF324D" w:rsidRDefault="00655C15" w:rsidP="00BF324D">
      <w:r w:rsidRPr="005147FC">
        <w:t>Attachment</w:t>
      </w:r>
      <w:r w:rsidR="00BF324D" w:rsidRPr="005147FC">
        <w:rPr>
          <w:lang w:val="fr-FR"/>
        </w:rPr>
        <w:t xml:space="preserve"> </w:t>
      </w:r>
      <w:r w:rsidR="0038246E" w:rsidRPr="005147FC">
        <w:rPr>
          <w:lang w:val="fr-FR"/>
        </w:rPr>
        <w:t>B</w:t>
      </w:r>
      <w:r w:rsidRPr="005147FC">
        <w:rPr>
          <w:lang w:val="fr-FR"/>
        </w:rPr>
        <w:t xml:space="preserve">: </w:t>
      </w:r>
      <w:r w:rsidR="005147FC" w:rsidRPr="005147FC">
        <w:rPr>
          <w:lang w:val="fr-FR"/>
        </w:rPr>
        <w:t>OMR</w:t>
      </w:r>
      <w:r w:rsidR="002B0BDB" w:rsidRPr="005147FC">
        <w:t xml:space="preserve"> Record</w:t>
      </w:r>
      <w:r w:rsidR="005147FC" w:rsidRPr="005147FC">
        <w:t xml:space="preserve"> (Data Collection Instrument)</w:t>
      </w:r>
      <w:r w:rsidR="002B0BDB" w:rsidRPr="00D50897">
        <w:t xml:space="preserve"> </w:t>
      </w:r>
    </w:p>
    <w:p w14:paraId="0C9F15B4" w14:textId="0E0EE1D8" w:rsidR="005335D8" w:rsidRDefault="005335D8" w:rsidP="00BF324D"/>
    <w:p w14:paraId="6BFAD2C3" w14:textId="168C9BE1" w:rsidR="005335D8" w:rsidRPr="00364911" w:rsidRDefault="005335D8" w:rsidP="00BF324D">
      <w:pPr>
        <w:rPr>
          <w:lang w:val="fr-FR"/>
        </w:rPr>
      </w:pPr>
      <w:r>
        <w:t>A</w:t>
      </w:r>
      <w:r w:rsidR="004B63A2">
        <w:t>ttachment C: Privacy Impact Ass</w:t>
      </w:r>
      <w:r>
        <w:t>essment</w:t>
      </w:r>
    </w:p>
    <w:p w14:paraId="617B20F7" w14:textId="77777777" w:rsidR="00BF324D" w:rsidRPr="00364911" w:rsidRDefault="00BF324D" w:rsidP="00BF324D">
      <w:pPr>
        <w:rPr>
          <w:lang w:val="fr-FR"/>
        </w:rPr>
      </w:pPr>
    </w:p>
    <w:p w14:paraId="1574DE5A" w14:textId="67D8CA37" w:rsidR="00AB71EC" w:rsidRDefault="00AB71EC" w:rsidP="007208E0">
      <w:pPr>
        <w:rPr>
          <w:lang w:val="fr-FR"/>
        </w:rPr>
      </w:pPr>
    </w:p>
    <w:p w14:paraId="5447106E" w14:textId="77777777" w:rsidR="00AB71EC" w:rsidRPr="00AB71EC" w:rsidRDefault="00AB71EC" w:rsidP="00AB71EC">
      <w:pPr>
        <w:rPr>
          <w:lang w:val="fr-FR"/>
        </w:rPr>
      </w:pPr>
    </w:p>
    <w:p w14:paraId="0DCD8047" w14:textId="1FBECFEE" w:rsidR="00ED475E" w:rsidRPr="00AB71EC" w:rsidRDefault="00AB71EC" w:rsidP="00AB71EC">
      <w:pPr>
        <w:tabs>
          <w:tab w:val="left" w:pos="3709"/>
        </w:tabs>
        <w:rPr>
          <w:lang w:val="fr-FR"/>
        </w:rPr>
      </w:pPr>
      <w:r>
        <w:rPr>
          <w:lang w:val="fr-FR"/>
        </w:rPr>
        <w:tab/>
      </w:r>
    </w:p>
    <w:sectPr w:rsidR="00ED475E" w:rsidRPr="00AB71EC" w:rsidSect="009B633D">
      <w:footerReference w:type="even" r:id="rId10"/>
      <w:footerReference w:type="default" r:id="rId11"/>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6A1E7" w14:textId="77777777" w:rsidR="002C3321" w:rsidRDefault="002C3321">
      <w:r>
        <w:separator/>
      </w:r>
    </w:p>
  </w:endnote>
  <w:endnote w:type="continuationSeparator" w:id="0">
    <w:p w14:paraId="5DDDC241" w14:textId="77777777" w:rsidR="002C3321" w:rsidRDefault="002C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C8BFB" w14:textId="77777777" w:rsidR="00A727D2" w:rsidRDefault="00A727D2"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52F69F" w14:textId="77777777" w:rsidR="00A727D2" w:rsidRDefault="00A72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774DD" w14:textId="5F1D1521" w:rsidR="00A727D2" w:rsidRDefault="00A727D2"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7E54">
      <w:rPr>
        <w:rStyle w:val="PageNumber"/>
        <w:noProof/>
      </w:rPr>
      <w:t>- 9 -</w:t>
    </w:r>
    <w:r>
      <w:rPr>
        <w:rStyle w:val="PageNumber"/>
      </w:rPr>
      <w:fldChar w:fldCharType="end"/>
    </w:r>
  </w:p>
  <w:p w14:paraId="7C5AFB14" w14:textId="77777777" w:rsidR="00A727D2" w:rsidRDefault="00A72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379C1" w14:textId="77777777" w:rsidR="002C3321" w:rsidRDefault="002C3321">
      <w:r>
        <w:separator/>
      </w:r>
    </w:p>
  </w:footnote>
  <w:footnote w:type="continuationSeparator" w:id="0">
    <w:p w14:paraId="0E6BF33A" w14:textId="77777777" w:rsidR="002C3321" w:rsidRDefault="002C3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00F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5">
    <w:nsid w:val="3F7A6733"/>
    <w:multiLevelType w:val="hybridMultilevel"/>
    <w:tmpl w:val="BDE0A96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516224"/>
    <w:multiLevelType w:val="hybridMultilevel"/>
    <w:tmpl w:val="B42C95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6">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5"/>
  </w:num>
  <w:num w:numId="7">
    <w:abstractNumId w:val="36"/>
  </w:num>
  <w:num w:numId="8">
    <w:abstractNumId w:val="32"/>
  </w:num>
  <w:num w:numId="9">
    <w:abstractNumId w:val="35"/>
  </w:num>
  <w:num w:numId="10">
    <w:abstractNumId w:val="12"/>
  </w:num>
  <w:num w:numId="11">
    <w:abstractNumId w:val="31"/>
  </w:num>
  <w:num w:numId="12">
    <w:abstractNumId w:val="44"/>
  </w:num>
  <w:num w:numId="13">
    <w:abstractNumId w:val="8"/>
  </w:num>
  <w:num w:numId="14">
    <w:abstractNumId w:val="16"/>
  </w:num>
  <w:num w:numId="15">
    <w:abstractNumId w:val="29"/>
  </w:num>
  <w:num w:numId="16">
    <w:abstractNumId w:val="43"/>
  </w:num>
  <w:num w:numId="17">
    <w:abstractNumId w:val="38"/>
  </w:num>
  <w:num w:numId="18">
    <w:abstractNumId w:val="18"/>
  </w:num>
  <w:num w:numId="19">
    <w:abstractNumId w:val="28"/>
  </w:num>
  <w:num w:numId="20">
    <w:abstractNumId w:val="9"/>
  </w:num>
  <w:num w:numId="21">
    <w:abstractNumId w:val="41"/>
  </w:num>
  <w:num w:numId="22">
    <w:abstractNumId w:val="2"/>
  </w:num>
  <w:num w:numId="23">
    <w:abstractNumId w:val="37"/>
  </w:num>
  <w:num w:numId="24">
    <w:abstractNumId w:val="34"/>
  </w:num>
  <w:num w:numId="25">
    <w:abstractNumId w:val="5"/>
  </w:num>
  <w:num w:numId="26">
    <w:abstractNumId w:val="10"/>
  </w:num>
  <w:num w:numId="27">
    <w:abstractNumId w:val="30"/>
  </w:num>
  <w:num w:numId="28">
    <w:abstractNumId w:val="1"/>
  </w:num>
  <w:num w:numId="29">
    <w:abstractNumId w:val="19"/>
  </w:num>
  <w:num w:numId="30">
    <w:abstractNumId w:val="14"/>
  </w:num>
  <w:num w:numId="31">
    <w:abstractNumId w:val="42"/>
  </w:num>
  <w:num w:numId="32">
    <w:abstractNumId w:val="39"/>
  </w:num>
  <w:num w:numId="33">
    <w:abstractNumId w:val="46"/>
  </w:num>
  <w:num w:numId="34">
    <w:abstractNumId w:val="20"/>
  </w:num>
  <w:num w:numId="35">
    <w:abstractNumId w:val="27"/>
  </w:num>
  <w:num w:numId="36">
    <w:abstractNumId w:val="21"/>
  </w:num>
  <w:num w:numId="37">
    <w:abstractNumId w:val="33"/>
  </w:num>
  <w:num w:numId="38">
    <w:abstractNumId w:val="13"/>
  </w:num>
  <w:num w:numId="39">
    <w:abstractNumId w:val="4"/>
  </w:num>
  <w:num w:numId="40">
    <w:abstractNumId w:val="26"/>
  </w:num>
  <w:num w:numId="41">
    <w:abstractNumId w:val="6"/>
  </w:num>
  <w:num w:numId="42">
    <w:abstractNumId w:val="7"/>
  </w:num>
  <w:num w:numId="43">
    <w:abstractNumId w:val="23"/>
  </w:num>
  <w:num w:numId="44">
    <w:abstractNumId w:val="40"/>
  </w:num>
  <w:num w:numId="45">
    <w:abstractNumId w:val="15"/>
  </w:num>
  <w:num w:numId="46">
    <w:abstractNumId w:val="22"/>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F29"/>
    <w:rsid w:val="00007F85"/>
    <w:rsid w:val="00010695"/>
    <w:rsid w:val="00011E85"/>
    <w:rsid w:val="00012921"/>
    <w:rsid w:val="00012FB9"/>
    <w:rsid w:val="00013EB3"/>
    <w:rsid w:val="000144C2"/>
    <w:rsid w:val="000152E7"/>
    <w:rsid w:val="00015AAF"/>
    <w:rsid w:val="00016560"/>
    <w:rsid w:val="00024FEE"/>
    <w:rsid w:val="000269E8"/>
    <w:rsid w:val="00033301"/>
    <w:rsid w:val="000353E8"/>
    <w:rsid w:val="00035585"/>
    <w:rsid w:val="00037998"/>
    <w:rsid w:val="0004012B"/>
    <w:rsid w:val="00043473"/>
    <w:rsid w:val="00045959"/>
    <w:rsid w:val="00046359"/>
    <w:rsid w:val="00046981"/>
    <w:rsid w:val="000469A0"/>
    <w:rsid w:val="00054DBB"/>
    <w:rsid w:val="0006207D"/>
    <w:rsid w:val="00075C33"/>
    <w:rsid w:val="000769F7"/>
    <w:rsid w:val="000779A9"/>
    <w:rsid w:val="0008180F"/>
    <w:rsid w:val="00082047"/>
    <w:rsid w:val="00083E86"/>
    <w:rsid w:val="00094648"/>
    <w:rsid w:val="000A016A"/>
    <w:rsid w:val="000A10BF"/>
    <w:rsid w:val="000A140E"/>
    <w:rsid w:val="000A3475"/>
    <w:rsid w:val="000B043F"/>
    <w:rsid w:val="000B070B"/>
    <w:rsid w:val="000B78CB"/>
    <w:rsid w:val="000D429E"/>
    <w:rsid w:val="000E01D1"/>
    <w:rsid w:val="000E4300"/>
    <w:rsid w:val="000F1328"/>
    <w:rsid w:val="000F14DD"/>
    <w:rsid w:val="000F2B59"/>
    <w:rsid w:val="000F2C62"/>
    <w:rsid w:val="00111633"/>
    <w:rsid w:val="00112DF2"/>
    <w:rsid w:val="00120A0C"/>
    <w:rsid w:val="00124917"/>
    <w:rsid w:val="001301AA"/>
    <w:rsid w:val="00131443"/>
    <w:rsid w:val="00134A78"/>
    <w:rsid w:val="00146584"/>
    <w:rsid w:val="00161279"/>
    <w:rsid w:val="0016586B"/>
    <w:rsid w:val="001661CA"/>
    <w:rsid w:val="00166A69"/>
    <w:rsid w:val="00167823"/>
    <w:rsid w:val="00170B2C"/>
    <w:rsid w:val="00171D31"/>
    <w:rsid w:val="001773F6"/>
    <w:rsid w:val="00180239"/>
    <w:rsid w:val="001868E0"/>
    <w:rsid w:val="00187A50"/>
    <w:rsid w:val="001902C0"/>
    <w:rsid w:val="00195398"/>
    <w:rsid w:val="001A28C0"/>
    <w:rsid w:val="001B1C61"/>
    <w:rsid w:val="001C1D47"/>
    <w:rsid w:val="001C3FD0"/>
    <w:rsid w:val="001C59E4"/>
    <w:rsid w:val="001C7CFA"/>
    <w:rsid w:val="001D326A"/>
    <w:rsid w:val="001D6284"/>
    <w:rsid w:val="001D6B71"/>
    <w:rsid w:val="001D7AA9"/>
    <w:rsid w:val="001E63C6"/>
    <w:rsid w:val="00211E70"/>
    <w:rsid w:val="00216955"/>
    <w:rsid w:val="002217AA"/>
    <w:rsid w:val="0022366A"/>
    <w:rsid w:val="0023089F"/>
    <w:rsid w:val="002352DC"/>
    <w:rsid w:val="00237743"/>
    <w:rsid w:val="00241A9D"/>
    <w:rsid w:val="0026424E"/>
    <w:rsid w:val="00272E29"/>
    <w:rsid w:val="00285A91"/>
    <w:rsid w:val="00286AF3"/>
    <w:rsid w:val="00291B73"/>
    <w:rsid w:val="0029314C"/>
    <w:rsid w:val="0029734C"/>
    <w:rsid w:val="002A13F4"/>
    <w:rsid w:val="002A48EB"/>
    <w:rsid w:val="002A4FA9"/>
    <w:rsid w:val="002A5C25"/>
    <w:rsid w:val="002B097E"/>
    <w:rsid w:val="002B0BDB"/>
    <w:rsid w:val="002B382B"/>
    <w:rsid w:val="002B7635"/>
    <w:rsid w:val="002C3321"/>
    <w:rsid w:val="002C4BFB"/>
    <w:rsid w:val="002E02DE"/>
    <w:rsid w:val="002E2BE3"/>
    <w:rsid w:val="002E54EF"/>
    <w:rsid w:val="002E6157"/>
    <w:rsid w:val="002F4DE8"/>
    <w:rsid w:val="00325B9C"/>
    <w:rsid w:val="003270FA"/>
    <w:rsid w:val="00327852"/>
    <w:rsid w:val="00340431"/>
    <w:rsid w:val="00340D97"/>
    <w:rsid w:val="0034325D"/>
    <w:rsid w:val="00345295"/>
    <w:rsid w:val="00350E4E"/>
    <w:rsid w:val="00355C95"/>
    <w:rsid w:val="00361F52"/>
    <w:rsid w:val="00364911"/>
    <w:rsid w:val="00365B7B"/>
    <w:rsid w:val="00366232"/>
    <w:rsid w:val="0037254D"/>
    <w:rsid w:val="0037427A"/>
    <w:rsid w:val="00377301"/>
    <w:rsid w:val="0037771B"/>
    <w:rsid w:val="00377D80"/>
    <w:rsid w:val="0038217D"/>
    <w:rsid w:val="0038246E"/>
    <w:rsid w:val="00394BDE"/>
    <w:rsid w:val="00396089"/>
    <w:rsid w:val="00397678"/>
    <w:rsid w:val="003A0672"/>
    <w:rsid w:val="003A3A79"/>
    <w:rsid w:val="003A745D"/>
    <w:rsid w:val="003B2951"/>
    <w:rsid w:val="003B29EC"/>
    <w:rsid w:val="003B4547"/>
    <w:rsid w:val="003B5859"/>
    <w:rsid w:val="003B6B41"/>
    <w:rsid w:val="003C26F0"/>
    <w:rsid w:val="003C433D"/>
    <w:rsid w:val="003C60BD"/>
    <w:rsid w:val="003D1A4D"/>
    <w:rsid w:val="003D21A7"/>
    <w:rsid w:val="003D3937"/>
    <w:rsid w:val="003D73D8"/>
    <w:rsid w:val="003E2801"/>
    <w:rsid w:val="003E5286"/>
    <w:rsid w:val="003F0E30"/>
    <w:rsid w:val="003F1E34"/>
    <w:rsid w:val="003F5921"/>
    <w:rsid w:val="00401F3E"/>
    <w:rsid w:val="00405F97"/>
    <w:rsid w:val="00410A32"/>
    <w:rsid w:val="004131BC"/>
    <w:rsid w:val="00414C80"/>
    <w:rsid w:val="004155E1"/>
    <w:rsid w:val="00423E8F"/>
    <w:rsid w:val="00425974"/>
    <w:rsid w:val="00425A7B"/>
    <w:rsid w:val="00431B6F"/>
    <w:rsid w:val="0043596B"/>
    <w:rsid w:val="00437AE2"/>
    <w:rsid w:val="0044769A"/>
    <w:rsid w:val="00450538"/>
    <w:rsid w:val="00450EE9"/>
    <w:rsid w:val="004516CB"/>
    <w:rsid w:val="00452268"/>
    <w:rsid w:val="00456179"/>
    <w:rsid w:val="00457875"/>
    <w:rsid w:val="004653D0"/>
    <w:rsid w:val="004668DB"/>
    <w:rsid w:val="004670C2"/>
    <w:rsid w:val="00467163"/>
    <w:rsid w:val="004716EA"/>
    <w:rsid w:val="00473094"/>
    <w:rsid w:val="0047504D"/>
    <w:rsid w:val="00480523"/>
    <w:rsid w:val="004811AD"/>
    <w:rsid w:val="00492C65"/>
    <w:rsid w:val="00493D5A"/>
    <w:rsid w:val="004A624D"/>
    <w:rsid w:val="004B326E"/>
    <w:rsid w:val="004B63A2"/>
    <w:rsid w:val="004C3BA7"/>
    <w:rsid w:val="004C4308"/>
    <w:rsid w:val="004C4A74"/>
    <w:rsid w:val="004C5F21"/>
    <w:rsid w:val="004C6501"/>
    <w:rsid w:val="004C76B3"/>
    <w:rsid w:val="004D550A"/>
    <w:rsid w:val="004E08E0"/>
    <w:rsid w:val="004E16F6"/>
    <w:rsid w:val="004E3A1B"/>
    <w:rsid w:val="004E5E1D"/>
    <w:rsid w:val="004F02A0"/>
    <w:rsid w:val="00501308"/>
    <w:rsid w:val="00510909"/>
    <w:rsid w:val="005147FC"/>
    <w:rsid w:val="00520CE0"/>
    <w:rsid w:val="005231D0"/>
    <w:rsid w:val="00525A79"/>
    <w:rsid w:val="00527BBD"/>
    <w:rsid w:val="00531857"/>
    <w:rsid w:val="005335D8"/>
    <w:rsid w:val="00535B56"/>
    <w:rsid w:val="00542FB7"/>
    <w:rsid w:val="00556066"/>
    <w:rsid w:val="0056238F"/>
    <w:rsid w:val="00571F92"/>
    <w:rsid w:val="00581FD2"/>
    <w:rsid w:val="00585539"/>
    <w:rsid w:val="00593E67"/>
    <w:rsid w:val="00595A97"/>
    <w:rsid w:val="005B1753"/>
    <w:rsid w:val="005B2955"/>
    <w:rsid w:val="005B3796"/>
    <w:rsid w:val="005B3C01"/>
    <w:rsid w:val="005B62CF"/>
    <w:rsid w:val="005B6FAA"/>
    <w:rsid w:val="005B715B"/>
    <w:rsid w:val="005B79B5"/>
    <w:rsid w:val="005B7C2B"/>
    <w:rsid w:val="005C4567"/>
    <w:rsid w:val="005E49B8"/>
    <w:rsid w:val="005F4AC3"/>
    <w:rsid w:val="005F4B12"/>
    <w:rsid w:val="0060007C"/>
    <w:rsid w:val="0060047D"/>
    <w:rsid w:val="006014DB"/>
    <w:rsid w:val="00604437"/>
    <w:rsid w:val="0060485B"/>
    <w:rsid w:val="00606400"/>
    <w:rsid w:val="00612319"/>
    <w:rsid w:val="00613C05"/>
    <w:rsid w:val="00613F03"/>
    <w:rsid w:val="006142CB"/>
    <w:rsid w:val="00617059"/>
    <w:rsid w:val="0062011A"/>
    <w:rsid w:val="00620B93"/>
    <w:rsid w:val="006233FB"/>
    <w:rsid w:val="00625C1B"/>
    <w:rsid w:val="00626D1D"/>
    <w:rsid w:val="00630DE9"/>
    <w:rsid w:val="00631C81"/>
    <w:rsid w:val="00635119"/>
    <w:rsid w:val="00636A0C"/>
    <w:rsid w:val="00652228"/>
    <w:rsid w:val="00654369"/>
    <w:rsid w:val="00655A17"/>
    <w:rsid w:val="00655C15"/>
    <w:rsid w:val="00670CA9"/>
    <w:rsid w:val="00673146"/>
    <w:rsid w:val="00673643"/>
    <w:rsid w:val="006A28E1"/>
    <w:rsid w:val="006A4D4E"/>
    <w:rsid w:val="006A536F"/>
    <w:rsid w:val="006B76C2"/>
    <w:rsid w:val="006C45D0"/>
    <w:rsid w:val="006C67AB"/>
    <w:rsid w:val="006D1C5E"/>
    <w:rsid w:val="006E4D96"/>
    <w:rsid w:val="006F7E54"/>
    <w:rsid w:val="0070072D"/>
    <w:rsid w:val="00702815"/>
    <w:rsid w:val="00703573"/>
    <w:rsid w:val="007109B1"/>
    <w:rsid w:val="00710C91"/>
    <w:rsid w:val="00712B2C"/>
    <w:rsid w:val="007208E0"/>
    <w:rsid w:val="00723075"/>
    <w:rsid w:val="00724FE6"/>
    <w:rsid w:val="007308C3"/>
    <w:rsid w:val="00733323"/>
    <w:rsid w:val="00734A07"/>
    <w:rsid w:val="00744D19"/>
    <w:rsid w:val="00747A7E"/>
    <w:rsid w:val="00747D2F"/>
    <w:rsid w:val="00752EA8"/>
    <w:rsid w:val="00765D1A"/>
    <w:rsid w:val="0076624A"/>
    <w:rsid w:val="007700A7"/>
    <w:rsid w:val="0077142A"/>
    <w:rsid w:val="007721F3"/>
    <w:rsid w:val="00772B22"/>
    <w:rsid w:val="00776654"/>
    <w:rsid w:val="007A146F"/>
    <w:rsid w:val="007A265C"/>
    <w:rsid w:val="007A4961"/>
    <w:rsid w:val="007B0CF3"/>
    <w:rsid w:val="007B3A8E"/>
    <w:rsid w:val="007B54B2"/>
    <w:rsid w:val="007C1ECB"/>
    <w:rsid w:val="007D4F9F"/>
    <w:rsid w:val="007D66F8"/>
    <w:rsid w:val="007D7A7A"/>
    <w:rsid w:val="007E4359"/>
    <w:rsid w:val="007E7B84"/>
    <w:rsid w:val="007F1CC3"/>
    <w:rsid w:val="007F54BD"/>
    <w:rsid w:val="00804579"/>
    <w:rsid w:val="00805DCD"/>
    <w:rsid w:val="0080612B"/>
    <w:rsid w:val="00811735"/>
    <w:rsid w:val="00812095"/>
    <w:rsid w:val="00817DA0"/>
    <w:rsid w:val="00825DA9"/>
    <w:rsid w:val="0083145C"/>
    <w:rsid w:val="00837A0F"/>
    <w:rsid w:val="00841047"/>
    <w:rsid w:val="008413F3"/>
    <w:rsid w:val="0084492F"/>
    <w:rsid w:val="008450C0"/>
    <w:rsid w:val="00853102"/>
    <w:rsid w:val="008563B7"/>
    <w:rsid w:val="00856F51"/>
    <w:rsid w:val="008573ED"/>
    <w:rsid w:val="00861E61"/>
    <w:rsid w:val="0086537F"/>
    <w:rsid w:val="008669D0"/>
    <w:rsid w:val="008674E3"/>
    <w:rsid w:val="00873F74"/>
    <w:rsid w:val="008756FE"/>
    <w:rsid w:val="00880DFE"/>
    <w:rsid w:val="00885969"/>
    <w:rsid w:val="00887F65"/>
    <w:rsid w:val="00892655"/>
    <w:rsid w:val="0089519B"/>
    <w:rsid w:val="00895A22"/>
    <w:rsid w:val="008A2BE3"/>
    <w:rsid w:val="008A30B9"/>
    <w:rsid w:val="008B593F"/>
    <w:rsid w:val="008C580E"/>
    <w:rsid w:val="008D028E"/>
    <w:rsid w:val="008E1F8B"/>
    <w:rsid w:val="008E4FC9"/>
    <w:rsid w:val="008E567E"/>
    <w:rsid w:val="008E6366"/>
    <w:rsid w:val="008E6500"/>
    <w:rsid w:val="008F0B8B"/>
    <w:rsid w:val="008F6A20"/>
    <w:rsid w:val="00904CC3"/>
    <w:rsid w:val="009139DC"/>
    <w:rsid w:val="00917EA3"/>
    <w:rsid w:val="009201BB"/>
    <w:rsid w:val="00933DAD"/>
    <w:rsid w:val="009350FF"/>
    <w:rsid w:val="009374DF"/>
    <w:rsid w:val="00937C0D"/>
    <w:rsid w:val="00945304"/>
    <w:rsid w:val="00945A1B"/>
    <w:rsid w:val="009511DE"/>
    <w:rsid w:val="0095239E"/>
    <w:rsid w:val="00955553"/>
    <w:rsid w:val="0096337A"/>
    <w:rsid w:val="00971EC4"/>
    <w:rsid w:val="009746A1"/>
    <w:rsid w:val="00976FBD"/>
    <w:rsid w:val="00981C36"/>
    <w:rsid w:val="00986DBC"/>
    <w:rsid w:val="00992264"/>
    <w:rsid w:val="009943E2"/>
    <w:rsid w:val="009943E4"/>
    <w:rsid w:val="00994C16"/>
    <w:rsid w:val="0099646C"/>
    <w:rsid w:val="009A237A"/>
    <w:rsid w:val="009A49A7"/>
    <w:rsid w:val="009B1E5A"/>
    <w:rsid w:val="009B3622"/>
    <w:rsid w:val="009B633D"/>
    <w:rsid w:val="009B6E43"/>
    <w:rsid w:val="009C3C16"/>
    <w:rsid w:val="009C4881"/>
    <w:rsid w:val="009C7F7B"/>
    <w:rsid w:val="009D3DBB"/>
    <w:rsid w:val="009E2E0E"/>
    <w:rsid w:val="009E4C0E"/>
    <w:rsid w:val="009F299E"/>
    <w:rsid w:val="009F43EA"/>
    <w:rsid w:val="009F597D"/>
    <w:rsid w:val="00A13D8D"/>
    <w:rsid w:val="00A15D49"/>
    <w:rsid w:val="00A25577"/>
    <w:rsid w:val="00A30D9A"/>
    <w:rsid w:val="00A44855"/>
    <w:rsid w:val="00A4694A"/>
    <w:rsid w:val="00A54D91"/>
    <w:rsid w:val="00A61DC6"/>
    <w:rsid w:val="00A64E80"/>
    <w:rsid w:val="00A65884"/>
    <w:rsid w:val="00A66653"/>
    <w:rsid w:val="00A727D2"/>
    <w:rsid w:val="00A73CF0"/>
    <w:rsid w:val="00A74E0A"/>
    <w:rsid w:val="00A76554"/>
    <w:rsid w:val="00A76D65"/>
    <w:rsid w:val="00A777E1"/>
    <w:rsid w:val="00A835E4"/>
    <w:rsid w:val="00A905D8"/>
    <w:rsid w:val="00A90D10"/>
    <w:rsid w:val="00A94219"/>
    <w:rsid w:val="00AA0B3E"/>
    <w:rsid w:val="00AA0B6B"/>
    <w:rsid w:val="00AA1DDC"/>
    <w:rsid w:val="00AA3F0B"/>
    <w:rsid w:val="00AA644B"/>
    <w:rsid w:val="00AA788A"/>
    <w:rsid w:val="00AB1EB8"/>
    <w:rsid w:val="00AB550D"/>
    <w:rsid w:val="00AB71EC"/>
    <w:rsid w:val="00AD6516"/>
    <w:rsid w:val="00AD6AC8"/>
    <w:rsid w:val="00AE4702"/>
    <w:rsid w:val="00AF5132"/>
    <w:rsid w:val="00B0024F"/>
    <w:rsid w:val="00B054FC"/>
    <w:rsid w:val="00B15004"/>
    <w:rsid w:val="00B205AC"/>
    <w:rsid w:val="00B238AD"/>
    <w:rsid w:val="00B257FE"/>
    <w:rsid w:val="00B26508"/>
    <w:rsid w:val="00B434A5"/>
    <w:rsid w:val="00B47C2B"/>
    <w:rsid w:val="00B52533"/>
    <w:rsid w:val="00B61FEB"/>
    <w:rsid w:val="00B645ED"/>
    <w:rsid w:val="00B647AA"/>
    <w:rsid w:val="00B66BCD"/>
    <w:rsid w:val="00B710C1"/>
    <w:rsid w:val="00B720EC"/>
    <w:rsid w:val="00B74A73"/>
    <w:rsid w:val="00B7512D"/>
    <w:rsid w:val="00B762E0"/>
    <w:rsid w:val="00B81F1E"/>
    <w:rsid w:val="00B825D0"/>
    <w:rsid w:val="00B83929"/>
    <w:rsid w:val="00B915F1"/>
    <w:rsid w:val="00BA0D07"/>
    <w:rsid w:val="00BA1298"/>
    <w:rsid w:val="00BA7111"/>
    <w:rsid w:val="00BA7DEC"/>
    <w:rsid w:val="00BB1C2F"/>
    <w:rsid w:val="00BB2479"/>
    <w:rsid w:val="00BB7136"/>
    <w:rsid w:val="00BB7871"/>
    <w:rsid w:val="00BC2E2E"/>
    <w:rsid w:val="00BD357C"/>
    <w:rsid w:val="00BE0430"/>
    <w:rsid w:val="00BF324D"/>
    <w:rsid w:val="00BF32E3"/>
    <w:rsid w:val="00BF6D99"/>
    <w:rsid w:val="00BF735E"/>
    <w:rsid w:val="00C00C6F"/>
    <w:rsid w:val="00C0644C"/>
    <w:rsid w:val="00C06C19"/>
    <w:rsid w:val="00C163C6"/>
    <w:rsid w:val="00C205C8"/>
    <w:rsid w:val="00C2239C"/>
    <w:rsid w:val="00C37448"/>
    <w:rsid w:val="00C4006D"/>
    <w:rsid w:val="00C42585"/>
    <w:rsid w:val="00C46919"/>
    <w:rsid w:val="00C46D9F"/>
    <w:rsid w:val="00C56635"/>
    <w:rsid w:val="00C64D11"/>
    <w:rsid w:val="00C656DE"/>
    <w:rsid w:val="00C65B05"/>
    <w:rsid w:val="00C6735D"/>
    <w:rsid w:val="00C73F08"/>
    <w:rsid w:val="00C747AA"/>
    <w:rsid w:val="00C77027"/>
    <w:rsid w:val="00C77433"/>
    <w:rsid w:val="00C84019"/>
    <w:rsid w:val="00C84911"/>
    <w:rsid w:val="00C84B4C"/>
    <w:rsid w:val="00C91ACC"/>
    <w:rsid w:val="00C929D4"/>
    <w:rsid w:val="00C92C89"/>
    <w:rsid w:val="00C933ED"/>
    <w:rsid w:val="00C95A3B"/>
    <w:rsid w:val="00CA136B"/>
    <w:rsid w:val="00CA7470"/>
    <w:rsid w:val="00CA7BB7"/>
    <w:rsid w:val="00CB7686"/>
    <w:rsid w:val="00CC1545"/>
    <w:rsid w:val="00CC174C"/>
    <w:rsid w:val="00CC2FEA"/>
    <w:rsid w:val="00CD2BE0"/>
    <w:rsid w:val="00CD655B"/>
    <w:rsid w:val="00CE673B"/>
    <w:rsid w:val="00CF3861"/>
    <w:rsid w:val="00CF50ED"/>
    <w:rsid w:val="00CF59F0"/>
    <w:rsid w:val="00D060FC"/>
    <w:rsid w:val="00D0660C"/>
    <w:rsid w:val="00D07507"/>
    <w:rsid w:val="00D11271"/>
    <w:rsid w:val="00D145B5"/>
    <w:rsid w:val="00D150A9"/>
    <w:rsid w:val="00D20C47"/>
    <w:rsid w:val="00D20F53"/>
    <w:rsid w:val="00D2521F"/>
    <w:rsid w:val="00D27D52"/>
    <w:rsid w:val="00D32EC2"/>
    <w:rsid w:val="00D346E1"/>
    <w:rsid w:val="00D36BD4"/>
    <w:rsid w:val="00D41FCB"/>
    <w:rsid w:val="00D44D4E"/>
    <w:rsid w:val="00D474B5"/>
    <w:rsid w:val="00D540C6"/>
    <w:rsid w:val="00D543D5"/>
    <w:rsid w:val="00D621BB"/>
    <w:rsid w:val="00D66E74"/>
    <w:rsid w:val="00D678CF"/>
    <w:rsid w:val="00D71264"/>
    <w:rsid w:val="00D87085"/>
    <w:rsid w:val="00D916DB"/>
    <w:rsid w:val="00DA097F"/>
    <w:rsid w:val="00DA3E7C"/>
    <w:rsid w:val="00DA73A3"/>
    <w:rsid w:val="00DA79B5"/>
    <w:rsid w:val="00DB3948"/>
    <w:rsid w:val="00DB49A0"/>
    <w:rsid w:val="00DC0A30"/>
    <w:rsid w:val="00DD0A49"/>
    <w:rsid w:val="00DE2B4E"/>
    <w:rsid w:val="00DE2E04"/>
    <w:rsid w:val="00DE5FCC"/>
    <w:rsid w:val="00DF37B7"/>
    <w:rsid w:val="00DF4F3C"/>
    <w:rsid w:val="00DF4F6F"/>
    <w:rsid w:val="00E00C4C"/>
    <w:rsid w:val="00E076A3"/>
    <w:rsid w:val="00E14FC3"/>
    <w:rsid w:val="00E24E76"/>
    <w:rsid w:val="00E2570B"/>
    <w:rsid w:val="00E2592B"/>
    <w:rsid w:val="00E321CD"/>
    <w:rsid w:val="00E329EE"/>
    <w:rsid w:val="00E36581"/>
    <w:rsid w:val="00E431AA"/>
    <w:rsid w:val="00E43EBB"/>
    <w:rsid w:val="00E47851"/>
    <w:rsid w:val="00E50089"/>
    <w:rsid w:val="00E516E4"/>
    <w:rsid w:val="00E52235"/>
    <w:rsid w:val="00E56716"/>
    <w:rsid w:val="00E67FE8"/>
    <w:rsid w:val="00E706B3"/>
    <w:rsid w:val="00E71937"/>
    <w:rsid w:val="00E7422B"/>
    <w:rsid w:val="00E76C7A"/>
    <w:rsid w:val="00E771C3"/>
    <w:rsid w:val="00E84484"/>
    <w:rsid w:val="00E86261"/>
    <w:rsid w:val="00E97584"/>
    <w:rsid w:val="00EA6CF4"/>
    <w:rsid w:val="00EB50DC"/>
    <w:rsid w:val="00EB58F3"/>
    <w:rsid w:val="00EB6DB1"/>
    <w:rsid w:val="00EC102D"/>
    <w:rsid w:val="00EC1277"/>
    <w:rsid w:val="00ED0EBB"/>
    <w:rsid w:val="00ED215E"/>
    <w:rsid w:val="00ED475E"/>
    <w:rsid w:val="00EE1A96"/>
    <w:rsid w:val="00EE275D"/>
    <w:rsid w:val="00EE4455"/>
    <w:rsid w:val="00EF1009"/>
    <w:rsid w:val="00EF3455"/>
    <w:rsid w:val="00F00EF3"/>
    <w:rsid w:val="00F04055"/>
    <w:rsid w:val="00F06CED"/>
    <w:rsid w:val="00F122B9"/>
    <w:rsid w:val="00F21CD9"/>
    <w:rsid w:val="00F22750"/>
    <w:rsid w:val="00F3207F"/>
    <w:rsid w:val="00F3541A"/>
    <w:rsid w:val="00F4053E"/>
    <w:rsid w:val="00F412BB"/>
    <w:rsid w:val="00F4286F"/>
    <w:rsid w:val="00F46275"/>
    <w:rsid w:val="00F518D5"/>
    <w:rsid w:val="00F5665F"/>
    <w:rsid w:val="00F60488"/>
    <w:rsid w:val="00F6253C"/>
    <w:rsid w:val="00F631B6"/>
    <w:rsid w:val="00F63BC0"/>
    <w:rsid w:val="00F63D5B"/>
    <w:rsid w:val="00F640FB"/>
    <w:rsid w:val="00F64636"/>
    <w:rsid w:val="00F65927"/>
    <w:rsid w:val="00F70715"/>
    <w:rsid w:val="00F719B8"/>
    <w:rsid w:val="00F7379C"/>
    <w:rsid w:val="00F770E2"/>
    <w:rsid w:val="00F77BBF"/>
    <w:rsid w:val="00F84044"/>
    <w:rsid w:val="00F86454"/>
    <w:rsid w:val="00F94B00"/>
    <w:rsid w:val="00FA03AD"/>
    <w:rsid w:val="00FA0A2C"/>
    <w:rsid w:val="00FA2E89"/>
    <w:rsid w:val="00FA5EA7"/>
    <w:rsid w:val="00FB0826"/>
    <w:rsid w:val="00FB4BFF"/>
    <w:rsid w:val="00FB6500"/>
    <w:rsid w:val="00FC2D2F"/>
    <w:rsid w:val="00FC430C"/>
    <w:rsid w:val="00FC7332"/>
    <w:rsid w:val="00FC799D"/>
    <w:rsid w:val="00FD1D9C"/>
    <w:rsid w:val="00FD791C"/>
    <w:rsid w:val="00FE0066"/>
    <w:rsid w:val="00FE0D9B"/>
    <w:rsid w:val="00FF205B"/>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3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lang w:eastAsia="en-US"/>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161279"/>
    <w:pPr>
      <w:spacing w:after="200" w:line="276" w:lineRule="auto"/>
      <w:ind w:left="720"/>
      <w:contextualSpacing/>
    </w:pPr>
    <w:rPr>
      <w:rFonts w:ascii="Calibri" w:hAnsi="Calibri"/>
      <w:sz w:val="22"/>
      <w:szCs w:val="22"/>
      <w:lang w:bidi="en-US"/>
    </w:rPr>
  </w:style>
  <w:style w:type="character" w:customStyle="1" w:styleId="agency">
    <w:name w:val="agency"/>
    <w:basedOn w:val="DefaultParagraphFont"/>
    <w:rsid w:val="00F64636"/>
  </w:style>
  <w:style w:type="character" w:customStyle="1" w:styleId="subagy">
    <w:name w:val="subagy"/>
    <w:basedOn w:val="DefaultParagraphFont"/>
    <w:rsid w:val="00F64636"/>
  </w:style>
  <w:style w:type="character" w:customStyle="1" w:styleId="subject">
    <w:name w:val="subject"/>
    <w:basedOn w:val="DefaultParagraphFont"/>
    <w:rsid w:val="00F64636"/>
  </w:style>
  <w:style w:type="character" w:customStyle="1" w:styleId="hd">
    <w:name w:val="hd"/>
    <w:basedOn w:val="DefaultParagraphFont"/>
    <w:rsid w:val="00F64636"/>
  </w:style>
  <w:style w:type="character" w:customStyle="1" w:styleId="p">
    <w:name w:val="p"/>
    <w:basedOn w:val="DefaultParagraphFont"/>
    <w:rsid w:val="00F64636"/>
  </w:style>
  <w:style w:type="character" w:customStyle="1" w:styleId="apple-converted-space">
    <w:name w:val="apple-converted-space"/>
    <w:basedOn w:val="DefaultParagraphFont"/>
    <w:rsid w:val="00F64636"/>
  </w:style>
  <w:style w:type="character" w:customStyle="1" w:styleId="e-03">
    <w:name w:val="e-03"/>
    <w:basedOn w:val="DefaultParagraphFont"/>
    <w:rsid w:val="00F64636"/>
  </w:style>
  <w:style w:type="character" w:customStyle="1" w:styleId="pghdrcollection">
    <w:name w:val="pghdrcollection"/>
    <w:basedOn w:val="DefaultParagraphFont"/>
    <w:rsid w:val="00F64636"/>
  </w:style>
  <w:style w:type="character" w:customStyle="1" w:styleId="pghdrdlimit">
    <w:name w:val="pghdrdlimit"/>
    <w:basedOn w:val="DefaultParagraphFont"/>
    <w:rsid w:val="00F64636"/>
  </w:style>
  <w:style w:type="character" w:customStyle="1" w:styleId="pghdrreference">
    <w:name w:val="pghdrreference"/>
    <w:basedOn w:val="DefaultParagraphFont"/>
    <w:rsid w:val="00F64636"/>
  </w:style>
  <w:style w:type="character" w:customStyle="1" w:styleId="pghdrdate">
    <w:name w:val="pghdrdate"/>
    <w:basedOn w:val="DefaultParagraphFont"/>
    <w:rsid w:val="00F64636"/>
  </w:style>
  <w:style w:type="character" w:customStyle="1" w:styleId="prtpage">
    <w:name w:val="prtpage"/>
    <w:basedOn w:val="DefaultParagraphFont"/>
    <w:rsid w:val="00F64636"/>
  </w:style>
  <w:style w:type="paragraph" w:styleId="Revision">
    <w:name w:val="Revision"/>
    <w:hidden/>
    <w:uiPriority w:val="99"/>
    <w:semiHidden/>
    <w:rsid w:val="006A536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lang w:eastAsia="en-US"/>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161279"/>
    <w:pPr>
      <w:spacing w:after="200" w:line="276" w:lineRule="auto"/>
      <w:ind w:left="720"/>
      <w:contextualSpacing/>
    </w:pPr>
    <w:rPr>
      <w:rFonts w:ascii="Calibri" w:hAnsi="Calibri"/>
      <w:sz w:val="22"/>
      <w:szCs w:val="22"/>
      <w:lang w:bidi="en-US"/>
    </w:rPr>
  </w:style>
  <w:style w:type="character" w:customStyle="1" w:styleId="agency">
    <w:name w:val="agency"/>
    <w:basedOn w:val="DefaultParagraphFont"/>
    <w:rsid w:val="00F64636"/>
  </w:style>
  <w:style w:type="character" w:customStyle="1" w:styleId="subagy">
    <w:name w:val="subagy"/>
    <w:basedOn w:val="DefaultParagraphFont"/>
    <w:rsid w:val="00F64636"/>
  </w:style>
  <w:style w:type="character" w:customStyle="1" w:styleId="subject">
    <w:name w:val="subject"/>
    <w:basedOn w:val="DefaultParagraphFont"/>
    <w:rsid w:val="00F64636"/>
  </w:style>
  <w:style w:type="character" w:customStyle="1" w:styleId="hd">
    <w:name w:val="hd"/>
    <w:basedOn w:val="DefaultParagraphFont"/>
    <w:rsid w:val="00F64636"/>
  </w:style>
  <w:style w:type="character" w:customStyle="1" w:styleId="p">
    <w:name w:val="p"/>
    <w:basedOn w:val="DefaultParagraphFont"/>
    <w:rsid w:val="00F64636"/>
  </w:style>
  <w:style w:type="character" w:customStyle="1" w:styleId="apple-converted-space">
    <w:name w:val="apple-converted-space"/>
    <w:basedOn w:val="DefaultParagraphFont"/>
    <w:rsid w:val="00F64636"/>
  </w:style>
  <w:style w:type="character" w:customStyle="1" w:styleId="e-03">
    <w:name w:val="e-03"/>
    <w:basedOn w:val="DefaultParagraphFont"/>
    <w:rsid w:val="00F64636"/>
  </w:style>
  <w:style w:type="character" w:customStyle="1" w:styleId="pghdrcollection">
    <w:name w:val="pghdrcollection"/>
    <w:basedOn w:val="DefaultParagraphFont"/>
    <w:rsid w:val="00F64636"/>
  </w:style>
  <w:style w:type="character" w:customStyle="1" w:styleId="pghdrdlimit">
    <w:name w:val="pghdrdlimit"/>
    <w:basedOn w:val="DefaultParagraphFont"/>
    <w:rsid w:val="00F64636"/>
  </w:style>
  <w:style w:type="character" w:customStyle="1" w:styleId="pghdrreference">
    <w:name w:val="pghdrreference"/>
    <w:basedOn w:val="DefaultParagraphFont"/>
    <w:rsid w:val="00F64636"/>
  </w:style>
  <w:style w:type="character" w:customStyle="1" w:styleId="pghdrdate">
    <w:name w:val="pghdrdate"/>
    <w:basedOn w:val="DefaultParagraphFont"/>
    <w:rsid w:val="00F64636"/>
  </w:style>
  <w:style w:type="character" w:customStyle="1" w:styleId="prtpage">
    <w:name w:val="prtpage"/>
    <w:basedOn w:val="DefaultParagraphFont"/>
    <w:rsid w:val="00F64636"/>
  </w:style>
  <w:style w:type="paragraph" w:styleId="Revision">
    <w:name w:val="Revision"/>
    <w:hidden/>
    <w:uiPriority w:val="99"/>
    <w:semiHidden/>
    <w:rsid w:val="006A53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57763411">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46059837">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5644262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08103660">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00652177">
      <w:bodyDiv w:val="1"/>
      <w:marLeft w:val="0"/>
      <w:marRight w:val="0"/>
      <w:marTop w:val="0"/>
      <w:marBottom w:val="0"/>
      <w:divBdr>
        <w:top w:val="none" w:sz="0" w:space="0" w:color="auto"/>
        <w:left w:val="none" w:sz="0" w:space="0" w:color="auto"/>
        <w:bottom w:val="none" w:sz="0" w:space="0" w:color="auto"/>
        <w:right w:val="none" w:sz="0" w:space="0" w:color="auto"/>
      </w:divBdr>
    </w:div>
    <w:div w:id="1617979526">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22761603">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policy-data-oversight/pay-leave/salaries-wages/salary-tables/pdf/2016/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B8A63-EC26-4BED-AEF3-29D09A53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19331</CharactersWithSpaces>
  <SharedDoc>false</SharedDoc>
  <HLinks>
    <vt:vector size="18" baseType="variant">
      <vt:variant>
        <vt:i4>2228324</vt:i4>
      </vt:variant>
      <vt:variant>
        <vt:i4>69</vt:i4>
      </vt:variant>
      <vt:variant>
        <vt:i4>0</vt:i4>
      </vt:variant>
      <vt:variant>
        <vt:i4>5</vt:i4>
      </vt:variant>
      <vt:variant>
        <vt:lpwstr>60 Day FRN.docx</vt:lpwstr>
      </vt:variant>
      <vt:variant>
        <vt:lpwstr/>
      </vt:variant>
      <vt:variant>
        <vt:i4>6946866</vt:i4>
      </vt:variant>
      <vt:variant>
        <vt:i4>66</vt:i4>
      </vt:variant>
      <vt:variant>
        <vt:i4>0</vt:i4>
      </vt:variant>
      <vt:variant>
        <vt:i4>5</vt:i4>
      </vt:variant>
      <vt:variant>
        <vt:lpwstr>http://www.ahrq.gov/hrqa99.pdf</vt:lpwstr>
      </vt:variant>
      <vt:variant>
        <vt:lpwstr/>
      </vt:variant>
      <vt:variant>
        <vt:i4>1310722</vt:i4>
      </vt:variant>
      <vt:variant>
        <vt:i4>63</vt:i4>
      </vt:variant>
      <vt:variant>
        <vt:i4>0</vt:i4>
      </vt:variant>
      <vt:variant>
        <vt:i4>5</vt:i4>
      </vt:variant>
      <vt:variant>
        <vt:lpwstr>http://www.opm.gov/policy-data-oversight/pay-leave/salaries-wages/salary-tables/pdf/2015/DCB.pdf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SYSTEM</cp:lastModifiedBy>
  <cp:revision>2</cp:revision>
  <cp:lastPrinted>2011-07-06T18:06:00Z</cp:lastPrinted>
  <dcterms:created xsi:type="dcterms:W3CDTF">2018-04-25T15:40:00Z</dcterms:created>
  <dcterms:modified xsi:type="dcterms:W3CDTF">2018-04-25T15:40:00Z</dcterms:modified>
</cp:coreProperties>
</file>