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9E536" w14:textId="2645A7A0" w:rsidR="00DC57CC" w:rsidRPr="00E82FB3" w:rsidRDefault="00590ECE" w:rsidP="00E82FB3">
      <w:pPr>
        <w:spacing w:after="0" w:line="240" w:lineRule="auto"/>
        <w:jc w:val="center"/>
        <w:rPr>
          <w:rFonts w:cs="Times New Roman"/>
          <w:b/>
          <w:color w:val="FF0000"/>
          <w:sz w:val="24"/>
          <w:szCs w:val="24"/>
        </w:rPr>
      </w:pPr>
      <w:bookmarkStart w:id="0" w:name="_GoBack"/>
      <w:bookmarkEnd w:id="0"/>
      <w:r>
        <w:rPr>
          <w:rFonts w:cs="Times New Roman"/>
          <w:b/>
          <w:color w:val="FF0000"/>
          <w:sz w:val="24"/>
          <w:szCs w:val="24"/>
        </w:rPr>
        <w:t xml:space="preserve">NSFG OMB </w:t>
      </w:r>
      <w:r w:rsidR="00E331DF">
        <w:rPr>
          <w:rFonts w:cs="Times New Roman"/>
          <w:b/>
          <w:color w:val="FF0000"/>
          <w:sz w:val="24"/>
          <w:szCs w:val="24"/>
        </w:rPr>
        <w:t xml:space="preserve">Attachment </w:t>
      </w:r>
      <w:r>
        <w:rPr>
          <w:rFonts w:cs="Times New Roman"/>
          <w:b/>
          <w:color w:val="FF0000"/>
          <w:sz w:val="24"/>
          <w:szCs w:val="24"/>
        </w:rPr>
        <w:t>P</w:t>
      </w:r>
    </w:p>
    <w:p w14:paraId="506B08AE" w14:textId="72F70343" w:rsidR="00E82FB3" w:rsidRPr="00E82FB3" w:rsidRDefault="00E82FB3" w:rsidP="00E82FB3">
      <w:pPr>
        <w:pStyle w:val="ListParagraph"/>
        <w:ind w:left="915"/>
        <w:jc w:val="center"/>
        <w:rPr>
          <w:rFonts w:asciiTheme="minorHAnsi" w:hAnsiTheme="minorHAnsi"/>
          <w:b/>
        </w:rPr>
      </w:pPr>
      <w:r w:rsidRPr="00E82FB3">
        <w:rPr>
          <w:rFonts w:asciiTheme="minorHAnsi" w:hAnsiTheme="minorHAnsi"/>
          <w:b/>
        </w:rPr>
        <w:t>Comparison of Unweighted Distributions by</w:t>
      </w:r>
      <w:r w:rsidR="00164634" w:rsidRPr="00E82FB3">
        <w:rPr>
          <w:rFonts w:asciiTheme="minorHAnsi" w:hAnsiTheme="minorHAnsi"/>
          <w:b/>
        </w:rPr>
        <w:t xml:space="preserve"> Sexual Orientation </w:t>
      </w:r>
      <w:r w:rsidRPr="00E82FB3">
        <w:rPr>
          <w:rFonts w:asciiTheme="minorHAnsi" w:hAnsiTheme="minorHAnsi"/>
          <w:b/>
        </w:rPr>
        <w:t xml:space="preserve">in </w:t>
      </w:r>
      <w:r w:rsidR="009244C1">
        <w:rPr>
          <w:rFonts w:asciiTheme="minorHAnsi" w:hAnsiTheme="minorHAnsi"/>
          <w:b/>
        </w:rPr>
        <w:t>NSFG ACASI,</w:t>
      </w:r>
    </w:p>
    <w:p w14:paraId="3538E0AA" w14:textId="4B6F6699" w:rsidR="00164634" w:rsidRDefault="00E82FB3" w:rsidP="00E82FB3">
      <w:pPr>
        <w:pStyle w:val="ListParagraph"/>
        <w:ind w:left="915"/>
        <w:jc w:val="center"/>
        <w:rPr>
          <w:rFonts w:asciiTheme="minorHAnsi" w:hAnsiTheme="minorHAnsi"/>
          <w:b/>
        </w:rPr>
      </w:pPr>
      <w:r w:rsidRPr="00E82FB3">
        <w:rPr>
          <w:rFonts w:asciiTheme="minorHAnsi" w:hAnsiTheme="minorHAnsi"/>
          <w:b/>
        </w:rPr>
        <w:t>based on NSFG and NHIS Question Wording</w:t>
      </w:r>
    </w:p>
    <w:p w14:paraId="0BBFD8A6" w14:textId="1704FBD5" w:rsidR="00590ECE" w:rsidRDefault="00590ECE" w:rsidP="00E82FB3">
      <w:pPr>
        <w:pStyle w:val="ListParagraph"/>
        <w:ind w:left="915"/>
        <w:jc w:val="center"/>
        <w:rPr>
          <w:rFonts w:asciiTheme="minorHAnsi" w:hAnsiTheme="minorHAnsi"/>
          <w:b/>
        </w:rPr>
      </w:pPr>
    </w:p>
    <w:p w14:paraId="353DCCF5" w14:textId="169783EE" w:rsidR="00590ECE" w:rsidRPr="00590ECE" w:rsidRDefault="00590ECE" w:rsidP="00590ECE">
      <w:pPr>
        <w:rPr>
          <w:i/>
        </w:rPr>
      </w:pPr>
      <w:r w:rsidRPr="00590ECE">
        <w:rPr>
          <w:i/>
        </w:rPr>
        <w:t>Note: This attachment was provided in our Change Request, approved in August 2017</w:t>
      </w:r>
    </w:p>
    <w:p w14:paraId="620FB159" w14:textId="77777777" w:rsidR="00164634" w:rsidRPr="00E82FB3" w:rsidRDefault="00164634">
      <w:pPr>
        <w:rPr>
          <w:rFonts w:cs="Times New Roman"/>
          <w:sz w:val="24"/>
          <w:szCs w:val="24"/>
        </w:rPr>
      </w:pPr>
    </w:p>
    <w:p w14:paraId="0F138A23" w14:textId="77777777" w:rsidR="00E82FB3" w:rsidRPr="00E82FB3" w:rsidRDefault="00E82FB3" w:rsidP="00110C17">
      <w:pPr>
        <w:spacing w:line="240" w:lineRule="auto"/>
        <w:rPr>
          <w:b/>
          <w:sz w:val="24"/>
          <w:szCs w:val="24"/>
        </w:rPr>
      </w:pPr>
      <w:r w:rsidRPr="00E82FB3">
        <w:rPr>
          <w:b/>
          <w:sz w:val="24"/>
          <w:szCs w:val="24"/>
        </w:rPr>
        <w:t>Background</w:t>
      </w:r>
    </w:p>
    <w:p w14:paraId="7BA71C48" w14:textId="29CEE0E5" w:rsidR="00FE1694" w:rsidRDefault="00E82FB3" w:rsidP="00110C17">
      <w:pPr>
        <w:pStyle w:val="ListParagraph"/>
        <w:widowControl/>
        <w:tabs>
          <w:tab w:val="left" w:pos="720"/>
        </w:tabs>
        <w:ind w:left="0"/>
        <w:rPr>
          <w:rFonts w:asciiTheme="minorHAnsi" w:hAnsiTheme="minorHAnsi"/>
        </w:rPr>
      </w:pPr>
      <w:r>
        <w:rPr>
          <w:rFonts w:asciiTheme="minorHAnsi" w:hAnsiTheme="minorHAnsi"/>
        </w:rPr>
        <w:tab/>
      </w:r>
      <w:r w:rsidR="00FE1694" w:rsidRPr="00E530D2">
        <w:rPr>
          <w:rFonts w:asciiTheme="minorHAnsi" w:hAnsiTheme="minorHAnsi"/>
        </w:rPr>
        <w:t xml:space="preserve">Since 2002, the NSFG has included a question </w:t>
      </w:r>
      <w:r w:rsidRPr="00E530D2">
        <w:rPr>
          <w:rFonts w:asciiTheme="minorHAnsi" w:hAnsiTheme="minorHAnsi"/>
        </w:rPr>
        <w:t>on sexual orientation, asked for all male and femal</w:t>
      </w:r>
      <w:r w:rsidR="00BB705B" w:rsidRPr="00E530D2">
        <w:rPr>
          <w:rFonts w:asciiTheme="minorHAnsi" w:hAnsiTheme="minorHAnsi"/>
        </w:rPr>
        <w:t>e</w:t>
      </w:r>
      <w:r w:rsidRPr="00E530D2">
        <w:rPr>
          <w:rFonts w:asciiTheme="minorHAnsi" w:hAnsiTheme="minorHAnsi"/>
        </w:rPr>
        <w:t xml:space="preserve"> respondents aged 15-44 (and 15-49 since 2015) </w:t>
      </w:r>
      <w:r w:rsidR="00FE1694" w:rsidRPr="00E530D2">
        <w:rPr>
          <w:rFonts w:asciiTheme="minorHAnsi" w:hAnsiTheme="minorHAnsi"/>
        </w:rPr>
        <w:t xml:space="preserve">in </w:t>
      </w:r>
      <w:r w:rsidRPr="00E530D2">
        <w:rPr>
          <w:rFonts w:asciiTheme="minorHAnsi" w:hAnsiTheme="minorHAnsi"/>
        </w:rPr>
        <w:t xml:space="preserve">the self-administered portion of the survey (Audio Computer-Assisted Self-Interview, or </w:t>
      </w:r>
      <w:r w:rsidR="00FE1694" w:rsidRPr="00E530D2">
        <w:rPr>
          <w:rFonts w:asciiTheme="minorHAnsi" w:hAnsiTheme="minorHAnsi"/>
        </w:rPr>
        <w:t>ACASI</w:t>
      </w:r>
      <w:r w:rsidRPr="00E530D2">
        <w:rPr>
          <w:rFonts w:asciiTheme="minorHAnsi" w:hAnsiTheme="minorHAnsi"/>
        </w:rPr>
        <w:t>)</w:t>
      </w:r>
      <w:r w:rsidR="00FE1694" w:rsidRPr="00E530D2">
        <w:rPr>
          <w:rFonts w:asciiTheme="minorHAnsi" w:hAnsiTheme="minorHAnsi"/>
        </w:rPr>
        <w:t xml:space="preserve">.  </w:t>
      </w:r>
      <w:r w:rsidR="00AF2534" w:rsidRPr="00E530D2">
        <w:rPr>
          <w:rFonts w:asciiTheme="minorHAnsi" w:hAnsiTheme="minorHAnsi"/>
        </w:rPr>
        <w:t xml:space="preserve">Detailed reports on sexual behavior, sexual orientation and sexual attraction, based on </w:t>
      </w:r>
      <w:r w:rsidR="003D3BDB">
        <w:rPr>
          <w:rFonts w:asciiTheme="minorHAnsi" w:hAnsiTheme="minorHAnsi"/>
        </w:rPr>
        <w:t>NSFG data from</w:t>
      </w:r>
      <w:r w:rsidR="003D3BDB" w:rsidRPr="00E530D2">
        <w:rPr>
          <w:rFonts w:asciiTheme="minorHAnsi" w:hAnsiTheme="minorHAnsi"/>
        </w:rPr>
        <w:t xml:space="preserve"> </w:t>
      </w:r>
      <w:r w:rsidR="00AF2534" w:rsidRPr="00E530D2">
        <w:rPr>
          <w:rFonts w:asciiTheme="minorHAnsi" w:hAnsiTheme="minorHAnsi"/>
        </w:rPr>
        <w:t>2</w:t>
      </w:r>
      <w:r w:rsidR="008C65A4" w:rsidRPr="00E530D2">
        <w:rPr>
          <w:rFonts w:asciiTheme="minorHAnsi" w:hAnsiTheme="minorHAnsi"/>
        </w:rPr>
        <w:t>002</w:t>
      </w:r>
      <w:r w:rsidR="003D3BDB">
        <w:rPr>
          <w:rFonts w:asciiTheme="minorHAnsi" w:hAnsiTheme="minorHAnsi"/>
        </w:rPr>
        <w:t>,</w:t>
      </w:r>
      <w:r w:rsidR="008C65A4" w:rsidRPr="00E530D2">
        <w:rPr>
          <w:rFonts w:asciiTheme="minorHAnsi" w:hAnsiTheme="minorHAnsi"/>
        </w:rPr>
        <w:t xml:space="preserve"> 2006-2008, </w:t>
      </w:r>
      <w:r w:rsidR="003D3BDB">
        <w:rPr>
          <w:rFonts w:asciiTheme="minorHAnsi" w:hAnsiTheme="minorHAnsi"/>
        </w:rPr>
        <w:t xml:space="preserve">2006-2010, </w:t>
      </w:r>
      <w:r w:rsidR="008C65A4" w:rsidRPr="00E530D2">
        <w:rPr>
          <w:rFonts w:asciiTheme="minorHAnsi" w:hAnsiTheme="minorHAnsi"/>
        </w:rPr>
        <w:t>and 2011-2013</w:t>
      </w:r>
      <w:r w:rsidR="001F716C">
        <w:rPr>
          <w:rFonts w:asciiTheme="minorHAnsi" w:hAnsiTheme="minorHAnsi"/>
        </w:rPr>
        <w:t xml:space="preserve"> </w:t>
      </w:r>
      <w:r w:rsidR="00FE1694" w:rsidRPr="00E530D2">
        <w:rPr>
          <w:rFonts w:asciiTheme="minorHAnsi" w:hAnsiTheme="minorHAnsi"/>
        </w:rPr>
        <w:t>have been</w:t>
      </w:r>
      <w:r w:rsidR="00AF2534" w:rsidRPr="00E530D2">
        <w:rPr>
          <w:rFonts w:asciiTheme="minorHAnsi" w:hAnsiTheme="minorHAnsi"/>
        </w:rPr>
        <w:t xml:space="preserve"> published (Mosher et al, 2005; Chandra et al., 2011</w:t>
      </w:r>
      <w:r w:rsidR="000B0B9F">
        <w:rPr>
          <w:rFonts w:asciiTheme="minorHAnsi" w:hAnsiTheme="minorHAnsi"/>
        </w:rPr>
        <w:t>, 201</w:t>
      </w:r>
      <w:r w:rsidR="003E57E4">
        <w:rPr>
          <w:rFonts w:asciiTheme="minorHAnsi" w:hAnsiTheme="minorHAnsi"/>
        </w:rPr>
        <w:t>2</w:t>
      </w:r>
      <w:r w:rsidR="00195E6D">
        <w:rPr>
          <w:rFonts w:asciiTheme="minorHAnsi" w:hAnsiTheme="minorHAnsi"/>
        </w:rPr>
        <w:t xml:space="preserve">; </w:t>
      </w:r>
      <w:r w:rsidR="00AF2534" w:rsidRPr="00E530D2">
        <w:rPr>
          <w:rFonts w:asciiTheme="minorHAnsi" w:hAnsiTheme="minorHAnsi"/>
        </w:rPr>
        <w:t>Copen et al, 201</w:t>
      </w:r>
      <w:r w:rsidR="00E7364D" w:rsidRPr="00E530D2">
        <w:rPr>
          <w:rFonts w:asciiTheme="minorHAnsi" w:hAnsiTheme="minorHAnsi"/>
        </w:rPr>
        <w:t>6</w:t>
      </w:r>
      <w:r w:rsidR="00AF2534" w:rsidRPr="00E530D2">
        <w:rPr>
          <w:rFonts w:asciiTheme="minorHAnsi" w:hAnsiTheme="minorHAnsi"/>
        </w:rPr>
        <w:t>).</w:t>
      </w:r>
      <w:r w:rsidR="00E87B56" w:rsidRPr="00E530D2">
        <w:rPr>
          <w:rFonts w:asciiTheme="minorHAnsi" w:hAnsiTheme="minorHAnsi"/>
        </w:rPr>
        <w:t xml:space="preserve">  </w:t>
      </w:r>
      <w:r w:rsidR="003D3BDB">
        <w:rPr>
          <w:rFonts w:asciiTheme="minorHAnsi" w:hAnsiTheme="minorHAnsi"/>
        </w:rPr>
        <w:t>Other reports published by NCHS have examined sexual orientation as one of several correlates of other sexual and reproductive health related behaviors such as HIV testing</w:t>
      </w:r>
      <w:r w:rsidR="001F716C">
        <w:rPr>
          <w:rFonts w:asciiTheme="minorHAnsi" w:hAnsiTheme="minorHAnsi"/>
        </w:rPr>
        <w:t>, self-</w:t>
      </w:r>
      <w:r w:rsidR="001163BB">
        <w:rPr>
          <w:rFonts w:asciiTheme="minorHAnsi" w:hAnsiTheme="minorHAnsi"/>
        </w:rPr>
        <w:t xml:space="preserve">report of </w:t>
      </w:r>
      <w:r w:rsidR="001F716C">
        <w:rPr>
          <w:rFonts w:asciiTheme="minorHAnsi" w:hAnsiTheme="minorHAnsi"/>
        </w:rPr>
        <w:t>STI in lifetime</w:t>
      </w:r>
      <w:r w:rsidR="00E26496">
        <w:rPr>
          <w:rFonts w:asciiTheme="minorHAnsi" w:hAnsiTheme="minorHAnsi"/>
        </w:rPr>
        <w:t xml:space="preserve"> and </w:t>
      </w:r>
      <w:r w:rsidR="001F716C">
        <w:rPr>
          <w:rFonts w:asciiTheme="minorHAnsi" w:hAnsiTheme="minorHAnsi"/>
        </w:rPr>
        <w:t>other STI</w:t>
      </w:r>
      <w:r w:rsidR="003D3BDB">
        <w:rPr>
          <w:rFonts w:asciiTheme="minorHAnsi" w:hAnsiTheme="minorHAnsi"/>
        </w:rPr>
        <w:t>/HIV risk behaviors</w:t>
      </w:r>
      <w:r w:rsidR="00E26496">
        <w:rPr>
          <w:rFonts w:asciiTheme="minorHAnsi" w:hAnsiTheme="minorHAnsi"/>
        </w:rPr>
        <w:t xml:space="preserve"> (Copen et al, 2015; </w:t>
      </w:r>
      <w:r w:rsidR="001F716C">
        <w:rPr>
          <w:rFonts w:asciiTheme="minorHAnsi" w:hAnsiTheme="minorHAnsi"/>
        </w:rPr>
        <w:t xml:space="preserve">Mosher et al, 2005; </w:t>
      </w:r>
      <w:r w:rsidR="00E26496">
        <w:rPr>
          <w:rFonts w:asciiTheme="minorHAnsi" w:hAnsiTheme="minorHAnsi"/>
        </w:rPr>
        <w:t>Chandra et al, 2012)</w:t>
      </w:r>
      <w:r w:rsidR="003D3BDB">
        <w:rPr>
          <w:rFonts w:asciiTheme="minorHAnsi" w:hAnsiTheme="minorHAnsi"/>
        </w:rPr>
        <w:t>.</w:t>
      </w:r>
    </w:p>
    <w:p w14:paraId="00966A5E" w14:textId="77777777" w:rsidR="00110C17" w:rsidRPr="00E530D2" w:rsidRDefault="00110C17" w:rsidP="00110C17">
      <w:pPr>
        <w:pStyle w:val="ListParagraph"/>
        <w:widowControl/>
        <w:tabs>
          <w:tab w:val="left" w:pos="720"/>
        </w:tabs>
        <w:ind w:left="0"/>
        <w:rPr>
          <w:rFonts w:asciiTheme="minorHAnsi" w:hAnsiTheme="minorHAnsi"/>
        </w:rPr>
      </w:pPr>
    </w:p>
    <w:p w14:paraId="42D1E32F" w14:textId="77777777" w:rsidR="00110C17" w:rsidRDefault="00E530D2" w:rsidP="00110C17">
      <w:pPr>
        <w:pStyle w:val="ListParagraph"/>
        <w:widowControl/>
        <w:tabs>
          <w:tab w:val="left" w:pos="720"/>
        </w:tabs>
        <w:ind w:left="0"/>
        <w:rPr>
          <w:rFonts w:asciiTheme="minorHAnsi" w:hAnsiTheme="minorHAnsi"/>
          <w:color w:val="211E1E"/>
        </w:rPr>
      </w:pPr>
      <w:r>
        <w:rPr>
          <w:rFonts w:asciiTheme="minorHAnsi" w:hAnsiTheme="minorHAnsi"/>
        </w:rPr>
        <w:tab/>
      </w:r>
      <w:r w:rsidR="003D3BDB">
        <w:rPr>
          <w:rFonts w:asciiTheme="minorHAnsi" w:hAnsiTheme="minorHAnsi"/>
        </w:rPr>
        <w:t>Since sexual orientation was first included in the NSFG ACASI in 2002, s</w:t>
      </w:r>
      <w:r w:rsidR="00FE1694" w:rsidRPr="00E82FB3">
        <w:rPr>
          <w:rFonts w:asciiTheme="minorHAnsi" w:hAnsiTheme="minorHAnsi"/>
        </w:rPr>
        <w:t xml:space="preserve">everal changes have been made to the NSFG question </w:t>
      </w:r>
      <w:r w:rsidR="00D01DD7" w:rsidRPr="00E82FB3">
        <w:rPr>
          <w:rFonts w:asciiTheme="minorHAnsi" w:hAnsiTheme="minorHAnsi"/>
        </w:rPr>
        <w:t xml:space="preserve">to minimize response error.  </w:t>
      </w:r>
      <w:r w:rsidR="003D3BDB">
        <w:rPr>
          <w:rFonts w:asciiTheme="minorHAnsi" w:hAnsiTheme="minorHAnsi"/>
        </w:rPr>
        <w:t xml:space="preserve">The 2002 question was patterned directly on the 1992 National Health and Social Life Survey, conducted by University of Chicago, and basic statistics </w:t>
      </w:r>
      <w:r w:rsidR="001F716C">
        <w:rPr>
          <w:rFonts w:asciiTheme="minorHAnsi" w:hAnsiTheme="minorHAnsi"/>
        </w:rPr>
        <w:t>were published (Mosher et al, 2005)</w:t>
      </w:r>
      <w:r w:rsidR="003D3BDB">
        <w:rPr>
          <w:rFonts w:asciiTheme="minorHAnsi" w:hAnsiTheme="minorHAnsi"/>
        </w:rPr>
        <w:t xml:space="preserve">.  For reasons fully described in the technical notes </w:t>
      </w:r>
      <w:r w:rsidR="001F716C">
        <w:rPr>
          <w:rFonts w:asciiTheme="minorHAnsi" w:hAnsiTheme="minorHAnsi"/>
        </w:rPr>
        <w:t>of a prior NCHS report (Chandra et al, 2011)</w:t>
      </w:r>
      <w:r w:rsidR="00E7364D" w:rsidRPr="00E82FB3">
        <w:rPr>
          <w:rFonts w:asciiTheme="minorHAnsi" w:hAnsiTheme="minorHAnsi"/>
        </w:rPr>
        <w:t>,</w:t>
      </w:r>
      <w:r w:rsidR="00E7364D" w:rsidRPr="00E82FB3">
        <w:rPr>
          <w:rFonts w:asciiTheme="minorHAnsi" w:hAnsiTheme="minorHAnsi"/>
          <w:color w:val="211E1E"/>
        </w:rPr>
        <w:t xml:space="preserve"> </w:t>
      </w:r>
      <w:r w:rsidR="005F617B">
        <w:rPr>
          <w:rFonts w:asciiTheme="minorHAnsi" w:hAnsiTheme="minorHAnsi"/>
          <w:color w:val="211E1E"/>
        </w:rPr>
        <w:t xml:space="preserve">in 2006, </w:t>
      </w:r>
      <w:r w:rsidR="00E7364D" w:rsidRPr="00E82FB3">
        <w:rPr>
          <w:rFonts w:asciiTheme="minorHAnsi" w:hAnsiTheme="minorHAnsi"/>
          <w:color w:val="211E1E"/>
        </w:rPr>
        <w:t>more commonly known terms for sexual orientation were added to the response categories</w:t>
      </w:r>
      <w:r w:rsidR="003D3BDB">
        <w:rPr>
          <w:rFonts w:asciiTheme="minorHAnsi" w:hAnsiTheme="minorHAnsi"/>
          <w:color w:val="211E1E"/>
        </w:rPr>
        <w:t xml:space="preserve"> used in the 2002 NSFG</w:t>
      </w:r>
      <w:r w:rsidR="000B0B9F">
        <w:rPr>
          <w:rFonts w:asciiTheme="minorHAnsi" w:hAnsiTheme="minorHAnsi"/>
          <w:color w:val="211E1E"/>
        </w:rPr>
        <w:t>.</w:t>
      </w:r>
      <w:r w:rsidR="00E7364D" w:rsidRPr="00E82FB3">
        <w:rPr>
          <w:rFonts w:asciiTheme="minorHAnsi" w:hAnsiTheme="minorHAnsi"/>
          <w:color w:val="211E1E"/>
        </w:rPr>
        <w:t xml:space="preserve"> </w:t>
      </w:r>
      <w:r w:rsidR="008C65A4" w:rsidRPr="00E82FB3">
        <w:rPr>
          <w:rFonts w:asciiTheme="minorHAnsi" w:hAnsiTheme="minorHAnsi"/>
          <w:color w:val="211E1E"/>
        </w:rPr>
        <w:t xml:space="preserve"> </w:t>
      </w:r>
      <w:r w:rsidR="00E7364D" w:rsidRPr="00E82FB3">
        <w:rPr>
          <w:rFonts w:asciiTheme="minorHAnsi" w:hAnsiTheme="minorHAnsi"/>
          <w:color w:val="211E1E"/>
        </w:rPr>
        <w:t>Instead of ‘‘heterosexual,’’ the response was changed to ‘‘heterosexual or straight’’ fo</w:t>
      </w:r>
      <w:r w:rsidR="00DC2A3B" w:rsidRPr="00E82FB3">
        <w:rPr>
          <w:rFonts w:asciiTheme="minorHAnsi" w:hAnsiTheme="minorHAnsi"/>
          <w:color w:val="211E1E"/>
        </w:rPr>
        <w:t>r both men and women.  Similarly,</w:t>
      </w:r>
      <w:r w:rsidR="00E7364D" w:rsidRPr="00E82FB3">
        <w:rPr>
          <w:rFonts w:asciiTheme="minorHAnsi" w:hAnsiTheme="minorHAnsi"/>
          <w:color w:val="211E1E"/>
        </w:rPr>
        <w:t xml:space="preserve"> instead of ‘‘homosexual,’’ men were offered ‘‘homosexual or gay,’’ and women were offered ‘</w:t>
      </w:r>
      <w:r w:rsidR="008C65A4" w:rsidRPr="00E82FB3">
        <w:rPr>
          <w:rFonts w:asciiTheme="minorHAnsi" w:hAnsiTheme="minorHAnsi"/>
          <w:color w:val="211E1E"/>
        </w:rPr>
        <w:t>‘homosexual, gay, or lesbian</w:t>
      </w:r>
      <w:r w:rsidR="003D3BDB">
        <w:rPr>
          <w:rFonts w:asciiTheme="minorHAnsi" w:hAnsiTheme="minorHAnsi"/>
          <w:color w:val="211E1E"/>
        </w:rPr>
        <w:t>.</w:t>
      </w:r>
      <w:r w:rsidR="008C65A4" w:rsidRPr="00E82FB3">
        <w:rPr>
          <w:rFonts w:asciiTheme="minorHAnsi" w:hAnsiTheme="minorHAnsi"/>
          <w:color w:val="211E1E"/>
        </w:rPr>
        <w:t>”</w:t>
      </w:r>
      <w:r w:rsidR="00DC2A3B" w:rsidRPr="00E82FB3">
        <w:rPr>
          <w:rFonts w:asciiTheme="minorHAnsi" w:hAnsiTheme="minorHAnsi"/>
          <w:color w:val="211E1E"/>
        </w:rPr>
        <w:t xml:space="preserve">  </w:t>
      </w:r>
      <w:r w:rsidR="00D01DD7" w:rsidRPr="00E82FB3">
        <w:rPr>
          <w:rFonts w:asciiTheme="minorHAnsi" w:hAnsiTheme="minorHAnsi"/>
          <w:color w:val="211E1E"/>
        </w:rPr>
        <w:t>Furthermore, r</w:t>
      </w:r>
      <w:r w:rsidR="008C65A4" w:rsidRPr="00E82FB3">
        <w:rPr>
          <w:rFonts w:asciiTheme="minorHAnsi" w:hAnsiTheme="minorHAnsi"/>
          <w:color w:val="211E1E"/>
        </w:rPr>
        <w:t xml:space="preserve">espondents were able to select the category of “something else” to describe their sexual orientation in </w:t>
      </w:r>
      <w:r w:rsidR="003D3BDB">
        <w:rPr>
          <w:rFonts w:asciiTheme="minorHAnsi" w:hAnsiTheme="minorHAnsi"/>
          <w:color w:val="211E1E"/>
        </w:rPr>
        <w:t xml:space="preserve">both </w:t>
      </w:r>
      <w:r w:rsidR="008C65A4" w:rsidRPr="00E82FB3">
        <w:rPr>
          <w:rFonts w:asciiTheme="minorHAnsi" w:hAnsiTheme="minorHAnsi"/>
          <w:color w:val="211E1E"/>
        </w:rPr>
        <w:t>2002</w:t>
      </w:r>
      <w:r w:rsidR="001D6051" w:rsidRPr="00E82FB3">
        <w:rPr>
          <w:rFonts w:asciiTheme="minorHAnsi" w:hAnsiTheme="minorHAnsi"/>
          <w:color w:val="211E1E"/>
        </w:rPr>
        <w:t xml:space="preserve"> and 2006-2008</w:t>
      </w:r>
      <w:r w:rsidR="008C65A4" w:rsidRPr="00E82FB3">
        <w:rPr>
          <w:rFonts w:asciiTheme="minorHAnsi" w:hAnsiTheme="minorHAnsi"/>
          <w:color w:val="211E1E"/>
        </w:rPr>
        <w:t>.  Detailed analysis of the “something else”</w:t>
      </w:r>
      <w:r w:rsidR="00DC2A3B" w:rsidRPr="00E82FB3">
        <w:rPr>
          <w:rFonts w:asciiTheme="minorHAnsi" w:hAnsiTheme="minorHAnsi"/>
          <w:color w:val="211E1E"/>
        </w:rPr>
        <w:t xml:space="preserve"> category showed that the addition of the more commonly known terms to describe sexual orientation significantly reduced the percentage of respondents reporting “something else” as well as the percentages who “did not report” sexual orientation (</w:t>
      </w:r>
      <w:r w:rsidR="00D01DD7" w:rsidRPr="00E82FB3">
        <w:rPr>
          <w:rFonts w:asciiTheme="minorHAnsi" w:hAnsiTheme="minorHAnsi"/>
          <w:color w:val="211E1E"/>
        </w:rPr>
        <w:t xml:space="preserve">e.g., </w:t>
      </w:r>
      <w:r w:rsidR="00DC2A3B" w:rsidRPr="00E82FB3">
        <w:rPr>
          <w:rFonts w:asciiTheme="minorHAnsi" w:hAnsiTheme="minorHAnsi"/>
          <w:color w:val="211E1E"/>
        </w:rPr>
        <w:t>“don’t know” or “refused” ) between 2002 and 2006-2008.</w:t>
      </w:r>
      <w:r w:rsidR="001D6051" w:rsidRPr="00E82FB3">
        <w:rPr>
          <w:rFonts w:asciiTheme="minorHAnsi" w:hAnsiTheme="minorHAnsi"/>
          <w:color w:val="211E1E"/>
        </w:rPr>
        <w:t xml:space="preserve">  Hence, the “something else” category and a follow</w:t>
      </w:r>
      <w:r w:rsidR="00F554FA" w:rsidRPr="00E82FB3">
        <w:rPr>
          <w:rFonts w:asciiTheme="minorHAnsi" w:hAnsiTheme="minorHAnsi"/>
          <w:color w:val="211E1E"/>
        </w:rPr>
        <w:t>-</w:t>
      </w:r>
      <w:r w:rsidR="001D6051" w:rsidRPr="00E82FB3">
        <w:rPr>
          <w:rFonts w:asciiTheme="minorHAnsi" w:hAnsiTheme="minorHAnsi"/>
          <w:color w:val="211E1E"/>
        </w:rPr>
        <w:t xml:space="preserve">up </w:t>
      </w:r>
      <w:r w:rsidR="000B0B9F">
        <w:rPr>
          <w:rFonts w:asciiTheme="minorHAnsi" w:hAnsiTheme="minorHAnsi"/>
          <w:color w:val="211E1E"/>
        </w:rPr>
        <w:t xml:space="preserve">verbatim </w:t>
      </w:r>
      <w:r w:rsidR="001D6051" w:rsidRPr="00E82FB3">
        <w:rPr>
          <w:rFonts w:asciiTheme="minorHAnsi" w:hAnsiTheme="minorHAnsi"/>
          <w:color w:val="211E1E"/>
        </w:rPr>
        <w:t>question, “When you say “something else,” what do you mean?” were deleted</w:t>
      </w:r>
      <w:r w:rsidR="000B0B9F">
        <w:rPr>
          <w:rFonts w:asciiTheme="minorHAnsi" w:hAnsiTheme="minorHAnsi"/>
          <w:color w:val="211E1E"/>
        </w:rPr>
        <w:t xml:space="preserve"> from the survey</w:t>
      </w:r>
      <w:r w:rsidR="001D6051" w:rsidRPr="00E82FB3">
        <w:rPr>
          <w:rFonts w:asciiTheme="minorHAnsi" w:hAnsiTheme="minorHAnsi"/>
          <w:color w:val="211E1E"/>
        </w:rPr>
        <w:t xml:space="preserve"> in July 2008.  </w:t>
      </w:r>
      <w:r w:rsidR="00DC2A3B" w:rsidRPr="00E82FB3">
        <w:rPr>
          <w:rFonts w:asciiTheme="minorHAnsi" w:hAnsiTheme="minorHAnsi"/>
          <w:color w:val="211E1E"/>
        </w:rPr>
        <w:t xml:space="preserve">  </w:t>
      </w:r>
    </w:p>
    <w:p w14:paraId="54F4DF81" w14:textId="21D350DD" w:rsidR="00AF2534" w:rsidRPr="00E82FB3" w:rsidRDefault="00DC2A3B" w:rsidP="00110C17">
      <w:pPr>
        <w:pStyle w:val="ListParagraph"/>
        <w:widowControl/>
        <w:tabs>
          <w:tab w:val="left" w:pos="720"/>
        </w:tabs>
        <w:ind w:left="0"/>
        <w:rPr>
          <w:rFonts w:asciiTheme="minorHAnsi" w:hAnsiTheme="minorHAnsi"/>
        </w:rPr>
      </w:pPr>
      <w:r w:rsidRPr="00E82FB3">
        <w:rPr>
          <w:rFonts w:asciiTheme="minorHAnsi" w:hAnsiTheme="minorHAnsi"/>
          <w:color w:val="211E1E"/>
        </w:rPr>
        <w:t xml:space="preserve">        </w:t>
      </w:r>
      <w:r w:rsidR="008C65A4" w:rsidRPr="00E82FB3">
        <w:rPr>
          <w:rFonts w:asciiTheme="minorHAnsi" w:hAnsiTheme="minorHAnsi"/>
          <w:color w:val="211E1E"/>
        </w:rPr>
        <w:t xml:space="preserve"> </w:t>
      </w:r>
    </w:p>
    <w:p w14:paraId="458CF652" w14:textId="033C639A" w:rsidR="001B1C7D" w:rsidRDefault="00A3221D" w:rsidP="00110C17">
      <w:pPr>
        <w:tabs>
          <w:tab w:val="left" w:pos="720"/>
        </w:tabs>
        <w:spacing w:line="240" w:lineRule="auto"/>
        <w:rPr>
          <w:rFonts w:cs="Times New Roman"/>
          <w:sz w:val="24"/>
          <w:szCs w:val="24"/>
        </w:rPr>
      </w:pPr>
      <w:r>
        <w:rPr>
          <w:rFonts w:cs="Times New Roman"/>
          <w:sz w:val="24"/>
          <w:szCs w:val="24"/>
        </w:rPr>
        <w:tab/>
      </w:r>
      <w:r w:rsidR="000B0B9F">
        <w:rPr>
          <w:rFonts w:cs="Times New Roman"/>
          <w:sz w:val="24"/>
          <w:szCs w:val="24"/>
        </w:rPr>
        <w:t>Along with these</w:t>
      </w:r>
      <w:r w:rsidR="00320A05" w:rsidRPr="00E82FB3">
        <w:rPr>
          <w:rFonts w:cs="Times New Roman"/>
          <w:sz w:val="24"/>
          <w:szCs w:val="24"/>
        </w:rPr>
        <w:t xml:space="preserve"> improvements in the wording of the</w:t>
      </w:r>
      <w:r w:rsidR="000B0B9F">
        <w:rPr>
          <w:rFonts w:cs="Times New Roman"/>
          <w:sz w:val="24"/>
          <w:szCs w:val="24"/>
        </w:rPr>
        <w:t xml:space="preserve"> NSFG’s</w:t>
      </w:r>
      <w:r w:rsidR="00320A05" w:rsidRPr="00E82FB3">
        <w:rPr>
          <w:rFonts w:cs="Times New Roman"/>
          <w:sz w:val="24"/>
          <w:szCs w:val="24"/>
        </w:rPr>
        <w:t xml:space="preserve"> sexual orientation question, there have been continued efforts to harmonize the sexual orientation question across NCHS surveys.  </w:t>
      </w:r>
      <w:r w:rsidR="001B1C7D">
        <w:rPr>
          <w:rFonts w:cs="Times New Roman"/>
          <w:sz w:val="24"/>
          <w:szCs w:val="24"/>
        </w:rPr>
        <w:t xml:space="preserve">The National Health Interview Survey (NHIS) first included a sexual orientation question in </w:t>
      </w:r>
      <w:r w:rsidR="00EF6F9E">
        <w:rPr>
          <w:rFonts w:cs="Times New Roman"/>
          <w:sz w:val="24"/>
          <w:szCs w:val="24"/>
        </w:rPr>
        <w:t>2013</w:t>
      </w:r>
      <w:r w:rsidR="001B1C7D">
        <w:rPr>
          <w:rFonts w:cs="Times New Roman"/>
          <w:sz w:val="24"/>
          <w:szCs w:val="24"/>
        </w:rPr>
        <w:t>, and after several years of cognitive and operational testing (Dahlhamer</w:t>
      </w:r>
      <w:r w:rsidR="00EF6F9E">
        <w:rPr>
          <w:rFonts w:cs="Times New Roman"/>
          <w:sz w:val="24"/>
          <w:szCs w:val="24"/>
        </w:rPr>
        <w:t>, 2014)</w:t>
      </w:r>
      <w:r w:rsidR="001B1C7D">
        <w:rPr>
          <w:rFonts w:cs="Times New Roman"/>
          <w:sz w:val="24"/>
          <w:szCs w:val="24"/>
        </w:rPr>
        <w:t xml:space="preserve">, arrived at a question that was recommended as the NCHS-wide standard.  </w:t>
      </w:r>
    </w:p>
    <w:p w14:paraId="75CEC303" w14:textId="77777777" w:rsidR="00110C17" w:rsidRDefault="00110C17">
      <w:pPr>
        <w:rPr>
          <w:rFonts w:cs="Times New Roman"/>
          <w:sz w:val="24"/>
          <w:szCs w:val="24"/>
        </w:rPr>
      </w:pPr>
      <w:r>
        <w:rPr>
          <w:rFonts w:cs="Times New Roman"/>
          <w:sz w:val="24"/>
          <w:szCs w:val="24"/>
        </w:rPr>
        <w:br w:type="page"/>
      </w:r>
    </w:p>
    <w:p w14:paraId="4DD36EEC" w14:textId="0D0AE3B8" w:rsidR="001B1C7D" w:rsidRPr="00EF6F9E" w:rsidRDefault="001B1C7D" w:rsidP="00110C17">
      <w:pPr>
        <w:tabs>
          <w:tab w:val="left" w:pos="720"/>
        </w:tabs>
        <w:spacing w:line="240" w:lineRule="auto"/>
        <w:rPr>
          <w:rFonts w:cs="Times New Roman"/>
          <w:sz w:val="24"/>
          <w:szCs w:val="24"/>
        </w:rPr>
      </w:pPr>
      <w:r w:rsidRPr="00EF6F9E">
        <w:rPr>
          <w:rFonts w:cs="Times New Roman"/>
          <w:sz w:val="24"/>
          <w:szCs w:val="24"/>
        </w:rPr>
        <w:lastRenderedPageBreak/>
        <w:t>The NSFG and NHIS questions are shown below:</w:t>
      </w:r>
    </w:p>
    <w:p w14:paraId="41B326B3" w14:textId="10E06E48" w:rsidR="00EF6F9E" w:rsidRPr="00EF6F9E" w:rsidRDefault="00EF6F9E" w:rsidP="00110C17">
      <w:pPr>
        <w:tabs>
          <w:tab w:val="left" w:pos="-1440"/>
        </w:tabs>
        <w:spacing w:line="240" w:lineRule="auto"/>
        <w:ind w:left="1440" w:hanging="720"/>
        <w:rPr>
          <w:rFonts w:cs="Courier New"/>
          <w:b/>
          <w:sz w:val="24"/>
          <w:szCs w:val="24"/>
        </w:rPr>
      </w:pPr>
      <w:r w:rsidRPr="00EF6F9E">
        <w:rPr>
          <w:rFonts w:cs="Courier New"/>
          <w:b/>
          <w:sz w:val="24"/>
          <w:szCs w:val="24"/>
        </w:rPr>
        <w:t>NSFG question:</w:t>
      </w:r>
    </w:p>
    <w:p w14:paraId="29103B29" w14:textId="5432F378" w:rsidR="00EF6F9E" w:rsidRPr="00EF6F9E" w:rsidRDefault="00EF6F9E" w:rsidP="00110C17">
      <w:pPr>
        <w:tabs>
          <w:tab w:val="left" w:pos="-1440"/>
        </w:tabs>
        <w:spacing w:line="240" w:lineRule="auto"/>
        <w:ind w:left="1440" w:hanging="720"/>
        <w:rPr>
          <w:rFonts w:cs="Courier New"/>
          <w:sz w:val="24"/>
          <w:szCs w:val="24"/>
        </w:rPr>
      </w:pPr>
      <w:r w:rsidRPr="00EF6F9E">
        <w:rPr>
          <w:rFonts w:cs="Courier New"/>
          <w:sz w:val="24"/>
          <w:szCs w:val="24"/>
        </w:rPr>
        <w:t>Do you think of yourself as ...</w:t>
      </w:r>
    </w:p>
    <w:p w14:paraId="6EBA595A" w14:textId="196509BA" w:rsidR="00EF6F9E" w:rsidRDefault="00EF6F9E" w:rsidP="00110C17">
      <w:pPr>
        <w:spacing w:after="0" w:line="240" w:lineRule="auto"/>
        <w:ind w:left="720"/>
        <w:rPr>
          <w:rFonts w:cs="Courier New"/>
          <w:color w:val="000000"/>
          <w:sz w:val="24"/>
          <w:szCs w:val="24"/>
        </w:rPr>
      </w:pPr>
      <w:bookmarkStart w:id="1" w:name="OLE_LINK10"/>
      <w:bookmarkStart w:id="2" w:name="OLE_LINK11"/>
      <w:r w:rsidRPr="00EF6F9E">
        <w:rPr>
          <w:rFonts w:cs="Courier New"/>
          <w:color w:val="000000"/>
          <w:sz w:val="24"/>
          <w:szCs w:val="24"/>
        </w:rPr>
        <w:t>Heterosexual</w:t>
      </w:r>
      <w:r w:rsidRPr="00EF6F9E">
        <w:rPr>
          <w:sz w:val="24"/>
          <w:szCs w:val="24"/>
        </w:rPr>
        <w:t xml:space="preserve"> </w:t>
      </w:r>
      <w:r w:rsidRPr="00EF6F9E">
        <w:rPr>
          <w:rFonts w:cs="Courier New"/>
          <w:sz w:val="24"/>
          <w:szCs w:val="24"/>
        </w:rPr>
        <w:t>or straight</w:t>
      </w:r>
      <w:r w:rsidRPr="00EF6F9E">
        <w:rPr>
          <w:sz w:val="24"/>
          <w:szCs w:val="24"/>
        </w:rPr>
        <w:t xml:space="preserve"> </w:t>
      </w:r>
      <w:r w:rsidRPr="00EF6F9E">
        <w:rPr>
          <w:sz w:val="24"/>
          <w:szCs w:val="24"/>
        </w:rPr>
        <w:br/>
      </w:r>
      <w:r w:rsidRPr="00EF6F9E">
        <w:rPr>
          <w:rFonts w:cs="Courier New"/>
          <w:color w:val="000000"/>
          <w:sz w:val="24"/>
          <w:szCs w:val="24"/>
        </w:rPr>
        <w:t>Homosexual</w:t>
      </w:r>
      <w:r w:rsidRPr="00EF6F9E">
        <w:rPr>
          <w:rFonts w:cs="Courier New"/>
          <w:sz w:val="24"/>
          <w:szCs w:val="24"/>
        </w:rPr>
        <w:t>, gay, or lesbian</w:t>
      </w:r>
      <w:r w:rsidRPr="00EF6F9E">
        <w:rPr>
          <w:sz w:val="24"/>
          <w:szCs w:val="24"/>
        </w:rPr>
        <w:br/>
      </w:r>
      <w:r w:rsidRPr="00EF6F9E">
        <w:rPr>
          <w:rFonts w:cs="Courier New"/>
          <w:color w:val="000000"/>
          <w:sz w:val="24"/>
          <w:szCs w:val="24"/>
        </w:rPr>
        <w:t xml:space="preserve">Bisexual </w:t>
      </w:r>
      <w:bookmarkEnd w:id="1"/>
      <w:bookmarkEnd w:id="2"/>
    </w:p>
    <w:p w14:paraId="0817D990" w14:textId="77777777" w:rsidR="00EF6F9E" w:rsidRDefault="00EF6F9E" w:rsidP="00110C17">
      <w:pPr>
        <w:spacing w:after="0" w:line="240" w:lineRule="auto"/>
        <w:ind w:left="720"/>
        <w:rPr>
          <w:rFonts w:cs="Courier New"/>
          <w:b/>
          <w:color w:val="000000"/>
          <w:sz w:val="24"/>
          <w:szCs w:val="24"/>
        </w:rPr>
      </w:pPr>
    </w:p>
    <w:p w14:paraId="3D010847" w14:textId="0E20D72D" w:rsidR="00EF6F9E" w:rsidRPr="00EF6F9E" w:rsidRDefault="00EF6F9E" w:rsidP="00110C17">
      <w:pPr>
        <w:spacing w:after="0" w:line="240" w:lineRule="auto"/>
        <w:ind w:left="720"/>
        <w:rPr>
          <w:rFonts w:cs="Courier New"/>
          <w:b/>
          <w:color w:val="000000"/>
          <w:sz w:val="24"/>
          <w:szCs w:val="24"/>
        </w:rPr>
      </w:pPr>
      <w:r w:rsidRPr="00EF6F9E">
        <w:rPr>
          <w:rFonts w:cs="Courier New"/>
          <w:b/>
          <w:color w:val="000000"/>
          <w:sz w:val="24"/>
          <w:szCs w:val="24"/>
        </w:rPr>
        <w:t xml:space="preserve">NHIS question: </w:t>
      </w:r>
    </w:p>
    <w:p w14:paraId="29EF3FB9" w14:textId="6687D483" w:rsidR="00EF6F9E" w:rsidRDefault="00EF6F9E" w:rsidP="00110C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Calibri" w:cs="Courier New"/>
          <w:iCs/>
          <w:sz w:val="24"/>
          <w:szCs w:val="24"/>
          <w:lang w:bidi="he-IL"/>
        </w:rPr>
      </w:pPr>
      <w:r w:rsidRPr="00EF6F9E">
        <w:rPr>
          <w:rFonts w:eastAsia="Calibri" w:cs="Courier New"/>
          <w:iCs/>
          <w:sz w:val="24"/>
          <w:szCs w:val="24"/>
          <w:lang w:bidi="he-IL"/>
        </w:rPr>
        <w:t>Which of the following best represents how you think of yourself?</w:t>
      </w:r>
    </w:p>
    <w:p w14:paraId="03F0867A" w14:textId="77777777" w:rsidR="00110C17" w:rsidRPr="00EF6F9E" w:rsidRDefault="00110C17" w:rsidP="00110C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Calibri" w:cs="Courier New"/>
          <w:iCs/>
          <w:sz w:val="24"/>
          <w:szCs w:val="24"/>
          <w:lang w:bidi="he-IL"/>
        </w:rPr>
      </w:pPr>
    </w:p>
    <w:p w14:paraId="5A6C6C01" w14:textId="038B3CA7" w:rsidR="00EF6F9E" w:rsidRPr="00EF6F9E" w:rsidRDefault="00EF6F9E" w:rsidP="00110C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cs="Courier New"/>
          <w:sz w:val="24"/>
          <w:szCs w:val="24"/>
        </w:rPr>
      </w:pPr>
      <w:r w:rsidRPr="00EF6F9E">
        <w:rPr>
          <w:rFonts w:cs="Courier New"/>
          <w:sz w:val="24"/>
          <w:szCs w:val="24"/>
        </w:rPr>
        <w:t xml:space="preserve">Lesbian or gay </w:t>
      </w:r>
    </w:p>
    <w:p w14:paraId="0C784D5D" w14:textId="570D9D3D" w:rsidR="00EF6F9E" w:rsidRPr="00EF6F9E" w:rsidRDefault="00EF6F9E" w:rsidP="00110C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cs="Courier New"/>
          <w:sz w:val="24"/>
          <w:szCs w:val="24"/>
        </w:rPr>
      </w:pPr>
      <w:r w:rsidRPr="00EF6F9E">
        <w:rPr>
          <w:rFonts w:cs="Courier New"/>
          <w:sz w:val="24"/>
          <w:szCs w:val="24"/>
        </w:rPr>
        <w:t>Straight, that is, not lesbian or gay</w:t>
      </w:r>
    </w:p>
    <w:p w14:paraId="7E3CAAF2" w14:textId="2B6860C7" w:rsidR="00EF6F9E" w:rsidRPr="00EF6F9E" w:rsidRDefault="00EF6F9E" w:rsidP="00110C17">
      <w:pPr>
        <w:spacing w:after="0" w:line="240" w:lineRule="auto"/>
        <w:ind w:left="720"/>
        <w:rPr>
          <w:rFonts w:cs="Courier New"/>
          <w:sz w:val="24"/>
          <w:szCs w:val="24"/>
        </w:rPr>
      </w:pPr>
      <w:r w:rsidRPr="00EF6F9E">
        <w:rPr>
          <w:rFonts w:cs="Courier New"/>
          <w:sz w:val="24"/>
          <w:szCs w:val="24"/>
        </w:rPr>
        <w:t xml:space="preserve">Bisexual </w:t>
      </w:r>
    </w:p>
    <w:p w14:paraId="7876EEA9" w14:textId="6B68D864" w:rsidR="00EF6F9E" w:rsidRDefault="00EF6F9E" w:rsidP="00110C17">
      <w:pPr>
        <w:spacing w:after="0" w:line="240" w:lineRule="auto"/>
        <w:ind w:left="720"/>
        <w:rPr>
          <w:rFonts w:cs="Courier New"/>
          <w:sz w:val="24"/>
          <w:szCs w:val="24"/>
        </w:rPr>
      </w:pPr>
      <w:r w:rsidRPr="00EF6F9E">
        <w:rPr>
          <w:rFonts w:cs="Courier New"/>
          <w:sz w:val="24"/>
          <w:szCs w:val="24"/>
        </w:rPr>
        <w:t xml:space="preserve">Something else </w:t>
      </w:r>
    </w:p>
    <w:p w14:paraId="304253CA" w14:textId="77777777" w:rsidR="00110C17" w:rsidRPr="00EF6F9E" w:rsidRDefault="00110C17" w:rsidP="00110C17">
      <w:pPr>
        <w:spacing w:after="0" w:line="240" w:lineRule="auto"/>
        <w:ind w:left="720"/>
        <w:rPr>
          <w:rFonts w:cs="Courier New"/>
          <w:sz w:val="24"/>
          <w:szCs w:val="24"/>
        </w:rPr>
      </w:pPr>
    </w:p>
    <w:p w14:paraId="512F40B0" w14:textId="245BB8E4" w:rsidR="00F554FA" w:rsidRDefault="001163BB" w:rsidP="00110C17">
      <w:pPr>
        <w:tabs>
          <w:tab w:val="left" w:pos="720"/>
        </w:tabs>
        <w:spacing w:line="240" w:lineRule="auto"/>
        <w:rPr>
          <w:rFonts w:cs="Times New Roman"/>
          <w:sz w:val="24"/>
          <w:szCs w:val="24"/>
        </w:rPr>
      </w:pPr>
      <w:r>
        <w:rPr>
          <w:sz w:val="24"/>
          <w:szCs w:val="24"/>
        </w:rPr>
        <w:tab/>
      </w:r>
      <w:r w:rsidR="001B1C7D">
        <w:rPr>
          <w:rFonts w:cs="Times New Roman"/>
          <w:sz w:val="24"/>
          <w:szCs w:val="24"/>
        </w:rPr>
        <w:t>NSFG was asked to adopt the NHIS question beginning in 2015, but g</w:t>
      </w:r>
      <w:r w:rsidR="00F554FA" w:rsidRPr="00E82FB3">
        <w:rPr>
          <w:rFonts w:cs="Times New Roman"/>
          <w:sz w:val="24"/>
          <w:szCs w:val="24"/>
        </w:rPr>
        <w:t xml:space="preserve">iven the </w:t>
      </w:r>
      <w:r w:rsidR="001B1C7D">
        <w:rPr>
          <w:rFonts w:cs="Times New Roman"/>
          <w:sz w:val="24"/>
          <w:szCs w:val="24"/>
        </w:rPr>
        <w:t>NSFG’s longer history of asking about sexual orientation in the ACASI mode, we were approved, as part of our 2015-2018 renewal package in 2015, to conduct a 50-50 randomized study to compare the distributions by sexual orientation that are obtained using the two question approaches.  Also, this study permitted an assessment of the two questions in a similar placement in the questionnaire, that is, in the same position in ACASI after all sexual</w:t>
      </w:r>
      <w:r>
        <w:rPr>
          <w:rFonts w:cs="Times New Roman"/>
          <w:sz w:val="24"/>
          <w:szCs w:val="24"/>
        </w:rPr>
        <w:t xml:space="preserve"> behavior items had been asked</w:t>
      </w:r>
      <w:r w:rsidR="001B1C7D">
        <w:rPr>
          <w:rFonts w:cs="Times New Roman"/>
          <w:sz w:val="24"/>
          <w:szCs w:val="24"/>
        </w:rPr>
        <w:t xml:space="preserve">, which would potentially “equalize” any contextual effects seen when comparing NSFG and NHIS data directly. </w:t>
      </w:r>
      <w:r w:rsidR="00F554FA" w:rsidRPr="00E82FB3">
        <w:rPr>
          <w:rFonts w:cs="Times New Roman"/>
          <w:sz w:val="24"/>
          <w:szCs w:val="24"/>
        </w:rPr>
        <w:t xml:space="preserve"> </w:t>
      </w:r>
      <w:r w:rsidR="003355D9" w:rsidRPr="00E82FB3">
        <w:rPr>
          <w:rFonts w:cs="Times New Roman"/>
          <w:sz w:val="24"/>
          <w:szCs w:val="24"/>
        </w:rPr>
        <w:t xml:space="preserve"> </w:t>
      </w:r>
      <w:r w:rsidR="00CB54AC">
        <w:rPr>
          <w:rFonts w:cs="Times New Roman"/>
          <w:sz w:val="24"/>
          <w:szCs w:val="24"/>
        </w:rPr>
        <w:t>Beginning with fieldwork in September 2015, all NSFG ACASI respondents were randomized in</w:t>
      </w:r>
      <w:r w:rsidR="003355D9" w:rsidRPr="00E82FB3">
        <w:rPr>
          <w:rFonts w:cs="Times New Roman"/>
          <w:sz w:val="24"/>
          <w:szCs w:val="24"/>
        </w:rPr>
        <w:t xml:space="preserve"> a 50-50 split </w:t>
      </w:r>
      <w:r w:rsidR="00CB54AC">
        <w:rPr>
          <w:rFonts w:cs="Times New Roman"/>
          <w:sz w:val="24"/>
          <w:szCs w:val="24"/>
        </w:rPr>
        <w:t xml:space="preserve">to be asked </w:t>
      </w:r>
      <w:r w:rsidR="003355D9" w:rsidRPr="00E82FB3">
        <w:rPr>
          <w:rFonts w:cs="Times New Roman"/>
          <w:sz w:val="24"/>
          <w:szCs w:val="24"/>
        </w:rPr>
        <w:t xml:space="preserve">either the NHIS or </w:t>
      </w:r>
      <w:r w:rsidR="00CB54AC">
        <w:rPr>
          <w:rFonts w:cs="Times New Roman"/>
          <w:sz w:val="24"/>
          <w:szCs w:val="24"/>
        </w:rPr>
        <w:t xml:space="preserve">the </w:t>
      </w:r>
      <w:r w:rsidR="003355D9" w:rsidRPr="00E82FB3">
        <w:rPr>
          <w:rFonts w:cs="Times New Roman"/>
          <w:sz w:val="24"/>
          <w:szCs w:val="24"/>
        </w:rPr>
        <w:t>NSFG sexual orientation question.</w:t>
      </w:r>
      <w:r w:rsidR="00AF2534" w:rsidRPr="00E82FB3">
        <w:rPr>
          <w:rFonts w:cs="Times New Roman"/>
          <w:sz w:val="24"/>
          <w:szCs w:val="24"/>
        </w:rPr>
        <w:t xml:space="preserve"> </w:t>
      </w:r>
      <w:r w:rsidR="00F83CCE" w:rsidRPr="00E82FB3">
        <w:rPr>
          <w:rFonts w:cs="Times New Roman"/>
          <w:sz w:val="24"/>
          <w:szCs w:val="24"/>
        </w:rPr>
        <w:t xml:space="preserve"> </w:t>
      </w:r>
    </w:p>
    <w:p w14:paraId="1CD17E33" w14:textId="77777777" w:rsidR="006A4884" w:rsidRPr="006A4884" w:rsidRDefault="006A4884" w:rsidP="00110C17">
      <w:pPr>
        <w:tabs>
          <w:tab w:val="left" w:pos="720"/>
        </w:tabs>
        <w:spacing w:line="240" w:lineRule="auto"/>
        <w:rPr>
          <w:rFonts w:cs="Times New Roman"/>
          <w:b/>
          <w:sz w:val="24"/>
          <w:szCs w:val="24"/>
        </w:rPr>
      </w:pPr>
      <w:r>
        <w:rPr>
          <w:rFonts w:cs="Times New Roman"/>
          <w:b/>
          <w:sz w:val="24"/>
          <w:szCs w:val="24"/>
        </w:rPr>
        <w:t>Results of the 50-50 Randomized Study of the NSFG &amp; NHIS Questions</w:t>
      </w:r>
    </w:p>
    <w:p w14:paraId="2BE33156" w14:textId="10B26A66" w:rsidR="002129A3" w:rsidRPr="00E82FB3" w:rsidRDefault="001163BB" w:rsidP="00110C17">
      <w:pPr>
        <w:tabs>
          <w:tab w:val="left" w:pos="720"/>
        </w:tabs>
        <w:spacing w:line="240" w:lineRule="auto"/>
        <w:rPr>
          <w:rFonts w:cs="Times New Roman"/>
          <w:color w:val="211E1E"/>
          <w:sz w:val="24"/>
          <w:szCs w:val="24"/>
        </w:rPr>
      </w:pPr>
      <w:r>
        <w:rPr>
          <w:rFonts w:cs="Times New Roman"/>
          <w:sz w:val="24"/>
          <w:szCs w:val="24"/>
        </w:rPr>
        <w:tab/>
      </w:r>
      <w:r w:rsidR="00DC2A3B" w:rsidRPr="00E82FB3">
        <w:rPr>
          <w:rFonts w:cs="Times New Roman"/>
          <w:sz w:val="24"/>
          <w:szCs w:val="24"/>
        </w:rPr>
        <w:t>Table</w:t>
      </w:r>
      <w:r w:rsidR="00B713DA" w:rsidRPr="00E82FB3">
        <w:rPr>
          <w:rFonts w:cs="Times New Roman"/>
          <w:sz w:val="24"/>
          <w:szCs w:val="24"/>
        </w:rPr>
        <w:t>s</w:t>
      </w:r>
      <w:r w:rsidR="00DC2A3B" w:rsidRPr="00E82FB3">
        <w:rPr>
          <w:rFonts w:cs="Times New Roman"/>
          <w:sz w:val="24"/>
          <w:szCs w:val="24"/>
        </w:rPr>
        <w:t xml:space="preserve"> 1</w:t>
      </w:r>
      <w:r w:rsidR="00B713DA" w:rsidRPr="00E82FB3">
        <w:rPr>
          <w:rFonts w:cs="Times New Roman"/>
          <w:sz w:val="24"/>
          <w:szCs w:val="24"/>
        </w:rPr>
        <w:t xml:space="preserve"> and 2</w:t>
      </w:r>
      <w:r w:rsidR="00DC2A3B" w:rsidRPr="00E82FB3">
        <w:rPr>
          <w:rFonts w:cs="Times New Roman"/>
          <w:sz w:val="24"/>
          <w:szCs w:val="24"/>
        </w:rPr>
        <w:t xml:space="preserve"> show the </w:t>
      </w:r>
      <w:r w:rsidR="00DC2A3B" w:rsidRPr="000B0B9F">
        <w:rPr>
          <w:rFonts w:cs="Times New Roman"/>
          <w:i/>
          <w:sz w:val="24"/>
          <w:szCs w:val="24"/>
          <w:u w:val="single"/>
        </w:rPr>
        <w:t>unweighted</w:t>
      </w:r>
      <w:r w:rsidR="00DC2A3B" w:rsidRPr="00E82FB3">
        <w:rPr>
          <w:rFonts w:cs="Times New Roman"/>
          <w:sz w:val="24"/>
          <w:szCs w:val="24"/>
        </w:rPr>
        <w:t xml:space="preserve"> </w:t>
      </w:r>
      <w:r w:rsidR="000B0B9F">
        <w:rPr>
          <w:rFonts w:cs="Times New Roman"/>
          <w:sz w:val="24"/>
          <w:szCs w:val="24"/>
        </w:rPr>
        <w:t xml:space="preserve">sample </w:t>
      </w:r>
      <w:r w:rsidR="00DC2A3B" w:rsidRPr="00E82FB3">
        <w:rPr>
          <w:rFonts w:cs="Times New Roman"/>
          <w:sz w:val="24"/>
          <w:szCs w:val="24"/>
        </w:rPr>
        <w:t xml:space="preserve">numbers and </w:t>
      </w:r>
      <w:r w:rsidR="000B0B9F">
        <w:rPr>
          <w:rFonts w:cs="Times New Roman"/>
          <w:sz w:val="24"/>
          <w:szCs w:val="24"/>
        </w:rPr>
        <w:t>percentage distributions f</w:t>
      </w:r>
      <w:r w:rsidR="00320A05" w:rsidRPr="00E82FB3">
        <w:rPr>
          <w:rFonts w:cs="Times New Roman"/>
          <w:sz w:val="24"/>
          <w:szCs w:val="24"/>
        </w:rPr>
        <w:t>or the NSFG and NHIS sexual orientation questions</w:t>
      </w:r>
      <w:r w:rsidR="000B0B9F">
        <w:rPr>
          <w:rFonts w:cs="Times New Roman"/>
          <w:sz w:val="24"/>
          <w:szCs w:val="24"/>
        </w:rPr>
        <w:t xml:space="preserve"> among </w:t>
      </w:r>
      <w:r w:rsidR="000906BD" w:rsidRPr="00E82FB3">
        <w:rPr>
          <w:rFonts w:cs="Times New Roman"/>
          <w:sz w:val="24"/>
          <w:szCs w:val="24"/>
        </w:rPr>
        <w:t xml:space="preserve">4,253 </w:t>
      </w:r>
      <w:r w:rsidR="00320A05" w:rsidRPr="00E82FB3">
        <w:rPr>
          <w:rFonts w:cs="Times New Roman"/>
          <w:sz w:val="24"/>
          <w:szCs w:val="24"/>
        </w:rPr>
        <w:t xml:space="preserve">females and </w:t>
      </w:r>
      <w:r w:rsidR="00EC16FD" w:rsidRPr="00E82FB3">
        <w:rPr>
          <w:rFonts w:cs="Times New Roman"/>
          <w:sz w:val="24"/>
          <w:szCs w:val="24"/>
        </w:rPr>
        <w:t>3,474</w:t>
      </w:r>
      <w:r w:rsidR="000906BD" w:rsidRPr="00E82FB3">
        <w:rPr>
          <w:rFonts w:cs="Times New Roman"/>
          <w:sz w:val="24"/>
          <w:szCs w:val="24"/>
        </w:rPr>
        <w:t xml:space="preserve"> </w:t>
      </w:r>
      <w:r w:rsidR="00F83CCE" w:rsidRPr="00E82FB3">
        <w:rPr>
          <w:rFonts w:cs="Times New Roman"/>
          <w:sz w:val="24"/>
          <w:szCs w:val="24"/>
        </w:rPr>
        <w:t>males respondents aged 15-49</w:t>
      </w:r>
      <w:r w:rsidR="00320A05" w:rsidRPr="00E82FB3">
        <w:rPr>
          <w:rFonts w:cs="Times New Roman"/>
          <w:sz w:val="24"/>
          <w:szCs w:val="24"/>
        </w:rPr>
        <w:t xml:space="preserve"> who were interviewed between September 2015 </w:t>
      </w:r>
      <w:r w:rsidR="000B0B9F">
        <w:rPr>
          <w:rFonts w:cs="Times New Roman"/>
          <w:sz w:val="24"/>
          <w:szCs w:val="24"/>
        </w:rPr>
        <w:t xml:space="preserve">through </w:t>
      </w:r>
      <w:r w:rsidR="00320A05" w:rsidRPr="00E82FB3">
        <w:rPr>
          <w:rFonts w:cs="Times New Roman"/>
          <w:sz w:val="24"/>
          <w:szCs w:val="24"/>
        </w:rPr>
        <w:t>March 2017.</w:t>
      </w:r>
      <w:r w:rsidR="00D01DD7" w:rsidRPr="00E82FB3">
        <w:rPr>
          <w:rFonts w:cs="Times New Roman"/>
          <w:sz w:val="24"/>
          <w:szCs w:val="24"/>
        </w:rPr>
        <w:t xml:space="preserve">  </w:t>
      </w:r>
      <w:r w:rsidR="000B0B9F">
        <w:rPr>
          <w:rFonts w:cs="Times New Roman"/>
          <w:sz w:val="24"/>
          <w:szCs w:val="24"/>
        </w:rPr>
        <w:t xml:space="preserve">(Appropriate sample weights for the full 2-year data files planned for public release will not be available until early 2018, so only unweighted tabulations can be examined at this time.)  </w:t>
      </w:r>
      <w:r w:rsidR="00D01DD7" w:rsidRPr="00E82FB3">
        <w:rPr>
          <w:rFonts w:cs="Times New Roman"/>
          <w:sz w:val="24"/>
          <w:szCs w:val="24"/>
        </w:rPr>
        <w:t>T</w:t>
      </w:r>
      <w:r w:rsidR="003A669C" w:rsidRPr="00E82FB3">
        <w:rPr>
          <w:rFonts w:cs="Times New Roman"/>
          <w:color w:val="211E1E"/>
          <w:sz w:val="24"/>
          <w:szCs w:val="24"/>
        </w:rPr>
        <w:t xml:space="preserve">he </w:t>
      </w:r>
      <w:r w:rsidR="000B0B9F">
        <w:rPr>
          <w:rFonts w:cs="Times New Roman"/>
          <w:color w:val="211E1E"/>
          <w:sz w:val="24"/>
          <w:szCs w:val="24"/>
        </w:rPr>
        <w:t xml:space="preserve">overall </w:t>
      </w:r>
      <w:r w:rsidR="003A669C" w:rsidRPr="00E82FB3">
        <w:rPr>
          <w:rFonts w:cs="Times New Roman"/>
          <w:color w:val="211E1E"/>
          <w:sz w:val="24"/>
          <w:szCs w:val="24"/>
        </w:rPr>
        <w:t xml:space="preserve">distribution </w:t>
      </w:r>
      <w:r w:rsidR="000B0B9F">
        <w:rPr>
          <w:rFonts w:cs="Times New Roman"/>
          <w:color w:val="211E1E"/>
          <w:sz w:val="24"/>
          <w:szCs w:val="24"/>
        </w:rPr>
        <w:t>by</w:t>
      </w:r>
      <w:r w:rsidR="003A669C" w:rsidRPr="00E82FB3">
        <w:rPr>
          <w:rFonts w:cs="Times New Roman"/>
          <w:color w:val="211E1E"/>
          <w:sz w:val="24"/>
          <w:szCs w:val="24"/>
        </w:rPr>
        <w:t xml:space="preserve"> sexual orientation </w:t>
      </w:r>
      <w:r w:rsidR="0050037A" w:rsidRPr="00E82FB3">
        <w:rPr>
          <w:rFonts w:cs="Times New Roman"/>
          <w:color w:val="211E1E"/>
          <w:sz w:val="24"/>
          <w:szCs w:val="24"/>
        </w:rPr>
        <w:t>was</w:t>
      </w:r>
      <w:r w:rsidR="003A669C" w:rsidRPr="00E82FB3">
        <w:rPr>
          <w:rFonts w:cs="Times New Roman"/>
          <w:color w:val="211E1E"/>
          <w:sz w:val="24"/>
          <w:szCs w:val="24"/>
        </w:rPr>
        <w:t xml:space="preserve"> similar</w:t>
      </w:r>
      <w:r w:rsidR="005C7037" w:rsidRPr="00E82FB3">
        <w:rPr>
          <w:rFonts w:cs="Times New Roman"/>
          <w:color w:val="211E1E"/>
          <w:sz w:val="24"/>
          <w:szCs w:val="24"/>
        </w:rPr>
        <w:t xml:space="preserve"> for</w:t>
      </w:r>
      <w:r w:rsidR="00B713DA" w:rsidRPr="00E82FB3">
        <w:rPr>
          <w:rFonts w:cs="Times New Roman"/>
          <w:color w:val="211E1E"/>
          <w:sz w:val="24"/>
          <w:szCs w:val="24"/>
        </w:rPr>
        <w:t xml:space="preserve"> the</w:t>
      </w:r>
      <w:r w:rsidR="003A669C" w:rsidRPr="00E82FB3">
        <w:rPr>
          <w:rFonts w:cs="Times New Roman"/>
          <w:color w:val="211E1E"/>
          <w:sz w:val="24"/>
          <w:szCs w:val="24"/>
        </w:rPr>
        <w:t xml:space="preserve"> NSFG and NHIS</w:t>
      </w:r>
      <w:r w:rsidR="00B713DA" w:rsidRPr="00E82FB3">
        <w:rPr>
          <w:rFonts w:cs="Times New Roman"/>
          <w:color w:val="211E1E"/>
          <w:sz w:val="24"/>
          <w:szCs w:val="24"/>
        </w:rPr>
        <w:t xml:space="preserve"> questions</w:t>
      </w:r>
      <w:r w:rsidR="00EC16FD" w:rsidRPr="00E82FB3">
        <w:rPr>
          <w:rFonts w:cs="Times New Roman"/>
          <w:color w:val="211E1E"/>
          <w:sz w:val="24"/>
          <w:szCs w:val="24"/>
        </w:rPr>
        <w:t>. Among</w:t>
      </w:r>
      <w:r w:rsidR="00F83CCE" w:rsidRPr="00E82FB3">
        <w:rPr>
          <w:rFonts w:cs="Times New Roman"/>
          <w:color w:val="211E1E"/>
          <w:sz w:val="24"/>
          <w:szCs w:val="24"/>
        </w:rPr>
        <w:t xml:space="preserve"> females</w:t>
      </w:r>
      <w:r w:rsidR="000B0B9F">
        <w:rPr>
          <w:rFonts w:cs="Times New Roman"/>
          <w:color w:val="211E1E"/>
          <w:sz w:val="24"/>
          <w:szCs w:val="24"/>
        </w:rPr>
        <w:t xml:space="preserve"> 15-49</w:t>
      </w:r>
      <w:r w:rsidR="003A669C" w:rsidRPr="00E82FB3">
        <w:rPr>
          <w:rFonts w:cs="Times New Roman"/>
          <w:color w:val="211E1E"/>
          <w:sz w:val="24"/>
          <w:szCs w:val="24"/>
        </w:rPr>
        <w:t>, 89.3%</w:t>
      </w:r>
      <w:r w:rsidR="00B713DA" w:rsidRPr="00E82FB3">
        <w:rPr>
          <w:rFonts w:cs="Times New Roman"/>
          <w:color w:val="211E1E"/>
          <w:sz w:val="24"/>
          <w:szCs w:val="24"/>
        </w:rPr>
        <w:t xml:space="preserve"> </w:t>
      </w:r>
      <w:r w:rsidR="005C7037" w:rsidRPr="00E82FB3">
        <w:rPr>
          <w:rFonts w:cs="Times New Roman"/>
          <w:color w:val="211E1E"/>
          <w:sz w:val="24"/>
          <w:szCs w:val="24"/>
        </w:rPr>
        <w:t>who received the NSFG ques</w:t>
      </w:r>
      <w:r w:rsidR="00EC16FD" w:rsidRPr="00E82FB3">
        <w:rPr>
          <w:rFonts w:cs="Times New Roman"/>
          <w:color w:val="211E1E"/>
          <w:sz w:val="24"/>
          <w:szCs w:val="24"/>
        </w:rPr>
        <w:t>t</w:t>
      </w:r>
      <w:r w:rsidR="00F83CCE" w:rsidRPr="00E82FB3">
        <w:rPr>
          <w:rFonts w:cs="Times New Roman"/>
          <w:color w:val="211E1E"/>
          <w:sz w:val="24"/>
          <w:szCs w:val="24"/>
        </w:rPr>
        <w:t xml:space="preserve">ion identified as “heterosexual or </w:t>
      </w:r>
      <w:r w:rsidR="005C7037" w:rsidRPr="00E82FB3">
        <w:rPr>
          <w:rFonts w:cs="Times New Roman"/>
          <w:color w:val="211E1E"/>
          <w:sz w:val="24"/>
          <w:szCs w:val="24"/>
        </w:rPr>
        <w:t>straight</w:t>
      </w:r>
      <w:r w:rsidR="00EC16FD" w:rsidRPr="00E82FB3">
        <w:rPr>
          <w:rFonts w:cs="Times New Roman"/>
          <w:color w:val="211E1E"/>
          <w:sz w:val="24"/>
          <w:szCs w:val="24"/>
        </w:rPr>
        <w:t>”</w:t>
      </w:r>
      <w:r w:rsidR="005C7037" w:rsidRPr="00E82FB3">
        <w:rPr>
          <w:rFonts w:cs="Times New Roman"/>
          <w:color w:val="211E1E"/>
          <w:sz w:val="24"/>
          <w:szCs w:val="24"/>
        </w:rPr>
        <w:t xml:space="preserve"> compared with </w:t>
      </w:r>
      <w:r w:rsidR="003A669C" w:rsidRPr="00E82FB3">
        <w:rPr>
          <w:rFonts w:cs="Times New Roman"/>
          <w:color w:val="211E1E"/>
          <w:sz w:val="24"/>
          <w:szCs w:val="24"/>
        </w:rPr>
        <w:t>86.9%</w:t>
      </w:r>
      <w:r w:rsidR="005C7037" w:rsidRPr="00E82FB3">
        <w:rPr>
          <w:rFonts w:cs="Times New Roman"/>
          <w:color w:val="211E1E"/>
          <w:sz w:val="24"/>
          <w:szCs w:val="24"/>
        </w:rPr>
        <w:t xml:space="preserve"> who received</w:t>
      </w:r>
      <w:r w:rsidR="004F4B44" w:rsidRPr="00E82FB3">
        <w:rPr>
          <w:rFonts w:cs="Times New Roman"/>
          <w:color w:val="211E1E"/>
          <w:sz w:val="24"/>
          <w:szCs w:val="24"/>
        </w:rPr>
        <w:t xml:space="preserve"> the</w:t>
      </w:r>
      <w:r w:rsidR="005C7037" w:rsidRPr="00E82FB3">
        <w:rPr>
          <w:rFonts w:cs="Times New Roman"/>
          <w:color w:val="211E1E"/>
          <w:sz w:val="24"/>
          <w:szCs w:val="24"/>
        </w:rPr>
        <w:t xml:space="preserve"> </w:t>
      </w:r>
      <w:r w:rsidR="00B713DA" w:rsidRPr="00E82FB3">
        <w:rPr>
          <w:rFonts w:cs="Times New Roman"/>
          <w:color w:val="211E1E"/>
          <w:sz w:val="24"/>
          <w:szCs w:val="24"/>
        </w:rPr>
        <w:t>NHIS question, 2.3% and 2.1% identified</w:t>
      </w:r>
      <w:r w:rsidR="00EC16FD" w:rsidRPr="00E82FB3">
        <w:rPr>
          <w:rFonts w:cs="Times New Roman"/>
          <w:color w:val="211E1E"/>
          <w:sz w:val="24"/>
          <w:szCs w:val="24"/>
        </w:rPr>
        <w:t xml:space="preserve"> as “homosexual/</w:t>
      </w:r>
      <w:r w:rsidR="00B713DA" w:rsidRPr="00E82FB3">
        <w:rPr>
          <w:rFonts w:cs="Times New Roman"/>
          <w:color w:val="211E1E"/>
          <w:sz w:val="24"/>
          <w:szCs w:val="24"/>
        </w:rPr>
        <w:t>gay/lesbian</w:t>
      </w:r>
      <w:r w:rsidR="00CB54AC">
        <w:rPr>
          <w:rFonts w:cs="Times New Roman"/>
          <w:color w:val="211E1E"/>
          <w:sz w:val="24"/>
          <w:szCs w:val="24"/>
        </w:rPr>
        <w:t>,”</w:t>
      </w:r>
      <w:r>
        <w:rPr>
          <w:rFonts w:cs="Times New Roman"/>
          <w:color w:val="211E1E"/>
          <w:sz w:val="24"/>
          <w:szCs w:val="24"/>
        </w:rPr>
        <w:t xml:space="preserve"> 7.</w:t>
      </w:r>
      <w:r w:rsidR="00B713DA" w:rsidRPr="00E82FB3">
        <w:rPr>
          <w:rFonts w:cs="Times New Roman"/>
          <w:color w:val="211E1E"/>
          <w:sz w:val="24"/>
          <w:szCs w:val="24"/>
        </w:rPr>
        <w:t xml:space="preserve">3% and 6.7% identified as </w:t>
      </w:r>
      <w:r w:rsidR="00EC16FD" w:rsidRPr="00E82FB3">
        <w:rPr>
          <w:rFonts w:cs="Times New Roman"/>
          <w:color w:val="211E1E"/>
          <w:sz w:val="24"/>
          <w:szCs w:val="24"/>
        </w:rPr>
        <w:t>“</w:t>
      </w:r>
      <w:r w:rsidR="00B713DA" w:rsidRPr="00E82FB3">
        <w:rPr>
          <w:rFonts w:cs="Times New Roman"/>
          <w:color w:val="211E1E"/>
          <w:sz w:val="24"/>
          <w:szCs w:val="24"/>
        </w:rPr>
        <w:t>bisexual</w:t>
      </w:r>
      <w:r w:rsidR="00CB54AC">
        <w:rPr>
          <w:rFonts w:cs="Times New Roman"/>
          <w:color w:val="211E1E"/>
          <w:sz w:val="24"/>
          <w:szCs w:val="24"/>
        </w:rPr>
        <w:t>,”</w:t>
      </w:r>
      <w:r w:rsidR="00B713DA" w:rsidRPr="00E82FB3">
        <w:rPr>
          <w:rFonts w:cs="Times New Roman"/>
          <w:color w:val="211E1E"/>
          <w:sz w:val="24"/>
          <w:szCs w:val="24"/>
        </w:rPr>
        <w:t xml:space="preserve"> 0.6% and 0.8% refused and 0.5% and 0.1% said “don’t know</w:t>
      </w:r>
      <w:r w:rsidR="000B0B9F">
        <w:rPr>
          <w:rFonts w:cs="Times New Roman"/>
          <w:color w:val="211E1E"/>
          <w:sz w:val="24"/>
          <w:szCs w:val="24"/>
        </w:rPr>
        <w:t>.”</w:t>
      </w:r>
      <w:r w:rsidR="00B713DA" w:rsidRPr="00E82FB3">
        <w:rPr>
          <w:rFonts w:cs="Times New Roman"/>
          <w:color w:val="211E1E"/>
          <w:sz w:val="24"/>
          <w:szCs w:val="24"/>
        </w:rPr>
        <w:t xml:space="preserve">  </w:t>
      </w:r>
      <w:r w:rsidR="00EC16FD" w:rsidRPr="00E82FB3">
        <w:rPr>
          <w:rFonts w:cs="Times New Roman"/>
          <w:color w:val="211E1E"/>
          <w:sz w:val="24"/>
          <w:szCs w:val="24"/>
        </w:rPr>
        <w:t>For males</w:t>
      </w:r>
      <w:r w:rsidR="000B0B9F">
        <w:rPr>
          <w:rFonts w:cs="Times New Roman"/>
          <w:color w:val="211E1E"/>
          <w:sz w:val="24"/>
          <w:szCs w:val="24"/>
        </w:rPr>
        <w:t xml:space="preserve"> 15-49</w:t>
      </w:r>
      <w:r w:rsidR="00EC16FD" w:rsidRPr="00E82FB3">
        <w:rPr>
          <w:rFonts w:cs="Times New Roman"/>
          <w:color w:val="211E1E"/>
          <w:sz w:val="24"/>
          <w:szCs w:val="24"/>
        </w:rPr>
        <w:t>, 93.8% who received the NSFG quest</w:t>
      </w:r>
      <w:r w:rsidR="00F83CCE" w:rsidRPr="00E82FB3">
        <w:rPr>
          <w:rFonts w:cs="Times New Roman"/>
          <w:color w:val="211E1E"/>
          <w:sz w:val="24"/>
          <w:szCs w:val="24"/>
        </w:rPr>
        <w:t xml:space="preserve">ion identified as “heterosexual or </w:t>
      </w:r>
      <w:r w:rsidR="00EC16FD" w:rsidRPr="00E82FB3">
        <w:rPr>
          <w:rFonts w:cs="Times New Roman"/>
          <w:color w:val="211E1E"/>
          <w:sz w:val="24"/>
          <w:szCs w:val="24"/>
        </w:rPr>
        <w:t>straight” compared with 92.1% who received the NHIS question, 2.3% and 2.9% identified as “homosexual/gay</w:t>
      </w:r>
      <w:r w:rsidR="00CB54AC">
        <w:rPr>
          <w:rFonts w:cs="Times New Roman"/>
          <w:color w:val="211E1E"/>
          <w:sz w:val="24"/>
          <w:szCs w:val="24"/>
        </w:rPr>
        <w:t>,”</w:t>
      </w:r>
      <w:r w:rsidR="00EC16FD" w:rsidRPr="00E82FB3">
        <w:rPr>
          <w:rFonts w:cs="Times New Roman"/>
          <w:color w:val="211E1E"/>
          <w:sz w:val="24"/>
          <w:szCs w:val="24"/>
        </w:rPr>
        <w:t xml:space="preserve"> 2.9% and 2.1% identified as “bisexual</w:t>
      </w:r>
      <w:r w:rsidR="00CB54AC">
        <w:rPr>
          <w:rFonts w:cs="Times New Roman"/>
          <w:color w:val="211E1E"/>
          <w:sz w:val="24"/>
          <w:szCs w:val="24"/>
        </w:rPr>
        <w:t>,”</w:t>
      </w:r>
      <w:r w:rsidR="003355D9" w:rsidRPr="00E82FB3">
        <w:rPr>
          <w:rFonts w:cs="Times New Roman"/>
          <w:color w:val="211E1E"/>
          <w:sz w:val="24"/>
          <w:szCs w:val="24"/>
        </w:rPr>
        <w:t xml:space="preserve"> 0.8% (for both) </w:t>
      </w:r>
      <w:r w:rsidR="00EC16FD" w:rsidRPr="00E82FB3">
        <w:rPr>
          <w:rFonts w:cs="Times New Roman"/>
          <w:color w:val="211E1E"/>
          <w:sz w:val="24"/>
          <w:szCs w:val="24"/>
        </w:rPr>
        <w:t>refused and 0.3% and 0.1% said “don’t know</w:t>
      </w:r>
      <w:r w:rsidR="000B0B9F">
        <w:rPr>
          <w:rFonts w:cs="Times New Roman"/>
          <w:color w:val="211E1E"/>
          <w:sz w:val="24"/>
          <w:szCs w:val="24"/>
        </w:rPr>
        <w:t>.”</w:t>
      </w:r>
      <w:r w:rsidR="00EC16FD" w:rsidRPr="00E82FB3">
        <w:rPr>
          <w:rFonts w:cs="Times New Roman"/>
          <w:color w:val="211E1E"/>
          <w:sz w:val="24"/>
          <w:szCs w:val="24"/>
        </w:rPr>
        <w:t xml:space="preserve">  </w:t>
      </w:r>
    </w:p>
    <w:p w14:paraId="45E87CAB" w14:textId="48CAF091" w:rsidR="0050037A" w:rsidRPr="00E82FB3" w:rsidRDefault="001163BB" w:rsidP="00110C17">
      <w:pPr>
        <w:tabs>
          <w:tab w:val="left" w:pos="720"/>
        </w:tabs>
        <w:spacing w:line="240" w:lineRule="auto"/>
        <w:rPr>
          <w:rFonts w:cs="Times New Roman"/>
          <w:color w:val="211E1E"/>
          <w:sz w:val="24"/>
          <w:szCs w:val="24"/>
        </w:rPr>
      </w:pPr>
      <w:r>
        <w:rPr>
          <w:rFonts w:cs="Times New Roman"/>
          <w:color w:val="211E1E"/>
          <w:sz w:val="24"/>
          <w:szCs w:val="24"/>
        </w:rPr>
        <w:tab/>
      </w:r>
      <w:r w:rsidR="00E766C1" w:rsidRPr="00E82FB3">
        <w:rPr>
          <w:rFonts w:cs="Times New Roman"/>
          <w:color w:val="211E1E"/>
          <w:sz w:val="24"/>
          <w:szCs w:val="24"/>
        </w:rPr>
        <w:t xml:space="preserve">Responses to the NSFG and NHIS sexual orientation questions were </w:t>
      </w:r>
      <w:r w:rsidR="000B0B9F">
        <w:rPr>
          <w:rFonts w:cs="Times New Roman"/>
          <w:color w:val="211E1E"/>
          <w:sz w:val="24"/>
          <w:szCs w:val="24"/>
        </w:rPr>
        <w:t xml:space="preserve">also </w:t>
      </w:r>
      <w:r w:rsidR="00C96DF0">
        <w:rPr>
          <w:rFonts w:cs="Times New Roman"/>
          <w:color w:val="211E1E"/>
          <w:sz w:val="24"/>
          <w:szCs w:val="24"/>
        </w:rPr>
        <w:t>generally similar by the subgroups shown for age, Hispanic origin and race, education, and</w:t>
      </w:r>
      <w:r w:rsidR="00E766C1" w:rsidRPr="00E82FB3">
        <w:rPr>
          <w:rFonts w:cs="Times New Roman"/>
          <w:color w:val="211E1E"/>
          <w:sz w:val="24"/>
          <w:szCs w:val="24"/>
        </w:rPr>
        <w:t xml:space="preserve"> ACASI language.  </w:t>
      </w:r>
      <w:r w:rsidR="00B713DA" w:rsidRPr="00E82FB3">
        <w:rPr>
          <w:rFonts w:cs="Times New Roman"/>
          <w:color w:val="211E1E"/>
          <w:sz w:val="24"/>
          <w:szCs w:val="24"/>
        </w:rPr>
        <w:t xml:space="preserve">Additionally, 3.5% </w:t>
      </w:r>
      <w:r w:rsidR="0050037A" w:rsidRPr="00E82FB3">
        <w:rPr>
          <w:rFonts w:cs="Times New Roman"/>
          <w:color w:val="211E1E"/>
          <w:sz w:val="24"/>
          <w:szCs w:val="24"/>
        </w:rPr>
        <w:t xml:space="preserve">of females </w:t>
      </w:r>
      <w:r w:rsidR="00EC16FD" w:rsidRPr="00E82FB3">
        <w:rPr>
          <w:rFonts w:cs="Times New Roman"/>
          <w:color w:val="211E1E"/>
          <w:sz w:val="24"/>
          <w:szCs w:val="24"/>
        </w:rPr>
        <w:t>and 2.0</w:t>
      </w:r>
      <w:r w:rsidR="00B713DA" w:rsidRPr="00E82FB3">
        <w:rPr>
          <w:rFonts w:cs="Times New Roman"/>
          <w:color w:val="211E1E"/>
          <w:sz w:val="24"/>
          <w:szCs w:val="24"/>
        </w:rPr>
        <w:t>%</w:t>
      </w:r>
      <w:r w:rsidR="0050037A" w:rsidRPr="00E82FB3">
        <w:rPr>
          <w:rFonts w:cs="Times New Roman"/>
          <w:color w:val="211E1E"/>
          <w:sz w:val="24"/>
          <w:szCs w:val="24"/>
        </w:rPr>
        <w:t xml:space="preserve"> of </w:t>
      </w:r>
      <w:r w:rsidR="00B713DA" w:rsidRPr="00E82FB3">
        <w:rPr>
          <w:rFonts w:cs="Times New Roman"/>
          <w:color w:val="211E1E"/>
          <w:sz w:val="24"/>
          <w:szCs w:val="24"/>
        </w:rPr>
        <w:t>male respondents</w:t>
      </w:r>
      <w:r w:rsidR="00F83CCE" w:rsidRPr="00E82FB3">
        <w:rPr>
          <w:rFonts w:cs="Times New Roman"/>
          <w:color w:val="211E1E"/>
          <w:sz w:val="24"/>
          <w:szCs w:val="24"/>
        </w:rPr>
        <w:t xml:space="preserve"> aged 15-49</w:t>
      </w:r>
      <w:r w:rsidR="00B713DA" w:rsidRPr="00E82FB3">
        <w:rPr>
          <w:rFonts w:cs="Times New Roman"/>
          <w:color w:val="211E1E"/>
          <w:sz w:val="24"/>
          <w:szCs w:val="24"/>
        </w:rPr>
        <w:t xml:space="preserve"> identified as “something else” (NHIS question </w:t>
      </w:r>
      <w:r w:rsidR="00B713DA" w:rsidRPr="00E82FB3">
        <w:rPr>
          <w:rFonts w:cs="Times New Roman"/>
          <w:color w:val="211E1E"/>
          <w:sz w:val="24"/>
          <w:szCs w:val="24"/>
        </w:rPr>
        <w:lastRenderedPageBreak/>
        <w:t>o</w:t>
      </w:r>
      <w:r w:rsidR="00320A05" w:rsidRPr="00E82FB3">
        <w:rPr>
          <w:rFonts w:cs="Times New Roman"/>
          <w:color w:val="211E1E"/>
          <w:sz w:val="24"/>
          <w:szCs w:val="24"/>
        </w:rPr>
        <w:t xml:space="preserve">nly).  </w:t>
      </w:r>
      <w:r w:rsidR="00C96DF0" w:rsidRPr="00F032AB">
        <w:rPr>
          <w:rFonts w:cs="Times New Roman"/>
          <w:color w:val="211E1E"/>
          <w:sz w:val="24"/>
          <w:szCs w:val="24"/>
        </w:rPr>
        <w:t xml:space="preserve">One primary difference </w:t>
      </w:r>
      <w:r w:rsidR="005F617B" w:rsidRPr="00F032AB">
        <w:rPr>
          <w:rFonts w:cs="Times New Roman"/>
          <w:color w:val="211E1E"/>
          <w:sz w:val="24"/>
          <w:szCs w:val="24"/>
        </w:rPr>
        <w:t xml:space="preserve">between these questions </w:t>
      </w:r>
      <w:r w:rsidR="00C96DF0" w:rsidRPr="00F032AB">
        <w:rPr>
          <w:rFonts w:cs="Times New Roman"/>
          <w:color w:val="211E1E"/>
          <w:sz w:val="24"/>
          <w:szCs w:val="24"/>
        </w:rPr>
        <w:t>,</w:t>
      </w:r>
      <w:r w:rsidR="00C96DF0">
        <w:rPr>
          <w:rFonts w:cs="Times New Roman"/>
          <w:color w:val="211E1E"/>
          <w:sz w:val="24"/>
          <w:szCs w:val="24"/>
        </w:rPr>
        <w:t xml:space="preserve"> albeit with these unweighted data, was among female and male respondents aged 15-49 </w:t>
      </w:r>
      <w:r w:rsidR="00320A05" w:rsidRPr="00E82FB3">
        <w:rPr>
          <w:rFonts w:cs="Times New Roman"/>
          <w:color w:val="211E1E"/>
          <w:sz w:val="24"/>
          <w:szCs w:val="24"/>
        </w:rPr>
        <w:t xml:space="preserve">who completed </w:t>
      </w:r>
      <w:r w:rsidR="00C96DF0">
        <w:rPr>
          <w:rFonts w:cs="Times New Roman"/>
          <w:color w:val="211E1E"/>
          <w:sz w:val="24"/>
          <w:szCs w:val="24"/>
        </w:rPr>
        <w:t xml:space="preserve">ACASI in Spanish; these respondents appeared </w:t>
      </w:r>
      <w:r w:rsidR="00320A05" w:rsidRPr="00E82FB3">
        <w:rPr>
          <w:rFonts w:cs="Times New Roman"/>
          <w:color w:val="211E1E"/>
          <w:sz w:val="24"/>
          <w:szCs w:val="24"/>
        </w:rPr>
        <w:t xml:space="preserve">more likely to identify </w:t>
      </w:r>
      <w:r w:rsidR="00EC16FD" w:rsidRPr="00E82FB3">
        <w:rPr>
          <w:rFonts w:cs="Times New Roman"/>
          <w:color w:val="211E1E"/>
          <w:sz w:val="24"/>
          <w:szCs w:val="24"/>
        </w:rPr>
        <w:t>as “something else</w:t>
      </w:r>
      <w:r w:rsidR="00C96DF0">
        <w:rPr>
          <w:rFonts w:cs="Times New Roman"/>
          <w:color w:val="211E1E"/>
          <w:sz w:val="24"/>
          <w:szCs w:val="24"/>
        </w:rPr>
        <w:t>,”</w:t>
      </w:r>
      <w:r w:rsidR="006276D8" w:rsidRPr="00E82FB3">
        <w:rPr>
          <w:rFonts w:cs="Times New Roman"/>
          <w:color w:val="211E1E"/>
          <w:sz w:val="24"/>
          <w:szCs w:val="24"/>
        </w:rPr>
        <w:t xml:space="preserve"> </w:t>
      </w:r>
      <w:r w:rsidR="00C96DF0">
        <w:rPr>
          <w:rFonts w:cs="Times New Roman"/>
          <w:color w:val="211E1E"/>
          <w:sz w:val="24"/>
          <w:szCs w:val="24"/>
        </w:rPr>
        <w:t>an option only available in</w:t>
      </w:r>
      <w:r w:rsidR="006276D8" w:rsidRPr="00E82FB3">
        <w:rPr>
          <w:rFonts w:cs="Times New Roman"/>
          <w:color w:val="211E1E"/>
          <w:sz w:val="24"/>
          <w:szCs w:val="24"/>
        </w:rPr>
        <w:t xml:space="preserve"> the NHIS question</w:t>
      </w:r>
      <w:r w:rsidR="00C96DF0">
        <w:rPr>
          <w:rFonts w:cs="Times New Roman"/>
          <w:color w:val="211E1E"/>
          <w:sz w:val="24"/>
          <w:szCs w:val="24"/>
        </w:rPr>
        <w:t>, than respondents who completed ACASI in English.  For female respondents completing ACASI in Spanish, 16.3% identified as “something else,” compared with 2.8% of females completing ACASI in English.  For male respondents completing ACASI in Spanish, 9.5% identified as “something else,” compared with 1.6% of males completing ACASI in English.  This difference in reporting of “something else” by ACASI language for the NHIS version of the sexual orientation question</w:t>
      </w:r>
      <w:r w:rsidR="0050037A" w:rsidRPr="00E82FB3">
        <w:rPr>
          <w:rFonts w:cs="Times New Roman"/>
          <w:color w:val="211E1E"/>
          <w:sz w:val="24"/>
          <w:szCs w:val="24"/>
        </w:rPr>
        <w:t xml:space="preserve"> </w:t>
      </w:r>
      <w:r w:rsidR="00BF6688" w:rsidRPr="00E82FB3">
        <w:rPr>
          <w:rFonts w:cs="Times New Roman"/>
          <w:color w:val="211E1E"/>
          <w:sz w:val="24"/>
          <w:szCs w:val="24"/>
        </w:rPr>
        <w:t>reduced</w:t>
      </w:r>
      <w:r w:rsidR="0050037A" w:rsidRPr="00E82FB3">
        <w:rPr>
          <w:rFonts w:cs="Times New Roman"/>
          <w:color w:val="211E1E"/>
          <w:sz w:val="24"/>
          <w:szCs w:val="24"/>
        </w:rPr>
        <w:t xml:space="preserve"> the percent</w:t>
      </w:r>
      <w:r w:rsidR="00C96DF0">
        <w:rPr>
          <w:rFonts w:cs="Times New Roman"/>
          <w:color w:val="211E1E"/>
          <w:sz w:val="24"/>
          <w:szCs w:val="24"/>
        </w:rPr>
        <w:t>age</w:t>
      </w:r>
      <w:r w:rsidR="0050037A" w:rsidRPr="00E82FB3">
        <w:rPr>
          <w:rFonts w:cs="Times New Roman"/>
          <w:color w:val="211E1E"/>
          <w:sz w:val="24"/>
          <w:szCs w:val="24"/>
        </w:rPr>
        <w:t xml:space="preserve"> </w:t>
      </w:r>
      <w:r w:rsidR="00C96DF0">
        <w:rPr>
          <w:rFonts w:cs="Times New Roman"/>
          <w:color w:val="211E1E"/>
          <w:sz w:val="24"/>
          <w:szCs w:val="24"/>
        </w:rPr>
        <w:t>identifying as</w:t>
      </w:r>
      <w:r w:rsidR="004F4B44" w:rsidRPr="00E82FB3">
        <w:rPr>
          <w:rFonts w:cs="Times New Roman"/>
          <w:color w:val="211E1E"/>
          <w:sz w:val="24"/>
          <w:szCs w:val="24"/>
        </w:rPr>
        <w:t xml:space="preserve"> “</w:t>
      </w:r>
      <w:r w:rsidR="003355D9" w:rsidRPr="00E82FB3">
        <w:rPr>
          <w:rFonts w:cs="Times New Roman"/>
          <w:color w:val="211E1E"/>
          <w:sz w:val="24"/>
          <w:szCs w:val="24"/>
        </w:rPr>
        <w:t>heterosexual/straight</w:t>
      </w:r>
      <w:r w:rsidR="004F0EE0">
        <w:rPr>
          <w:rFonts w:cs="Times New Roman"/>
          <w:color w:val="211E1E"/>
          <w:sz w:val="24"/>
          <w:szCs w:val="24"/>
        </w:rPr>
        <w:t>,” compared with the percentages seen with the NSFG question where no “something else” option was offered.  Among women answering the NHIS question in Spanish, 75.5% identified as “straight” compared</w:t>
      </w:r>
      <w:r w:rsidR="0050037A" w:rsidRPr="00E82FB3">
        <w:rPr>
          <w:rFonts w:cs="Times New Roman"/>
          <w:color w:val="211E1E"/>
          <w:sz w:val="24"/>
          <w:szCs w:val="24"/>
        </w:rPr>
        <w:t xml:space="preserve"> with </w:t>
      </w:r>
      <w:r w:rsidR="00BF6688" w:rsidRPr="00E82FB3">
        <w:rPr>
          <w:rFonts w:cs="Times New Roman"/>
          <w:color w:val="211E1E"/>
          <w:sz w:val="24"/>
          <w:szCs w:val="24"/>
        </w:rPr>
        <w:t xml:space="preserve">94.1% </w:t>
      </w:r>
      <w:r w:rsidR="004F0EE0">
        <w:rPr>
          <w:rFonts w:cs="Times New Roman"/>
          <w:color w:val="211E1E"/>
          <w:sz w:val="24"/>
          <w:szCs w:val="24"/>
        </w:rPr>
        <w:t xml:space="preserve">of women answering the NSFG question in Spanish.  No such difference was seen among women answering the ACASI questions in English.  </w:t>
      </w:r>
      <w:r w:rsidR="006276D8" w:rsidRPr="00E82FB3">
        <w:rPr>
          <w:rFonts w:cs="Times New Roman"/>
          <w:color w:val="211E1E"/>
          <w:sz w:val="24"/>
          <w:szCs w:val="24"/>
        </w:rPr>
        <w:t>Although the difference was smaller for males, a</w:t>
      </w:r>
      <w:r w:rsidR="004F4B44" w:rsidRPr="00E82FB3">
        <w:rPr>
          <w:rFonts w:cs="Times New Roman"/>
          <w:color w:val="211E1E"/>
          <w:sz w:val="24"/>
          <w:szCs w:val="24"/>
        </w:rPr>
        <w:t xml:space="preserve"> similar</w:t>
      </w:r>
      <w:r w:rsidR="006276D8" w:rsidRPr="00E82FB3">
        <w:rPr>
          <w:rFonts w:cs="Times New Roman"/>
          <w:color w:val="211E1E"/>
          <w:sz w:val="24"/>
          <w:szCs w:val="24"/>
        </w:rPr>
        <w:t xml:space="preserve"> pattern was seen</w:t>
      </w:r>
      <w:r w:rsidR="004F4B44" w:rsidRPr="00E82FB3">
        <w:rPr>
          <w:rFonts w:cs="Times New Roman"/>
          <w:color w:val="211E1E"/>
          <w:sz w:val="24"/>
          <w:szCs w:val="24"/>
        </w:rPr>
        <w:t xml:space="preserve">: 83.3% of males who answered the </w:t>
      </w:r>
      <w:r w:rsidR="004F0EE0">
        <w:rPr>
          <w:rFonts w:cs="Times New Roman"/>
          <w:color w:val="211E1E"/>
          <w:sz w:val="24"/>
          <w:szCs w:val="24"/>
        </w:rPr>
        <w:t>NHIS question i</w:t>
      </w:r>
      <w:r w:rsidR="004F4B44" w:rsidRPr="00E82FB3">
        <w:rPr>
          <w:rFonts w:cs="Times New Roman"/>
          <w:color w:val="211E1E"/>
          <w:sz w:val="24"/>
          <w:szCs w:val="24"/>
        </w:rPr>
        <w:t>n Spanish identified as “</w:t>
      </w:r>
      <w:r w:rsidR="004F0EE0">
        <w:rPr>
          <w:rFonts w:cs="Times New Roman"/>
          <w:color w:val="211E1E"/>
          <w:sz w:val="24"/>
          <w:szCs w:val="24"/>
        </w:rPr>
        <w:t>s</w:t>
      </w:r>
      <w:r w:rsidR="003355D9" w:rsidRPr="00E82FB3">
        <w:rPr>
          <w:rFonts w:cs="Times New Roman"/>
          <w:color w:val="211E1E"/>
          <w:sz w:val="24"/>
          <w:szCs w:val="24"/>
        </w:rPr>
        <w:t>traight</w:t>
      </w:r>
      <w:r w:rsidR="004F0EE0">
        <w:rPr>
          <w:rFonts w:cs="Times New Roman"/>
          <w:color w:val="211E1E"/>
          <w:sz w:val="24"/>
          <w:szCs w:val="24"/>
        </w:rPr>
        <w:t xml:space="preserve">,” compared with 88.4% of females who answered the NSFG question in Spanish.   The unweighted data also suggest that </w:t>
      </w:r>
      <w:r w:rsidR="006276D8" w:rsidRPr="00E82FB3">
        <w:rPr>
          <w:rFonts w:cs="Times New Roman"/>
          <w:color w:val="211E1E"/>
          <w:sz w:val="24"/>
          <w:szCs w:val="24"/>
        </w:rPr>
        <w:t xml:space="preserve">females and males </w:t>
      </w:r>
      <w:r w:rsidR="005C7037" w:rsidRPr="00E82FB3">
        <w:rPr>
          <w:rFonts w:cs="Times New Roman"/>
          <w:color w:val="211E1E"/>
          <w:sz w:val="24"/>
          <w:szCs w:val="24"/>
        </w:rPr>
        <w:t>who</w:t>
      </w:r>
      <w:r w:rsidR="0050037A" w:rsidRPr="00E82FB3">
        <w:rPr>
          <w:rFonts w:cs="Times New Roman"/>
          <w:color w:val="211E1E"/>
          <w:sz w:val="24"/>
          <w:szCs w:val="24"/>
        </w:rPr>
        <w:t xml:space="preserve"> comple</w:t>
      </w:r>
      <w:r w:rsidR="00EC16FD" w:rsidRPr="00E82FB3">
        <w:rPr>
          <w:rFonts w:cs="Times New Roman"/>
          <w:color w:val="211E1E"/>
          <w:sz w:val="24"/>
          <w:szCs w:val="24"/>
        </w:rPr>
        <w:t xml:space="preserve">ted ACASI in Spanish </w:t>
      </w:r>
      <w:r w:rsidR="004F0EE0">
        <w:rPr>
          <w:rFonts w:cs="Times New Roman"/>
          <w:color w:val="211E1E"/>
          <w:sz w:val="24"/>
          <w:szCs w:val="24"/>
        </w:rPr>
        <w:t xml:space="preserve">were also more likely to answer either version of the sexual </w:t>
      </w:r>
      <w:r w:rsidR="00BF6688" w:rsidRPr="00E82FB3">
        <w:rPr>
          <w:rFonts w:cs="Times New Roman"/>
          <w:color w:val="211E1E"/>
          <w:sz w:val="24"/>
          <w:szCs w:val="24"/>
        </w:rPr>
        <w:t>orientation question</w:t>
      </w:r>
      <w:r w:rsidR="00A46789" w:rsidRPr="00E82FB3">
        <w:rPr>
          <w:rFonts w:cs="Times New Roman"/>
          <w:color w:val="211E1E"/>
          <w:sz w:val="24"/>
          <w:szCs w:val="24"/>
        </w:rPr>
        <w:t xml:space="preserve"> </w:t>
      </w:r>
      <w:r w:rsidR="004F0EE0">
        <w:rPr>
          <w:rFonts w:cs="Times New Roman"/>
          <w:color w:val="211E1E"/>
          <w:sz w:val="24"/>
          <w:szCs w:val="24"/>
        </w:rPr>
        <w:t xml:space="preserve">with “don’t know” or “refusal” compared with those who answered in English.  </w:t>
      </w:r>
    </w:p>
    <w:p w14:paraId="03039074" w14:textId="35F0A6F8" w:rsidR="00CE30A2" w:rsidRDefault="001163BB" w:rsidP="00110C17">
      <w:pPr>
        <w:tabs>
          <w:tab w:val="left" w:pos="720"/>
        </w:tabs>
        <w:spacing w:line="240" w:lineRule="auto"/>
        <w:rPr>
          <w:rFonts w:cs="Times New Roman"/>
          <w:sz w:val="24"/>
          <w:szCs w:val="24"/>
        </w:rPr>
      </w:pPr>
      <w:r>
        <w:rPr>
          <w:rFonts w:cs="Times New Roman"/>
          <w:sz w:val="24"/>
          <w:szCs w:val="24"/>
        </w:rPr>
        <w:tab/>
      </w:r>
      <w:r w:rsidR="004F0EE0">
        <w:rPr>
          <w:rFonts w:cs="Times New Roman"/>
          <w:sz w:val="24"/>
          <w:szCs w:val="24"/>
        </w:rPr>
        <w:t xml:space="preserve">While we cannot know for sure what respondents answering “something else” on the NHIS question may have meant, there is some possible insight from previous data collected for the NSFG and NHIS.  </w:t>
      </w:r>
      <w:r w:rsidR="001D6051" w:rsidRPr="00E82FB3">
        <w:rPr>
          <w:rFonts w:cs="Times New Roman"/>
          <w:sz w:val="24"/>
          <w:szCs w:val="24"/>
        </w:rPr>
        <w:t xml:space="preserve">Before the </w:t>
      </w:r>
      <w:r w:rsidR="003E57E4">
        <w:rPr>
          <w:rFonts w:cs="Times New Roman"/>
          <w:sz w:val="24"/>
          <w:szCs w:val="24"/>
        </w:rPr>
        <w:t>follow-up</w:t>
      </w:r>
      <w:r w:rsidR="001D6051" w:rsidRPr="00E82FB3">
        <w:rPr>
          <w:rFonts w:cs="Times New Roman"/>
          <w:sz w:val="24"/>
          <w:szCs w:val="24"/>
        </w:rPr>
        <w:t xml:space="preserve"> </w:t>
      </w:r>
      <w:r w:rsidR="003E57E4">
        <w:rPr>
          <w:rFonts w:cs="Times New Roman"/>
          <w:sz w:val="24"/>
          <w:szCs w:val="24"/>
        </w:rPr>
        <w:t xml:space="preserve">questions for those reporting </w:t>
      </w:r>
      <w:r w:rsidR="00A46789" w:rsidRPr="00E82FB3">
        <w:rPr>
          <w:rFonts w:cs="Times New Roman"/>
          <w:sz w:val="24"/>
          <w:szCs w:val="24"/>
        </w:rPr>
        <w:t>“something else” were dropped</w:t>
      </w:r>
      <w:r w:rsidR="0017608B" w:rsidRPr="00E82FB3">
        <w:rPr>
          <w:rFonts w:cs="Times New Roman"/>
          <w:sz w:val="24"/>
          <w:szCs w:val="24"/>
        </w:rPr>
        <w:t xml:space="preserve"> in both the NSFG (in 2008)</w:t>
      </w:r>
      <w:r w:rsidR="00791B3A" w:rsidRPr="00E82FB3">
        <w:rPr>
          <w:rFonts w:cs="Times New Roman"/>
          <w:sz w:val="24"/>
          <w:szCs w:val="24"/>
        </w:rPr>
        <w:t xml:space="preserve"> and</w:t>
      </w:r>
      <w:r w:rsidR="0017608B" w:rsidRPr="00E82FB3">
        <w:rPr>
          <w:rFonts w:cs="Times New Roman"/>
          <w:sz w:val="24"/>
          <w:szCs w:val="24"/>
        </w:rPr>
        <w:t xml:space="preserve"> NHIS (</w:t>
      </w:r>
      <w:r w:rsidR="001D6051" w:rsidRPr="00E82FB3">
        <w:rPr>
          <w:rFonts w:cs="Times New Roman"/>
          <w:sz w:val="24"/>
          <w:szCs w:val="24"/>
        </w:rPr>
        <w:t xml:space="preserve">in 2015) surveys, analyses of these </w:t>
      </w:r>
      <w:r w:rsidR="003E57E4">
        <w:rPr>
          <w:rFonts w:cs="Times New Roman"/>
          <w:sz w:val="24"/>
          <w:szCs w:val="24"/>
        </w:rPr>
        <w:t xml:space="preserve">verbatim </w:t>
      </w:r>
      <w:r w:rsidR="001D6051" w:rsidRPr="00E82FB3">
        <w:rPr>
          <w:rFonts w:cs="Times New Roman"/>
          <w:sz w:val="24"/>
          <w:szCs w:val="24"/>
        </w:rPr>
        <w:t>responses indicated that there were no significant differences in any of the response categories</w:t>
      </w:r>
      <w:r w:rsidR="003E57E4">
        <w:rPr>
          <w:rFonts w:cs="Times New Roman"/>
          <w:sz w:val="24"/>
          <w:szCs w:val="24"/>
        </w:rPr>
        <w:t xml:space="preserve"> of sexual orientation</w:t>
      </w:r>
      <w:r w:rsidR="001D6051" w:rsidRPr="00E82FB3">
        <w:rPr>
          <w:rFonts w:cs="Times New Roman"/>
          <w:sz w:val="24"/>
          <w:szCs w:val="24"/>
        </w:rPr>
        <w:t xml:space="preserve"> once responses </w:t>
      </w:r>
      <w:r w:rsidR="000906BD" w:rsidRPr="00E82FB3">
        <w:rPr>
          <w:rFonts w:cs="Times New Roman"/>
          <w:sz w:val="24"/>
          <w:szCs w:val="24"/>
        </w:rPr>
        <w:t xml:space="preserve">that could be backcoded </w:t>
      </w:r>
      <w:r w:rsidR="001D6051" w:rsidRPr="00E82FB3">
        <w:rPr>
          <w:rFonts w:cs="Times New Roman"/>
          <w:sz w:val="24"/>
          <w:szCs w:val="24"/>
        </w:rPr>
        <w:t>into an existing category</w:t>
      </w:r>
      <w:r w:rsidR="003E57E4">
        <w:rPr>
          <w:rFonts w:cs="Times New Roman"/>
          <w:sz w:val="24"/>
          <w:szCs w:val="24"/>
        </w:rPr>
        <w:t xml:space="preserve"> were re-classified </w:t>
      </w:r>
      <w:r w:rsidR="00AC51EE" w:rsidRPr="00E82FB3">
        <w:rPr>
          <w:rFonts w:cs="Times New Roman"/>
          <w:sz w:val="24"/>
          <w:szCs w:val="24"/>
        </w:rPr>
        <w:t>(Chandra et al, 2011; Dahlhamer et al, 2014)</w:t>
      </w:r>
      <w:r w:rsidR="001D6051" w:rsidRPr="00E82FB3">
        <w:rPr>
          <w:rFonts w:cs="Times New Roman"/>
          <w:sz w:val="24"/>
          <w:szCs w:val="24"/>
        </w:rPr>
        <w:t xml:space="preserve">.  </w:t>
      </w:r>
      <w:r w:rsidR="005F617B">
        <w:rPr>
          <w:rFonts w:cs="Times New Roman"/>
          <w:sz w:val="24"/>
          <w:szCs w:val="24"/>
        </w:rPr>
        <w:t xml:space="preserve">It is difficult to conclude whether the addition of the “something else” category on the NHIS question significantly changes the percent distribution of the other sexual orientation categories, particularly for those who answered the ACASI in Spanish, until more data from </w:t>
      </w:r>
      <w:r w:rsidR="0038541D">
        <w:rPr>
          <w:rFonts w:cs="Times New Roman"/>
          <w:sz w:val="24"/>
          <w:szCs w:val="24"/>
        </w:rPr>
        <w:t xml:space="preserve">this 50-50 study </w:t>
      </w:r>
      <w:r w:rsidR="0067599F">
        <w:rPr>
          <w:rFonts w:cs="Times New Roman"/>
          <w:sz w:val="24"/>
          <w:szCs w:val="24"/>
        </w:rPr>
        <w:t>are available</w:t>
      </w:r>
      <w:r w:rsidR="0038541D">
        <w:rPr>
          <w:rFonts w:cs="Times New Roman"/>
          <w:sz w:val="24"/>
          <w:szCs w:val="24"/>
        </w:rPr>
        <w:t xml:space="preserve"> and can be analyzed with the appropriate sample weights and variance estimation variables to account for the complex survey design.</w:t>
      </w:r>
    </w:p>
    <w:p w14:paraId="3AC96DEF" w14:textId="77777777" w:rsidR="00CE30A2" w:rsidRPr="00455651" w:rsidRDefault="00CE30A2" w:rsidP="00110C17">
      <w:pPr>
        <w:tabs>
          <w:tab w:val="left" w:pos="720"/>
        </w:tabs>
        <w:spacing w:line="240" w:lineRule="auto"/>
        <w:rPr>
          <w:rFonts w:cs="Times New Roman"/>
          <w:b/>
          <w:sz w:val="24"/>
          <w:szCs w:val="24"/>
        </w:rPr>
      </w:pPr>
      <w:r w:rsidRPr="00455651">
        <w:rPr>
          <w:rFonts w:cs="Times New Roman"/>
          <w:b/>
          <w:sz w:val="24"/>
          <w:szCs w:val="24"/>
        </w:rPr>
        <w:t>Recommendation</w:t>
      </w:r>
    </w:p>
    <w:p w14:paraId="5C8B41B7" w14:textId="00FFF339" w:rsidR="00AF2534" w:rsidRDefault="00455651" w:rsidP="00110C17">
      <w:pPr>
        <w:tabs>
          <w:tab w:val="left" w:pos="720"/>
        </w:tabs>
        <w:spacing w:line="240" w:lineRule="auto"/>
        <w:rPr>
          <w:rFonts w:cs="Times New Roman"/>
          <w:sz w:val="24"/>
          <w:szCs w:val="24"/>
        </w:rPr>
      </w:pPr>
      <w:r>
        <w:rPr>
          <w:rFonts w:cs="Times New Roman"/>
          <w:sz w:val="24"/>
          <w:szCs w:val="24"/>
        </w:rPr>
        <w:tab/>
      </w:r>
      <w:r w:rsidR="00CE30A2" w:rsidRPr="00455651">
        <w:rPr>
          <w:rFonts w:cs="Times New Roman"/>
          <w:sz w:val="24"/>
          <w:szCs w:val="24"/>
        </w:rPr>
        <w:t>Based on these unweighted findings from the 50-50 study of the 2 question approaches, w</w:t>
      </w:r>
      <w:r w:rsidR="000906BD" w:rsidRPr="00455651">
        <w:rPr>
          <w:rFonts w:cs="Times New Roman"/>
          <w:sz w:val="24"/>
          <w:szCs w:val="24"/>
        </w:rPr>
        <w:t>e</w:t>
      </w:r>
      <w:r w:rsidR="001D6051" w:rsidRPr="00455651">
        <w:rPr>
          <w:rFonts w:cs="Times New Roman"/>
          <w:sz w:val="24"/>
          <w:szCs w:val="24"/>
        </w:rPr>
        <w:t xml:space="preserve"> would like to continue the study </w:t>
      </w:r>
      <w:r w:rsidR="000906BD" w:rsidRPr="00455651">
        <w:rPr>
          <w:rFonts w:cs="Times New Roman"/>
          <w:sz w:val="24"/>
          <w:szCs w:val="24"/>
        </w:rPr>
        <w:t xml:space="preserve">to compare these questions </w:t>
      </w:r>
      <w:r w:rsidR="001D6051" w:rsidRPr="00455651">
        <w:rPr>
          <w:rFonts w:cs="Times New Roman"/>
          <w:sz w:val="24"/>
          <w:szCs w:val="24"/>
        </w:rPr>
        <w:t xml:space="preserve">until the end of </w:t>
      </w:r>
      <w:r w:rsidR="00CE30A2" w:rsidRPr="00455651">
        <w:rPr>
          <w:rFonts w:cs="Times New Roman"/>
          <w:sz w:val="24"/>
          <w:szCs w:val="24"/>
        </w:rPr>
        <w:t xml:space="preserve">fieldwork under </w:t>
      </w:r>
      <w:r w:rsidR="001D6051" w:rsidRPr="00455651">
        <w:rPr>
          <w:rFonts w:cs="Times New Roman"/>
          <w:sz w:val="24"/>
          <w:szCs w:val="24"/>
        </w:rPr>
        <w:t xml:space="preserve">the current contract </w:t>
      </w:r>
      <w:r w:rsidR="00CE30A2" w:rsidRPr="00455651">
        <w:rPr>
          <w:rFonts w:cs="Times New Roman"/>
          <w:sz w:val="24"/>
          <w:szCs w:val="24"/>
        </w:rPr>
        <w:t xml:space="preserve">(currently scheduled to end June 2019, with </w:t>
      </w:r>
      <w:r w:rsidR="000906BD" w:rsidRPr="00455651">
        <w:rPr>
          <w:rFonts w:cs="Times New Roman"/>
          <w:sz w:val="24"/>
          <w:szCs w:val="24"/>
        </w:rPr>
        <w:t xml:space="preserve">possible extension to September </w:t>
      </w:r>
      <w:r w:rsidR="00CE30A2" w:rsidRPr="00455651">
        <w:rPr>
          <w:rFonts w:cs="Times New Roman"/>
          <w:sz w:val="24"/>
          <w:szCs w:val="24"/>
        </w:rPr>
        <w:t>2019</w:t>
      </w:r>
      <w:r w:rsidR="000906BD" w:rsidRPr="00455651">
        <w:rPr>
          <w:rFonts w:cs="Times New Roman"/>
          <w:sz w:val="24"/>
          <w:szCs w:val="24"/>
        </w:rPr>
        <w:t>).  Additional cases and the availability of the sample weights (prepared by ICPSR before release of the 2015-2017 file in Fall 2018</w:t>
      </w:r>
      <w:r w:rsidR="002129A3" w:rsidRPr="00455651">
        <w:rPr>
          <w:rFonts w:cs="Times New Roman"/>
          <w:sz w:val="24"/>
          <w:szCs w:val="24"/>
        </w:rPr>
        <w:t xml:space="preserve">) will allow us to compare these questions </w:t>
      </w:r>
      <w:r w:rsidR="00CE30A2" w:rsidRPr="00455651">
        <w:rPr>
          <w:rFonts w:cs="Times New Roman"/>
          <w:sz w:val="24"/>
          <w:szCs w:val="24"/>
        </w:rPr>
        <w:t>in a more statistically valid manner, accounting for the complex survey design and assessing the statistical significance of the differences noted with unweighted data.</w:t>
      </w:r>
    </w:p>
    <w:p w14:paraId="762278E4" w14:textId="77777777" w:rsidR="0038541D" w:rsidRPr="00455651" w:rsidRDefault="0038541D" w:rsidP="00E82FB3">
      <w:pPr>
        <w:tabs>
          <w:tab w:val="left" w:pos="720"/>
        </w:tabs>
        <w:spacing w:line="480" w:lineRule="auto"/>
        <w:rPr>
          <w:rFonts w:cs="Times New Roman"/>
          <w:sz w:val="24"/>
          <w:szCs w:val="24"/>
        </w:rPr>
      </w:pPr>
    </w:p>
    <w:p w14:paraId="52C32F48" w14:textId="77777777" w:rsidR="00110C17" w:rsidRDefault="00110C17">
      <w:pPr>
        <w:rPr>
          <w:rFonts w:cs="Times New Roman"/>
          <w:b/>
          <w:color w:val="211E1E"/>
          <w:sz w:val="24"/>
          <w:szCs w:val="24"/>
        </w:rPr>
      </w:pPr>
      <w:r>
        <w:rPr>
          <w:rFonts w:cs="Times New Roman"/>
          <w:b/>
          <w:color w:val="211E1E"/>
          <w:sz w:val="24"/>
          <w:szCs w:val="24"/>
        </w:rPr>
        <w:br w:type="page"/>
      </w:r>
    </w:p>
    <w:p w14:paraId="585D908A" w14:textId="77777777" w:rsidR="00110C17" w:rsidRPr="00110C17" w:rsidRDefault="00DE119A" w:rsidP="00110C17">
      <w:pPr>
        <w:tabs>
          <w:tab w:val="left" w:pos="720"/>
        </w:tabs>
        <w:spacing w:line="240" w:lineRule="auto"/>
        <w:rPr>
          <w:rFonts w:cs="Times New Roman"/>
          <w:b/>
          <w:color w:val="211E1E"/>
          <w:sz w:val="20"/>
          <w:szCs w:val="20"/>
        </w:rPr>
      </w:pPr>
      <w:r w:rsidRPr="00110C17">
        <w:rPr>
          <w:rFonts w:cs="Times New Roman"/>
          <w:b/>
          <w:color w:val="211E1E"/>
          <w:sz w:val="20"/>
          <w:szCs w:val="20"/>
        </w:rPr>
        <w:t>References</w:t>
      </w:r>
    </w:p>
    <w:p w14:paraId="3D7C3A8E" w14:textId="0F05EE41" w:rsidR="001059C1" w:rsidRPr="00110C17" w:rsidRDefault="00110C17" w:rsidP="00110C17">
      <w:pPr>
        <w:tabs>
          <w:tab w:val="left" w:pos="720"/>
        </w:tabs>
        <w:spacing w:line="240" w:lineRule="auto"/>
        <w:rPr>
          <w:rFonts w:cs="Times New Roman"/>
          <w:b/>
          <w:color w:val="211E1E"/>
          <w:sz w:val="20"/>
          <w:szCs w:val="20"/>
        </w:rPr>
      </w:pPr>
      <w:r w:rsidRPr="00110C17">
        <w:rPr>
          <w:rFonts w:cs="Times New Roman"/>
          <w:color w:val="211E1E"/>
          <w:sz w:val="20"/>
          <w:szCs w:val="20"/>
        </w:rPr>
        <w:t>C</w:t>
      </w:r>
      <w:r w:rsidR="001059C1" w:rsidRPr="00110C17">
        <w:rPr>
          <w:rFonts w:cs="Times New Roman"/>
          <w:color w:val="211E1E"/>
          <w:sz w:val="20"/>
          <w:szCs w:val="20"/>
        </w:rPr>
        <w:t xml:space="preserve">handra A, Billioux VG, Copen CE, Sionean  C. HIV Risk-Related Behaviors in the United States Household Population Aged 15–44: Data from the National Survey of Family Growth, 2002 and 2006–2010. National health statistics reports; no 46. Hyattsville, MD: National Center for Health Statistics. 2012. </w:t>
      </w:r>
    </w:p>
    <w:p w14:paraId="1F098C7C" w14:textId="77777777" w:rsidR="006A3D32" w:rsidRPr="00110C17" w:rsidRDefault="006A3D32" w:rsidP="00110C17">
      <w:pPr>
        <w:spacing w:after="1" w:line="240" w:lineRule="auto"/>
        <w:rPr>
          <w:sz w:val="20"/>
          <w:szCs w:val="20"/>
        </w:rPr>
      </w:pPr>
      <w:r w:rsidRPr="00110C17">
        <w:rPr>
          <w:color w:val="201E1E"/>
          <w:sz w:val="20"/>
          <w:szCs w:val="20"/>
        </w:rPr>
        <w:t xml:space="preserve">Chandra A, </w:t>
      </w:r>
      <w:r w:rsidRPr="00110C17">
        <w:rPr>
          <w:rFonts w:eastAsia="Times New Roman" w:cs="Times New Roman"/>
          <w:color w:val="201E1E"/>
          <w:sz w:val="20"/>
          <w:szCs w:val="20"/>
        </w:rPr>
        <w:t>Copen CE</w:t>
      </w:r>
      <w:r w:rsidRPr="00110C17">
        <w:rPr>
          <w:color w:val="201E1E"/>
          <w:sz w:val="20"/>
          <w:szCs w:val="20"/>
        </w:rPr>
        <w:t xml:space="preserve">, Mosher, WD. Sexual Behavior, Sexual Attraction, and Sexual Identity in the United States: Data from the 2006–2010 National Survey of Family Growth.  In Amanda Baumle (Ed.)  </w:t>
      </w:r>
      <w:r w:rsidRPr="00110C17">
        <w:rPr>
          <w:rFonts w:eastAsia="Times New Roman" w:cs="Times New Roman"/>
          <w:color w:val="201E1E"/>
          <w:sz w:val="20"/>
          <w:szCs w:val="20"/>
        </w:rPr>
        <w:t>International Handbook on the Demography of Sexuality.</w:t>
      </w:r>
      <w:r w:rsidRPr="00110C17">
        <w:rPr>
          <w:color w:val="201E1E"/>
          <w:sz w:val="20"/>
          <w:szCs w:val="20"/>
        </w:rPr>
        <w:t xml:space="preserve">  New York, NY.  Springer Publishing Company.  2012. </w:t>
      </w:r>
      <w:r w:rsidRPr="00110C17">
        <w:rPr>
          <w:rFonts w:eastAsia="Times New Roman" w:cs="Times New Roman"/>
          <w:color w:val="201E1E"/>
          <w:sz w:val="20"/>
          <w:szCs w:val="20"/>
        </w:rPr>
        <w:t xml:space="preserve">  </w:t>
      </w:r>
      <w:r w:rsidRPr="00110C17">
        <w:rPr>
          <w:color w:val="191919"/>
          <w:sz w:val="20"/>
          <w:szCs w:val="20"/>
        </w:rPr>
        <w:t xml:space="preserve"> </w:t>
      </w:r>
    </w:p>
    <w:p w14:paraId="4F80E622" w14:textId="77777777" w:rsidR="006A3D32" w:rsidRPr="00110C17" w:rsidRDefault="006A3D32" w:rsidP="00110C17">
      <w:pPr>
        <w:pStyle w:val="Default"/>
        <w:rPr>
          <w:rFonts w:asciiTheme="minorHAnsi" w:hAnsiTheme="minorHAnsi" w:cs="Times New Roman"/>
          <w:color w:val="211E1E"/>
          <w:sz w:val="20"/>
          <w:szCs w:val="20"/>
        </w:rPr>
      </w:pPr>
    </w:p>
    <w:p w14:paraId="6E42E67D" w14:textId="61DF40E9" w:rsidR="00DE119A" w:rsidRPr="00110C17" w:rsidRDefault="00DE119A" w:rsidP="00110C17">
      <w:pPr>
        <w:pStyle w:val="Default"/>
        <w:rPr>
          <w:rFonts w:asciiTheme="minorHAnsi" w:hAnsiTheme="minorHAnsi" w:cs="Times New Roman"/>
          <w:color w:val="211E1E"/>
          <w:sz w:val="20"/>
          <w:szCs w:val="20"/>
        </w:rPr>
      </w:pPr>
      <w:r w:rsidRPr="00110C17">
        <w:rPr>
          <w:rFonts w:asciiTheme="minorHAnsi" w:hAnsiTheme="minorHAnsi" w:cs="Times New Roman"/>
          <w:color w:val="211E1E"/>
          <w:sz w:val="20"/>
          <w:szCs w:val="20"/>
        </w:rPr>
        <w:t>Chandra A, Mosher WD, Copen C, Sionean C. Sexual behavior, sexual attraction, and sexual identity in the United States: Data from the 2006–2008 National Survey of Family Growth. National health statistics reports; no 36. Hyattsville, MD: National Center for Health Statistics. 2011.</w:t>
      </w:r>
    </w:p>
    <w:p w14:paraId="21311B13" w14:textId="77777777" w:rsidR="001059C1" w:rsidRPr="00110C17" w:rsidRDefault="001059C1" w:rsidP="00110C17">
      <w:pPr>
        <w:pStyle w:val="Default"/>
        <w:rPr>
          <w:rFonts w:asciiTheme="minorHAnsi" w:hAnsiTheme="minorHAnsi"/>
          <w:color w:val="211E1E"/>
          <w:sz w:val="20"/>
          <w:szCs w:val="20"/>
        </w:rPr>
      </w:pPr>
    </w:p>
    <w:p w14:paraId="17913516" w14:textId="77777777" w:rsidR="00DE119A" w:rsidRPr="00110C17" w:rsidRDefault="00DE119A" w:rsidP="00110C17">
      <w:pPr>
        <w:tabs>
          <w:tab w:val="left" w:pos="720"/>
        </w:tabs>
        <w:spacing w:line="240" w:lineRule="auto"/>
        <w:rPr>
          <w:rFonts w:cs="Times New Roman"/>
          <w:color w:val="211E1E"/>
          <w:sz w:val="20"/>
          <w:szCs w:val="20"/>
        </w:rPr>
      </w:pPr>
      <w:r w:rsidRPr="00110C17">
        <w:rPr>
          <w:rFonts w:cs="Times New Roman"/>
          <w:sz w:val="20"/>
          <w:szCs w:val="20"/>
        </w:rPr>
        <w:t>Copen CE, Chandra A, Febo-Vazquez I. Sexual behavior, sexual attraction, and sexual orientation among adults aged 18–44 in the United States: Data from the 2011–2013 National Survey of Family Growth. National health statistics reports; no 88. Hyattsville, MD: National Center for Health Statistics. 2016.</w:t>
      </w:r>
    </w:p>
    <w:p w14:paraId="2A27CA1B" w14:textId="1D5A4BAF" w:rsidR="006A3D32" w:rsidRPr="00110C17" w:rsidRDefault="006A3D32" w:rsidP="00110C17">
      <w:pPr>
        <w:autoSpaceDE w:val="0"/>
        <w:autoSpaceDN w:val="0"/>
        <w:adjustRightInd w:val="0"/>
        <w:spacing w:after="0" w:line="240" w:lineRule="auto"/>
        <w:rPr>
          <w:rFonts w:cs="TimesNewRomanPSMT"/>
          <w:sz w:val="20"/>
          <w:szCs w:val="20"/>
        </w:rPr>
      </w:pPr>
      <w:r w:rsidRPr="00110C17">
        <w:rPr>
          <w:rFonts w:cs="TimesNewRomanPSMT"/>
          <w:sz w:val="20"/>
          <w:szCs w:val="20"/>
        </w:rPr>
        <w:t>Copen CE, Chandra A, Febo-Vazquez I. HIV testing in the past year among the U.S.household population aged 15–44: 2011–2013. NCHS data brief, no 202. Hyattsville, MD: National Center for Health Statistics. 2015.</w:t>
      </w:r>
    </w:p>
    <w:p w14:paraId="4C1FF232" w14:textId="77777777" w:rsidR="006A3D32" w:rsidRPr="00110C17" w:rsidRDefault="006A3D32" w:rsidP="00110C17">
      <w:pPr>
        <w:autoSpaceDE w:val="0"/>
        <w:autoSpaceDN w:val="0"/>
        <w:adjustRightInd w:val="0"/>
        <w:spacing w:after="0" w:line="240" w:lineRule="auto"/>
        <w:rPr>
          <w:rFonts w:cs="TimesNewRomanPSMT"/>
          <w:sz w:val="20"/>
          <w:szCs w:val="20"/>
        </w:rPr>
      </w:pPr>
    </w:p>
    <w:p w14:paraId="38AE4138" w14:textId="53813D75" w:rsidR="00DE119A" w:rsidRPr="00110C17" w:rsidRDefault="00DE119A" w:rsidP="00110C17">
      <w:pPr>
        <w:tabs>
          <w:tab w:val="left" w:pos="720"/>
        </w:tabs>
        <w:spacing w:line="240" w:lineRule="auto"/>
        <w:rPr>
          <w:rFonts w:cs="Times New Roman"/>
          <w:color w:val="211E1E"/>
          <w:sz w:val="20"/>
          <w:szCs w:val="20"/>
        </w:rPr>
      </w:pPr>
      <w:r w:rsidRPr="00110C17">
        <w:rPr>
          <w:rFonts w:cs="Times New Roman"/>
          <w:sz w:val="20"/>
          <w:szCs w:val="20"/>
        </w:rPr>
        <w:t>Dahlhamer JM, Galinsky AM, Joestl SS, Ward BW. Sexual orientation in the 2013 National Health Interview Survey: A quality assessment. Vital Health Stat 2(169). 2014.</w:t>
      </w:r>
      <w:r w:rsidRPr="00110C17">
        <w:rPr>
          <w:rFonts w:cs="Times New Roman"/>
          <w:color w:val="211E1E"/>
          <w:sz w:val="20"/>
          <w:szCs w:val="20"/>
        </w:rPr>
        <w:t xml:space="preserve"> </w:t>
      </w:r>
    </w:p>
    <w:p w14:paraId="3C85E600" w14:textId="57F9DC05" w:rsidR="00DE119A" w:rsidRDefault="00DE119A" w:rsidP="00110C17">
      <w:pPr>
        <w:tabs>
          <w:tab w:val="left" w:pos="720"/>
        </w:tabs>
        <w:spacing w:line="240" w:lineRule="auto"/>
        <w:rPr>
          <w:rFonts w:cs="GKEAE G+ Helvetica"/>
          <w:color w:val="211E1E"/>
          <w:sz w:val="20"/>
          <w:szCs w:val="20"/>
        </w:rPr>
      </w:pPr>
      <w:r w:rsidRPr="00110C17">
        <w:rPr>
          <w:rFonts w:cs="Times New Roman"/>
          <w:color w:val="211E1E"/>
          <w:sz w:val="20"/>
          <w:szCs w:val="20"/>
        </w:rPr>
        <w:t>Mosher WD, Chandra A, Jones J. Sexual behavior and selected health measures: Men and women 15–44 years of age, United States, 2002 . Advance data from vital and health statistics; no 362. Hyattsville, MD: National Center for Health Statistics. 2005</w:t>
      </w:r>
      <w:r w:rsidRPr="00110C17">
        <w:rPr>
          <w:rFonts w:cs="GKEAE G+ Helvetica"/>
          <w:color w:val="211E1E"/>
          <w:sz w:val="20"/>
          <w:szCs w:val="20"/>
        </w:rPr>
        <w:t>.</w:t>
      </w:r>
    </w:p>
    <w:p w14:paraId="277A9026" w14:textId="525D6C6B" w:rsidR="00841A1C" w:rsidRDefault="00841A1C">
      <w:pPr>
        <w:rPr>
          <w:rFonts w:cs="GKEAE G+ Helvetica"/>
          <w:color w:val="211E1E"/>
          <w:sz w:val="20"/>
          <w:szCs w:val="20"/>
        </w:rPr>
      </w:pPr>
      <w:r>
        <w:rPr>
          <w:rFonts w:cs="GKEAE G+ Helvetica"/>
          <w:color w:val="211E1E"/>
          <w:sz w:val="20"/>
          <w:szCs w:val="20"/>
        </w:rPr>
        <w:br w:type="page"/>
      </w:r>
    </w:p>
    <w:p w14:paraId="062EF854" w14:textId="77777777" w:rsidR="00553047" w:rsidRDefault="00553047" w:rsidP="00110C17">
      <w:pPr>
        <w:tabs>
          <w:tab w:val="left" w:pos="720"/>
        </w:tabs>
        <w:spacing w:line="240" w:lineRule="auto"/>
        <w:rPr>
          <w:rFonts w:cs="GKEAE G+ Helvetica"/>
          <w:color w:val="211E1E"/>
          <w:sz w:val="20"/>
          <w:szCs w:val="20"/>
        </w:rPr>
        <w:sectPr w:rsidR="00553047" w:rsidSect="00841A1C">
          <w:headerReference w:type="default" r:id="rId9"/>
          <w:footerReference w:type="default" r:id="rId10"/>
          <w:pgSz w:w="12240" w:h="15840" w:code="1"/>
          <w:pgMar w:top="1440" w:right="1080" w:bottom="1440" w:left="1080" w:header="720" w:footer="720" w:gutter="0"/>
          <w:cols w:space="720"/>
          <w:docGrid w:linePitch="360"/>
        </w:sectPr>
      </w:pPr>
    </w:p>
    <w:p w14:paraId="6E00F586" w14:textId="77777777" w:rsidR="00F53BCE" w:rsidRDefault="00F53BCE" w:rsidP="00110C17">
      <w:pPr>
        <w:tabs>
          <w:tab w:val="left" w:pos="720"/>
        </w:tabs>
        <w:spacing w:line="240" w:lineRule="auto"/>
        <w:rPr>
          <w:noProof/>
        </w:rPr>
      </w:pPr>
    </w:p>
    <w:p w14:paraId="0492A0EF" w14:textId="7B392A69" w:rsidR="00F53BCE" w:rsidRDefault="00F53BCE" w:rsidP="00110C17">
      <w:pPr>
        <w:tabs>
          <w:tab w:val="left" w:pos="720"/>
        </w:tabs>
        <w:spacing w:line="240" w:lineRule="auto"/>
        <w:rPr>
          <w:noProof/>
        </w:rPr>
      </w:pPr>
      <w:r>
        <w:rPr>
          <w:noProof/>
        </w:rPr>
        <w:drawing>
          <wp:inline distT="0" distB="0" distL="0" distR="0" wp14:anchorId="5B1CFA73" wp14:editId="6747BBEE">
            <wp:extent cx="8827667" cy="5730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46286" cy="5742326"/>
                    </a:xfrm>
                    <a:prstGeom prst="rect">
                      <a:avLst/>
                    </a:prstGeom>
                  </pic:spPr>
                </pic:pic>
              </a:graphicData>
            </a:graphic>
          </wp:inline>
        </w:drawing>
      </w:r>
    </w:p>
    <w:p w14:paraId="490279C5" w14:textId="77777777" w:rsidR="00F53BCE" w:rsidRDefault="00F53BCE" w:rsidP="00110C17">
      <w:pPr>
        <w:tabs>
          <w:tab w:val="left" w:pos="720"/>
        </w:tabs>
        <w:spacing w:line="240" w:lineRule="auto"/>
        <w:rPr>
          <w:noProof/>
        </w:rPr>
      </w:pPr>
    </w:p>
    <w:p w14:paraId="5B5DA43E" w14:textId="1A210372" w:rsidR="00F53BCE" w:rsidRDefault="00F53BCE" w:rsidP="00110C17">
      <w:pPr>
        <w:tabs>
          <w:tab w:val="left" w:pos="720"/>
        </w:tabs>
        <w:spacing w:line="240" w:lineRule="auto"/>
        <w:rPr>
          <w:noProof/>
        </w:rPr>
      </w:pPr>
      <w:r>
        <w:rPr>
          <w:noProof/>
        </w:rPr>
        <w:drawing>
          <wp:inline distT="0" distB="0" distL="0" distR="0" wp14:anchorId="65AD017F" wp14:editId="220E547C">
            <wp:extent cx="8796759" cy="56388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00322" cy="5641084"/>
                    </a:xfrm>
                    <a:prstGeom prst="rect">
                      <a:avLst/>
                    </a:prstGeom>
                  </pic:spPr>
                </pic:pic>
              </a:graphicData>
            </a:graphic>
          </wp:inline>
        </w:drawing>
      </w:r>
    </w:p>
    <w:sectPr w:rsidR="00F53BCE" w:rsidSect="00553047">
      <w:pgSz w:w="15840" w:h="12240" w:orient="landscape"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CDD58" w14:textId="77777777" w:rsidR="000E4408" w:rsidRDefault="000E4408" w:rsidP="008B5D54">
      <w:pPr>
        <w:spacing w:after="0" w:line="240" w:lineRule="auto"/>
      </w:pPr>
      <w:r>
        <w:separator/>
      </w:r>
    </w:p>
  </w:endnote>
  <w:endnote w:type="continuationSeparator" w:id="0">
    <w:p w14:paraId="35C5F201" w14:textId="77777777" w:rsidR="000E4408" w:rsidRDefault="000E440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BOAO H+ Helvetica">
    <w:altName w:val="Helvetica"/>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GKEAE G+ Helvetica">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389307"/>
      <w:docPartObj>
        <w:docPartGallery w:val="Page Numbers (Bottom of Page)"/>
        <w:docPartUnique/>
      </w:docPartObj>
    </w:sdtPr>
    <w:sdtEndPr>
      <w:rPr>
        <w:noProof/>
      </w:rPr>
    </w:sdtEndPr>
    <w:sdtContent>
      <w:p w14:paraId="0D320138" w14:textId="11BC1928" w:rsidR="00D30CA3" w:rsidRDefault="00D30CA3">
        <w:pPr>
          <w:pStyle w:val="Footer"/>
          <w:jc w:val="center"/>
        </w:pPr>
        <w:r>
          <w:fldChar w:fldCharType="begin"/>
        </w:r>
        <w:r>
          <w:instrText xml:space="preserve"> PAGE   \* MERGEFORMAT </w:instrText>
        </w:r>
        <w:r>
          <w:fldChar w:fldCharType="separate"/>
        </w:r>
        <w:r w:rsidR="0094393E">
          <w:rPr>
            <w:noProof/>
          </w:rPr>
          <w:t>1</w:t>
        </w:r>
        <w:r>
          <w:rPr>
            <w:noProof/>
          </w:rPr>
          <w:fldChar w:fldCharType="end"/>
        </w:r>
      </w:p>
    </w:sdtContent>
  </w:sdt>
  <w:p w14:paraId="526572A5" w14:textId="77777777" w:rsidR="000E4408" w:rsidRDefault="000E4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7AACF" w14:textId="77777777" w:rsidR="000E4408" w:rsidRDefault="000E4408" w:rsidP="008B5D54">
      <w:pPr>
        <w:spacing w:after="0" w:line="240" w:lineRule="auto"/>
      </w:pPr>
      <w:r>
        <w:separator/>
      </w:r>
    </w:p>
  </w:footnote>
  <w:footnote w:type="continuationSeparator" w:id="0">
    <w:p w14:paraId="3F8DF081" w14:textId="77777777" w:rsidR="000E4408" w:rsidRDefault="000E440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1D151" w14:textId="6ABE7329" w:rsidR="00E82FB3" w:rsidRPr="00590ECE" w:rsidRDefault="00590ECE" w:rsidP="00590ECE">
    <w:pPr>
      <w:tabs>
        <w:tab w:val="center" w:pos="4320"/>
        <w:tab w:val="right" w:pos="8640"/>
      </w:tabs>
      <w:rPr>
        <w:rFonts w:ascii="Calibri" w:hAnsi="Calibri" w:cs="Calibri"/>
        <w:b/>
        <w:bCs/>
        <w:sz w:val="20"/>
        <w:szCs w:val="20"/>
      </w:rPr>
    </w:pPr>
    <w:r w:rsidRPr="001E3341">
      <w:rPr>
        <w:rFonts w:ascii="Calibri" w:hAnsi="Calibri" w:cs="Calibri"/>
        <w:i/>
        <w:iCs/>
        <w:sz w:val="20"/>
        <w:szCs w:val="20"/>
      </w:rPr>
      <w:t>NSFG</w:t>
    </w:r>
    <w:r>
      <w:rPr>
        <w:rFonts w:ascii="Calibri" w:hAnsi="Calibri" w:cs="Calibri"/>
        <w:i/>
        <w:iCs/>
        <w:sz w:val="20"/>
        <w:szCs w:val="20"/>
      </w:rPr>
      <w:tab/>
      <w:t>OMB Attachment P</w:t>
    </w:r>
    <w:r>
      <w:rPr>
        <w:rFonts w:ascii="Calibri" w:hAnsi="Calibri" w:cs="Calibri"/>
        <w:i/>
        <w:iCs/>
        <w:sz w:val="20"/>
        <w:szCs w:val="20"/>
      </w:rPr>
      <w:tab/>
      <w:t xml:space="preserve">OMB No. </w:t>
    </w:r>
    <w:r w:rsidRPr="00EF2435">
      <w:rPr>
        <w:rFonts w:ascii="Calibri" w:hAnsi="Calibri" w:cs="Calibri"/>
        <w:bCs/>
        <w:i/>
        <w:sz w:val="20"/>
        <w:szCs w:val="20"/>
      </w:rPr>
      <w:t>0920-0314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853AF"/>
    <w:multiLevelType w:val="multilevel"/>
    <w:tmpl w:val="3C480C0E"/>
    <w:lvl w:ilvl="0">
      <w:start w:val="2015"/>
      <w:numFmt w:val="decimal"/>
      <w:lvlText w:val="%1"/>
      <w:lvlJc w:val="left"/>
      <w:pPr>
        <w:ind w:left="915" w:hanging="915"/>
      </w:pPr>
      <w:rPr>
        <w:rFonts w:hint="default"/>
      </w:rPr>
    </w:lvl>
    <w:lvl w:ilvl="1">
      <w:start w:val="2017"/>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39131C"/>
    <w:multiLevelType w:val="multilevel"/>
    <w:tmpl w:val="8ACA0EDA"/>
    <w:lvl w:ilvl="0">
      <w:start w:val="2015"/>
      <w:numFmt w:val="decimal"/>
      <w:lvlText w:val="%1"/>
      <w:lvlJc w:val="left"/>
      <w:pPr>
        <w:ind w:left="915" w:hanging="915"/>
      </w:pPr>
      <w:rPr>
        <w:rFonts w:hint="default"/>
      </w:rPr>
    </w:lvl>
    <w:lvl w:ilvl="1">
      <w:start w:val="2017"/>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1D41E9A"/>
    <w:multiLevelType w:val="hybridMultilevel"/>
    <w:tmpl w:val="6EFC566E"/>
    <w:lvl w:ilvl="0" w:tplc="1930ABF8">
      <w:start w:val="1"/>
      <w:numFmt w:val="decimal"/>
      <w:lvlText w:val="%1."/>
      <w:lvlJc w:val="left"/>
      <w:pPr>
        <w:ind w:left="42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1" w:tplc="D7EAACDC">
      <w:start w:val="1"/>
      <w:numFmt w:val="lowerLetter"/>
      <w:lvlText w:val="%2"/>
      <w:lvlJc w:val="left"/>
      <w:pPr>
        <w:ind w:left="108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2" w:tplc="1F48588A">
      <w:start w:val="1"/>
      <w:numFmt w:val="lowerRoman"/>
      <w:lvlText w:val="%3"/>
      <w:lvlJc w:val="left"/>
      <w:pPr>
        <w:ind w:left="180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3" w:tplc="3604C278">
      <w:start w:val="1"/>
      <w:numFmt w:val="decimal"/>
      <w:lvlText w:val="%4"/>
      <w:lvlJc w:val="left"/>
      <w:pPr>
        <w:ind w:left="252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4" w:tplc="EA2C2F28">
      <w:start w:val="1"/>
      <w:numFmt w:val="lowerLetter"/>
      <w:lvlText w:val="%5"/>
      <w:lvlJc w:val="left"/>
      <w:pPr>
        <w:ind w:left="324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5" w:tplc="7C880FC8">
      <w:start w:val="1"/>
      <w:numFmt w:val="lowerRoman"/>
      <w:lvlText w:val="%6"/>
      <w:lvlJc w:val="left"/>
      <w:pPr>
        <w:ind w:left="396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6" w:tplc="EB9EB61E">
      <w:start w:val="1"/>
      <w:numFmt w:val="decimal"/>
      <w:lvlText w:val="%7"/>
      <w:lvlJc w:val="left"/>
      <w:pPr>
        <w:ind w:left="468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7" w:tplc="5596BB70">
      <w:start w:val="1"/>
      <w:numFmt w:val="lowerLetter"/>
      <w:lvlText w:val="%8"/>
      <w:lvlJc w:val="left"/>
      <w:pPr>
        <w:ind w:left="540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8" w:tplc="6D1E964E">
      <w:start w:val="1"/>
      <w:numFmt w:val="lowerRoman"/>
      <w:lvlText w:val="%9"/>
      <w:lvlJc w:val="left"/>
      <w:pPr>
        <w:ind w:left="612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abstractNum>
  <w:abstractNum w:abstractNumId="3">
    <w:nsid w:val="75F452BF"/>
    <w:multiLevelType w:val="hybridMultilevel"/>
    <w:tmpl w:val="5B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34"/>
    <w:rsid w:val="000906BD"/>
    <w:rsid w:val="000B0B9F"/>
    <w:rsid w:val="000B1A56"/>
    <w:rsid w:val="000B6B41"/>
    <w:rsid w:val="000E4408"/>
    <w:rsid w:val="000F17B1"/>
    <w:rsid w:val="000F4AF9"/>
    <w:rsid w:val="001059C1"/>
    <w:rsid w:val="00110C17"/>
    <w:rsid w:val="001163BB"/>
    <w:rsid w:val="00164634"/>
    <w:rsid w:val="00167648"/>
    <w:rsid w:val="0017608B"/>
    <w:rsid w:val="00195E6D"/>
    <w:rsid w:val="001B1C7D"/>
    <w:rsid w:val="001D6051"/>
    <w:rsid w:val="001F2C44"/>
    <w:rsid w:val="001F716C"/>
    <w:rsid w:val="002129A3"/>
    <w:rsid w:val="00213464"/>
    <w:rsid w:val="00297C74"/>
    <w:rsid w:val="002B65B2"/>
    <w:rsid w:val="00320A05"/>
    <w:rsid w:val="003355D9"/>
    <w:rsid w:val="00351403"/>
    <w:rsid w:val="00383E51"/>
    <w:rsid w:val="0038541D"/>
    <w:rsid w:val="003A669C"/>
    <w:rsid w:val="003B119D"/>
    <w:rsid w:val="003D3BDB"/>
    <w:rsid w:val="003E57E4"/>
    <w:rsid w:val="003F2551"/>
    <w:rsid w:val="00455651"/>
    <w:rsid w:val="00490E82"/>
    <w:rsid w:val="00493D57"/>
    <w:rsid w:val="004A7982"/>
    <w:rsid w:val="004D0CD2"/>
    <w:rsid w:val="004F0EE0"/>
    <w:rsid w:val="004F4B44"/>
    <w:rsid w:val="0050037A"/>
    <w:rsid w:val="00553047"/>
    <w:rsid w:val="00590ECE"/>
    <w:rsid w:val="005C7037"/>
    <w:rsid w:val="005F617B"/>
    <w:rsid w:val="006276D8"/>
    <w:rsid w:val="006362BD"/>
    <w:rsid w:val="0067599F"/>
    <w:rsid w:val="006A3D32"/>
    <w:rsid w:val="006A4884"/>
    <w:rsid w:val="006B74FA"/>
    <w:rsid w:val="006C6578"/>
    <w:rsid w:val="00791B3A"/>
    <w:rsid w:val="00841A1C"/>
    <w:rsid w:val="008906A8"/>
    <w:rsid w:val="008B5D54"/>
    <w:rsid w:val="008C65A4"/>
    <w:rsid w:val="008D343E"/>
    <w:rsid w:val="009244C1"/>
    <w:rsid w:val="009306F6"/>
    <w:rsid w:val="0094393E"/>
    <w:rsid w:val="00A3221D"/>
    <w:rsid w:val="00A46789"/>
    <w:rsid w:val="00AC51EE"/>
    <w:rsid w:val="00AF2534"/>
    <w:rsid w:val="00B55735"/>
    <w:rsid w:val="00B608AC"/>
    <w:rsid w:val="00B713DA"/>
    <w:rsid w:val="00B87D2F"/>
    <w:rsid w:val="00BB705B"/>
    <w:rsid w:val="00BC3888"/>
    <w:rsid w:val="00BF6688"/>
    <w:rsid w:val="00C96DF0"/>
    <w:rsid w:val="00CB54AC"/>
    <w:rsid w:val="00CE30A2"/>
    <w:rsid w:val="00D01DD7"/>
    <w:rsid w:val="00D30CA3"/>
    <w:rsid w:val="00DC2A3B"/>
    <w:rsid w:val="00DC57CC"/>
    <w:rsid w:val="00DE119A"/>
    <w:rsid w:val="00E26496"/>
    <w:rsid w:val="00E331DF"/>
    <w:rsid w:val="00E530D2"/>
    <w:rsid w:val="00E7364D"/>
    <w:rsid w:val="00E766C1"/>
    <w:rsid w:val="00E82FB3"/>
    <w:rsid w:val="00E87B56"/>
    <w:rsid w:val="00E904C7"/>
    <w:rsid w:val="00E9465E"/>
    <w:rsid w:val="00EC16FD"/>
    <w:rsid w:val="00EF6F9E"/>
    <w:rsid w:val="00F032AB"/>
    <w:rsid w:val="00F53BCE"/>
    <w:rsid w:val="00F554FA"/>
    <w:rsid w:val="00F83CCE"/>
    <w:rsid w:val="00FC39D5"/>
    <w:rsid w:val="00FE1694"/>
    <w:rsid w:val="00FE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E6C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AF253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2FB3"/>
    <w:rPr>
      <w:sz w:val="16"/>
      <w:szCs w:val="16"/>
    </w:rPr>
  </w:style>
  <w:style w:type="paragraph" w:styleId="CommentText">
    <w:name w:val="annotation text"/>
    <w:basedOn w:val="Normal"/>
    <w:link w:val="CommentTextChar"/>
    <w:uiPriority w:val="99"/>
    <w:semiHidden/>
    <w:unhideWhenUsed/>
    <w:rsid w:val="00E82FB3"/>
    <w:pPr>
      <w:spacing w:line="240" w:lineRule="auto"/>
    </w:pPr>
    <w:rPr>
      <w:sz w:val="20"/>
      <w:szCs w:val="20"/>
    </w:rPr>
  </w:style>
  <w:style w:type="character" w:customStyle="1" w:styleId="CommentTextChar">
    <w:name w:val="Comment Text Char"/>
    <w:basedOn w:val="DefaultParagraphFont"/>
    <w:link w:val="CommentText"/>
    <w:uiPriority w:val="99"/>
    <w:semiHidden/>
    <w:rsid w:val="00E82FB3"/>
    <w:rPr>
      <w:sz w:val="20"/>
      <w:szCs w:val="20"/>
    </w:rPr>
  </w:style>
  <w:style w:type="paragraph" w:styleId="CommentSubject">
    <w:name w:val="annotation subject"/>
    <w:basedOn w:val="CommentText"/>
    <w:next w:val="CommentText"/>
    <w:link w:val="CommentSubjectChar"/>
    <w:uiPriority w:val="99"/>
    <w:semiHidden/>
    <w:unhideWhenUsed/>
    <w:rsid w:val="00E82FB3"/>
    <w:rPr>
      <w:b/>
      <w:bCs/>
    </w:rPr>
  </w:style>
  <w:style w:type="character" w:customStyle="1" w:styleId="CommentSubjectChar">
    <w:name w:val="Comment Subject Char"/>
    <w:basedOn w:val="CommentTextChar"/>
    <w:link w:val="CommentSubject"/>
    <w:uiPriority w:val="99"/>
    <w:semiHidden/>
    <w:rsid w:val="00E82FB3"/>
    <w:rPr>
      <w:b/>
      <w:bCs/>
      <w:sz w:val="20"/>
      <w:szCs w:val="20"/>
    </w:rPr>
  </w:style>
  <w:style w:type="paragraph" w:styleId="BalloonText">
    <w:name w:val="Balloon Text"/>
    <w:basedOn w:val="Normal"/>
    <w:link w:val="BalloonTextChar"/>
    <w:uiPriority w:val="99"/>
    <w:semiHidden/>
    <w:unhideWhenUsed/>
    <w:rsid w:val="00E8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FB3"/>
    <w:rPr>
      <w:rFonts w:ascii="Segoe UI" w:hAnsi="Segoe UI" w:cs="Segoe UI"/>
      <w:sz w:val="18"/>
      <w:szCs w:val="18"/>
    </w:rPr>
  </w:style>
  <w:style w:type="paragraph" w:customStyle="1" w:styleId="Default">
    <w:name w:val="Default"/>
    <w:rsid w:val="001059C1"/>
    <w:pPr>
      <w:autoSpaceDE w:val="0"/>
      <w:autoSpaceDN w:val="0"/>
      <w:adjustRightInd w:val="0"/>
      <w:spacing w:after="0" w:line="240" w:lineRule="auto"/>
    </w:pPr>
    <w:rPr>
      <w:rFonts w:ascii="DBOAO H+ Helvetica" w:hAnsi="DBOAO H+ Helvetica" w:cs="DBOAO H+ 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AF253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2FB3"/>
    <w:rPr>
      <w:sz w:val="16"/>
      <w:szCs w:val="16"/>
    </w:rPr>
  </w:style>
  <w:style w:type="paragraph" w:styleId="CommentText">
    <w:name w:val="annotation text"/>
    <w:basedOn w:val="Normal"/>
    <w:link w:val="CommentTextChar"/>
    <w:uiPriority w:val="99"/>
    <w:semiHidden/>
    <w:unhideWhenUsed/>
    <w:rsid w:val="00E82FB3"/>
    <w:pPr>
      <w:spacing w:line="240" w:lineRule="auto"/>
    </w:pPr>
    <w:rPr>
      <w:sz w:val="20"/>
      <w:szCs w:val="20"/>
    </w:rPr>
  </w:style>
  <w:style w:type="character" w:customStyle="1" w:styleId="CommentTextChar">
    <w:name w:val="Comment Text Char"/>
    <w:basedOn w:val="DefaultParagraphFont"/>
    <w:link w:val="CommentText"/>
    <w:uiPriority w:val="99"/>
    <w:semiHidden/>
    <w:rsid w:val="00E82FB3"/>
    <w:rPr>
      <w:sz w:val="20"/>
      <w:szCs w:val="20"/>
    </w:rPr>
  </w:style>
  <w:style w:type="paragraph" w:styleId="CommentSubject">
    <w:name w:val="annotation subject"/>
    <w:basedOn w:val="CommentText"/>
    <w:next w:val="CommentText"/>
    <w:link w:val="CommentSubjectChar"/>
    <w:uiPriority w:val="99"/>
    <w:semiHidden/>
    <w:unhideWhenUsed/>
    <w:rsid w:val="00E82FB3"/>
    <w:rPr>
      <w:b/>
      <w:bCs/>
    </w:rPr>
  </w:style>
  <w:style w:type="character" w:customStyle="1" w:styleId="CommentSubjectChar">
    <w:name w:val="Comment Subject Char"/>
    <w:basedOn w:val="CommentTextChar"/>
    <w:link w:val="CommentSubject"/>
    <w:uiPriority w:val="99"/>
    <w:semiHidden/>
    <w:rsid w:val="00E82FB3"/>
    <w:rPr>
      <w:b/>
      <w:bCs/>
      <w:sz w:val="20"/>
      <w:szCs w:val="20"/>
    </w:rPr>
  </w:style>
  <w:style w:type="paragraph" w:styleId="BalloonText">
    <w:name w:val="Balloon Text"/>
    <w:basedOn w:val="Normal"/>
    <w:link w:val="BalloonTextChar"/>
    <w:uiPriority w:val="99"/>
    <w:semiHidden/>
    <w:unhideWhenUsed/>
    <w:rsid w:val="00E8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FB3"/>
    <w:rPr>
      <w:rFonts w:ascii="Segoe UI" w:hAnsi="Segoe UI" w:cs="Segoe UI"/>
      <w:sz w:val="18"/>
      <w:szCs w:val="18"/>
    </w:rPr>
  </w:style>
  <w:style w:type="paragraph" w:customStyle="1" w:styleId="Default">
    <w:name w:val="Default"/>
    <w:rsid w:val="001059C1"/>
    <w:pPr>
      <w:autoSpaceDE w:val="0"/>
      <w:autoSpaceDN w:val="0"/>
      <w:adjustRightInd w:val="0"/>
      <w:spacing w:after="0" w:line="240" w:lineRule="auto"/>
    </w:pPr>
    <w:rPr>
      <w:rFonts w:ascii="DBOAO H+ Helvetica" w:hAnsi="DBOAO H+ Helvetica" w:cs="DBOAO H+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123">
      <w:bodyDiv w:val="1"/>
      <w:marLeft w:val="0"/>
      <w:marRight w:val="0"/>
      <w:marTop w:val="0"/>
      <w:marBottom w:val="0"/>
      <w:divBdr>
        <w:top w:val="none" w:sz="0" w:space="0" w:color="auto"/>
        <w:left w:val="none" w:sz="0" w:space="0" w:color="auto"/>
        <w:bottom w:val="none" w:sz="0" w:space="0" w:color="auto"/>
        <w:right w:val="none" w:sz="0" w:space="0" w:color="auto"/>
      </w:divBdr>
    </w:div>
    <w:div w:id="49699216">
      <w:bodyDiv w:val="1"/>
      <w:marLeft w:val="0"/>
      <w:marRight w:val="0"/>
      <w:marTop w:val="0"/>
      <w:marBottom w:val="0"/>
      <w:divBdr>
        <w:top w:val="none" w:sz="0" w:space="0" w:color="auto"/>
        <w:left w:val="none" w:sz="0" w:space="0" w:color="auto"/>
        <w:bottom w:val="none" w:sz="0" w:space="0" w:color="auto"/>
        <w:right w:val="none" w:sz="0" w:space="0" w:color="auto"/>
      </w:divBdr>
    </w:div>
    <w:div w:id="108859849">
      <w:bodyDiv w:val="1"/>
      <w:marLeft w:val="0"/>
      <w:marRight w:val="0"/>
      <w:marTop w:val="0"/>
      <w:marBottom w:val="0"/>
      <w:divBdr>
        <w:top w:val="none" w:sz="0" w:space="0" w:color="auto"/>
        <w:left w:val="none" w:sz="0" w:space="0" w:color="auto"/>
        <w:bottom w:val="none" w:sz="0" w:space="0" w:color="auto"/>
        <w:right w:val="none" w:sz="0" w:space="0" w:color="auto"/>
      </w:divBdr>
    </w:div>
    <w:div w:id="570576733">
      <w:bodyDiv w:val="1"/>
      <w:marLeft w:val="0"/>
      <w:marRight w:val="0"/>
      <w:marTop w:val="0"/>
      <w:marBottom w:val="0"/>
      <w:divBdr>
        <w:top w:val="none" w:sz="0" w:space="0" w:color="auto"/>
        <w:left w:val="none" w:sz="0" w:space="0" w:color="auto"/>
        <w:bottom w:val="none" w:sz="0" w:space="0" w:color="auto"/>
        <w:right w:val="none" w:sz="0" w:space="0" w:color="auto"/>
      </w:divBdr>
    </w:div>
    <w:div w:id="643898892">
      <w:bodyDiv w:val="1"/>
      <w:marLeft w:val="0"/>
      <w:marRight w:val="0"/>
      <w:marTop w:val="0"/>
      <w:marBottom w:val="0"/>
      <w:divBdr>
        <w:top w:val="none" w:sz="0" w:space="0" w:color="auto"/>
        <w:left w:val="none" w:sz="0" w:space="0" w:color="auto"/>
        <w:bottom w:val="none" w:sz="0" w:space="0" w:color="auto"/>
        <w:right w:val="none" w:sz="0" w:space="0" w:color="auto"/>
      </w:divBdr>
    </w:div>
    <w:div w:id="1534807818">
      <w:bodyDiv w:val="1"/>
      <w:marLeft w:val="0"/>
      <w:marRight w:val="0"/>
      <w:marTop w:val="0"/>
      <w:marBottom w:val="0"/>
      <w:divBdr>
        <w:top w:val="none" w:sz="0" w:space="0" w:color="auto"/>
        <w:left w:val="none" w:sz="0" w:space="0" w:color="auto"/>
        <w:bottom w:val="none" w:sz="0" w:space="0" w:color="auto"/>
        <w:right w:val="none" w:sz="0" w:space="0" w:color="auto"/>
      </w:divBdr>
    </w:div>
    <w:div w:id="1986740640">
      <w:bodyDiv w:val="1"/>
      <w:marLeft w:val="0"/>
      <w:marRight w:val="0"/>
      <w:marTop w:val="0"/>
      <w:marBottom w:val="0"/>
      <w:divBdr>
        <w:top w:val="none" w:sz="0" w:space="0" w:color="auto"/>
        <w:left w:val="none" w:sz="0" w:space="0" w:color="auto"/>
        <w:bottom w:val="none" w:sz="0" w:space="0" w:color="auto"/>
        <w:right w:val="none" w:sz="0" w:space="0" w:color="auto"/>
      </w:divBdr>
    </w:div>
    <w:div w:id="2000573049">
      <w:bodyDiv w:val="1"/>
      <w:marLeft w:val="0"/>
      <w:marRight w:val="0"/>
      <w:marTop w:val="0"/>
      <w:marBottom w:val="0"/>
      <w:divBdr>
        <w:top w:val="none" w:sz="0" w:space="0" w:color="auto"/>
        <w:left w:val="none" w:sz="0" w:space="0" w:color="auto"/>
        <w:bottom w:val="none" w:sz="0" w:space="0" w:color="auto"/>
        <w:right w:val="none" w:sz="0" w:space="0" w:color="auto"/>
      </w:divBdr>
    </w:div>
    <w:div w:id="21107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4CC4-97B4-47C1-B3E5-FD27B7D7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Copen, Casey E. (CDC/OPHSS/NCHS)</dc:creator>
  <cp:keywords/>
  <dc:description/>
  <cp:lastModifiedBy>SYSTEM</cp:lastModifiedBy>
  <cp:revision>2</cp:revision>
  <dcterms:created xsi:type="dcterms:W3CDTF">2018-04-25T19:58:00Z</dcterms:created>
  <dcterms:modified xsi:type="dcterms:W3CDTF">2018-04-25T19:58:00Z</dcterms:modified>
</cp:coreProperties>
</file>