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F98F2" w14:textId="77777777" w:rsidR="008452E5" w:rsidRDefault="008452E5" w:rsidP="008452E5">
      <w:pPr>
        <w:pStyle w:val="Cov-Date"/>
      </w:pPr>
      <w:bookmarkStart w:id="0" w:name="_Toc67387400"/>
      <w:bookmarkStart w:id="1" w:name="_GoBack"/>
      <w:bookmarkEnd w:id="1"/>
    </w:p>
    <w:p w14:paraId="30FB517C" w14:textId="77777777" w:rsidR="008452E5" w:rsidRDefault="008452E5" w:rsidP="008452E5">
      <w:pPr>
        <w:pStyle w:val="Cov-Date"/>
      </w:pPr>
    </w:p>
    <w:p w14:paraId="46938C0F" w14:textId="4205B6A5" w:rsidR="00A84D72" w:rsidRPr="00A84D72" w:rsidRDefault="00A84D72" w:rsidP="00A84D72">
      <w:pPr>
        <w:autoSpaceDE w:val="0"/>
        <w:autoSpaceDN w:val="0"/>
        <w:adjustRightInd w:val="0"/>
        <w:jc w:val="center"/>
        <w:rPr>
          <w:b/>
          <w:bCs/>
          <w:szCs w:val="20"/>
        </w:rPr>
      </w:pPr>
      <w:r w:rsidRPr="00A84D72">
        <w:rPr>
          <w:b/>
          <w:bCs/>
          <w:szCs w:val="20"/>
        </w:rPr>
        <w:t xml:space="preserve">Paul Coverdell National Acute Stroke Program (2015-2020) </w:t>
      </w:r>
      <w:r w:rsidR="00977375">
        <w:rPr>
          <w:b/>
          <w:bCs/>
          <w:szCs w:val="20"/>
        </w:rPr>
        <w:t xml:space="preserve">Assessment </w:t>
      </w:r>
    </w:p>
    <w:p w14:paraId="2571052D" w14:textId="77777777" w:rsidR="00A84D72" w:rsidRPr="00A84D72" w:rsidRDefault="00A84D72" w:rsidP="00A84D72">
      <w:pPr>
        <w:jc w:val="center"/>
        <w:rPr>
          <w:b/>
          <w:color w:val="000000"/>
          <w:sz w:val="28"/>
          <w:szCs w:val="28"/>
        </w:rPr>
      </w:pPr>
    </w:p>
    <w:p w14:paraId="7BE04E22" w14:textId="77777777" w:rsidR="00A84D72" w:rsidRDefault="00A84D72" w:rsidP="00A84D72">
      <w:pPr>
        <w:jc w:val="center"/>
        <w:rPr>
          <w:b/>
          <w:color w:val="000000"/>
        </w:rPr>
      </w:pPr>
      <w:r w:rsidRPr="00A84D72">
        <w:rPr>
          <w:b/>
          <w:color w:val="000000"/>
        </w:rPr>
        <w:t>Information Collection Request</w:t>
      </w:r>
    </w:p>
    <w:p w14:paraId="73148D6B" w14:textId="77777777" w:rsidR="00A84D72" w:rsidRDefault="00A84D72" w:rsidP="00A84D72">
      <w:pPr>
        <w:jc w:val="center"/>
        <w:rPr>
          <w:b/>
          <w:color w:val="000000"/>
        </w:rPr>
      </w:pPr>
    </w:p>
    <w:p w14:paraId="76822D8A" w14:textId="7B1A0815" w:rsidR="00A84D72" w:rsidRPr="00A84D72" w:rsidRDefault="00A84D72" w:rsidP="00A84D72">
      <w:pPr>
        <w:jc w:val="center"/>
        <w:rPr>
          <w:b/>
          <w:color w:val="000000"/>
        </w:rPr>
      </w:pPr>
      <w:r>
        <w:rPr>
          <w:b/>
          <w:color w:val="000000"/>
        </w:rPr>
        <w:t>New</w:t>
      </w:r>
    </w:p>
    <w:p w14:paraId="672276CB" w14:textId="77777777" w:rsidR="00A84D72" w:rsidRPr="00A84D72" w:rsidRDefault="00A84D72" w:rsidP="00A84D72">
      <w:pPr>
        <w:jc w:val="center"/>
        <w:rPr>
          <w:color w:val="000000"/>
          <w:szCs w:val="20"/>
        </w:rPr>
      </w:pPr>
    </w:p>
    <w:p w14:paraId="3034411C" w14:textId="77777777" w:rsidR="00A84D72" w:rsidRDefault="00A84D72" w:rsidP="00A84D72">
      <w:pPr>
        <w:jc w:val="center"/>
        <w:rPr>
          <w:color w:val="000000"/>
          <w:szCs w:val="20"/>
        </w:rPr>
      </w:pPr>
      <w:r w:rsidRPr="00A84D72">
        <w:rPr>
          <w:color w:val="000000"/>
          <w:szCs w:val="20"/>
        </w:rPr>
        <w:t>Supporting Statement</w:t>
      </w:r>
    </w:p>
    <w:p w14:paraId="30B4FEB2" w14:textId="77777777" w:rsidR="00A84D72" w:rsidRDefault="00A84D72" w:rsidP="00A84D72">
      <w:pPr>
        <w:jc w:val="center"/>
        <w:rPr>
          <w:color w:val="000000"/>
          <w:szCs w:val="20"/>
        </w:rPr>
      </w:pPr>
    </w:p>
    <w:p w14:paraId="1E73D57F" w14:textId="7B71815C" w:rsidR="00A84D72" w:rsidRPr="00A84D72" w:rsidRDefault="00A84D72" w:rsidP="00A84D72">
      <w:pPr>
        <w:jc w:val="center"/>
        <w:rPr>
          <w:color w:val="000000"/>
          <w:szCs w:val="20"/>
        </w:rPr>
      </w:pPr>
      <w:r>
        <w:rPr>
          <w:color w:val="000000"/>
          <w:szCs w:val="20"/>
        </w:rPr>
        <w:t>Part A—Justification</w:t>
      </w:r>
    </w:p>
    <w:p w14:paraId="1BB16F5E" w14:textId="77777777" w:rsidR="008452E5" w:rsidRDefault="008452E5" w:rsidP="008452E5">
      <w:pPr>
        <w:pStyle w:val="Cov-Date"/>
      </w:pPr>
    </w:p>
    <w:p w14:paraId="010A2492" w14:textId="77777777" w:rsidR="008452E5" w:rsidRDefault="008452E5" w:rsidP="008452E5">
      <w:pPr>
        <w:pStyle w:val="Cov-Date"/>
      </w:pPr>
    </w:p>
    <w:p w14:paraId="7D29AA16" w14:textId="77777777" w:rsidR="008452E5" w:rsidRDefault="008452E5" w:rsidP="008452E5">
      <w:pPr>
        <w:pStyle w:val="Cov-Date"/>
      </w:pPr>
    </w:p>
    <w:p w14:paraId="426EFEE9" w14:textId="77777777" w:rsidR="008452E5" w:rsidRDefault="008452E5" w:rsidP="008452E5">
      <w:pPr>
        <w:pStyle w:val="Cov-Date"/>
      </w:pPr>
    </w:p>
    <w:p w14:paraId="37360BD5" w14:textId="77777777" w:rsidR="008452E5" w:rsidRDefault="008452E5" w:rsidP="008452E5">
      <w:pPr>
        <w:pStyle w:val="Cov-Date"/>
      </w:pPr>
    </w:p>
    <w:p w14:paraId="4DD3DBF8" w14:textId="77777777" w:rsidR="008452E5" w:rsidRDefault="008452E5" w:rsidP="008452E5">
      <w:pPr>
        <w:jc w:val="center"/>
        <w:rPr>
          <w:b/>
          <w:color w:val="000000"/>
        </w:rPr>
      </w:pPr>
    </w:p>
    <w:p w14:paraId="53AAA285" w14:textId="77777777" w:rsidR="008452E5" w:rsidRDefault="008452E5" w:rsidP="008452E5">
      <w:pPr>
        <w:jc w:val="center"/>
        <w:rPr>
          <w:b/>
          <w:color w:val="000000"/>
        </w:rPr>
      </w:pPr>
    </w:p>
    <w:p w14:paraId="5429A899" w14:textId="77777777" w:rsidR="008452E5" w:rsidRDefault="008452E5" w:rsidP="008452E5">
      <w:pPr>
        <w:jc w:val="center"/>
        <w:rPr>
          <w:b/>
          <w:color w:val="000000"/>
        </w:rPr>
      </w:pPr>
    </w:p>
    <w:p w14:paraId="5D35DF14" w14:textId="77777777" w:rsidR="008452E5" w:rsidRDefault="008452E5" w:rsidP="008452E5">
      <w:pPr>
        <w:jc w:val="center"/>
        <w:rPr>
          <w:b/>
          <w:color w:val="000000"/>
        </w:rPr>
      </w:pPr>
    </w:p>
    <w:p w14:paraId="43CBBC61" w14:textId="11D68670" w:rsidR="00501709" w:rsidRDefault="00F50A9A" w:rsidP="00501709">
      <w:pPr>
        <w:jc w:val="center"/>
        <w:rPr>
          <w:b/>
          <w:color w:val="000000"/>
        </w:rPr>
      </w:pPr>
      <w:r>
        <w:rPr>
          <w:b/>
          <w:color w:val="000000"/>
        </w:rPr>
        <w:t>January 5, 2018</w:t>
      </w:r>
    </w:p>
    <w:p w14:paraId="0F582BF3" w14:textId="77777777" w:rsidR="00A84D72" w:rsidRDefault="00A84D72" w:rsidP="008452E5">
      <w:pPr>
        <w:jc w:val="center"/>
        <w:rPr>
          <w:b/>
          <w:color w:val="000000"/>
        </w:rPr>
      </w:pPr>
    </w:p>
    <w:p w14:paraId="00701C78" w14:textId="77777777" w:rsidR="00A84D72" w:rsidRDefault="00A84D72" w:rsidP="008452E5">
      <w:pPr>
        <w:jc w:val="center"/>
        <w:rPr>
          <w:b/>
          <w:color w:val="000000"/>
        </w:rPr>
      </w:pPr>
    </w:p>
    <w:p w14:paraId="6800D825" w14:textId="77777777" w:rsidR="00A84D72" w:rsidRDefault="00A84D72" w:rsidP="008452E5">
      <w:pPr>
        <w:jc w:val="center"/>
        <w:rPr>
          <w:b/>
          <w:color w:val="000000"/>
        </w:rPr>
      </w:pPr>
    </w:p>
    <w:p w14:paraId="0370F843" w14:textId="77777777" w:rsidR="00A84D72" w:rsidRDefault="00A84D72" w:rsidP="008452E5">
      <w:pPr>
        <w:jc w:val="center"/>
        <w:rPr>
          <w:b/>
          <w:color w:val="000000"/>
        </w:rPr>
      </w:pPr>
    </w:p>
    <w:p w14:paraId="61FFE046" w14:textId="77777777" w:rsidR="00A84D72" w:rsidRDefault="00A84D72" w:rsidP="008452E5">
      <w:pPr>
        <w:jc w:val="center"/>
        <w:rPr>
          <w:b/>
          <w:color w:val="000000"/>
        </w:rPr>
      </w:pPr>
    </w:p>
    <w:p w14:paraId="42CD031A" w14:textId="6DF04270" w:rsidR="00432A53" w:rsidRPr="00432A53" w:rsidRDefault="00F50A9A" w:rsidP="008452E5">
      <w:pPr>
        <w:jc w:val="center"/>
        <w:rPr>
          <w:color w:val="000000"/>
        </w:rPr>
      </w:pPr>
      <w:r>
        <w:rPr>
          <w:color w:val="000000"/>
        </w:rPr>
        <w:t>Kincaid Lowe</w:t>
      </w:r>
      <w:r w:rsidR="00501709">
        <w:rPr>
          <w:color w:val="000000"/>
        </w:rPr>
        <w:t>, Health Scientist</w:t>
      </w:r>
    </w:p>
    <w:p w14:paraId="1FD859DE" w14:textId="77777777" w:rsidR="00432A53" w:rsidRPr="00432A53" w:rsidRDefault="00432A53" w:rsidP="00432A53">
      <w:pPr>
        <w:jc w:val="center"/>
        <w:rPr>
          <w:color w:val="000000"/>
        </w:rPr>
      </w:pPr>
      <w:r w:rsidRPr="00432A53">
        <w:rPr>
          <w:color w:val="000000"/>
        </w:rPr>
        <w:t>CDC/NCCDPHP/Division for Heart Disease and Stroke Prevention</w:t>
      </w:r>
    </w:p>
    <w:p w14:paraId="49FC5AC3" w14:textId="086077AE" w:rsidR="00432A53" w:rsidRPr="00432A53" w:rsidRDefault="00432A53" w:rsidP="00432A53">
      <w:pPr>
        <w:jc w:val="center"/>
        <w:rPr>
          <w:color w:val="000000"/>
        </w:rPr>
      </w:pPr>
      <w:r w:rsidRPr="00432A53">
        <w:rPr>
          <w:color w:val="000000"/>
        </w:rPr>
        <w:t>4770 Buford Highway NE, MS-</w:t>
      </w:r>
      <w:r w:rsidR="00446D1A">
        <w:rPr>
          <w:color w:val="000000"/>
        </w:rPr>
        <w:t>F73</w:t>
      </w:r>
    </w:p>
    <w:p w14:paraId="7132BEC2" w14:textId="77777777" w:rsidR="00432A53" w:rsidRPr="00501709" w:rsidRDefault="00432A53" w:rsidP="00432A53">
      <w:pPr>
        <w:jc w:val="center"/>
        <w:rPr>
          <w:color w:val="000000"/>
        </w:rPr>
      </w:pPr>
      <w:r w:rsidRPr="00432A53">
        <w:rPr>
          <w:color w:val="000000"/>
        </w:rPr>
        <w:t xml:space="preserve">Atlanta, GA </w:t>
      </w:r>
      <w:r w:rsidRPr="00501709">
        <w:rPr>
          <w:color w:val="000000"/>
        </w:rPr>
        <w:t>30341-3717</w:t>
      </w:r>
    </w:p>
    <w:p w14:paraId="4D93313E" w14:textId="3531B507" w:rsidR="00501709" w:rsidRDefault="00501709" w:rsidP="00501709">
      <w:pPr>
        <w:pStyle w:val="CommentText"/>
        <w:jc w:val="center"/>
        <w:rPr>
          <w:sz w:val="24"/>
          <w:szCs w:val="24"/>
        </w:rPr>
      </w:pPr>
      <w:r w:rsidRPr="00501709">
        <w:rPr>
          <w:sz w:val="24"/>
          <w:szCs w:val="24"/>
        </w:rPr>
        <w:t xml:space="preserve">Phone: </w:t>
      </w:r>
      <w:r w:rsidR="00F50A9A">
        <w:rPr>
          <w:sz w:val="24"/>
          <w:szCs w:val="24"/>
        </w:rPr>
        <w:t>404.718.6633</w:t>
      </w:r>
    </w:p>
    <w:p w14:paraId="73ECD4D8" w14:textId="4EFAAE93" w:rsidR="00501709" w:rsidRPr="00501709" w:rsidRDefault="00501709" w:rsidP="00501709">
      <w:pPr>
        <w:pStyle w:val="CommentText"/>
        <w:jc w:val="center"/>
        <w:rPr>
          <w:sz w:val="24"/>
          <w:szCs w:val="24"/>
        </w:rPr>
      </w:pPr>
      <w:r>
        <w:rPr>
          <w:sz w:val="24"/>
          <w:szCs w:val="24"/>
        </w:rPr>
        <w:t xml:space="preserve">Email: </w:t>
      </w:r>
      <w:r w:rsidR="00F50A9A" w:rsidRPr="004450AA">
        <w:rPr>
          <w:sz w:val="24"/>
          <w:szCs w:val="24"/>
        </w:rPr>
        <w:t>klowe@cdc</w:t>
      </w:r>
      <w:r w:rsidR="00F50A9A" w:rsidRPr="00F50A9A">
        <w:rPr>
          <w:sz w:val="24"/>
          <w:szCs w:val="24"/>
        </w:rPr>
        <w:t>.gov</w:t>
      </w:r>
    </w:p>
    <w:p w14:paraId="6998233C" w14:textId="5FAE5495" w:rsidR="008452E5" w:rsidRPr="00501709" w:rsidRDefault="00501709" w:rsidP="00501709">
      <w:pPr>
        <w:jc w:val="center"/>
        <w:rPr>
          <w:b/>
          <w:color w:val="000000"/>
        </w:rPr>
      </w:pPr>
      <w:r w:rsidRPr="00501709">
        <w:t>Fax: 770.488.8151</w:t>
      </w:r>
    </w:p>
    <w:p w14:paraId="0C8CADBC" w14:textId="77777777" w:rsidR="008452E5" w:rsidRDefault="008452E5" w:rsidP="008452E5">
      <w:pPr>
        <w:jc w:val="center"/>
        <w:rPr>
          <w:b/>
          <w:color w:val="000000"/>
        </w:rPr>
      </w:pPr>
    </w:p>
    <w:p w14:paraId="0BF1BF38" w14:textId="77777777" w:rsidR="008452E5" w:rsidRDefault="008452E5" w:rsidP="008452E5">
      <w:pPr>
        <w:jc w:val="center"/>
        <w:rPr>
          <w:b/>
          <w:color w:val="000000"/>
        </w:rPr>
      </w:pPr>
    </w:p>
    <w:p w14:paraId="54418A7B" w14:textId="77777777" w:rsidR="008452E5" w:rsidRDefault="008452E5" w:rsidP="008452E5">
      <w:pPr>
        <w:jc w:val="center"/>
        <w:rPr>
          <w:b/>
          <w:color w:val="000000"/>
        </w:rPr>
      </w:pPr>
    </w:p>
    <w:p w14:paraId="716A60EE" w14:textId="77777777" w:rsidR="008452E5" w:rsidRDefault="008452E5" w:rsidP="008452E5">
      <w:pPr>
        <w:jc w:val="center"/>
        <w:rPr>
          <w:b/>
          <w:color w:val="000000"/>
        </w:rPr>
      </w:pPr>
    </w:p>
    <w:p w14:paraId="191578E8" w14:textId="77777777" w:rsidR="008452E5" w:rsidRDefault="008452E5" w:rsidP="008452E5">
      <w:pPr>
        <w:jc w:val="center"/>
        <w:rPr>
          <w:b/>
          <w:color w:val="000000"/>
        </w:rPr>
      </w:pPr>
    </w:p>
    <w:bookmarkEnd w:id="0"/>
    <w:p w14:paraId="118BCDF0" w14:textId="77777777" w:rsidR="008452E5" w:rsidRDefault="008452E5"/>
    <w:p w14:paraId="3B681F05" w14:textId="77777777" w:rsidR="008452E5" w:rsidRDefault="008452E5"/>
    <w:p w14:paraId="247ACA73" w14:textId="77777777" w:rsidR="008452E5" w:rsidRDefault="008452E5"/>
    <w:p w14:paraId="15B56A22" w14:textId="77777777" w:rsidR="008452E5" w:rsidRDefault="008452E5"/>
    <w:p w14:paraId="6BB55159" w14:textId="77777777" w:rsidR="008452E5" w:rsidRDefault="008452E5"/>
    <w:p w14:paraId="25FEA99C" w14:textId="77777777" w:rsidR="008452E5" w:rsidRDefault="008452E5"/>
    <w:p w14:paraId="35BD9D44" w14:textId="77777777" w:rsidR="008452E5" w:rsidRDefault="008452E5"/>
    <w:p w14:paraId="4646FA24" w14:textId="77777777" w:rsidR="008452E5" w:rsidRDefault="008452E5"/>
    <w:p w14:paraId="2BF71903" w14:textId="77777777" w:rsidR="008452E5" w:rsidRDefault="008452E5"/>
    <w:p w14:paraId="2896A262" w14:textId="77777777" w:rsidR="008452E5" w:rsidRDefault="008452E5"/>
    <w:p w14:paraId="7C3CB8C1" w14:textId="77777777" w:rsidR="008452E5" w:rsidRDefault="008452E5"/>
    <w:p w14:paraId="4088BE79" w14:textId="77777777" w:rsidR="008452E5" w:rsidRDefault="008452E5" w:rsidP="008452E5">
      <w:pPr>
        <w:pStyle w:val="TOC0"/>
      </w:pPr>
      <w:r>
        <w:fldChar w:fldCharType="begin"/>
      </w:r>
      <w:r>
        <w:instrText xml:space="preserve"> SEQ CHAPTER \h \r 1</w:instrText>
      </w:r>
      <w:r>
        <w:fldChar w:fldCharType="end"/>
      </w:r>
      <w:r>
        <w:rPr>
          <w:bCs/>
        </w:rPr>
        <w:t>TABLE OF CONTENTS</w:t>
      </w:r>
    </w:p>
    <w:sdt>
      <w:sdtPr>
        <w:id w:val="-78601882"/>
        <w:docPartObj>
          <w:docPartGallery w:val="Table of Contents"/>
          <w:docPartUnique/>
        </w:docPartObj>
      </w:sdtPr>
      <w:sdtEndPr>
        <w:rPr>
          <w:b/>
          <w:bCs/>
          <w:noProof/>
        </w:rPr>
      </w:sdtEndPr>
      <w:sdtContent>
        <w:p w14:paraId="78F93D79" w14:textId="65B6D247" w:rsidR="008A4364" w:rsidRDefault="002B3E95">
          <w:pPr>
            <w:pStyle w:val="TOC1"/>
            <w:rPr>
              <w:rFonts w:asciiTheme="minorHAnsi" w:eastAsiaTheme="minorEastAsia" w:hAnsiTheme="minorHAnsi" w:cstheme="minorBidi"/>
              <w:noProof/>
              <w:sz w:val="22"/>
              <w:szCs w:val="22"/>
            </w:rPr>
          </w:pPr>
          <w:r w:rsidRPr="002B3E95">
            <w:fldChar w:fldCharType="begin"/>
          </w:r>
          <w:r w:rsidRPr="002B3E95">
            <w:instrText xml:space="preserve"> TOC \o "1-3" \h \z \u </w:instrText>
          </w:r>
          <w:r w:rsidRPr="002B3E95">
            <w:fldChar w:fldCharType="separate"/>
          </w:r>
          <w:hyperlink w:anchor="_Toc480354122" w:history="1">
            <w:r w:rsidR="008A4364" w:rsidRPr="00A73960">
              <w:rPr>
                <w:rStyle w:val="Hyperlink"/>
                <w:noProof/>
              </w:rPr>
              <w:t>A.</w:t>
            </w:r>
            <w:r w:rsidR="008A4364">
              <w:rPr>
                <w:rFonts w:asciiTheme="minorHAnsi" w:eastAsiaTheme="minorEastAsia" w:hAnsiTheme="minorHAnsi" w:cstheme="minorBidi"/>
                <w:noProof/>
                <w:sz w:val="22"/>
                <w:szCs w:val="22"/>
              </w:rPr>
              <w:tab/>
            </w:r>
            <w:r w:rsidR="008A4364" w:rsidRPr="00A73960">
              <w:rPr>
                <w:rStyle w:val="Hyperlink"/>
                <w:noProof/>
              </w:rPr>
              <w:t>JUSTIFICATION</w:t>
            </w:r>
            <w:r w:rsidR="008A4364">
              <w:rPr>
                <w:noProof/>
                <w:webHidden/>
              </w:rPr>
              <w:tab/>
            </w:r>
            <w:r w:rsidR="008A4364">
              <w:rPr>
                <w:noProof/>
                <w:webHidden/>
              </w:rPr>
              <w:fldChar w:fldCharType="begin"/>
            </w:r>
            <w:r w:rsidR="008A4364">
              <w:rPr>
                <w:noProof/>
                <w:webHidden/>
              </w:rPr>
              <w:instrText xml:space="preserve"> PAGEREF _Toc480354122 \h </w:instrText>
            </w:r>
            <w:r w:rsidR="008A4364">
              <w:rPr>
                <w:noProof/>
                <w:webHidden/>
              </w:rPr>
            </w:r>
            <w:r w:rsidR="008A4364">
              <w:rPr>
                <w:noProof/>
                <w:webHidden/>
              </w:rPr>
              <w:fldChar w:fldCharType="separate"/>
            </w:r>
            <w:r w:rsidR="008A4364">
              <w:rPr>
                <w:noProof/>
                <w:webHidden/>
              </w:rPr>
              <w:t>5</w:t>
            </w:r>
            <w:r w:rsidR="008A4364">
              <w:rPr>
                <w:noProof/>
                <w:webHidden/>
              </w:rPr>
              <w:fldChar w:fldCharType="end"/>
            </w:r>
          </w:hyperlink>
        </w:p>
        <w:p w14:paraId="0CB837AE" w14:textId="099C2BBC" w:rsidR="008A4364" w:rsidRDefault="00A205FC">
          <w:pPr>
            <w:pStyle w:val="TOC2"/>
            <w:tabs>
              <w:tab w:val="left" w:pos="880"/>
              <w:tab w:val="right" w:leader="dot" w:pos="9350"/>
            </w:tabs>
            <w:rPr>
              <w:rFonts w:asciiTheme="minorHAnsi" w:eastAsiaTheme="minorEastAsia" w:hAnsiTheme="minorHAnsi" w:cstheme="minorBidi"/>
              <w:noProof/>
              <w:sz w:val="22"/>
              <w:szCs w:val="22"/>
            </w:rPr>
          </w:pPr>
          <w:hyperlink w:anchor="_Toc480354123" w:history="1">
            <w:r w:rsidR="008A4364" w:rsidRPr="00A73960">
              <w:rPr>
                <w:rStyle w:val="Hyperlink"/>
                <w:noProof/>
              </w:rPr>
              <w:t xml:space="preserve">A.1 </w:t>
            </w:r>
            <w:r w:rsidR="008A4364">
              <w:rPr>
                <w:rFonts w:asciiTheme="minorHAnsi" w:eastAsiaTheme="minorEastAsia" w:hAnsiTheme="minorHAnsi" w:cstheme="minorBidi"/>
                <w:noProof/>
                <w:sz w:val="22"/>
                <w:szCs w:val="22"/>
              </w:rPr>
              <w:tab/>
            </w:r>
            <w:r w:rsidR="008A4364" w:rsidRPr="00A73960">
              <w:rPr>
                <w:rStyle w:val="Hyperlink"/>
                <w:noProof/>
              </w:rPr>
              <w:t>Circumstances Making the Collection of Information Necessary</w:t>
            </w:r>
            <w:r w:rsidR="008A4364">
              <w:rPr>
                <w:noProof/>
                <w:webHidden/>
              </w:rPr>
              <w:tab/>
            </w:r>
            <w:r w:rsidR="008A4364">
              <w:rPr>
                <w:noProof/>
                <w:webHidden/>
              </w:rPr>
              <w:fldChar w:fldCharType="begin"/>
            </w:r>
            <w:r w:rsidR="008A4364">
              <w:rPr>
                <w:noProof/>
                <w:webHidden/>
              </w:rPr>
              <w:instrText xml:space="preserve"> PAGEREF _Toc480354123 \h </w:instrText>
            </w:r>
            <w:r w:rsidR="008A4364">
              <w:rPr>
                <w:noProof/>
                <w:webHidden/>
              </w:rPr>
            </w:r>
            <w:r w:rsidR="008A4364">
              <w:rPr>
                <w:noProof/>
                <w:webHidden/>
              </w:rPr>
              <w:fldChar w:fldCharType="separate"/>
            </w:r>
            <w:r w:rsidR="008A4364">
              <w:rPr>
                <w:noProof/>
                <w:webHidden/>
              </w:rPr>
              <w:t>5</w:t>
            </w:r>
            <w:r w:rsidR="008A4364">
              <w:rPr>
                <w:noProof/>
                <w:webHidden/>
              </w:rPr>
              <w:fldChar w:fldCharType="end"/>
            </w:r>
          </w:hyperlink>
        </w:p>
        <w:p w14:paraId="123CD745" w14:textId="7D5594DD" w:rsidR="008A4364" w:rsidRDefault="00A205FC">
          <w:pPr>
            <w:pStyle w:val="TOC2"/>
            <w:tabs>
              <w:tab w:val="left" w:pos="880"/>
              <w:tab w:val="right" w:leader="dot" w:pos="9350"/>
            </w:tabs>
            <w:rPr>
              <w:rFonts w:asciiTheme="minorHAnsi" w:eastAsiaTheme="minorEastAsia" w:hAnsiTheme="minorHAnsi" w:cstheme="minorBidi"/>
              <w:noProof/>
              <w:sz w:val="22"/>
              <w:szCs w:val="22"/>
            </w:rPr>
          </w:pPr>
          <w:hyperlink w:anchor="_Toc480354124" w:history="1">
            <w:r w:rsidR="008A4364" w:rsidRPr="00A73960">
              <w:rPr>
                <w:rStyle w:val="Hyperlink"/>
                <w:noProof/>
              </w:rPr>
              <w:t>A.2</w:t>
            </w:r>
            <w:r w:rsidR="008A4364">
              <w:rPr>
                <w:rFonts w:asciiTheme="minorHAnsi" w:eastAsiaTheme="minorEastAsia" w:hAnsiTheme="minorHAnsi" w:cstheme="minorBidi"/>
                <w:noProof/>
                <w:sz w:val="22"/>
                <w:szCs w:val="22"/>
              </w:rPr>
              <w:tab/>
            </w:r>
            <w:r w:rsidR="008A4364" w:rsidRPr="00A73960">
              <w:rPr>
                <w:rStyle w:val="Hyperlink"/>
                <w:noProof/>
              </w:rPr>
              <w:t>Purposes and Use of the Information Collection</w:t>
            </w:r>
            <w:r w:rsidR="008A4364">
              <w:rPr>
                <w:noProof/>
                <w:webHidden/>
              </w:rPr>
              <w:tab/>
            </w:r>
            <w:r w:rsidR="008A4364">
              <w:rPr>
                <w:noProof/>
                <w:webHidden/>
              </w:rPr>
              <w:fldChar w:fldCharType="begin"/>
            </w:r>
            <w:r w:rsidR="008A4364">
              <w:rPr>
                <w:noProof/>
                <w:webHidden/>
              </w:rPr>
              <w:instrText xml:space="preserve"> PAGEREF _Toc480354124 \h </w:instrText>
            </w:r>
            <w:r w:rsidR="008A4364">
              <w:rPr>
                <w:noProof/>
                <w:webHidden/>
              </w:rPr>
            </w:r>
            <w:r w:rsidR="008A4364">
              <w:rPr>
                <w:noProof/>
                <w:webHidden/>
              </w:rPr>
              <w:fldChar w:fldCharType="separate"/>
            </w:r>
            <w:r w:rsidR="008A4364">
              <w:rPr>
                <w:noProof/>
                <w:webHidden/>
              </w:rPr>
              <w:t>6</w:t>
            </w:r>
            <w:r w:rsidR="008A4364">
              <w:rPr>
                <w:noProof/>
                <w:webHidden/>
              </w:rPr>
              <w:fldChar w:fldCharType="end"/>
            </w:r>
          </w:hyperlink>
        </w:p>
        <w:p w14:paraId="431B295D" w14:textId="44E020DA" w:rsidR="008A4364" w:rsidRDefault="00A205FC">
          <w:pPr>
            <w:pStyle w:val="TOC2"/>
            <w:tabs>
              <w:tab w:val="right" w:leader="dot" w:pos="9350"/>
            </w:tabs>
            <w:rPr>
              <w:rFonts w:asciiTheme="minorHAnsi" w:eastAsiaTheme="minorEastAsia" w:hAnsiTheme="minorHAnsi" w:cstheme="minorBidi"/>
              <w:noProof/>
              <w:sz w:val="22"/>
              <w:szCs w:val="22"/>
            </w:rPr>
          </w:pPr>
          <w:hyperlink w:anchor="_Toc480354125" w:history="1">
            <w:r w:rsidR="008A4364" w:rsidRPr="00A73960">
              <w:rPr>
                <w:rStyle w:val="Hyperlink"/>
                <w:noProof/>
              </w:rPr>
              <w:t>A.3 Use of Improved Information Technology and Burden Reduction</w:t>
            </w:r>
            <w:r w:rsidR="008A4364">
              <w:rPr>
                <w:noProof/>
                <w:webHidden/>
              </w:rPr>
              <w:tab/>
            </w:r>
            <w:r w:rsidR="008A4364">
              <w:rPr>
                <w:noProof/>
                <w:webHidden/>
              </w:rPr>
              <w:fldChar w:fldCharType="begin"/>
            </w:r>
            <w:r w:rsidR="008A4364">
              <w:rPr>
                <w:noProof/>
                <w:webHidden/>
              </w:rPr>
              <w:instrText xml:space="preserve"> PAGEREF _Toc480354125 \h </w:instrText>
            </w:r>
            <w:r w:rsidR="008A4364">
              <w:rPr>
                <w:noProof/>
                <w:webHidden/>
              </w:rPr>
            </w:r>
            <w:r w:rsidR="008A4364">
              <w:rPr>
                <w:noProof/>
                <w:webHidden/>
              </w:rPr>
              <w:fldChar w:fldCharType="separate"/>
            </w:r>
            <w:r w:rsidR="008A4364">
              <w:rPr>
                <w:noProof/>
                <w:webHidden/>
              </w:rPr>
              <w:t>8</w:t>
            </w:r>
            <w:r w:rsidR="008A4364">
              <w:rPr>
                <w:noProof/>
                <w:webHidden/>
              </w:rPr>
              <w:fldChar w:fldCharType="end"/>
            </w:r>
          </w:hyperlink>
        </w:p>
        <w:p w14:paraId="040EB094" w14:textId="6A88DD04" w:rsidR="008A4364" w:rsidRDefault="00A205FC">
          <w:pPr>
            <w:pStyle w:val="TOC2"/>
            <w:tabs>
              <w:tab w:val="right" w:leader="dot" w:pos="9350"/>
            </w:tabs>
            <w:rPr>
              <w:rFonts w:asciiTheme="minorHAnsi" w:eastAsiaTheme="minorEastAsia" w:hAnsiTheme="minorHAnsi" w:cstheme="minorBidi"/>
              <w:noProof/>
              <w:sz w:val="22"/>
              <w:szCs w:val="22"/>
            </w:rPr>
          </w:pPr>
          <w:hyperlink w:anchor="_Toc480354126" w:history="1">
            <w:r w:rsidR="008A4364" w:rsidRPr="00A73960">
              <w:rPr>
                <w:rStyle w:val="Hyperlink"/>
                <w:noProof/>
              </w:rPr>
              <w:t>A.4 Efforts to Identify Duplication and Use of Similar Information</w:t>
            </w:r>
            <w:r w:rsidR="008A4364">
              <w:rPr>
                <w:noProof/>
                <w:webHidden/>
              </w:rPr>
              <w:tab/>
            </w:r>
            <w:r w:rsidR="008A4364">
              <w:rPr>
                <w:noProof/>
                <w:webHidden/>
              </w:rPr>
              <w:fldChar w:fldCharType="begin"/>
            </w:r>
            <w:r w:rsidR="008A4364">
              <w:rPr>
                <w:noProof/>
                <w:webHidden/>
              </w:rPr>
              <w:instrText xml:space="preserve"> PAGEREF _Toc480354126 \h </w:instrText>
            </w:r>
            <w:r w:rsidR="008A4364">
              <w:rPr>
                <w:noProof/>
                <w:webHidden/>
              </w:rPr>
            </w:r>
            <w:r w:rsidR="008A4364">
              <w:rPr>
                <w:noProof/>
                <w:webHidden/>
              </w:rPr>
              <w:fldChar w:fldCharType="separate"/>
            </w:r>
            <w:r w:rsidR="008A4364">
              <w:rPr>
                <w:noProof/>
                <w:webHidden/>
              </w:rPr>
              <w:t>9</w:t>
            </w:r>
            <w:r w:rsidR="008A4364">
              <w:rPr>
                <w:noProof/>
                <w:webHidden/>
              </w:rPr>
              <w:fldChar w:fldCharType="end"/>
            </w:r>
          </w:hyperlink>
        </w:p>
        <w:p w14:paraId="4298BE6F" w14:textId="6FE5574E" w:rsidR="008A4364" w:rsidRDefault="00A205FC">
          <w:pPr>
            <w:pStyle w:val="TOC2"/>
            <w:tabs>
              <w:tab w:val="right" w:leader="dot" w:pos="9350"/>
            </w:tabs>
            <w:rPr>
              <w:rFonts w:asciiTheme="minorHAnsi" w:eastAsiaTheme="minorEastAsia" w:hAnsiTheme="minorHAnsi" w:cstheme="minorBidi"/>
              <w:noProof/>
              <w:sz w:val="22"/>
              <w:szCs w:val="22"/>
            </w:rPr>
          </w:pPr>
          <w:hyperlink w:anchor="_Toc480354127" w:history="1">
            <w:r w:rsidR="008A4364" w:rsidRPr="00A73960">
              <w:rPr>
                <w:rStyle w:val="Hyperlink"/>
                <w:noProof/>
              </w:rPr>
              <w:t>A.5 Impact on Small Businesses or Other Small Entities</w:t>
            </w:r>
            <w:r w:rsidR="008A4364">
              <w:rPr>
                <w:noProof/>
                <w:webHidden/>
              </w:rPr>
              <w:tab/>
            </w:r>
            <w:r w:rsidR="008A4364">
              <w:rPr>
                <w:noProof/>
                <w:webHidden/>
              </w:rPr>
              <w:fldChar w:fldCharType="begin"/>
            </w:r>
            <w:r w:rsidR="008A4364">
              <w:rPr>
                <w:noProof/>
                <w:webHidden/>
              </w:rPr>
              <w:instrText xml:space="preserve"> PAGEREF _Toc480354127 \h </w:instrText>
            </w:r>
            <w:r w:rsidR="008A4364">
              <w:rPr>
                <w:noProof/>
                <w:webHidden/>
              </w:rPr>
            </w:r>
            <w:r w:rsidR="008A4364">
              <w:rPr>
                <w:noProof/>
                <w:webHidden/>
              </w:rPr>
              <w:fldChar w:fldCharType="separate"/>
            </w:r>
            <w:r w:rsidR="008A4364">
              <w:rPr>
                <w:noProof/>
                <w:webHidden/>
              </w:rPr>
              <w:t>10</w:t>
            </w:r>
            <w:r w:rsidR="008A4364">
              <w:rPr>
                <w:noProof/>
                <w:webHidden/>
              </w:rPr>
              <w:fldChar w:fldCharType="end"/>
            </w:r>
          </w:hyperlink>
        </w:p>
        <w:p w14:paraId="78CE89A7" w14:textId="47EE988B" w:rsidR="008A4364" w:rsidRDefault="00A205FC">
          <w:pPr>
            <w:pStyle w:val="TOC2"/>
            <w:tabs>
              <w:tab w:val="right" w:leader="dot" w:pos="9350"/>
            </w:tabs>
            <w:rPr>
              <w:rFonts w:asciiTheme="minorHAnsi" w:eastAsiaTheme="minorEastAsia" w:hAnsiTheme="minorHAnsi" w:cstheme="minorBidi"/>
              <w:noProof/>
              <w:sz w:val="22"/>
              <w:szCs w:val="22"/>
            </w:rPr>
          </w:pPr>
          <w:hyperlink w:anchor="_Toc480354128" w:history="1">
            <w:r w:rsidR="008A4364" w:rsidRPr="00A73960">
              <w:rPr>
                <w:rStyle w:val="Hyperlink"/>
                <w:noProof/>
              </w:rPr>
              <w:t>A.6 Consequences of Collecting the Information Less Frequently</w:t>
            </w:r>
            <w:r w:rsidR="008A4364">
              <w:rPr>
                <w:noProof/>
                <w:webHidden/>
              </w:rPr>
              <w:tab/>
            </w:r>
            <w:r w:rsidR="008A4364">
              <w:rPr>
                <w:noProof/>
                <w:webHidden/>
              </w:rPr>
              <w:fldChar w:fldCharType="begin"/>
            </w:r>
            <w:r w:rsidR="008A4364">
              <w:rPr>
                <w:noProof/>
                <w:webHidden/>
              </w:rPr>
              <w:instrText xml:space="preserve"> PAGEREF _Toc480354128 \h </w:instrText>
            </w:r>
            <w:r w:rsidR="008A4364">
              <w:rPr>
                <w:noProof/>
                <w:webHidden/>
              </w:rPr>
            </w:r>
            <w:r w:rsidR="008A4364">
              <w:rPr>
                <w:noProof/>
                <w:webHidden/>
              </w:rPr>
              <w:fldChar w:fldCharType="separate"/>
            </w:r>
            <w:r w:rsidR="008A4364">
              <w:rPr>
                <w:noProof/>
                <w:webHidden/>
              </w:rPr>
              <w:t>10</w:t>
            </w:r>
            <w:r w:rsidR="008A4364">
              <w:rPr>
                <w:noProof/>
                <w:webHidden/>
              </w:rPr>
              <w:fldChar w:fldCharType="end"/>
            </w:r>
          </w:hyperlink>
        </w:p>
        <w:p w14:paraId="2683CA00" w14:textId="634B4AAE" w:rsidR="008A4364" w:rsidRDefault="00A205FC">
          <w:pPr>
            <w:pStyle w:val="TOC2"/>
            <w:tabs>
              <w:tab w:val="right" w:leader="dot" w:pos="9350"/>
            </w:tabs>
            <w:rPr>
              <w:rFonts w:asciiTheme="minorHAnsi" w:eastAsiaTheme="minorEastAsia" w:hAnsiTheme="minorHAnsi" w:cstheme="minorBidi"/>
              <w:noProof/>
              <w:sz w:val="22"/>
              <w:szCs w:val="22"/>
            </w:rPr>
          </w:pPr>
          <w:hyperlink w:anchor="_Toc480354129" w:history="1">
            <w:r w:rsidR="008A4364" w:rsidRPr="00A73960">
              <w:rPr>
                <w:rStyle w:val="Hyperlink"/>
                <w:noProof/>
              </w:rPr>
              <w:t>A.7 Special Circumstances Relating to the Guidelines of 5 CFR 1320.5</w:t>
            </w:r>
            <w:r w:rsidR="008A4364">
              <w:rPr>
                <w:noProof/>
                <w:webHidden/>
              </w:rPr>
              <w:tab/>
            </w:r>
            <w:r w:rsidR="008A4364">
              <w:rPr>
                <w:noProof/>
                <w:webHidden/>
              </w:rPr>
              <w:fldChar w:fldCharType="begin"/>
            </w:r>
            <w:r w:rsidR="008A4364">
              <w:rPr>
                <w:noProof/>
                <w:webHidden/>
              </w:rPr>
              <w:instrText xml:space="preserve"> PAGEREF _Toc480354129 \h </w:instrText>
            </w:r>
            <w:r w:rsidR="008A4364">
              <w:rPr>
                <w:noProof/>
                <w:webHidden/>
              </w:rPr>
            </w:r>
            <w:r w:rsidR="008A4364">
              <w:rPr>
                <w:noProof/>
                <w:webHidden/>
              </w:rPr>
              <w:fldChar w:fldCharType="separate"/>
            </w:r>
            <w:r w:rsidR="008A4364">
              <w:rPr>
                <w:noProof/>
                <w:webHidden/>
              </w:rPr>
              <w:t>11</w:t>
            </w:r>
            <w:r w:rsidR="008A4364">
              <w:rPr>
                <w:noProof/>
                <w:webHidden/>
              </w:rPr>
              <w:fldChar w:fldCharType="end"/>
            </w:r>
          </w:hyperlink>
        </w:p>
        <w:p w14:paraId="28E91F11" w14:textId="453B646E" w:rsidR="008A4364" w:rsidRDefault="00A205FC">
          <w:pPr>
            <w:pStyle w:val="TOC2"/>
            <w:tabs>
              <w:tab w:val="right" w:leader="dot" w:pos="9350"/>
            </w:tabs>
            <w:rPr>
              <w:rFonts w:asciiTheme="minorHAnsi" w:eastAsiaTheme="minorEastAsia" w:hAnsiTheme="minorHAnsi" w:cstheme="minorBidi"/>
              <w:noProof/>
              <w:sz w:val="22"/>
              <w:szCs w:val="22"/>
            </w:rPr>
          </w:pPr>
          <w:hyperlink w:anchor="_Toc480354130" w:history="1">
            <w:r w:rsidR="008A4364" w:rsidRPr="00A73960">
              <w:rPr>
                <w:rStyle w:val="Hyperlink"/>
                <w:noProof/>
              </w:rPr>
              <w:t xml:space="preserve">A.8 Comments in Response to the Federal Register Notice and Efforts to Consult Outside the Agency </w:t>
            </w:r>
            <w:r w:rsidR="008A4364">
              <w:rPr>
                <w:noProof/>
                <w:webHidden/>
              </w:rPr>
              <w:tab/>
            </w:r>
            <w:r w:rsidR="008A4364">
              <w:rPr>
                <w:noProof/>
                <w:webHidden/>
              </w:rPr>
              <w:fldChar w:fldCharType="begin"/>
            </w:r>
            <w:r w:rsidR="008A4364">
              <w:rPr>
                <w:noProof/>
                <w:webHidden/>
              </w:rPr>
              <w:instrText xml:space="preserve"> PAGEREF _Toc480354130 \h </w:instrText>
            </w:r>
            <w:r w:rsidR="008A4364">
              <w:rPr>
                <w:noProof/>
                <w:webHidden/>
              </w:rPr>
            </w:r>
            <w:r w:rsidR="008A4364">
              <w:rPr>
                <w:noProof/>
                <w:webHidden/>
              </w:rPr>
              <w:fldChar w:fldCharType="separate"/>
            </w:r>
            <w:r w:rsidR="008A4364">
              <w:rPr>
                <w:noProof/>
                <w:webHidden/>
              </w:rPr>
              <w:t>11</w:t>
            </w:r>
            <w:r w:rsidR="008A4364">
              <w:rPr>
                <w:noProof/>
                <w:webHidden/>
              </w:rPr>
              <w:fldChar w:fldCharType="end"/>
            </w:r>
          </w:hyperlink>
        </w:p>
        <w:p w14:paraId="1259AA71" w14:textId="486D8A38" w:rsidR="008A4364" w:rsidRDefault="00A205FC">
          <w:pPr>
            <w:pStyle w:val="TOC2"/>
            <w:tabs>
              <w:tab w:val="right" w:leader="dot" w:pos="9350"/>
            </w:tabs>
            <w:rPr>
              <w:rFonts w:asciiTheme="minorHAnsi" w:eastAsiaTheme="minorEastAsia" w:hAnsiTheme="minorHAnsi" w:cstheme="minorBidi"/>
              <w:noProof/>
              <w:sz w:val="22"/>
              <w:szCs w:val="22"/>
            </w:rPr>
          </w:pPr>
          <w:hyperlink w:anchor="_Toc480354131" w:history="1">
            <w:r w:rsidR="008A4364" w:rsidRPr="00A73960">
              <w:rPr>
                <w:rStyle w:val="Hyperlink"/>
                <w:noProof/>
              </w:rPr>
              <w:t>A.9 Explanation of Any Payment or Gift to Respondents</w:t>
            </w:r>
            <w:r w:rsidR="008A4364">
              <w:rPr>
                <w:noProof/>
                <w:webHidden/>
              </w:rPr>
              <w:tab/>
            </w:r>
            <w:r w:rsidR="008A4364">
              <w:rPr>
                <w:noProof/>
                <w:webHidden/>
              </w:rPr>
              <w:fldChar w:fldCharType="begin"/>
            </w:r>
            <w:r w:rsidR="008A4364">
              <w:rPr>
                <w:noProof/>
                <w:webHidden/>
              </w:rPr>
              <w:instrText xml:space="preserve"> PAGEREF _Toc480354131 \h </w:instrText>
            </w:r>
            <w:r w:rsidR="008A4364">
              <w:rPr>
                <w:noProof/>
                <w:webHidden/>
              </w:rPr>
            </w:r>
            <w:r w:rsidR="008A4364">
              <w:rPr>
                <w:noProof/>
                <w:webHidden/>
              </w:rPr>
              <w:fldChar w:fldCharType="separate"/>
            </w:r>
            <w:r w:rsidR="008A4364">
              <w:rPr>
                <w:noProof/>
                <w:webHidden/>
              </w:rPr>
              <w:t>11</w:t>
            </w:r>
            <w:r w:rsidR="008A4364">
              <w:rPr>
                <w:noProof/>
                <w:webHidden/>
              </w:rPr>
              <w:fldChar w:fldCharType="end"/>
            </w:r>
          </w:hyperlink>
        </w:p>
        <w:p w14:paraId="14EC6DAC" w14:textId="32CFDF77" w:rsidR="008A4364" w:rsidRDefault="00A205FC">
          <w:pPr>
            <w:pStyle w:val="TOC2"/>
            <w:tabs>
              <w:tab w:val="right" w:leader="dot" w:pos="9350"/>
            </w:tabs>
            <w:rPr>
              <w:rFonts w:asciiTheme="minorHAnsi" w:eastAsiaTheme="minorEastAsia" w:hAnsiTheme="minorHAnsi" w:cstheme="minorBidi"/>
              <w:noProof/>
              <w:sz w:val="22"/>
              <w:szCs w:val="22"/>
            </w:rPr>
          </w:pPr>
          <w:hyperlink w:anchor="_Toc480354132" w:history="1">
            <w:r w:rsidR="008A4364" w:rsidRPr="00A73960">
              <w:rPr>
                <w:rStyle w:val="Hyperlink"/>
                <w:noProof/>
              </w:rPr>
              <w:t>A.10 Protection of the Privacy and Confidentiality of Information Provided by Respondents</w:t>
            </w:r>
            <w:r w:rsidR="008A4364">
              <w:rPr>
                <w:noProof/>
                <w:webHidden/>
              </w:rPr>
              <w:tab/>
            </w:r>
            <w:r w:rsidR="008A4364">
              <w:rPr>
                <w:noProof/>
                <w:webHidden/>
              </w:rPr>
              <w:fldChar w:fldCharType="begin"/>
            </w:r>
            <w:r w:rsidR="008A4364">
              <w:rPr>
                <w:noProof/>
                <w:webHidden/>
              </w:rPr>
              <w:instrText xml:space="preserve"> PAGEREF _Toc480354132 \h </w:instrText>
            </w:r>
            <w:r w:rsidR="008A4364">
              <w:rPr>
                <w:noProof/>
                <w:webHidden/>
              </w:rPr>
            </w:r>
            <w:r w:rsidR="008A4364">
              <w:rPr>
                <w:noProof/>
                <w:webHidden/>
              </w:rPr>
              <w:fldChar w:fldCharType="separate"/>
            </w:r>
            <w:r w:rsidR="008A4364">
              <w:rPr>
                <w:noProof/>
                <w:webHidden/>
              </w:rPr>
              <w:t>11</w:t>
            </w:r>
            <w:r w:rsidR="008A4364">
              <w:rPr>
                <w:noProof/>
                <w:webHidden/>
              </w:rPr>
              <w:fldChar w:fldCharType="end"/>
            </w:r>
          </w:hyperlink>
        </w:p>
        <w:p w14:paraId="4D3810F0" w14:textId="7FEB211B" w:rsidR="008A4364" w:rsidRDefault="00A205FC">
          <w:pPr>
            <w:pStyle w:val="TOC2"/>
            <w:tabs>
              <w:tab w:val="right" w:leader="dot" w:pos="9350"/>
            </w:tabs>
            <w:rPr>
              <w:rFonts w:asciiTheme="minorHAnsi" w:eastAsiaTheme="minorEastAsia" w:hAnsiTheme="minorHAnsi" w:cstheme="minorBidi"/>
              <w:noProof/>
              <w:sz w:val="22"/>
              <w:szCs w:val="22"/>
            </w:rPr>
          </w:pPr>
          <w:hyperlink w:anchor="_Toc480354133" w:history="1">
            <w:r w:rsidR="008A4364" w:rsidRPr="00A73960">
              <w:rPr>
                <w:rStyle w:val="Hyperlink"/>
                <w:noProof/>
              </w:rPr>
              <w:t>A.11 Institutional Review Board (IRB) and Justification for Sensitive Questions</w:t>
            </w:r>
            <w:r w:rsidR="008A4364">
              <w:rPr>
                <w:noProof/>
                <w:webHidden/>
              </w:rPr>
              <w:tab/>
            </w:r>
            <w:r w:rsidR="008A4364">
              <w:rPr>
                <w:noProof/>
                <w:webHidden/>
              </w:rPr>
              <w:fldChar w:fldCharType="begin"/>
            </w:r>
            <w:r w:rsidR="008A4364">
              <w:rPr>
                <w:noProof/>
                <w:webHidden/>
              </w:rPr>
              <w:instrText xml:space="preserve"> PAGEREF _Toc480354133 \h </w:instrText>
            </w:r>
            <w:r w:rsidR="008A4364">
              <w:rPr>
                <w:noProof/>
                <w:webHidden/>
              </w:rPr>
            </w:r>
            <w:r w:rsidR="008A4364">
              <w:rPr>
                <w:noProof/>
                <w:webHidden/>
              </w:rPr>
              <w:fldChar w:fldCharType="separate"/>
            </w:r>
            <w:r w:rsidR="008A4364">
              <w:rPr>
                <w:noProof/>
                <w:webHidden/>
              </w:rPr>
              <w:t>13</w:t>
            </w:r>
            <w:r w:rsidR="008A4364">
              <w:rPr>
                <w:noProof/>
                <w:webHidden/>
              </w:rPr>
              <w:fldChar w:fldCharType="end"/>
            </w:r>
          </w:hyperlink>
        </w:p>
        <w:p w14:paraId="7AEE9C87" w14:textId="34264A6A" w:rsidR="008A4364" w:rsidRDefault="00A205FC">
          <w:pPr>
            <w:pStyle w:val="TOC2"/>
            <w:tabs>
              <w:tab w:val="right" w:leader="dot" w:pos="9350"/>
            </w:tabs>
            <w:rPr>
              <w:rFonts w:asciiTheme="minorHAnsi" w:eastAsiaTheme="minorEastAsia" w:hAnsiTheme="minorHAnsi" w:cstheme="minorBidi"/>
              <w:noProof/>
              <w:sz w:val="22"/>
              <w:szCs w:val="22"/>
            </w:rPr>
          </w:pPr>
          <w:hyperlink w:anchor="_Toc480354134" w:history="1">
            <w:r w:rsidR="008A4364" w:rsidRPr="00A73960">
              <w:rPr>
                <w:rStyle w:val="Hyperlink"/>
                <w:noProof/>
              </w:rPr>
              <w:t>A.12 Estimates of Annualized Burden Hours and Costs</w:t>
            </w:r>
            <w:r w:rsidR="008A4364">
              <w:rPr>
                <w:noProof/>
                <w:webHidden/>
              </w:rPr>
              <w:tab/>
            </w:r>
            <w:r w:rsidR="008A4364">
              <w:rPr>
                <w:noProof/>
                <w:webHidden/>
              </w:rPr>
              <w:fldChar w:fldCharType="begin"/>
            </w:r>
            <w:r w:rsidR="008A4364">
              <w:rPr>
                <w:noProof/>
                <w:webHidden/>
              </w:rPr>
              <w:instrText xml:space="preserve"> PAGEREF _Toc480354134 \h </w:instrText>
            </w:r>
            <w:r w:rsidR="008A4364">
              <w:rPr>
                <w:noProof/>
                <w:webHidden/>
              </w:rPr>
            </w:r>
            <w:r w:rsidR="008A4364">
              <w:rPr>
                <w:noProof/>
                <w:webHidden/>
              </w:rPr>
              <w:fldChar w:fldCharType="separate"/>
            </w:r>
            <w:r w:rsidR="008A4364">
              <w:rPr>
                <w:noProof/>
                <w:webHidden/>
              </w:rPr>
              <w:t>14</w:t>
            </w:r>
            <w:r w:rsidR="008A4364">
              <w:rPr>
                <w:noProof/>
                <w:webHidden/>
              </w:rPr>
              <w:fldChar w:fldCharType="end"/>
            </w:r>
          </w:hyperlink>
        </w:p>
        <w:p w14:paraId="2EF7E2FA" w14:textId="38123425" w:rsidR="008A4364" w:rsidRDefault="00A205FC">
          <w:pPr>
            <w:pStyle w:val="TOC2"/>
            <w:tabs>
              <w:tab w:val="right" w:leader="dot" w:pos="9350"/>
            </w:tabs>
            <w:rPr>
              <w:rFonts w:asciiTheme="minorHAnsi" w:eastAsiaTheme="minorEastAsia" w:hAnsiTheme="minorHAnsi" w:cstheme="minorBidi"/>
              <w:noProof/>
              <w:sz w:val="22"/>
              <w:szCs w:val="22"/>
            </w:rPr>
          </w:pPr>
          <w:hyperlink w:anchor="_Toc480354135" w:history="1">
            <w:r w:rsidR="008A4364" w:rsidRPr="00A73960">
              <w:rPr>
                <w:rStyle w:val="Hyperlink"/>
                <w:noProof/>
              </w:rPr>
              <w:t>A.13 Estimates of Other Total Annual Cost Burden to Respondents and Record Keepers</w:t>
            </w:r>
            <w:r w:rsidR="008A4364">
              <w:rPr>
                <w:noProof/>
                <w:webHidden/>
              </w:rPr>
              <w:tab/>
            </w:r>
            <w:r w:rsidR="008A4364">
              <w:rPr>
                <w:noProof/>
                <w:webHidden/>
              </w:rPr>
              <w:fldChar w:fldCharType="begin"/>
            </w:r>
            <w:r w:rsidR="008A4364">
              <w:rPr>
                <w:noProof/>
                <w:webHidden/>
              </w:rPr>
              <w:instrText xml:space="preserve"> PAGEREF _Toc480354135 \h </w:instrText>
            </w:r>
            <w:r w:rsidR="008A4364">
              <w:rPr>
                <w:noProof/>
                <w:webHidden/>
              </w:rPr>
            </w:r>
            <w:r w:rsidR="008A4364">
              <w:rPr>
                <w:noProof/>
                <w:webHidden/>
              </w:rPr>
              <w:fldChar w:fldCharType="separate"/>
            </w:r>
            <w:r w:rsidR="008A4364">
              <w:rPr>
                <w:noProof/>
                <w:webHidden/>
              </w:rPr>
              <w:t>16</w:t>
            </w:r>
            <w:r w:rsidR="008A4364">
              <w:rPr>
                <w:noProof/>
                <w:webHidden/>
              </w:rPr>
              <w:fldChar w:fldCharType="end"/>
            </w:r>
          </w:hyperlink>
        </w:p>
        <w:p w14:paraId="76CB5514" w14:textId="2CE07C70" w:rsidR="008A4364" w:rsidRDefault="00A205FC">
          <w:pPr>
            <w:pStyle w:val="TOC2"/>
            <w:tabs>
              <w:tab w:val="right" w:leader="dot" w:pos="9350"/>
            </w:tabs>
            <w:rPr>
              <w:rFonts w:asciiTheme="minorHAnsi" w:eastAsiaTheme="minorEastAsia" w:hAnsiTheme="minorHAnsi" w:cstheme="minorBidi"/>
              <w:noProof/>
              <w:sz w:val="22"/>
              <w:szCs w:val="22"/>
            </w:rPr>
          </w:pPr>
          <w:hyperlink w:anchor="_Toc480354136" w:history="1">
            <w:r w:rsidR="008A4364" w:rsidRPr="00A73960">
              <w:rPr>
                <w:rStyle w:val="Hyperlink"/>
                <w:noProof/>
              </w:rPr>
              <w:t>A.14 Annualized Cost to the Federal Government</w:t>
            </w:r>
            <w:r w:rsidR="008A4364">
              <w:rPr>
                <w:noProof/>
                <w:webHidden/>
              </w:rPr>
              <w:tab/>
            </w:r>
            <w:r w:rsidR="008A4364">
              <w:rPr>
                <w:noProof/>
                <w:webHidden/>
              </w:rPr>
              <w:fldChar w:fldCharType="begin"/>
            </w:r>
            <w:r w:rsidR="008A4364">
              <w:rPr>
                <w:noProof/>
                <w:webHidden/>
              </w:rPr>
              <w:instrText xml:space="preserve"> PAGEREF _Toc480354136 \h </w:instrText>
            </w:r>
            <w:r w:rsidR="008A4364">
              <w:rPr>
                <w:noProof/>
                <w:webHidden/>
              </w:rPr>
            </w:r>
            <w:r w:rsidR="008A4364">
              <w:rPr>
                <w:noProof/>
                <w:webHidden/>
              </w:rPr>
              <w:fldChar w:fldCharType="separate"/>
            </w:r>
            <w:r w:rsidR="008A4364">
              <w:rPr>
                <w:noProof/>
                <w:webHidden/>
              </w:rPr>
              <w:t>16</w:t>
            </w:r>
            <w:r w:rsidR="008A4364">
              <w:rPr>
                <w:noProof/>
                <w:webHidden/>
              </w:rPr>
              <w:fldChar w:fldCharType="end"/>
            </w:r>
          </w:hyperlink>
        </w:p>
        <w:p w14:paraId="718BCC4F" w14:textId="5D75859A" w:rsidR="008A4364" w:rsidRDefault="00A205FC">
          <w:pPr>
            <w:pStyle w:val="TOC2"/>
            <w:tabs>
              <w:tab w:val="right" w:leader="dot" w:pos="9350"/>
            </w:tabs>
            <w:rPr>
              <w:rFonts w:asciiTheme="minorHAnsi" w:eastAsiaTheme="minorEastAsia" w:hAnsiTheme="minorHAnsi" w:cstheme="minorBidi"/>
              <w:noProof/>
              <w:sz w:val="22"/>
              <w:szCs w:val="22"/>
            </w:rPr>
          </w:pPr>
          <w:hyperlink w:anchor="_Toc480354137" w:history="1">
            <w:r w:rsidR="008A4364" w:rsidRPr="00A73960">
              <w:rPr>
                <w:rStyle w:val="Hyperlink"/>
                <w:noProof/>
              </w:rPr>
              <w:t>A.15 Explanation for Program Changes or Adjustments</w:t>
            </w:r>
            <w:r w:rsidR="008A4364">
              <w:rPr>
                <w:noProof/>
                <w:webHidden/>
              </w:rPr>
              <w:tab/>
            </w:r>
            <w:r w:rsidR="008A4364">
              <w:rPr>
                <w:noProof/>
                <w:webHidden/>
              </w:rPr>
              <w:fldChar w:fldCharType="begin"/>
            </w:r>
            <w:r w:rsidR="008A4364">
              <w:rPr>
                <w:noProof/>
                <w:webHidden/>
              </w:rPr>
              <w:instrText xml:space="preserve"> PAGEREF _Toc480354137 \h </w:instrText>
            </w:r>
            <w:r w:rsidR="008A4364">
              <w:rPr>
                <w:noProof/>
                <w:webHidden/>
              </w:rPr>
            </w:r>
            <w:r w:rsidR="008A4364">
              <w:rPr>
                <w:noProof/>
                <w:webHidden/>
              </w:rPr>
              <w:fldChar w:fldCharType="separate"/>
            </w:r>
            <w:r w:rsidR="008A4364">
              <w:rPr>
                <w:noProof/>
                <w:webHidden/>
              </w:rPr>
              <w:t>17</w:t>
            </w:r>
            <w:r w:rsidR="008A4364">
              <w:rPr>
                <w:noProof/>
                <w:webHidden/>
              </w:rPr>
              <w:fldChar w:fldCharType="end"/>
            </w:r>
          </w:hyperlink>
        </w:p>
        <w:p w14:paraId="1B29F035" w14:textId="7A39ED88" w:rsidR="008A4364" w:rsidRDefault="00A205FC">
          <w:pPr>
            <w:pStyle w:val="TOC2"/>
            <w:tabs>
              <w:tab w:val="right" w:leader="dot" w:pos="9350"/>
            </w:tabs>
            <w:rPr>
              <w:rFonts w:asciiTheme="minorHAnsi" w:eastAsiaTheme="minorEastAsia" w:hAnsiTheme="minorHAnsi" w:cstheme="minorBidi"/>
              <w:noProof/>
              <w:sz w:val="22"/>
              <w:szCs w:val="22"/>
            </w:rPr>
          </w:pPr>
          <w:hyperlink w:anchor="_Toc480354138" w:history="1">
            <w:r w:rsidR="008A4364" w:rsidRPr="00A73960">
              <w:rPr>
                <w:rStyle w:val="Hyperlink"/>
                <w:noProof/>
              </w:rPr>
              <w:t>A.16 Plans for Tabulation and Publication and Project Time Schedule</w:t>
            </w:r>
            <w:r w:rsidR="008A4364">
              <w:rPr>
                <w:noProof/>
                <w:webHidden/>
              </w:rPr>
              <w:tab/>
            </w:r>
            <w:r w:rsidR="008A4364">
              <w:rPr>
                <w:noProof/>
                <w:webHidden/>
              </w:rPr>
              <w:fldChar w:fldCharType="begin"/>
            </w:r>
            <w:r w:rsidR="008A4364">
              <w:rPr>
                <w:noProof/>
                <w:webHidden/>
              </w:rPr>
              <w:instrText xml:space="preserve"> PAGEREF _Toc480354138 \h </w:instrText>
            </w:r>
            <w:r w:rsidR="008A4364">
              <w:rPr>
                <w:noProof/>
                <w:webHidden/>
              </w:rPr>
            </w:r>
            <w:r w:rsidR="008A4364">
              <w:rPr>
                <w:noProof/>
                <w:webHidden/>
              </w:rPr>
              <w:fldChar w:fldCharType="separate"/>
            </w:r>
            <w:r w:rsidR="008A4364">
              <w:rPr>
                <w:noProof/>
                <w:webHidden/>
              </w:rPr>
              <w:t>17</w:t>
            </w:r>
            <w:r w:rsidR="008A4364">
              <w:rPr>
                <w:noProof/>
                <w:webHidden/>
              </w:rPr>
              <w:fldChar w:fldCharType="end"/>
            </w:r>
          </w:hyperlink>
        </w:p>
        <w:p w14:paraId="32F0DE52" w14:textId="12C52B10" w:rsidR="008A4364" w:rsidRDefault="00A205FC">
          <w:pPr>
            <w:pStyle w:val="TOC2"/>
            <w:tabs>
              <w:tab w:val="right" w:leader="dot" w:pos="9350"/>
            </w:tabs>
            <w:rPr>
              <w:rFonts w:asciiTheme="minorHAnsi" w:eastAsiaTheme="minorEastAsia" w:hAnsiTheme="minorHAnsi" w:cstheme="minorBidi"/>
              <w:noProof/>
              <w:sz w:val="22"/>
              <w:szCs w:val="22"/>
            </w:rPr>
          </w:pPr>
          <w:hyperlink w:anchor="_Toc480354139" w:history="1">
            <w:r w:rsidR="008A4364" w:rsidRPr="00A73960">
              <w:rPr>
                <w:rStyle w:val="Hyperlink"/>
                <w:noProof/>
              </w:rPr>
              <w:t>A.17 Reason(s) Display of OMB Expiration Date is Inappropriate</w:t>
            </w:r>
            <w:r w:rsidR="008A4364">
              <w:rPr>
                <w:noProof/>
                <w:webHidden/>
              </w:rPr>
              <w:tab/>
            </w:r>
            <w:r w:rsidR="008A4364">
              <w:rPr>
                <w:noProof/>
                <w:webHidden/>
              </w:rPr>
              <w:fldChar w:fldCharType="begin"/>
            </w:r>
            <w:r w:rsidR="008A4364">
              <w:rPr>
                <w:noProof/>
                <w:webHidden/>
              </w:rPr>
              <w:instrText xml:space="preserve"> PAGEREF _Toc480354139 \h </w:instrText>
            </w:r>
            <w:r w:rsidR="008A4364">
              <w:rPr>
                <w:noProof/>
                <w:webHidden/>
              </w:rPr>
            </w:r>
            <w:r w:rsidR="008A4364">
              <w:rPr>
                <w:noProof/>
                <w:webHidden/>
              </w:rPr>
              <w:fldChar w:fldCharType="separate"/>
            </w:r>
            <w:r w:rsidR="008A4364">
              <w:rPr>
                <w:noProof/>
                <w:webHidden/>
              </w:rPr>
              <w:t>18</w:t>
            </w:r>
            <w:r w:rsidR="008A4364">
              <w:rPr>
                <w:noProof/>
                <w:webHidden/>
              </w:rPr>
              <w:fldChar w:fldCharType="end"/>
            </w:r>
          </w:hyperlink>
        </w:p>
        <w:p w14:paraId="5D8DCB0D" w14:textId="1F36A549" w:rsidR="008A4364" w:rsidRDefault="00A205FC">
          <w:pPr>
            <w:pStyle w:val="TOC2"/>
            <w:tabs>
              <w:tab w:val="right" w:leader="dot" w:pos="9350"/>
            </w:tabs>
            <w:rPr>
              <w:rFonts w:asciiTheme="minorHAnsi" w:eastAsiaTheme="minorEastAsia" w:hAnsiTheme="minorHAnsi" w:cstheme="minorBidi"/>
              <w:noProof/>
              <w:sz w:val="22"/>
              <w:szCs w:val="22"/>
            </w:rPr>
          </w:pPr>
          <w:hyperlink w:anchor="_Toc480354140" w:history="1">
            <w:r w:rsidR="008A4364" w:rsidRPr="00A73960">
              <w:rPr>
                <w:rStyle w:val="Hyperlink"/>
                <w:noProof/>
              </w:rPr>
              <w:t>A.18 Exceptions to Certification for Paperwork Reduction Act Submissions</w:t>
            </w:r>
            <w:r w:rsidR="008A4364">
              <w:rPr>
                <w:noProof/>
                <w:webHidden/>
              </w:rPr>
              <w:tab/>
            </w:r>
            <w:r w:rsidR="008A4364">
              <w:rPr>
                <w:noProof/>
                <w:webHidden/>
              </w:rPr>
              <w:fldChar w:fldCharType="begin"/>
            </w:r>
            <w:r w:rsidR="008A4364">
              <w:rPr>
                <w:noProof/>
                <w:webHidden/>
              </w:rPr>
              <w:instrText xml:space="preserve"> PAGEREF _Toc480354140 \h </w:instrText>
            </w:r>
            <w:r w:rsidR="008A4364">
              <w:rPr>
                <w:noProof/>
                <w:webHidden/>
              </w:rPr>
            </w:r>
            <w:r w:rsidR="008A4364">
              <w:rPr>
                <w:noProof/>
                <w:webHidden/>
              </w:rPr>
              <w:fldChar w:fldCharType="separate"/>
            </w:r>
            <w:r w:rsidR="008A4364">
              <w:rPr>
                <w:noProof/>
                <w:webHidden/>
              </w:rPr>
              <w:t>18</w:t>
            </w:r>
            <w:r w:rsidR="008A4364">
              <w:rPr>
                <w:noProof/>
                <w:webHidden/>
              </w:rPr>
              <w:fldChar w:fldCharType="end"/>
            </w:r>
          </w:hyperlink>
        </w:p>
        <w:p w14:paraId="0A249E60" w14:textId="7F9B0419" w:rsidR="002B3E95" w:rsidRDefault="002B3E95">
          <w:r w:rsidRPr="002B3E95">
            <w:rPr>
              <w:b/>
              <w:bCs/>
              <w:noProof/>
            </w:rPr>
            <w:fldChar w:fldCharType="end"/>
          </w:r>
        </w:p>
      </w:sdtContent>
    </w:sdt>
    <w:p w14:paraId="39DC78C1" w14:textId="77777777" w:rsidR="002B3E95" w:rsidRPr="002B3E95" w:rsidRDefault="002B3E95" w:rsidP="002B3E95">
      <w:pPr>
        <w:pStyle w:val="Default"/>
        <w:spacing w:after="67"/>
        <w:ind w:left="720"/>
        <w:rPr>
          <w:rFonts w:ascii="Times New Roman" w:hAnsi="Times New Roman" w:cs="Times New Roman"/>
          <w:szCs w:val="22"/>
        </w:rPr>
      </w:pPr>
    </w:p>
    <w:p w14:paraId="5A116093" w14:textId="77777777" w:rsidR="008452E5" w:rsidRPr="008452E5" w:rsidRDefault="008452E5">
      <w:pPr>
        <w:rPr>
          <w:sz w:val="28"/>
        </w:rPr>
      </w:pPr>
    </w:p>
    <w:p w14:paraId="67B2C6C9" w14:textId="77777777" w:rsidR="008452E5" w:rsidRDefault="008452E5">
      <w:pPr>
        <w:rPr>
          <w:sz w:val="28"/>
        </w:rPr>
      </w:pPr>
    </w:p>
    <w:p w14:paraId="5080EFA0" w14:textId="77777777" w:rsidR="008452E5" w:rsidRDefault="008452E5">
      <w:pPr>
        <w:rPr>
          <w:sz w:val="28"/>
        </w:rPr>
      </w:pPr>
    </w:p>
    <w:p w14:paraId="7D75A876" w14:textId="77777777" w:rsidR="008452E5" w:rsidRDefault="008452E5">
      <w:pPr>
        <w:rPr>
          <w:sz w:val="28"/>
        </w:rPr>
      </w:pPr>
    </w:p>
    <w:p w14:paraId="25CCA0D1" w14:textId="77777777" w:rsidR="008452E5" w:rsidRDefault="008452E5">
      <w:pPr>
        <w:rPr>
          <w:sz w:val="28"/>
        </w:rPr>
      </w:pPr>
    </w:p>
    <w:p w14:paraId="364245C5" w14:textId="77777777" w:rsidR="008452E5" w:rsidRDefault="008452E5">
      <w:pPr>
        <w:rPr>
          <w:sz w:val="28"/>
        </w:rPr>
      </w:pPr>
    </w:p>
    <w:p w14:paraId="277B7A39" w14:textId="77777777" w:rsidR="008452E5" w:rsidRDefault="008452E5">
      <w:pPr>
        <w:rPr>
          <w:sz w:val="28"/>
        </w:rPr>
      </w:pPr>
    </w:p>
    <w:p w14:paraId="470CA683" w14:textId="77777777" w:rsidR="008452E5" w:rsidRDefault="008452E5">
      <w:pPr>
        <w:rPr>
          <w:sz w:val="28"/>
        </w:rPr>
      </w:pPr>
    </w:p>
    <w:p w14:paraId="4B5CC635" w14:textId="77777777" w:rsidR="008452E5" w:rsidRDefault="008452E5">
      <w:pPr>
        <w:rPr>
          <w:sz w:val="28"/>
        </w:rPr>
      </w:pPr>
    </w:p>
    <w:p w14:paraId="629BF92A" w14:textId="77777777" w:rsidR="00501709" w:rsidRDefault="00501709">
      <w:pPr>
        <w:spacing w:after="160" w:line="259" w:lineRule="auto"/>
        <w:rPr>
          <w:b/>
        </w:rPr>
      </w:pPr>
      <w:r>
        <w:rPr>
          <w:b/>
        </w:rPr>
        <w:br w:type="page"/>
      </w:r>
    </w:p>
    <w:p w14:paraId="7AEAC4E2" w14:textId="752D36CB" w:rsidR="002F0CA6" w:rsidRDefault="002F0CA6" w:rsidP="002F0CA6">
      <w:pPr>
        <w:spacing w:line="360" w:lineRule="auto"/>
        <w:rPr>
          <w:b/>
        </w:rPr>
      </w:pPr>
      <w:r w:rsidRPr="00B144B1">
        <w:rPr>
          <w:b/>
        </w:rPr>
        <w:lastRenderedPageBreak/>
        <w:t xml:space="preserve">LIST OF ATTACHMENTS – Section </w:t>
      </w:r>
      <w:r>
        <w:rPr>
          <w:b/>
        </w:rPr>
        <w:t>A</w:t>
      </w:r>
    </w:p>
    <w:p w14:paraId="1B901DFF" w14:textId="7F06032E" w:rsidR="002F0CA6" w:rsidRPr="002E246E" w:rsidRDefault="002F0CA6" w:rsidP="002F0CA6">
      <w:pPr>
        <w:rPr>
          <w:bCs/>
        </w:rPr>
      </w:pPr>
      <w:r>
        <w:rPr>
          <w:bCs/>
        </w:rPr>
        <w:t>Attachment A</w:t>
      </w:r>
      <w:r w:rsidR="00411B9B">
        <w:rPr>
          <w:bCs/>
        </w:rPr>
        <w:t>1</w:t>
      </w:r>
      <w:r>
        <w:rPr>
          <w:bCs/>
        </w:rPr>
        <w:t xml:space="preserve"> </w:t>
      </w:r>
      <w:r>
        <w:rPr>
          <w:bCs/>
        </w:rPr>
        <w:tab/>
      </w:r>
      <w:r w:rsidRPr="002E246E">
        <w:rPr>
          <w:bCs/>
        </w:rPr>
        <w:t xml:space="preserve">Public Health Service Act (42 U.S.C. 241) </w:t>
      </w:r>
    </w:p>
    <w:p w14:paraId="02DB77E9" w14:textId="25649EEE" w:rsidR="002F0CA6" w:rsidRPr="002E246E" w:rsidRDefault="002F0CA6" w:rsidP="002F0CA6">
      <w:pPr>
        <w:rPr>
          <w:bCs/>
        </w:rPr>
      </w:pPr>
      <w:r w:rsidRPr="002E246E">
        <w:rPr>
          <w:bCs/>
        </w:rPr>
        <w:t xml:space="preserve">Attachment </w:t>
      </w:r>
      <w:r w:rsidR="00411B9B">
        <w:rPr>
          <w:bCs/>
        </w:rPr>
        <w:t>A2</w:t>
      </w:r>
      <w:r>
        <w:rPr>
          <w:bCs/>
        </w:rPr>
        <w:tab/>
        <w:t xml:space="preserve">Screenshots of </w:t>
      </w:r>
      <w:r w:rsidR="0021279C">
        <w:rPr>
          <w:bCs/>
        </w:rPr>
        <w:t xml:space="preserve">Partner </w:t>
      </w:r>
      <w:r>
        <w:rPr>
          <w:bCs/>
        </w:rPr>
        <w:t xml:space="preserve">Cost </w:t>
      </w:r>
      <w:r w:rsidR="00644813">
        <w:rPr>
          <w:bCs/>
        </w:rPr>
        <w:t>Collection</w:t>
      </w:r>
      <w:r>
        <w:rPr>
          <w:bCs/>
        </w:rPr>
        <w:t xml:space="preserve"> Tool</w:t>
      </w:r>
    </w:p>
    <w:p w14:paraId="1D5BD0A7" w14:textId="506CBA46" w:rsidR="002F0CA6" w:rsidRPr="002E246E" w:rsidRDefault="002F0CA6">
      <w:pPr>
        <w:rPr>
          <w:bCs/>
        </w:rPr>
      </w:pPr>
      <w:r w:rsidRPr="002E246E">
        <w:rPr>
          <w:bCs/>
        </w:rPr>
        <w:t xml:space="preserve">Attachment </w:t>
      </w:r>
      <w:r w:rsidR="00411B9B">
        <w:rPr>
          <w:bCs/>
        </w:rPr>
        <w:t>A3</w:t>
      </w:r>
      <w:r>
        <w:rPr>
          <w:bCs/>
        </w:rPr>
        <w:tab/>
      </w:r>
      <w:r w:rsidR="0021279C">
        <w:rPr>
          <w:bCs/>
        </w:rPr>
        <w:t xml:space="preserve">Partner </w:t>
      </w:r>
      <w:r>
        <w:rPr>
          <w:bCs/>
        </w:rPr>
        <w:t xml:space="preserve">Cost </w:t>
      </w:r>
      <w:r w:rsidR="00644813">
        <w:rPr>
          <w:bCs/>
        </w:rPr>
        <w:t>Collection</w:t>
      </w:r>
      <w:r>
        <w:rPr>
          <w:bCs/>
        </w:rPr>
        <w:t xml:space="preserve"> Tool User Manual </w:t>
      </w:r>
    </w:p>
    <w:p w14:paraId="66604725" w14:textId="7632F8ED" w:rsidR="002F0CA6" w:rsidRPr="002E246E" w:rsidRDefault="002F0CA6" w:rsidP="002F0CA6">
      <w:pPr>
        <w:rPr>
          <w:bCs/>
        </w:rPr>
      </w:pPr>
      <w:r w:rsidRPr="002E246E">
        <w:rPr>
          <w:bCs/>
        </w:rPr>
        <w:t xml:space="preserve">Attachment </w:t>
      </w:r>
      <w:r w:rsidR="00411B9B">
        <w:rPr>
          <w:bCs/>
        </w:rPr>
        <w:t>A</w:t>
      </w:r>
      <w:r w:rsidR="004B04FE">
        <w:rPr>
          <w:bCs/>
        </w:rPr>
        <w:t>4</w:t>
      </w:r>
      <w:r w:rsidRPr="002E246E">
        <w:rPr>
          <w:bCs/>
        </w:rPr>
        <w:t xml:space="preserve">  </w:t>
      </w:r>
      <w:r w:rsidRPr="002E246E">
        <w:rPr>
          <w:bCs/>
        </w:rPr>
        <w:tab/>
      </w:r>
      <w:r>
        <w:rPr>
          <w:bCs/>
        </w:rPr>
        <w:t>RTI IRB Determination Memo</w:t>
      </w:r>
    </w:p>
    <w:p w14:paraId="2B8F9840" w14:textId="1C8492B6" w:rsidR="00E20DF1" w:rsidRPr="00E20DF1" w:rsidRDefault="00E20DF1" w:rsidP="00E20DF1">
      <w:pPr>
        <w:ind w:left="2160" w:hanging="2160"/>
        <w:rPr>
          <w:bCs/>
          <w:szCs w:val="20"/>
        </w:rPr>
      </w:pPr>
      <w:r w:rsidRPr="00E20DF1">
        <w:rPr>
          <w:bCs/>
          <w:szCs w:val="20"/>
        </w:rPr>
        <w:t xml:space="preserve">Attachment </w:t>
      </w:r>
      <w:r w:rsidR="004B7292">
        <w:rPr>
          <w:bCs/>
          <w:szCs w:val="20"/>
        </w:rPr>
        <w:t>A</w:t>
      </w:r>
      <w:r w:rsidR="004B04FE">
        <w:rPr>
          <w:bCs/>
          <w:szCs w:val="20"/>
        </w:rPr>
        <w:t>5</w:t>
      </w:r>
      <w:r w:rsidRPr="00E20DF1">
        <w:rPr>
          <w:bCs/>
          <w:szCs w:val="20"/>
        </w:rPr>
        <w:tab/>
      </w:r>
      <w:r w:rsidR="00BE1B12">
        <w:rPr>
          <w:bCs/>
          <w:szCs w:val="20"/>
        </w:rPr>
        <w:t>Principal Investigator</w:t>
      </w:r>
      <w:r w:rsidRPr="00E20DF1">
        <w:rPr>
          <w:bCs/>
          <w:szCs w:val="20"/>
        </w:rPr>
        <w:t xml:space="preserve"> Telephonic Interview Protocol  </w:t>
      </w:r>
    </w:p>
    <w:p w14:paraId="3ED09B87" w14:textId="24FD1846" w:rsidR="00E20DF1" w:rsidRPr="00E20DF1" w:rsidRDefault="00E20DF1" w:rsidP="00E20DF1">
      <w:pPr>
        <w:rPr>
          <w:bCs/>
          <w:szCs w:val="20"/>
        </w:rPr>
      </w:pPr>
      <w:r w:rsidRPr="00E20DF1">
        <w:rPr>
          <w:bCs/>
          <w:szCs w:val="20"/>
        </w:rPr>
        <w:t xml:space="preserve">Attachment </w:t>
      </w:r>
      <w:r w:rsidR="004B7292">
        <w:rPr>
          <w:bCs/>
          <w:szCs w:val="20"/>
        </w:rPr>
        <w:t>A</w:t>
      </w:r>
      <w:r w:rsidR="004B04FE">
        <w:rPr>
          <w:bCs/>
          <w:szCs w:val="20"/>
        </w:rPr>
        <w:t>6</w:t>
      </w:r>
      <w:r w:rsidRPr="00E20DF1">
        <w:rPr>
          <w:bCs/>
          <w:szCs w:val="20"/>
        </w:rPr>
        <w:tab/>
      </w:r>
      <w:r w:rsidR="00BE1B12">
        <w:rPr>
          <w:bCs/>
          <w:szCs w:val="20"/>
        </w:rPr>
        <w:t>Program Manager</w:t>
      </w:r>
      <w:r w:rsidRPr="00E20DF1">
        <w:rPr>
          <w:bCs/>
          <w:szCs w:val="20"/>
        </w:rPr>
        <w:t xml:space="preserve"> Telephonic Interview Protocol</w:t>
      </w:r>
    </w:p>
    <w:p w14:paraId="63EB606F" w14:textId="1C990C33" w:rsidR="00E20DF1" w:rsidRPr="00E20DF1" w:rsidRDefault="00E20DF1" w:rsidP="00E20DF1">
      <w:pPr>
        <w:rPr>
          <w:bCs/>
          <w:szCs w:val="20"/>
        </w:rPr>
      </w:pPr>
      <w:r w:rsidRPr="00E20DF1">
        <w:rPr>
          <w:bCs/>
          <w:szCs w:val="20"/>
        </w:rPr>
        <w:t xml:space="preserve">Attachment </w:t>
      </w:r>
      <w:r w:rsidR="004B7292">
        <w:rPr>
          <w:bCs/>
          <w:szCs w:val="20"/>
        </w:rPr>
        <w:t>A</w:t>
      </w:r>
      <w:r w:rsidR="004B04FE">
        <w:rPr>
          <w:bCs/>
          <w:szCs w:val="20"/>
        </w:rPr>
        <w:t>7</w:t>
      </w:r>
      <w:r w:rsidRPr="00E20DF1">
        <w:rPr>
          <w:bCs/>
          <w:szCs w:val="20"/>
        </w:rPr>
        <w:tab/>
      </w:r>
      <w:r w:rsidR="00BE1B12">
        <w:rPr>
          <w:bCs/>
          <w:szCs w:val="20"/>
        </w:rPr>
        <w:t>Support Staff</w:t>
      </w:r>
      <w:r w:rsidRPr="00E20DF1">
        <w:rPr>
          <w:bCs/>
          <w:szCs w:val="20"/>
        </w:rPr>
        <w:t xml:space="preserve"> Telephonic Interview Protocol </w:t>
      </w:r>
    </w:p>
    <w:p w14:paraId="57DF6CB9" w14:textId="3675C10B" w:rsidR="00E20DF1" w:rsidRPr="00E20DF1" w:rsidRDefault="00E20DF1" w:rsidP="00E20DF1">
      <w:pPr>
        <w:rPr>
          <w:bCs/>
          <w:szCs w:val="20"/>
        </w:rPr>
      </w:pPr>
      <w:r w:rsidRPr="00E20DF1">
        <w:rPr>
          <w:bCs/>
          <w:szCs w:val="20"/>
        </w:rPr>
        <w:t xml:space="preserve">Attachment </w:t>
      </w:r>
      <w:r w:rsidR="004B7292">
        <w:rPr>
          <w:bCs/>
          <w:szCs w:val="20"/>
        </w:rPr>
        <w:t>A</w:t>
      </w:r>
      <w:r w:rsidR="004B04FE">
        <w:rPr>
          <w:bCs/>
          <w:szCs w:val="20"/>
        </w:rPr>
        <w:t>8</w:t>
      </w:r>
      <w:r w:rsidRPr="00E20DF1">
        <w:rPr>
          <w:bCs/>
          <w:szCs w:val="20"/>
        </w:rPr>
        <w:tab/>
      </w:r>
      <w:r w:rsidR="00BE1B12">
        <w:rPr>
          <w:bCs/>
          <w:szCs w:val="20"/>
        </w:rPr>
        <w:t>QI Specialist</w:t>
      </w:r>
      <w:r w:rsidRPr="00E20DF1">
        <w:rPr>
          <w:bCs/>
          <w:szCs w:val="20"/>
        </w:rPr>
        <w:t xml:space="preserve"> Telephonic Interview Protocol </w:t>
      </w:r>
    </w:p>
    <w:p w14:paraId="412CB832" w14:textId="5E7B8588" w:rsidR="008452E5" w:rsidRPr="00E20DF1" w:rsidRDefault="00E20DF1">
      <w:pPr>
        <w:rPr>
          <w:b/>
          <w:szCs w:val="20"/>
        </w:rPr>
      </w:pPr>
      <w:r w:rsidRPr="00E20DF1">
        <w:rPr>
          <w:bCs/>
          <w:szCs w:val="20"/>
        </w:rPr>
        <w:t xml:space="preserve">Attachment </w:t>
      </w:r>
      <w:r w:rsidR="004B7292">
        <w:rPr>
          <w:bCs/>
          <w:szCs w:val="20"/>
        </w:rPr>
        <w:t>A</w:t>
      </w:r>
      <w:r w:rsidR="004B04FE">
        <w:rPr>
          <w:bCs/>
          <w:szCs w:val="20"/>
        </w:rPr>
        <w:t>9</w:t>
      </w:r>
      <w:r w:rsidRPr="00E20DF1">
        <w:rPr>
          <w:bCs/>
          <w:szCs w:val="20"/>
        </w:rPr>
        <w:tab/>
        <w:t>Data Analys</w:t>
      </w:r>
      <w:r>
        <w:rPr>
          <w:bCs/>
          <w:szCs w:val="20"/>
        </w:rPr>
        <w:t xml:space="preserve">t Interview Protocol </w:t>
      </w:r>
    </w:p>
    <w:p w14:paraId="0C572DB3" w14:textId="77777777" w:rsidR="002F0CA6" w:rsidRDefault="002F0CA6">
      <w:pPr>
        <w:rPr>
          <w:sz w:val="28"/>
        </w:rPr>
      </w:pPr>
    </w:p>
    <w:p w14:paraId="7894CC4E" w14:textId="77777777" w:rsidR="002F0CA6" w:rsidRDefault="002F0CA6">
      <w:pPr>
        <w:rPr>
          <w:sz w:val="28"/>
        </w:rPr>
      </w:pPr>
    </w:p>
    <w:p w14:paraId="7F6EC172" w14:textId="77777777" w:rsidR="002F0CA6" w:rsidRDefault="002F0CA6">
      <w:pPr>
        <w:rPr>
          <w:sz w:val="28"/>
        </w:rPr>
      </w:pPr>
    </w:p>
    <w:p w14:paraId="57002F05" w14:textId="77777777" w:rsidR="002F0CA6" w:rsidRDefault="002F0CA6">
      <w:pPr>
        <w:rPr>
          <w:sz w:val="28"/>
        </w:rPr>
      </w:pPr>
    </w:p>
    <w:p w14:paraId="3D18AF5A" w14:textId="77777777" w:rsidR="002F0CA6" w:rsidRDefault="002F0CA6">
      <w:pPr>
        <w:rPr>
          <w:sz w:val="28"/>
        </w:rPr>
      </w:pPr>
    </w:p>
    <w:p w14:paraId="770BF60B" w14:textId="77777777" w:rsidR="002F0CA6" w:rsidRDefault="002F0CA6">
      <w:pPr>
        <w:rPr>
          <w:sz w:val="28"/>
        </w:rPr>
      </w:pPr>
    </w:p>
    <w:p w14:paraId="20EB08D9" w14:textId="77777777" w:rsidR="002F0CA6" w:rsidRDefault="002F0CA6">
      <w:pPr>
        <w:rPr>
          <w:sz w:val="28"/>
        </w:rPr>
      </w:pPr>
    </w:p>
    <w:p w14:paraId="73BF2241" w14:textId="77777777" w:rsidR="002F0CA6" w:rsidRDefault="002F0CA6">
      <w:pPr>
        <w:rPr>
          <w:sz w:val="28"/>
        </w:rPr>
      </w:pPr>
    </w:p>
    <w:p w14:paraId="06920503" w14:textId="77777777" w:rsidR="002F0CA6" w:rsidRDefault="002F0CA6">
      <w:pPr>
        <w:rPr>
          <w:sz w:val="28"/>
        </w:rPr>
      </w:pPr>
    </w:p>
    <w:p w14:paraId="2AD6FF0F" w14:textId="77777777" w:rsidR="002F0CA6" w:rsidRDefault="002F0CA6">
      <w:pPr>
        <w:rPr>
          <w:sz w:val="28"/>
        </w:rPr>
      </w:pPr>
    </w:p>
    <w:p w14:paraId="1503BA6B" w14:textId="77777777" w:rsidR="002F0CA6" w:rsidRDefault="002F0CA6">
      <w:pPr>
        <w:rPr>
          <w:sz w:val="28"/>
        </w:rPr>
      </w:pPr>
    </w:p>
    <w:p w14:paraId="4B1357CA" w14:textId="77777777" w:rsidR="002F0CA6" w:rsidRDefault="002F0CA6">
      <w:pPr>
        <w:rPr>
          <w:sz w:val="28"/>
        </w:rPr>
      </w:pPr>
    </w:p>
    <w:p w14:paraId="401BADB6" w14:textId="77777777" w:rsidR="002F0CA6" w:rsidRDefault="002F0CA6">
      <w:pPr>
        <w:rPr>
          <w:sz w:val="28"/>
        </w:rPr>
      </w:pPr>
    </w:p>
    <w:p w14:paraId="00E3E3FB" w14:textId="77777777" w:rsidR="002F0CA6" w:rsidRDefault="002F0CA6">
      <w:pPr>
        <w:rPr>
          <w:sz w:val="28"/>
        </w:rPr>
      </w:pPr>
    </w:p>
    <w:p w14:paraId="41ADC4E3" w14:textId="77777777" w:rsidR="002F0CA6" w:rsidRDefault="002F0CA6">
      <w:pPr>
        <w:rPr>
          <w:sz w:val="28"/>
        </w:rPr>
      </w:pPr>
    </w:p>
    <w:p w14:paraId="426714DA" w14:textId="77777777" w:rsidR="002F0CA6" w:rsidRDefault="002F0CA6">
      <w:pPr>
        <w:rPr>
          <w:sz w:val="28"/>
        </w:rPr>
      </w:pPr>
    </w:p>
    <w:p w14:paraId="0797D314" w14:textId="77777777" w:rsidR="002F0CA6" w:rsidRDefault="002F0CA6">
      <w:pPr>
        <w:rPr>
          <w:sz w:val="28"/>
        </w:rPr>
      </w:pPr>
    </w:p>
    <w:p w14:paraId="66895E9C" w14:textId="77777777" w:rsidR="002F0CA6" w:rsidRDefault="002F0CA6">
      <w:pPr>
        <w:rPr>
          <w:sz w:val="28"/>
        </w:rPr>
      </w:pPr>
    </w:p>
    <w:p w14:paraId="3EFF774A" w14:textId="77777777" w:rsidR="002F0CA6" w:rsidRDefault="002F0CA6">
      <w:pPr>
        <w:rPr>
          <w:sz w:val="28"/>
        </w:rPr>
      </w:pPr>
    </w:p>
    <w:p w14:paraId="69902BF2" w14:textId="77777777" w:rsidR="002F0CA6" w:rsidRDefault="002F0CA6">
      <w:pPr>
        <w:rPr>
          <w:sz w:val="28"/>
        </w:rPr>
      </w:pPr>
    </w:p>
    <w:p w14:paraId="5AF2C97D" w14:textId="77777777" w:rsidR="002F0CA6" w:rsidRDefault="002F0CA6">
      <w:pPr>
        <w:rPr>
          <w:sz w:val="28"/>
        </w:rPr>
      </w:pPr>
    </w:p>
    <w:p w14:paraId="2F28B3CD" w14:textId="77777777" w:rsidR="002F0CA6" w:rsidRDefault="002F0CA6">
      <w:pPr>
        <w:rPr>
          <w:sz w:val="28"/>
        </w:rPr>
      </w:pPr>
    </w:p>
    <w:p w14:paraId="6BA320F1" w14:textId="77777777" w:rsidR="008452E5" w:rsidRDefault="008452E5">
      <w:pPr>
        <w:rPr>
          <w:sz w:val="28"/>
        </w:rPr>
      </w:pPr>
    </w:p>
    <w:p w14:paraId="48B73D72" w14:textId="77777777" w:rsidR="00073E01" w:rsidRDefault="00073E01">
      <w:pPr>
        <w:spacing w:after="160" w:line="259" w:lineRule="auto"/>
      </w:pPr>
      <w:r>
        <w:br w:type="page"/>
      </w:r>
    </w:p>
    <w:p w14:paraId="4045FD4F" w14:textId="6E807CC0" w:rsidR="0028539C" w:rsidRDefault="0028539C">
      <w:pPr>
        <w:spacing w:after="160" w:line="259" w:lineRule="auto"/>
      </w:pPr>
    </w:p>
    <w:p w14:paraId="58138575" w14:textId="523EBA46" w:rsidR="0028539C" w:rsidRDefault="005127D9">
      <w:pPr>
        <w:spacing w:after="160" w:line="259" w:lineRule="auto"/>
      </w:pPr>
      <w:r w:rsidRPr="0028539C">
        <w:rPr>
          <w:noProof/>
        </w:rPr>
        <mc:AlternateContent>
          <mc:Choice Requires="wps">
            <w:drawing>
              <wp:anchor distT="45720" distB="45720" distL="114300" distR="114300" simplePos="0" relativeHeight="251659264" behindDoc="0" locked="0" layoutInCell="1" allowOverlap="1" wp14:anchorId="15374C4B" wp14:editId="6AB148A3">
                <wp:simplePos x="0" y="0"/>
                <wp:positionH relativeFrom="column">
                  <wp:posOffset>733425</wp:posOffset>
                </wp:positionH>
                <wp:positionV relativeFrom="paragraph">
                  <wp:posOffset>70485</wp:posOffset>
                </wp:positionV>
                <wp:extent cx="4762500" cy="74580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7458075"/>
                        </a:xfrm>
                        <a:prstGeom prst="rect">
                          <a:avLst/>
                        </a:prstGeom>
                        <a:solidFill>
                          <a:srgbClr val="FFFFFF"/>
                        </a:solidFill>
                        <a:ln w="9525">
                          <a:solidFill>
                            <a:srgbClr val="000000"/>
                          </a:solidFill>
                          <a:miter lim="800000"/>
                          <a:headEnd/>
                          <a:tailEnd/>
                        </a:ln>
                      </wps:spPr>
                      <wps:txbx>
                        <w:txbxContent>
                          <w:p w14:paraId="3BA75CBB" w14:textId="77777777" w:rsidR="004C3F38" w:rsidRDefault="004C3F38" w:rsidP="0028539C">
                            <w:pPr>
                              <w:pStyle w:val="ListParagraph"/>
                              <w:spacing w:after="200"/>
                              <w:ind w:left="0"/>
                              <w:rPr>
                                <w:b/>
                              </w:rPr>
                            </w:pPr>
                          </w:p>
                          <w:p w14:paraId="1E9D33DF" w14:textId="17585824" w:rsidR="004C3F38" w:rsidRPr="005414BA" w:rsidRDefault="004C3F38" w:rsidP="0028539C">
                            <w:pPr>
                              <w:pStyle w:val="ListParagraph"/>
                              <w:numPr>
                                <w:ilvl w:val="0"/>
                                <w:numId w:val="18"/>
                              </w:numPr>
                              <w:spacing w:after="200"/>
                              <w:ind w:left="0"/>
                              <w:rPr>
                                <w:b/>
                              </w:rPr>
                            </w:pPr>
                            <w:r w:rsidRPr="005414BA">
                              <w:rPr>
                                <w:b/>
                              </w:rPr>
                              <w:t>Overview</w:t>
                            </w:r>
                          </w:p>
                          <w:p w14:paraId="4E7BE320" w14:textId="7F30CBDD" w:rsidR="004C3F38" w:rsidRDefault="004C3F38" w:rsidP="0034521D">
                            <w:pPr>
                              <w:pStyle w:val="ListParagraph"/>
                              <w:numPr>
                                <w:ilvl w:val="0"/>
                                <w:numId w:val="18"/>
                              </w:numPr>
                              <w:spacing w:after="200"/>
                              <w:ind w:left="360"/>
                            </w:pPr>
                            <w:r w:rsidRPr="0082382F">
                              <w:rPr>
                                <w:b/>
                              </w:rPr>
                              <w:t>Goal of the assessment:</w:t>
                            </w:r>
                            <w:r w:rsidRPr="0082382F">
                              <w:t xml:space="preserve"> </w:t>
                            </w:r>
                            <w:r w:rsidRPr="00A504E3">
                              <w:t xml:space="preserve">CDC </w:t>
                            </w:r>
                            <w:r>
                              <w:t>and RTI International propose</w:t>
                            </w:r>
                            <w:r w:rsidRPr="00A504E3">
                              <w:t xml:space="preserve"> </w:t>
                            </w:r>
                            <w:r>
                              <w:t>to</w:t>
                            </w:r>
                            <w:r w:rsidRPr="00A504E3">
                              <w:t xml:space="preserve"> collect information from </w:t>
                            </w:r>
                            <w:r>
                              <w:t xml:space="preserve">all nine funded </w:t>
                            </w:r>
                            <w:r>
                              <w:rPr>
                                <w:rFonts w:eastAsia="Calibri"/>
                                <w:szCs w:val="20"/>
                              </w:rPr>
                              <w:t>Paul Coverdell National Acute Stroke Program</w:t>
                            </w:r>
                            <w:r>
                              <w:t xml:space="preserve"> (PCNASP) grantees and a sample of their partners to (1) assess</w:t>
                            </w:r>
                            <w:r w:rsidRPr="008452E5">
                              <w:t xml:space="preserve"> the actual </w:t>
                            </w:r>
                            <w:r>
                              <w:t xml:space="preserve">partner </w:t>
                            </w:r>
                            <w:r w:rsidRPr="008452E5">
                              <w:t xml:space="preserve">costs of </w:t>
                            </w:r>
                            <w:r>
                              <w:t>establishing statewide comprehensive stroke systems of care; and (2) increase CDC’s understanding of funded programs’</w:t>
                            </w:r>
                            <w:r w:rsidRPr="000B488C">
                              <w:t xml:space="preserve"> implementation of </w:t>
                            </w:r>
                            <w:r>
                              <w:t>effective state-based stroke systems of care and PCNASP specific contributions.</w:t>
                            </w:r>
                          </w:p>
                          <w:p w14:paraId="7D424636" w14:textId="77777777" w:rsidR="004C3F38" w:rsidRPr="00EF3038" w:rsidRDefault="004C3F38" w:rsidP="0028539C">
                            <w:pPr>
                              <w:pStyle w:val="ListParagraph"/>
                              <w:spacing w:after="200"/>
                              <w:ind w:left="360"/>
                              <w:rPr>
                                <w:b/>
                                <w:highlight w:val="yellow"/>
                              </w:rPr>
                            </w:pPr>
                          </w:p>
                          <w:p w14:paraId="7A03496E" w14:textId="2B1B3506" w:rsidR="004C3F38" w:rsidRPr="004A0626" w:rsidRDefault="004C3F38" w:rsidP="0034521D">
                            <w:pPr>
                              <w:pStyle w:val="ListParagraph"/>
                              <w:numPr>
                                <w:ilvl w:val="0"/>
                                <w:numId w:val="18"/>
                              </w:numPr>
                              <w:spacing w:after="200"/>
                              <w:ind w:left="360"/>
                            </w:pPr>
                            <w:r w:rsidRPr="0082382F">
                              <w:rPr>
                                <w:b/>
                              </w:rPr>
                              <w:t xml:space="preserve">Intended use of the resulting data: </w:t>
                            </w:r>
                            <w:r>
                              <w:t xml:space="preserve">The insights to be gained from this data collection will be critical to improving immediate efforts and achieving the goals of spreading and replicating state-level strategies that are proven programmatically and are cost-effective in contributing to a higher quality of care for stroke patients.  </w:t>
                            </w:r>
                          </w:p>
                          <w:p w14:paraId="272C22DC" w14:textId="77777777" w:rsidR="004C3F38" w:rsidRPr="00437F5F" w:rsidRDefault="004C3F38" w:rsidP="00437F5F">
                            <w:pPr>
                              <w:pStyle w:val="ListParagraph"/>
                              <w:rPr>
                                <w:b/>
                              </w:rPr>
                            </w:pPr>
                          </w:p>
                          <w:p w14:paraId="0410AE4A" w14:textId="703C9F0C" w:rsidR="004C3F38" w:rsidRPr="00961F02" w:rsidRDefault="004C3F38" w:rsidP="00961F02">
                            <w:pPr>
                              <w:pStyle w:val="ListParagraph"/>
                              <w:numPr>
                                <w:ilvl w:val="0"/>
                                <w:numId w:val="18"/>
                              </w:numPr>
                              <w:spacing w:after="200"/>
                              <w:ind w:left="360"/>
                              <w:rPr>
                                <w:b/>
                              </w:rPr>
                            </w:pPr>
                            <w:r w:rsidRPr="00437F5F">
                              <w:rPr>
                                <w:b/>
                              </w:rPr>
                              <w:t>Methods to be used to collect</w:t>
                            </w:r>
                            <w:r>
                              <w:rPr>
                                <w:b/>
                              </w:rPr>
                              <w:t xml:space="preserve"> data</w:t>
                            </w:r>
                            <w:r w:rsidRPr="00437F5F">
                              <w:rPr>
                                <w:b/>
                              </w:rPr>
                              <w:t xml:space="preserve">: </w:t>
                            </w:r>
                            <w:r w:rsidRPr="00BC5DA8">
                              <w:t xml:space="preserve">Two components of the information collection include: (1) </w:t>
                            </w:r>
                            <w:r>
                              <w:t xml:space="preserve">program implementation cost data collection from program partners using a </w:t>
                            </w:r>
                            <w:r w:rsidRPr="00BC5DA8">
                              <w:t xml:space="preserve">cost </w:t>
                            </w:r>
                            <w:r>
                              <w:t>collection</w:t>
                            </w:r>
                            <w:r w:rsidRPr="00BC5DA8">
                              <w:t xml:space="preserve"> tool; and (2) telephone interviews</w:t>
                            </w:r>
                            <w:r>
                              <w:t xml:space="preserve"> with key program stakeholders</w:t>
                            </w:r>
                            <w:r w:rsidRPr="00BC5DA8">
                              <w:t>.</w:t>
                            </w:r>
                            <w:r>
                              <w:t xml:space="preserve"> We are collecting program-level cost and qualitative implementation data. We are not collecting individual-level data. This assessment does not request sensitive or personally identifiable information. </w:t>
                            </w:r>
                          </w:p>
                          <w:p w14:paraId="4D3C3511" w14:textId="77777777" w:rsidR="004C3F38" w:rsidRPr="00437F5F" w:rsidRDefault="004C3F38" w:rsidP="00437F5F">
                            <w:pPr>
                              <w:pStyle w:val="ListParagraph"/>
                              <w:rPr>
                                <w:b/>
                              </w:rPr>
                            </w:pPr>
                          </w:p>
                          <w:p w14:paraId="3509E691" w14:textId="421D9DDD" w:rsidR="004C3F38" w:rsidRPr="003667F7" w:rsidRDefault="004C3F38" w:rsidP="00B53E90">
                            <w:pPr>
                              <w:pStyle w:val="ListParagraph"/>
                              <w:numPr>
                                <w:ilvl w:val="0"/>
                                <w:numId w:val="18"/>
                              </w:numPr>
                              <w:spacing w:after="200"/>
                              <w:ind w:left="360"/>
                            </w:pPr>
                            <w:r w:rsidRPr="0056047B">
                              <w:rPr>
                                <w:b/>
                              </w:rPr>
                              <w:t xml:space="preserve">How data will be analyzed: </w:t>
                            </w:r>
                            <w:r>
                              <w:t xml:space="preserve">Each organization’s cost </w:t>
                            </w:r>
                            <w:r w:rsidRPr="003667F7">
                              <w:t xml:space="preserve">data </w:t>
                            </w:r>
                            <w:r>
                              <w:t>submission</w:t>
                            </w:r>
                            <w:r w:rsidRPr="003667F7">
                              <w:t xml:space="preserve"> will be assessed for missing information and incorrect data (</w:t>
                            </w:r>
                            <w:r>
                              <w:t xml:space="preserve">e.g., </w:t>
                            </w:r>
                            <w:r w:rsidRPr="003667F7">
                              <w:t xml:space="preserve">inappropriate range of values). </w:t>
                            </w:r>
                            <w:r>
                              <w:t xml:space="preserve">After ensuring the data integrity of each submission, we will </w:t>
                            </w:r>
                            <w:r w:rsidRPr="003667F7">
                              <w:t>create an aggregated analysis file for generating reports and publications</w:t>
                            </w:r>
                            <w:r>
                              <w:t>.</w:t>
                            </w:r>
                          </w:p>
                          <w:p w14:paraId="5451D911" w14:textId="77777777" w:rsidR="004C3F38" w:rsidRDefault="004C3F38" w:rsidP="0056047B">
                            <w:pPr>
                              <w:pStyle w:val="ListParagraph"/>
                            </w:pPr>
                          </w:p>
                          <w:p w14:paraId="520F32F9" w14:textId="5BC052F1" w:rsidR="004C3F38" w:rsidRPr="00912FF5" w:rsidRDefault="004C3F38" w:rsidP="0056047B">
                            <w:pPr>
                              <w:pStyle w:val="ListParagraph"/>
                              <w:spacing w:after="200"/>
                              <w:ind w:left="360"/>
                            </w:pPr>
                            <w:r>
                              <w:t>Interview data will be analyzed using NVivo qualitative analysis software. Interview data</w:t>
                            </w:r>
                            <w:r w:rsidRPr="005B2A0E">
                              <w:t xml:space="preserve"> will be analyzed in aggregate and discussed in summary reports that do not contain any personal identifiers.  </w:t>
                            </w:r>
                          </w:p>
                          <w:p w14:paraId="2C236B27" w14:textId="77777777" w:rsidR="004C3F38" w:rsidRPr="00B144B1" w:rsidRDefault="004C3F38" w:rsidP="0028539C">
                            <w:pPr>
                              <w:spacing w:after="200"/>
                              <w:contextualSpacing/>
                              <w:rPr>
                                <w:highlight w:val="yell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75pt;margin-top:5.55pt;width:375pt;height:58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">
                <v:textbox>
                  <w:txbxContent>
                    <w:p w14:paraId="3BA75CBB" w14:textId="77777777" w:rsidR="004C3F38" w:rsidRDefault="004C3F38" w:rsidP="0028539C">
                      <w:pPr>
                        <w:pStyle w:val="ListParagraph"/>
                        <w:spacing w:after="200"/>
                        <w:ind w:left="0"/>
                        <w:rPr>
                          <w:b/>
                        </w:rPr>
                      </w:pPr>
                    </w:p>
                    <w:p w14:paraId="1E9D33DF" w14:textId="17585824" w:rsidR="004C3F38" w:rsidRPr="005414BA" w:rsidRDefault="004C3F38" w:rsidP="0028539C">
                      <w:pPr>
                        <w:pStyle w:val="ListParagraph"/>
                        <w:numPr>
                          <w:ilvl w:val="0"/>
                          <w:numId w:val="18"/>
                        </w:numPr>
                        <w:spacing w:after="200"/>
                        <w:ind w:left="0"/>
                        <w:rPr>
                          <w:b/>
                        </w:rPr>
                      </w:pPr>
                      <w:r w:rsidRPr="005414BA">
                        <w:rPr>
                          <w:b/>
                        </w:rPr>
                        <w:t>Overview</w:t>
                      </w:r>
                    </w:p>
                    <w:p w14:paraId="4E7BE320" w14:textId="7F30CBDD" w:rsidR="004C3F38" w:rsidRDefault="004C3F38" w:rsidP="0034521D">
                      <w:pPr>
                        <w:pStyle w:val="ListParagraph"/>
                        <w:numPr>
                          <w:ilvl w:val="0"/>
                          <w:numId w:val="18"/>
                        </w:numPr>
                        <w:spacing w:after="200"/>
                        <w:ind w:left="360"/>
                      </w:pPr>
                      <w:r w:rsidRPr="0082382F">
                        <w:rPr>
                          <w:b/>
                        </w:rPr>
                        <w:t>Goal of the assessment:</w:t>
                      </w:r>
                      <w:r w:rsidRPr="0082382F">
                        <w:t xml:space="preserve"> </w:t>
                      </w:r>
                      <w:r w:rsidRPr="00A504E3">
                        <w:t xml:space="preserve">CDC </w:t>
                      </w:r>
                      <w:r>
                        <w:t>and RTI International propose</w:t>
                      </w:r>
                      <w:r w:rsidRPr="00A504E3">
                        <w:t xml:space="preserve"> </w:t>
                      </w:r>
                      <w:r>
                        <w:t>to</w:t>
                      </w:r>
                      <w:r w:rsidRPr="00A504E3">
                        <w:t xml:space="preserve"> collect information from </w:t>
                      </w:r>
                      <w:r>
                        <w:t xml:space="preserve">all nine funded </w:t>
                      </w:r>
                      <w:r>
                        <w:rPr>
                          <w:rFonts w:eastAsia="Calibri"/>
                          <w:szCs w:val="20"/>
                        </w:rPr>
                        <w:t>Paul Coverdell National Acute Stroke Program</w:t>
                      </w:r>
                      <w:r>
                        <w:t xml:space="preserve"> (PCNASP) grantees and a sample of their partners to (1) assess</w:t>
                      </w:r>
                      <w:r w:rsidRPr="008452E5">
                        <w:t xml:space="preserve"> the actual </w:t>
                      </w:r>
                      <w:r>
                        <w:t xml:space="preserve">partner </w:t>
                      </w:r>
                      <w:r w:rsidRPr="008452E5">
                        <w:t xml:space="preserve">costs of </w:t>
                      </w:r>
                      <w:r>
                        <w:t>establishing statewide comprehensive stroke systems of care; and (2) increase CDC’s understanding of funded programs’</w:t>
                      </w:r>
                      <w:r w:rsidRPr="000B488C">
                        <w:t xml:space="preserve"> implementation of </w:t>
                      </w:r>
                      <w:r>
                        <w:t>effective state-based stroke systems of care and PCNASP specific contributions.</w:t>
                      </w:r>
                    </w:p>
                    <w:p w14:paraId="7D424636" w14:textId="77777777" w:rsidR="004C3F38" w:rsidRPr="00EF3038" w:rsidRDefault="004C3F38" w:rsidP="0028539C">
                      <w:pPr>
                        <w:pStyle w:val="ListParagraph"/>
                        <w:spacing w:after="200"/>
                        <w:ind w:left="360"/>
                        <w:rPr>
                          <w:b/>
                          <w:highlight w:val="yellow"/>
                        </w:rPr>
                      </w:pPr>
                    </w:p>
                    <w:p w14:paraId="7A03496E" w14:textId="2B1B3506" w:rsidR="004C3F38" w:rsidRPr="004A0626" w:rsidRDefault="004C3F38" w:rsidP="0034521D">
                      <w:pPr>
                        <w:pStyle w:val="ListParagraph"/>
                        <w:numPr>
                          <w:ilvl w:val="0"/>
                          <w:numId w:val="18"/>
                        </w:numPr>
                        <w:spacing w:after="200"/>
                        <w:ind w:left="360"/>
                      </w:pPr>
                      <w:r w:rsidRPr="0082382F">
                        <w:rPr>
                          <w:b/>
                        </w:rPr>
                        <w:t xml:space="preserve">Intended use of the resulting data: </w:t>
                      </w:r>
                      <w:r>
                        <w:t xml:space="preserve">The insights to be gained from this data collection will be critical to improving immediate efforts and achieving the goals of spreading and replicating state-level strategies that are proven programmatically and are cost-effective in contributing to a higher quality of care for stroke patients.  </w:t>
                      </w:r>
                    </w:p>
                    <w:p w14:paraId="272C22DC" w14:textId="77777777" w:rsidR="004C3F38" w:rsidRPr="00437F5F" w:rsidRDefault="004C3F38" w:rsidP="00437F5F">
                      <w:pPr>
                        <w:pStyle w:val="ListParagraph"/>
                        <w:rPr>
                          <w:b/>
                        </w:rPr>
                      </w:pPr>
                    </w:p>
                    <w:p w14:paraId="0410AE4A" w14:textId="703C9F0C" w:rsidR="004C3F38" w:rsidRPr="00961F02" w:rsidRDefault="004C3F38" w:rsidP="00961F02">
                      <w:pPr>
                        <w:pStyle w:val="ListParagraph"/>
                        <w:numPr>
                          <w:ilvl w:val="0"/>
                          <w:numId w:val="18"/>
                        </w:numPr>
                        <w:spacing w:after="200"/>
                        <w:ind w:left="360"/>
                        <w:rPr>
                          <w:b/>
                        </w:rPr>
                      </w:pPr>
                      <w:r w:rsidRPr="00437F5F">
                        <w:rPr>
                          <w:b/>
                        </w:rPr>
                        <w:t>Methods to be used to collect</w:t>
                      </w:r>
                      <w:r>
                        <w:rPr>
                          <w:b/>
                        </w:rPr>
                        <w:t xml:space="preserve"> data</w:t>
                      </w:r>
                      <w:r w:rsidRPr="00437F5F">
                        <w:rPr>
                          <w:b/>
                        </w:rPr>
                        <w:t xml:space="preserve">: </w:t>
                      </w:r>
                      <w:r w:rsidRPr="00BC5DA8">
                        <w:t xml:space="preserve">Two components of the information collection include: (1) </w:t>
                      </w:r>
                      <w:r>
                        <w:t xml:space="preserve">program implementation cost data collection from program partners using a </w:t>
                      </w:r>
                      <w:r w:rsidRPr="00BC5DA8">
                        <w:t xml:space="preserve">cost </w:t>
                      </w:r>
                      <w:r>
                        <w:t>collection</w:t>
                      </w:r>
                      <w:r w:rsidRPr="00BC5DA8">
                        <w:t xml:space="preserve"> tool; and (2) telephone interviews</w:t>
                      </w:r>
                      <w:r>
                        <w:t xml:space="preserve"> with key program stakeholders</w:t>
                      </w:r>
                      <w:r w:rsidRPr="00BC5DA8">
                        <w:t>.</w:t>
                      </w:r>
                      <w:r>
                        <w:t xml:space="preserve"> We are collecting program-level cost and qualitative implementation data. We are not collecting individual-level data. This assessment does not request sensitive or personally identifiable information. </w:t>
                      </w:r>
                    </w:p>
                    <w:p w14:paraId="4D3C3511" w14:textId="77777777" w:rsidR="004C3F38" w:rsidRPr="00437F5F" w:rsidRDefault="004C3F38" w:rsidP="00437F5F">
                      <w:pPr>
                        <w:pStyle w:val="ListParagraph"/>
                        <w:rPr>
                          <w:b/>
                        </w:rPr>
                      </w:pPr>
                    </w:p>
                    <w:p w14:paraId="3509E691" w14:textId="421D9DDD" w:rsidR="004C3F38" w:rsidRPr="003667F7" w:rsidRDefault="004C3F38" w:rsidP="00B53E90">
                      <w:pPr>
                        <w:pStyle w:val="ListParagraph"/>
                        <w:numPr>
                          <w:ilvl w:val="0"/>
                          <w:numId w:val="18"/>
                        </w:numPr>
                        <w:spacing w:after="200"/>
                        <w:ind w:left="360"/>
                      </w:pPr>
                      <w:r w:rsidRPr="0056047B">
                        <w:rPr>
                          <w:b/>
                        </w:rPr>
                        <w:t xml:space="preserve">How data will be analyzed: </w:t>
                      </w:r>
                      <w:r>
                        <w:t xml:space="preserve">Each organization’s cost </w:t>
                      </w:r>
                      <w:r w:rsidRPr="003667F7">
                        <w:t xml:space="preserve">data </w:t>
                      </w:r>
                      <w:r>
                        <w:t>submission</w:t>
                      </w:r>
                      <w:r w:rsidRPr="003667F7">
                        <w:t xml:space="preserve"> will be assessed for missing information and incorrect data (</w:t>
                      </w:r>
                      <w:r>
                        <w:t xml:space="preserve">e.g., </w:t>
                      </w:r>
                      <w:r w:rsidRPr="003667F7">
                        <w:t xml:space="preserve">inappropriate range of values). </w:t>
                      </w:r>
                      <w:r>
                        <w:t xml:space="preserve">After ensuring the data integrity of each submission, we will </w:t>
                      </w:r>
                      <w:r w:rsidRPr="003667F7">
                        <w:t>create an aggregated analysis file for generating reports and publications</w:t>
                      </w:r>
                      <w:r>
                        <w:t>.</w:t>
                      </w:r>
                    </w:p>
                    <w:p w14:paraId="5451D911" w14:textId="77777777" w:rsidR="004C3F38" w:rsidRDefault="004C3F38" w:rsidP="0056047B">
                      <w:pPr>
                        <w:pStyle w:val="ListParagraph"/>
                      </w:pPr>
                    </w:p>
                    <w:p w14:paraId="520F32F9" w14:textId="5BC052F1" w:rsidR="004C3F38" w:rsidRPr="00912FF5" w:rsidRDefault="004C3F38" w:rsidP="0056047B">
                      <w:pPr>
                        <w:pStyle w:val="ListParagraph"/>
                        <w:spacing w:after="200"/>
                        <w:ind w:left="360"/>
                      </w:pPr>
                      <w:r>
                        <w:t>Interview data will be analyzed using NVivo qualitative analysis software. Interview data</w:t>
                      </w:r>
                      <w:r w:rsidRPr="005B2A0E">
                        <w:t xml:space="preserve"> will be analyzed in aggregate and discussed in summary reports that do not contain any personal identifiers.  </w:t>
                      </w:r>
                    </w:p>
                    <w:p w14:paraId="2C236B27" w14:textId="77777777" w:rsidR="004C3F38" w:rsidRPr="00B144B1" w:rsidRDefault="004C3F38" w:rsidP="0028539C">
                      <w:pPr>
                        <w:spacing w:after="200"/>
                        <w:contextualSpacing/>
                        <w:rPr>
                          <w:highlight w:val="yellow"/>
                        </w:rPr>
                      </w:pPr>
                    </w:p>
                  </w:txbxContent>
                </v:textbox>
                <w10:wrap type="square"/>
              </v:shape>
            </w:pict>
          </mc:Fallback>
        </mc:AlternateContent>
      </w:r>
    </w:p>
    <w:p w14:paraId="7FF3B776" w14:textId="77777777" w:rsidR="0028539C" w:rsidRDefault="0028539C">
      <w:pPr>
        <w:spacing w:after="160" w:line="259" w:lineRule="auto"/>
      </w:pPr>
    </w:p>
    <w:p w14:paraId="43D22187" w14:textId="77777777" w:rsidR="0028539C" w:rsidRDefault="0028539C">
      <w:pPr>
        <w:spacing w:after="160" w:line="259" w:lineRule="auto"/>
      </w:pPr>
    </w:p>
    <w:p w14:paraId="6F5D1507" w14:textId="77777777" w:rsidR="0028539C" w:rsidRDefault="0028539C">
      <w:pPr>
        <w:spacing w:after="160" w:line="259" w:lineRule="auto"/>
      </w:pPr>
    </w:p>
    <w:p w14:paraId="60FC9757" w14:textId="77777777" w:rsidR="0028539C" w:rsidRDefault="0028539C">
      <w:pPr>
        <w:spacing w:after="160" w:line="259" w:lineRule="auto"/>
      </w:pPr>
    </w:p>
    <w:p w14:paraId="5546D0BA" w14:textId="77777777" w:rsidR="0028539C" w:rsidRDefault="0028539C">
      <w:pPr>
        <w:spacing w:after="160" w:line="259" w:lineRule="auto"/>
      </w:pPr>
    </w:p>
    <w:p w14:paraId="18C24D88" w14:textId="77777777" w:rsidR="0028539C" w:rsidRDefault="0028539C">
      <w:pPr>
        <w:spacing w:after="160" w:line="259" w:lineRule="auto"/>
      </w:pPr>
    </w:p>
    <w:p w14:paraId="71252BB3" w14:textId="77777777" w:rsidR="0028539C" w:rsidRDefault="0028539C">
      <w:pPr>
        <w:spacing w:after="160" w:line="259" w:lineRule="auto"/>
      </w:pPr>
    </w:p>
    <w:p w14:paraId="3A0A754D" w14:textId="77777777" w:rsidR="0028539C" w:rsidRDefault="0028539C">
      <w:pPr>
        <w:spacing w:after="160" w:line="259" w:lineRule="auto"/>
      </w:pPr>
    </w:p>
    <w:p w14:paraId="3E42EDCE" w14:textId="77777777" w:rsidR="0028539C" w:rsidRDefault="0028539C">
      <w:pPr>
        <w:spacing w:after="160" w:line="259" w:lineRule="auto"/>
      </w:pPr>
    </w:p>
    <w:p w14:paraId="28A9C1B8" w14:textId="77777777" w:rsidR="0028539C" w:rsidRDefault="0028539C">
      <w:pPr>
        <w:spacing w:after="160" w:line="259" w:lineRule="auto"/>
      </w:pPr>
    </w:p>
    <w:p w14:paraId="13796712" w14:textId="77777777" w:rsidR="0028539C" w:rsidRDefault="0028539C">
      <w:pPr>
        <w:spacing w:after="160" w:line="259" w:lineRule="auto"/>
      </w:pPr>
    </w:p>
    <w:p w14:paraId="3373CBFF" w14:textId="77777777" w:rsidR="0028539C" w:rsidRDefault="0028539C">
      <w:pPr>
        <w:spacing w:after="160" w:line="259" w:lineRule="auto"/>
      </w:pPr>
    </w:p>
    <w:p w14:paraId="7C65C0C9" w14:textId="77777777" w:rsidR="0028539C" w:rsidRDefault="0028539C">
      <w:pPr>
        <w:spacing w:after="160" w:line="259" w:lineRule="auto"/>
      </w:pPr>
    </w:p>
    <w:p w14:paraId="66A1E657" w14:textId="77777777" w:rsidR="0028539C" w:rsidRDefault="0028539C">
      <w:pPr>
        <w:spacing w:after="160" w:line="259" w:lineRule="auto"/>
      </w:pPr>
    </w:p>
    <w:p w14:paraId="6C0E733E" w14:textId="77777777" w:rsidR="0028539C" w:rsidRDefault="0028539C">
      <w:pPr>
        <w:spacing w:after="160" w:line="259" w:lineRule="auto"/>
      </w:pPr>
    </w:p>
    <w:p w14:paraId="0167F0FC" w14:textId="77777777" w:rsidR="0028539C" w:rsidRDefault="0028539C">
      <w:pPr>
        <w:spacing w:after="160" w:line="259" w:lineRule="auto"/>
      </w:pPr>
    </w:p>
    <w:p w14:paraId="0B94B6E9" w14:textId="77777777" w:rsidR="0028539C" w:rsidRDefault="0028539C">
      <w:pPr>
        <w:spacing w:after="160" w:line="259" w:lineRule="auto"/>
      </w:pPr>
    </w:p>
    <w:p w14:paraId="6339C76F" w14:textId="77777777" w:rsidR="0028539C" w:rsidRDefault="0028539C">
      <w:pPr>
        <w:spacing w:after="160" w:line="259" w:lineRule="auto"/>
      </w:pPr>
    </w:p>
    <w:p w14:paraId="3AA4DAE8" w14:textId="77777777" w:rsidR="0028539C" w:rsidRDefault="0028539C">
      <w:pPr>
        <w:spacing w:after="160" w:line="259" w:lineRule="auto"/>
      </w:pPr>
    </w:p>
    <w:p w14:paraId="616ED5E3" w14:textId="77777777" w:rsidR="0028539C" w:rsidRDefault="0028539C">
      <w:pPr>
        <w:spacing w:after="160" w:line="259" w:lineRule="auto"/>
      </w:pPr>
    </w:p>
    <w:p w14:paraId="74105CF9" w14:textId="77777777" w:rsidR="0028539C" w:rsidRDefault="0028539C">
      <w:pPr>
        <w:spacing w:after="160" w:line="259" w:lineRule="auto"/>
      </w:pPr>
    </w:p>
    <w:p w14:paraId="32CBB1CC" w14:textId="77777777" w:rsidR="0028539C" w:rsidRDefault="0028539C">
      <w:pPr>
        <w:spacing w:after="160" w:line="259" w:lineRule="auto"/>
      </w:pPr>
    </w:p>
    <w:p w14:paraId="4B70A3F8" w14:textId="77777777" w:rsidR="0028539C" w:rsidRDefault="0028539C">
      <w:pPr>
        <w:spacing w:after="160" w:line="259" w:lineRule="auto"/>
      </w:pPr>
    </w:p>
    <w:p w14:paraId="3B4F3829" w14:textId="77777777" w:rsidR="0028539C" w:rsidRDefault="0028539C">
      <w:pPr>
        <w:spacing w:after="160" w:line="259" w:lineRule="auto"/>
      </w:pPr>
    </w:p>
    <w:p w14:paraId="31B982C4" w14:textId="77777777" w:rsidR="0028539C" w:rsidRDefault="0028539C">
      <w:pPr>
        <w:spacing w:after="160" w:line="259" w:lineRule="auto"/>
        <w:rPr>
          <w:rFonts w:eastAsiaTheme="majorEastAsia"/>
        </w:rPr>
      </w:pPr>
    </w:p>
    <w:p w14:paraId="6C33A207" w14:textId="6C711172" w:rsidR="008452E5" w:rsidRPr="002B3E95" w:rsidRDefault="008452E5" w:rsidP="002B3E95">
      <w:pPr>
        <w:pStyle w:val="Heading1"/>
        <w:numPr>
          <w:ilvl w:val="0"/>
          <w:numId w:val="9"/>
        </w:numPr>
        <w:rPr>
          <w:rFonts w:ascii="Times New Roman" w:hAnsi="Times New Roman" w:cs="Times New Roman"/>
          <w:color w:val="auto"/>
          <w:sz w:val="24"/>
          <w:szCs w:val="24"/>
        </w:rPr>
      </w:pPr>
      <w:bookmarkStart w:id="2" w:name="_Toc480354122"/>
      <w:r w:rsidRPr="002B3E95">
        <w:rPr>
          <w:rFonts w:ascii="Times New Roman" w:hAnsi="Times New Roman" w:cs="Times New Roman"/>
          <w:color w:val="auto"/>
          <w:sz w:val="24"/>
          <w:szCs w:val="24"/>
        </w:rPr>
        <w:t>JUSTIFICATION</w:t>
      </w:r>
      <w:bookmarkEnd w:id="2"/>
    </w:p>
    <w:p w14:paraId="13DBD6B7" w14:textId="77777777" w:rsidR="008452E5" w:rsidRDefault="008452E5" w:rsidP="008452E5"/>
    <w:p w14:paraId="73C8DACE" w14:textId="77777777" w:rsidR="008452E5" w:rsidRPr="002B3E95" w:rsidRDefault="008452E5" w:rsidP="002B3E95">
      <w:pPr>
        <w:pStyle w:val="Heading2"/>
        <w:rPr>
          <w:rFonts w:ascii="Times New Roman" w:hAnsi="Times New Roman" w:cs="Times New Roman"/>
          <w:b/>
          <w:color w:val="auto"/>
          <w:sz w:val="24"/>
          <w:szCs w:val="24"/>
        </w:rPr>
      </w:pPr>
      <w:bookmarkStart w:id="3" w:name="_Toc480354123"/>
      <w:bookmarkStart w:id="4" w:name="_Toc88033460"/>
      <w:bookmarkStart w:id="5" w:name="_Toc317196257"/>
      <w:r w:rsidRPr="002B3E95">
        <w:rPr>
          <w:rFonts w:ascii="Times New Roman" w:hAnsi="Times New Roman" w:cs="Times New Roman"/>
          <w:b/>
          <w:color w:val="auto"/>
          <w:sz w:val="24"/>
          <w:szCs w:val="24"/>
        </w:rPr>
        <w:t>A.1</w:t>
      </w:r>
      <w:r w:rsidR="002A701B" w:rsidRPr="002B3E95">
        <w:rPr>
          <w:rFonts w:ascii="Times New Roman" w:hAnsi="Times New Roman" w:cs="Times New Roman"/>
          <w:b/>
          <w:color w:val="auto"/>
          <w:sz w:val="24"/>
          <w:szCs w:val="24"/>
        </w:rPr>
        <w:t xml:space="preserve"> </w:t>
      </w:r>
      <w:r w:rsidR="002A701B" w:rsidRPr="002B3E95">
        <w:rPr>
          <w:rFonts w:ascii="Times New Roman" w:hAnsi="Times New Roman" w:cs="Times New Roman"/>
          <w:b/>
          <w:color w:val="auto"/>
          <w:sz w:val="24"/>
          <w:szCs w:val="24"/>
        </w:rPr>
        <w:tab/>
        <w:t>Circumstances Making the Collection of Information Necessary</w:t>
      </w:r>
      <w:bookmarkEnd w:id="3"/>
    </w:p>
    <w:p w14:paraId="7B7F171B" w14:textId="77777777" w:rsidR="008452E5" w:rsidRDefault="008452E5" w:rsidP="008452E5">
      <w:pPr>
        <w:spacing w:line="360" w:lineRule="auto"/>
        <w:rPr>
          <w:b/>
          <w:bCs/>
          <w:iCs/>
        </w:rPr>
      </w:pPr>
    </w:p>
    <w:p w14:paraId="55A653D4" w14:textId="77777777" w:rsidR="002B3E95" w:rsidRDefault="002B3E95" w:rsidP="0062573D">
      <w:pPr>
        <w:tabs>
          <w:tab w:val="left" w:pos="720"/>
          <w:tab w:val="left" w:pos="1080"/>
          <w:tab w:val="left" w:pos="1440"/>
          <w:tab w:val="left" w:pos="1800"/>
        </w:tabs>
        <w:autoSpaceDE w:val="0"/>
        <w:autoSpaceDN w:val="0"/>
        <w:adjustRightInd w:val="0"/>
        <w:spacing w:line="276" w:lineRule="auto"/>
        <w:ind w:firstLine="720"/>
        <w:rPr>
          <w:rFonts w:eastAsia="Batang"/>
          <w:szCs w:val="20"/>
        </w:rPr>
      </w:pPr>
      <w:r>
        <w:rPr>
          <w:rFonts w:eastAsia="Batang"/>
        </w:rPr>
        <w:t>This is a new Information Collection Request (ICR).</w:t>
      </w:r>
    </w:p>
    <w:p w14:paraId="68EAD0F1" w14:textId="77777777" w:rsidR="002B3E95" w:rsidRPr="002B3E95" w:rsidRDefault="002B3E95" w:rsidP="0062573D">
      <w:pPr>
        <w:tabs>
          <w:tab w:val="left" w:pos="720"/>
          <w:tab w:val="left" w:pos="1080"/>
          <w:tab w:val="left" w:pos="1440"/>
          <w:tab w:val="left" w:pos="1800"/>
        </w:tabs>
        <w:autoSpaceDE w:val="0"/>
        <w:autoSpaceDN w:val="0"/>
        <w:adjustRightInd w:val="0"/>
        <w:spacing w:line="276" w:lineRule="auto"/>
        <w:ind w:firstLine="720"/>
        <w:rPr>
          <w:rFonts w:eastAsia="Batang"/>
          <w:szCs w:val="20"/>
        </w:rPr>
      </w:pPr>
    </w:p>
    <w:p w14:paraId="02A8B85A" w14:textId="45496EAF" w:rsidR="00611F72" w:rsidRPr="00611F72" w:rsidRDefault="00611F72" w:rsidP="00611F72">
      <w:pPr>
        <w:spacing w:line="276" w:lineRule="auto"/>
        <w:rPr>
          <w:u w:val="single"/>
        </w:rPr>
      </w:pPr>
      <w:r w:rsidRPr="00611F72">
        <w:rPr>
          <w:u w:val="single"/>
        </w:rPr>
        <w:t>Background</w:t>
      </w:r>
    </w:p>
    <w:p w14:paraId="1DB509E6" w14:textId="77777777" w:rsidR="00611F72" w:rsidRDefault="00611F72" w:rsidP="00611F72">
      <w:pPr>
        <w:spacing w:line="276" w:lineRule="auto"/>
      </w:pPr>
    </w:p>
    <w:p w14:paraId="135EA118" w14:textId="69BDD7A2" w:rsidR="002B3E95" w:rsidRDefault="002B3E95" w:rsidP="0062573D">
      <w:pPr>
        <w:spacing w:line="276" w:lineRule="auto"/>
        <w:ind w:firstLine="720"/>
        <w:rPr>
          <w:color w:val="000000"/>
        </w:rPr>
      </w:pPr>
      <w:r>
        <w:t xml:space="preserve">The Centers for Disease Control and Prevention (CDC) is the primary Federal agency for </w:t>
      </w:r>
      <w:r>
        <w:rPr>
          <w:color w:val="000000"/>
        </w:rPr>
        <w:t xml:space="preserve">protecting health and promoting quality of life through the prevention and control of disease, injury, and disability.  CDC is committed to programs that reduce the health and economic consequences of the leading causes of death and disability, thereby ensuring a long, productive, healthy life for all people (see authorizing legislation in </w:t>
      </w:r>
      <w:r w:rsidRPr="00EA6A18">
        <w:rPr>
          <w:b/>
          <w:bCs/>
          <w:i/>
          <w:color w:val="000000"/>
        </w:rPr>
        <w:t xml:space="preserve">Attachment </w:t>
      </w:r>
      <w:r w:rsidR="002F0CA6" w:rsidRPr="00EA6A18">
        <w:rPr>
          <w:b/>
          <w:bCs/>
          <w:i/>
          <w:color w:val="000000"/>
        </w:rPr>
        <w:t>A</w:t>
      </w:r>
      <w:r w:rsidR="00073E01" w:rsidRPr="00EA6A18">
        <w:rPr>
          <w:b/>
          <w:bCs/>
          <w:i/>
          <w:color w:val="000000"/>
        </w:rPr>
        <w:t>1</w:t>
      </w:r>
      <w:r>
        <w:rPr>
          <w:color w:val="000000"/>
        </w:rPr>
        <w:t xml:space="preserve">, the Public Health Service Act). </w:t>
      </w:r>
    </w:p>
    <w:p w14:paraId="3056CCA4" w14:textId="77777777" w:rsidR="00DE715A" w:rsidRDefault="00DE715A" w:rsidP="0062573D">
      <w:pPr>
        <w:spacing w:line="276" w:lineRule="auto"/>
        <w:ind w:firstLine="720"/>
        <w:rPr>
          <w:color w:val="000000"/>
        </w:rPr>
      </w:pPr>
    </w:p>
    <w:p w14:paraId="0CF58EE4" w14:textId="19BFDFCF" w:rsidR="00DE715A" w:rsidRDefault="00DE715A" w:rsidP="0062573D">
      <w:pPr>
        <w:shd w:val="clear" w:color="auto" w:fill="FFFFFF" w:themeFill="background1"/>
        <w:autoSpaceDE w:val="0"/>
        <w:autoSpaceDN w:val="0"/>
        <w:adjustRightInd w:val="0"/>
        <w:spacing w:line="276" w:lineRule="auto"/>
        <w:ind w:firstLine="720"/>
        <w:rPr>
          <w:rFonts w:eastAsia="Calibri"/>
          <w:szCs w:val="20"/>
        </w:rPr>
      </w:pPr>
      <w:bookmarkStart w:id="6" w:name="_Toc409534640"/>
      <w:r>
        <w:rPr>
          <w:rFonts w:eastAsia="Calibri"/>
          <w:szCs w:val="20"/>
        </w:rPr>
        <w:t>Stroke remains a leading cause of serious, long-term disability and is the fifth leading cause of death in the United States after heart disease, cancer, chronic lower respiratory disea</w:t>
      </w:r>
      <w:r w:rsidR="0062573D">
        <w:rPr>
          <w:rFonts w:eastAsia="Calibri"/>
          <w:szCs w:val="20"/>
        </w:rPr>
        <w:t>ses, and accidents.</w:t>
      </w:r>
      <w:r w:rsidR="0062573D" w:rsidRPr="0062573D">
        <w:rPr>
          <w:rFonts w:eastAsia="Calibri"/>
          <w:szCs w:val="20"/>
          <w:vertAlign w:val="superscript"/>
        </w:rPr>
        <w:t>1</w:t>
      </w:r>
      <w:r w:rsidR="0062573D">
        <w:rPr>
          <w:rFonts w:eastAsia="Calibri"/>
          <w:szCs w:val="20"/>
        </w:rPr>
        <w:t xml:space="preserve"> </w:t>
      </w:r>
      <w:r>
        <w:rPr>
          <w:rFonts w:eastAsia="Calibri"/>
          <w:szCs w:val="20"/>
        </w:rPr>
        <w:t>Estimates indicate that approximately 795,000 people suffer a first-ever or recurrent stroke each year with more than 130,000 deaths annually.</w:t>
      </w:r>
      <w:r w:rsidR="0062573D" w:rsidRPr="0062573D">
        <w:rPr>
          <w:rFonts w:eastAsia="Calibri"/>
          <w:szCs w:val="20"/>
          <w:vertAlign w:val="superscript"/>
        </w:rPr>
        <w:t>1-2</w:t>
      </w:r>
      <w:r>
        <w:rPr>
          <w:rFonts w:eastAsia="Calibri"/>
          <w:szCs w:val="20"/>
        </w:rPr>
        <w:t xml:space="preserve"> Although there have been significant advances in preventing and treating stroke, the rising prevalence of heart disease, diabetes, and obesity has increased the relative risk for stroke, especially </w:t>
      </w:r>
      <w:r w:rsidR="0062573D">
        <w:rPr>
          <w:rFonts w:eastAsia="Calibri"/>
          <w:szCs w:val="20"/>
        </w:rPr>
        <w:t>in African American populations.</w:t>
      </w:r>
      <w:r w:rsidR="0062573D" w:rsidRPr="0062573D">
        <w:rPr>
          <w:rFonts w:eastAsia="Calibri"/>
          <w:szCs w:val="20"/>
          <w:vertAlign w:val="superscript"/>
        </w:rPr>
        <w:t>3</w:t>
      </w:r>
      <w:r w:rsidR="0062573D">
        <w:rPr>
          <w:rFonts w:eastAsia="Calibri"/>
          <w:szCs w:val="20"/>
        </w:rPr>
        <w:t xml:space="preserve"> </w:t>
      </w:r>
      <w:r>
        <w:rPr>
          <w:rFonts w:eastAsia="Calibri"/>
          <w:szCs w:val="20"/>
        </w:rPr>
        <w:t>Moreover, stroke</w:t>
      </w:r>
      <w:r>
        <w:rPr>
          <w:rFonts w:eastAsia="Calibri" w:cs="TimesNewRomanPSMT"/>
          <w:szCs w:val="20"/>
        </w:rPr>
        <w:t>’</w:t>
      </w:r>
      <w:r>
        <w:rPr>
          <w:rFonts w:eastAsia="Calibri"/>
          <w:szCs w:val="20"/>
        </w:rPr>
        <w:t>s lifetime direct cost of health care and indirect cost of lost productivity is staggering and imposes a substantial societal economic burden. Coverdell-funded state programs are in the forefront of developing and implementing system-change efforts to improve emergency response systems, enhance the quality of care for stroke, and improve transitions across stroke systems of care, including pre-event; transitions from EMS to acute care in hospitals; and transitions from hospitals to home, rehabilitation, stroke specialist care, and primary care providers.</w:t>
      </w:r>
    </w:p>
    <w:p w14:paraId="4377761A" w14:textId="77777777" w:rsidR="00DE715A" w:rsidRDefault="00DE715A" w:rsidP="0062573D">
      <w:pPr>
        <w:shd w:val="clear" w:color="auto" w:fill="FFFFFF" w:themeFill="background1"/>
        <w:autoSpaceDE w:val="0"/>
        <w:autoSpaceDN w:val="0"/>
        <w:adjustRightInd w:val="0"/>
        <w:spacing w:line="276" w:lineRule="auto"/>
        <w:ind w:firstLine="720"/>
        <w:rPr>
          <w:rFonts w:eastAsia="Calibri"/>
          <w:sz w:val="20"/>
          <w:szCs w:val="20"/>
        </w:rPr>
      </w:pPr>
    </w:p>
    <w:p w14:paraId="5AFEA52E" w14:textId="0660F361" w:rsidR="00B72193" w:rsidRPr="00EB05DC" w:rsidRDefault="00DE715A" w:rsidP="00B72193">
      <w:pPr>
        <w:ind w:firstLine="720"/>
      </w:pPr>
      <w:r>
        <w:rPr>
          <w:rFonts w:eastAsia="Calibri"/>
          <w:szCs w:val="20"/>
        </w:rPr>
        <w:t>When Congress directed the Centers for Disease Control and Prevention (CDC) to establish the Paul Coverdell National Acute Stroke Program (PCNASP) in 2001, CDC intended to monitor trends in stroke and stroke care, with the ultimate mission of improving the quality of care for stroke patients in the United States. Since 2015, CDC has funded and provided technical assistance to nine state health departments to develop comprehensive stroke systems of care. A comprehensive system of care improves quality of care by creating seamless transitions for individuals experiencing stroke. In such a system, pre-hospital providers, in-hospital providers, and early post-hospital providers coordinate patient hand-offs and ensure continuity of care.</w:t>
      </w:r>
      <w:r w:rsidR="0069058F">
        <w:rPr>
          <w:rFonts w:eastAsia="Calibri"/>
          <w:szCs w:val="20"/>
        </w:rPr>
        <w:t xml:space="preserve"> </w:t>
      </w:r>
      <w:r>
        <w:rPr>
          <w:rFonts w:eastAsia="Calibri"/>
          <w:szCs w:val="20"/>
        </w:rPr>
        <w:t xml:space="preserve">CDC </w:t>
      </w:r>
      <w:r w:rsidR="00F44E92">
        <w:rPr>
          <w:rFonts w:eastAsia="Calibri"/>
          <w:szCs w:val="20"/>
        </w:rPr>
        <w:t>contracted with RTI International to conduct a</w:t>
      </w:r>
      <w:r w:rsidR="00BC5DA8">
        <w:rPr>
          <w:rFonts w:eastAsia="Calibri"/>
          <w:szCs w:val="20"/>
        </w:rPr>
        <w:t xml:space="preserve"> national</w:t>
      </w:r>
      <w:r w:rsidR="00F44E92">
        <w:rPr>
          <w:rFonts w:eastAsia="Calibri"/>
          <w:szCs w:val="20"/>
        </w:rPr>
        <w:t xml:space="preserve"> </w:t>
      </w:r>
      <w:r w:rsidR="00C006D2">
        <w:rPr>
          <w:rFonts w:eastAsia="Calibri"/>
          <w:szCs w:val="20"/>
        </w:rPr>
        <w:t>assessment</w:t>
      </w:r>
      <w:r>
        <w:rPr>
          <w:rFonts w:eastAsia="Calibri"/>
          <w:szCs w:val="20"/>
        </w:rPr>
        <w:t xml:space="preserve"> of the state health departments awarded grants in 2015 to assess their implementation in their state-based contexts and progress toward short- and intermediate-term outcomes.</w:t>
      </w:r>
      <w:bookmarkEnd w:id="6"/>
      <w:r w:rsidR="00F44E92">
        <w:rPr>
          <w:rFonts w:eastAsia="Calibri"/>
          <w:szCs w:val="20"/>
        </w:rPr>
        <w:t xml:space="preserve"> </w:t>
      </w:r>
      <w:r w:rsidR="00B72193">
        <w:rPr>
          <w:rFonts w:eastAsia="Calibri"/>
          <w:szCs w:val="20"/>
        </w:rPr>
        <w:t xml:space="preserve">The </w:t>
      </w:r>
      <w:r w:rsidR="00344B4F">
        <w:rPr>
          <w:rFonts w:eastAsia="Calibri"/>
          <w:szCs w:val="20"/>
        </w:rPr>
        <w:t>Coverdell</w:t>
      </w:r>
      <w:r w:rsidR="00B72193">
        <w:rPr>
          <w:rFonts w:eastAsia="Calibri"/>
          <w:szCs w:val="20"/>
        </w:rPr>
        <w:t xml:space="preserve"> Program</w:t>
      </w:r>
      <w:r w:rsidR="00344B4F">
        <w:rPr>
          <w:rFonts w:eastAsia="Calibri"/>
          <w:szCs w:val="20"/>
        </w:rPr>
        <w:t xml:space="preserve">, </w:t>
      </w:r>
      <w:r w:rsidR="00B72193">
        <w:rPr>
          <w:rFonts w:eastAsia="Calibri"/>
          <w:szCs w:val="20"/>
        </w:rPr>
        <w:t>has</w:t>
      </w:r>
      <w:r w:rsidR="0069058F">
        <w:rPr>
          <w:rFonts w:eastAsia="Calibri"/>
          <w:szCs w:val="20"/>
        </w:rPr>
        <w:t xml:space="preserve"> </w:t>
      </w:r>
      <w:r w:rsidR="00344B4F">
        <w:rPr>
          <w:rFonts w:eastAsia="Calibri"/>
          <w:szCs w:val="20"/>
        </w:rPr>
        <w:t>an</w:t>
      </w:r>
      <w:r w:rsidR="0069058F">
        <w:rPr>
          <w:rFonts w:eastAsia="Calibri"/>
          <w:szCs w:val="20"/>
        </w:rPr>
        <w:t xml:space="preserve">other information collection submitted by CDC, called the Coverdell Reporting System </w:t>
      </w:r>
      <w:r w:rsidR="0069058F" w:rsidRPr="0087346A">
        <w:rPr>
          <w:rFonts w:eastAsia="Calibri"/>
          <w:szCs w:val="20"/>
        </w:rPr>
        <w:t>(</w:t>
      </w:r>
      <w:r w:rsidR="00B72193" w:rsidRPr="0087346A">
        <w:rPr>
          <w:rFonts w:eastAsia="Calibri"/>
          <w:szCs w:val="20"/>
        </w:rPr>
        <w:t>#</w:t>
      </w:r>
      <w:r w:rsidR="0069058F" w:rsidRPr="0087346A">
        <w:t>0920-1108</w:t>
      </w:r>
      <w:r w:rsidR="00B72193" w:rsidRPr="0087346A">
        <w:t>, expiration 3/31/2019</w:t>
      </w:r>
      <w:r w:rsidR="0069058F" w:rsidRPr="0087346A">
        <w:t>).</w:t>
      </w:r>
      <w:r w:rsidR="00B72193" w:rsidRPr="0087346A">
        <w:t xml:space="preserve">  The Coverdell Reporting System focuses on the patient-le</w:t>
      </w:r>
      <w:r w:rsidR="00B72193" w:rsidRPr="00EB05DC">
        <w:t xml:space="preserve">vel quality of care performance measures </w:t>
      </w:r>
      <w:r w:rsidR="00B72193">
        <w:t xml:space="preserve">which provide program accountability, are a </w:t>
      </w:r>
      <w:r w:rsidR="00B72193" w:rsidRPr="00EB05DC">
        <w:t>critical component to track the progress and completion of meeting essential program aims and outcomes</w:t>
      </w:r>
      <w:r w:rsidR="00B72193">
        <w:t>, and provide</w:t>
      </w:r>
      <w:r w:rsidR="00B72193" w:rsidRPr="00EB05DC">
        <w:t xml:space="preserve"> an opportunity to assess quality</w:t>
      </w:r>
      <w:r w:rsidR="00B72193">
        <w:t xml:space="preserve"> and opportunities for improvement across the stroke care </w:t>
      </w:r>
      <w:r w:rsidR="00B72193" w:rsidRPr="00EB05DC">
        <w:t>continuum</w:t>
      </w:r>
      <w:r w:rsidR="00B72193">
        <w:t>.</w:t>
      </w:r>
    </w:p>
    <w:p w14:paraId="2248617E" w14:textId="53FE39DD" w:rsidR="00DE715A" w:rsidRDefault="00DE715A" w:rsidP="0062573D">
      <w:pPr>
        <w:shd w:val="clear" w:color="auto" w:fill="FFFFFF" w:themeFill="background1"/>
        <w:autoSpaceDE w:val="0"/>
        <w:autoSpaceDN w:val="0"/>
        <w:adjustRightInd w:val="0"/>
        <w:spacing w:line="276" w:lineRule="auto"/>
        <w:ind w:firstLine="720"/>
        <w:rPr>
          <w:rFonts w:eastAsia="Calibri"/>
          <w:szCs w:val="20"/>
        </w:rPr>
      </w:pPr>
    </w:p>
    <w:p w14:paraId="4CE89C12" w14:textId="77777777" w:rsidR="00495B5A" w:rsidRDefault="00495B5A" w:rsidP="0062573D">
      <w:pPr>
        <w:shd w:val="clear" w:color="auto" w:fill="FFFFFF" w:themeFill="background1"/>
        <w:autoSpaceDE w:val="0"/>
        <w:autoSpaceDN w:val="0"/>
        <w:adjustRightInd w:val="0"/>
        <w:spacing w:line="276" w:lineRule="auto"/>
        <w:ind w:firstLine="720"/>
        <w:rPr>
          <w:rFonts w:eastAsia="Calibri"/>
          <w:szCs w:val="20"/>
        </w:rPr>
      </w:pPr>
    </w:p>
    <w:p w14:paraId="12B82FFD" w14:textId="77777777" w:rsidR="00495B5A" w:rsidRDefault="00495B5A" w:rsidP="0062573D">
      <w:pPr>
        <w:shd w:val="clear" w:color="auto" w:fill="FFFFFF" w:themeFill="background1"/>
        <w:autoSpaceDE w:val="0"/>
        <w:autoSpaceDN w:val="0"/>
        <w:adjustRightInd w:val="0"/>
        <w:spacing w:line="276" w:lineRule="auto"/>
        <w:ind w:firstLine="720"/>
        <w:rPr>
          <w:rFonts w:eastAsia="Calibri"/>
          <w:szCs w:val="20"/>
        </w:rPr>
      </w:pPr>
    </w:p>
    <w:p w14:paraId="6FC726D2" w14:textId="46293B8D" w:rsidR="00611F72" w:rsidRPr="00611F72" w:rsidRDefault="00611F72" w:rsidP="00611F72">
      <w:pPr>
        <w:autoSpaceDE w:val="0"/>
        <w:autoSpaceDN w:val="0"/>
        <w:adjustRightInd w:val="0"/>
        <w:spacing w:line="276" w:lineRule="auto"/>
        <w:rPr>
          <w:u w:val="single"/>
        </w:rPr>
      </w:pPr>
      <w:r w:rsidRPr="00611F72">
        <w:rPr>
          <w:u w:val="single"/>
        </w:rPr>
        <w:t>Overview of the Proposed Assessment</w:t>
      </w:r>
    </w:p>
    <w:p w14:paraId="7F238196" w14:textId="01CC0AE8" w:rsidR="0020408F" w:rsidRPr="006E57A1" w:rsidRDefault="0020408F" w:rsidP="0062573D">
      <w:pPr>
        <w:autoSpaceDE w:val="0"/>
        <w:autoSpaceDN w:val="0"/>
        <w:adjustRightInd w:val="0"/>
        <w:spacing w:line="276" w:lineRule="auto"/>
        <w:ind w:firstLine="720"/>
        <w:rPr>
          <w:rFonts w:eastAsia="Batang"/>
        </w:rPr>
      </w:pPr>
      <w:r w:rsidRPr="00A504E3">
        <w:t xml:space="preserve">CDC </w:t>
      </w:r>
      <w:r w:rsidR="00BC5DA8">
        <w:t>and RTI International propose</w:t>
      </w:r>
      <w:r w:rsidRPr="00A504E3">
        <w:t xml:space="preserve"> </w:t>
      </w:r>
      <w:r w:rsidR="00F44E92">
        <w:t>to</w:t>
      </w:r>
      <w:r w:rsidRPr="00A504E3">
        <w:t xml:space="preserve"> collect information from </w:t>
      </w:r>
      <w:r w:rsidR="006E57A1">
        <w:t>all nine funded PCNASP grantees</w:t>
      </w:r>
      <w:r>
        <w:t xml:space="preserve"> </w:t>
      </w:r>
      <w:r w:rsidRPr="00A504E3">
        <w:t xml:space="preserve">to gain insight </w:t>
      </w:r>
      <w:r>
        <w:t xml:space="preserve">into </w:t>
      </w:r>
      <w:r w:rsidRPr="006E1A71">
        <w:rPr>
          <w:rFonts w:eastAsia="Batang"/>
        </w:rPr>
        <w:t xml:space="preserve">the effectiveness of implementation of </w:t>
      </w:r>
      <w:r w:rsidR="006E57A1">
        <w:rPr>
          <w:rFonts w:eastAsia="Batang"/>
        </w:rPr>
        <w:t>their quality improvement</w:t>
      </w:r>
      <w:r w:rsidRPr="006E1A71">
        <w:rPr>
          <w:rFonts w:eastAsia="Batang"/>
        </w:rPr>
        <w:t xml:space="preserve"> strategies</w:t>
      </w:r>
      <w:r w:rsidR="006F08BB">
        <w:rPr>
          <w:rFonts w:eastAsia="Batang"/>
        </w:rPr>
        <w:t xml:space="preserve">, </w:t>
      </w:r>
      <w:r w:rsidR="00944AC4">
        <w:rPr>
          <w:rFonts w:eastAsia="Batang"/>
        </w:rPr>
        <w:t>development (and use) of a data integrated management system</w:t>
      </w:r>
      <w:r w:rsidR="006F08BB">
        <w:rPr>
          <w:rFonts w:eastAsia="Batang"/>
        </w:rPr>
        <w:t xml:space="preserve">, and </w:t>
      </w:r>
      <w:r w:rsidR="006E57A1">
        <w:rPr>
          <w:rFonts w:eastAsia="Batang"/>
        </w:rPr>
        <w:t xml:space="preserve">partner collaboration in building comprehensive </w:t>
      </w:r>
      <w:r w:rsidR="006F08BB">
        <w:rPr>
          <w:rFonts w:eastAsia="Batang"/>
        </w:rPr>
        <w:t xml:space="preserve">state-wide </w:t>
      </w:r>
      <w:r w:rsidR="006E57A1">
        <w:rPr>
          <w:rFonts w:eastAsia="Batang"/>
        </w:rPr>
        <w:t xml:space="preserve">stroke systems of care. </w:t>
      </w:r>
      <w:r w:rsidR="00A605F8" w:rsidRPr="004A0626">
        <w:rPr>
          <w:rFonts w:eastAsia="Batang"/>
        </w:rPr>
        <w:t xml:space="preserve">The information collection will focus on describing </w:t>
      </w:r>
      <w:r w:rsidR="00A605F8">
        <w:t xml:space="preserve">PCNASP specific contributions to effective state-based stroke systems of care and the costs associated with this work. </w:t>
      </w:r>
      <w:r w:rsidR="0049699E" w:rsidRPr="00BC5DA8">
        <w:t xml:space="preserve">Two components of the information collection include: (1) </w:t>
      </w:r>
      <w:r w:rsidR="0049699E">
        <w:t xml:space="preserve">program implementation cost data collection from program partners using a </w:t>
      </w:r>
      <w:r w:rsidR="0049699E" w:rsidRPr="00BC5DA8">
        <w:t xml:space="preserve">cost </w:t>
      </w:r>
      <w:r w:rsidR="00644813">
        <w:t>collection</w:t>
      </w:r>
      <w:r w:rsidR="0049699E" w:rsidRPr="00BC5DA8">
        <w:t xml:space="preserve"> tool; and (2) telephone interviews</w:t>
      </w:r>
      <w:r w:rsidR="0049699E">
        <w:t xml:space="preserve"> with key program stakeholders</w:t>
      </w:r>
      <w:r w:rsidR="0049699E" w:rsidRPr="00BC5DA8">
        <w:t>.</w:t>
      </w:r>
      <w:r w:rsidR="0049699E">
        <w:t xml:space="preserve"> </w:t>
      </w:r>
      <w:r w:rsidR="0049699E" w:rsidRPr="004A0626">
        <w:rPr>
          <w:rFonts w:eastAsia="Batang"/>
        </w:rPr>
        <w:t xml:space="preserve">Cost data collection will focus on </w:t>
      </w:r>
      <w:r w:rsidR="007866CD">
        <w:rPr>
          <w:rFonts w:eastAsia="Batang"/>
        </w:rPr>
        <w:t xml:space="preserve">a stratified sample of partners’ </w:t>
      </w:r>
      <w:r w:rsidR="0049699E" w:rsidRPr="004A0626">
        <w:rPr>
          <w:rFonts w:eastAsia="Batang"/>
        </w:rPr>
        <w:t>cumulative spending</w:t>
      </w:r>
      <w:r w:rsidR="007866CD">
        <w:rPr>
          <w:rFonts w:eastAsia="Batang"/>
        </w:rPr>
        <w:t xml:space="preserve"> to support PCNASP activities</w:t>
      </w:r>
      <w:r w:rsidR="0049699E" w:rsidRPr="004A0626">
        <w:rPr>
          <w:rFonts w:eastAsia="Batang"/>
        </w:rPr>
        <w:t>, spending by reporting period, and spending associated with specific strategies related to building comprehensive state-wide stroke systems of care.</w:t>
      </w:r>
      <w:r w:rsidR="0049699E" w:rsidRPr="004A0626">
        <w:t xml:space="preserve"> </w:t>
      </w:r>
      <w:r w:rsidR="0049699E">
        <w:t xml:space="preserve">Interview questions will target </w:t>
      </w:r>
      <w:r w:rsidR="0049699E" w:rsidRPr="004A0626">
        <w:rPr>
          <w:rFonts w:eastAsia="Batang"/>
        </w:rPr>
        <w:t>how each grantee implemented its strategies, challenges encountered and how they were overcome, factors that facilitated implementation, lessons learned along the way, and observed outcomes and improvements.</w:t>
      </w:r>
      <w:r w:rsidR="0049699E">
        <w:rPr>
          <w:rFonts w:eastAsia="Batang"/>
        </w:rPr>
        <w:t xml:space="preserve"> </w:t>
      </w:r>
      <w:r w:rsidRPr="00BC5DA8">
        <w:t xml:space="preserve">The information to be collected does not currently exist for large scale, </w:t>
      </w:r>
      <w:r w:rsidR="006E57A1" w:rsidRPr="00BC5DA8">
        <w:t>statewide</w:t>
      </w:r>
      <w:r w:rsidRPr="00BC5DA8">
        <w:t xml:space="preserve"> programs that employ multiple combinations of strategies</w:t>
      </w:r>
      <w:r w:rsidR="006E57A1" w:rsidRPr="00BC5DA8">
        <w:t xml:space="preserve"> to build comprehensive stroke systems of care</w:t>
      </w:r>
      <w:r w:rsidRPr="00BC5DA8">
        <w:t>.</w:t>
      </w:r>
      <w:r>
        <w:t xml:space="preserve">  </w:t>
      </w:r>
      <w:r w:rsidR="007828A1">
        <w:t>The insights to be gained from this data collection will be critical to improving immediate efforts and achieving the goals of spreading and replicating state-level strategies that are proven programmatically and are cost-effective in contributing to a higher quality of care for stroke</w:t>
      </w:r>
      <w:r w:rsidR="009276D7">
        <w:t xml:space="preserve"> patients.</w:t>
      </w:r>
    </w:p>
    <w:p w14:paraId="102F4FE8" w14:textId="77777777" w:rsidR="0020408F" w:rsidRDefault="0020408F" w:rsidP="0062573D">
      <w:pPr>
        <w:autoSpaceDE w:val="0"/>
        <w:autoSpaceDN w:val="0"/>
        <w:adjustRightInd w:val="0"/>
        <w:spacing w:line="276" w:lineRule="auto"/>
        <w:ind w:firstLine="720"/>
      </w:pPr>
    </w:p>
    <w:p w14:paraId="4DD0F5FD" w14:textId="241AD073" w:rsidR="00DE715A" w:rsidRDefault="0020408F" w:rsidP="0062573D">
      <w:pPr>
        <w:shd w:val="clear" w:color="auto" w:fill="FFFFFF" w:themeFill="background1"/>
        <w:autoSpaceDE w:val="0"/>
        <w:autoSpaceDN w:val="0"/>
        <w:adjustRightInd w:val="0"/>
        <w:spacing w:line="276" w:lineRule="auto"/>
        <w:ind w:firstLine="720"/>
        <w:rPr>
          <w:rFonts w:eastAsia="Calibri"/>
          <w:szCs w:val="20"/>
        </w:rPr>
      </w:pPr>
      <w:r w:rsidRPr="00A504E3">
        <w:t>OMB approval is requested for t</w:t>
      </w:r>
      <w:r w:rsidR="00BC5DA8">
        <w:t>hree</w:t>
      </w:r>
      <w:r w:rsidRPr="00A504E3">
        <w:t xml:space="preserve"> years</w:t>
      </w:r>
      <w:r>
        <w:t>.</w:t>
      </w:r>
    </w:p>
    <w:p w14:paraId="0617E7FD" w14:textId="77777777" w:rsidR="0020408F" w:rsidRPr="00DE715A" w:rsidRDefault="0020408F" w:rsidP="00DE715A">
      <w:pPr>
        <w:shd w:val="clear" w:color="auto" w:fill="FFFFFF" w:themeFill="background1"/>
        <w:autoSpaceDE w:val="0"/>
        <w:autoSpaceDN w:val="0"/>
        <w:adjustRightInd w:val="0"/>
        <w:spacing w:line="276" w:lineRule="auto"/>
        <w:ind w:firstLine="720"/>
        <w:rPr>
          <w:rFonts w:eastAsia="Calibri"/>
          <w:szCs w:val="20"/>
        </w:rPr>
      </w:pPr>
    </w:p>
    <w:p w14:paraId="6479D53B" w14:textId="77777777" w:rsidR="008452E5" w:rsidRDefault="008452E5" w:rsidP="002B3E95">
      <w:pPr>
        <w:pStyle w:val="Heading2"/>
        <w:rPr>
          <w:rFonts w:ascii="Times New Roman" w:hAnsi="Times New Roman" w:cs="Times New Roman"/>
          <w:b/>
          <w:color w:val="auto"/>
          <w:sz w:val="24"/>
        </w:rPr>
      </w:pPr>
      <w:bookmarkStart w:id="7" w:name="_Toc480354124"/>
      <w:r w:rsidRPr="002B3E95">
        <w:rPr>
          <w:rFonts w:ascii="Times New Roman" w:hAnsi="Times New Roman" w:cs="Times New Roman"/>
          <w:b/>
          <w:color w:val="auto"/>
          <w:sz w:val="24"/>
        </w:rPr>
        <w:t>A.2</w:t>
      </w:r>
      <w:r w:rsidRPr="002B3E95">
        <w:rPr>
          <w:rFonts w:ascii="Times New Roman" w:hAnsi="Times New Roman" w:cs="Times New Roman"/>
          <w:b/>
          <w:color w:val="auto"/>
          <w:sz w:val="24"/>
        </w:rPr>
        <w:tab/>
        <w:t>Purposes and Use of the Information</w:t>
      </w:r>
      <w:bookmarkEnd w:id="4"/>
      <w:r w:rsidRPr="002B3E95">
        <w:rPr>
          <w:rFonts w:ascii="Times New Roman" w:hAnsi="Times New Roman" w:cs="Times New Roman"/>
          <w:b/>
          <w:color w:val="auto"/>
          <w:sz w:val="24"/>
        </w:rPr>
        <w:t xml:space="preserve"> Collection</w:t>
      </w:r>
      <w:bookmarkEnd w:id="5"/>
      <w:bookmarkEnd w:id="7"/>
    </w:p>
    <w:p w14:paraId="30F62EF9" w14:textId="77777777" w:rsidR="002B3E95" w:rsidRDefault="002B3E95" w:rsidP="002B3E95"/>
    <w:p w14:paraId="2D280DE9" w14:textId="21C2CC18" w:rsidR="00611F72" w:rsidRPr="00BC5DA8" w:rsidRDefault="005127D9" w:rsidP="0049699E">
      <w:pPr>
        <w:autoSpaceDE w:val="0"/>
        <w:autoSpaceDN w:val="0"/>
        <w:adjustRightInd w:val="0"/>
        <w:spacing w:line="276" w:lineRule="auto"/>
        <w:ind w:firstLine="720"/>
      </w:pPr>
      <w:r>
        <w:t>The purpose of the assessment is to (1) assess</w:t>
      </w:r>
      <w:r w:rsidRPr="008452E5">
        <w:t xml:space="preserve"> the actual </w:t>
      </w:r>
      <w:r>
        <w:t xml:space="preserve">partner </w:t>
      </w:r>
      <w:r w:rsidRPr="008452E5">
        <w:t xml:space="preserve">costs of </w:t>
      </w:r>
      <w:r>
        <w:t>establishing statewide comprehensive stroke systems of care</w:t>
      </w:r>
      <w:r w:rsidR="007866CD">
        <w:t xml:space="preserve"> to support PCNASP activities</w:t>
      </w:r>
      <w:r>
        <w:t>; and (2) increase CDC’s understanding of funded programs’</w:t>
      </w:r>
      <w:r w:rsidRPr="000B488C">
        <w:t xml:space="preserve"> implementation of </w:t>
      </w:r>
      <w:r>
        <w:t>effective state-based stroke systems of care and PCNASP specific contributions.</w:t>
      </w:r>
      <w:r w:rsidR="00F9105D">
        <w:t xml:space="preserve"> </w:t>
      </w:r>
      <w:r w:rsidR="00F9105D" w:rsidRPr="00BC5DA8">
        <w:t xml:space="preserve">Two components of the information collection include: (1) </w:t>
      </w:r>
      <w:r w:rsidR="00F9105D">
        <w:t xml:space="preserve">program implementation cost data collection from program partners using a </w:t>
      </w:r>
      <w:r w:rsidR="00F9105D" w:rsidRPr="00BC5DA8">
        <w:t xml:space="preserve">cost </w:t>
      </w:r>
      <w:r w:rsidR="00644813">
        <w:t>collection</w:t>
      </w:r>
      <w:r w:rsidR="00F9105D" w:rsidRPr="00BC5DA8">
        <w:t xml:space="preserve"> tool; and (2) telephone interviews</w:t>
      </w:r>
      <w:r w:rsidR="00F9105D">
        <w:t xml:space="preserve"> with key program stakeholders</w:t>
      </w:r>
      <w:r w:rsidR="00F9105D" w:rsidRPr="00BC5DA8">
        <w:t>.</w:t>
      </w:r>
      <w:r w:rsidR="00F9105D">
        <w:t xml:space="preserve"> The intended use of each component of the data collection is described below.</w:t>
      </w:r>
    </w:p>
    <w:p w14:paraId="33BB8E8A" w14:textId="77777777" w:rsidR="00BC5DA8" w:rsidRPr="002B3E95" w:rsidRDefault="00BC5DA8" w:rsidP="002B3E95"/>
    <w:p w14:paraId="713251EA" w14:textId="491C8A10" w:rsidR="005C4212" w:rsidRPr="005C4212" w:rsidRDefault="005C4212" w:rsidP="005C4212">
      <w:pPr>
        <w:spacing w:line="360" w:lineRule="auto"/>
        <w:rPr>
          <w:b/>
        </w:rPr>
      </w:pPr>
      <w:r w:rsidRPr="005C4212">
        <w:rPr>
          <w:b/>
        </w:rPr>
        <w:t xml:space="preserve">Cost </w:t>
      </w:r>
      <w:r w:rsidR="00644813">
        <w:rPr>
          <w:b/>
        </w:rPr>
        <w:t>Collection</w:t>
      </w:r>
      <w:r w:rsidRPr="005C4212">
        <w:rPr>
          <w:b/>
        </w:rPr>
        <w:t xml:space="preserve"> Tool</w:t>
      </w:r>
    </w:p>
    <w:p w14:paraId="6F74C791" w14:textId="2EDF2669" w:rsidR="008452E5" w:rsidRDefault="008452E5" w:rsidP="008E6558">
      <w:pPr>
        <w:spacing w:line="276" w:lineRule="auto"/>
        <w:ind w:firstLine="720"/>
      </w:pPr>
      <w:r w:rsidRPr="008452E5">
        <w:t xml:space="preserve">The goal of the information collection for </w:t>
      </w:r>
      <w:r w:rsidR="00713205" w:rsidRPr="00713205">
        <w:rPr>
          <w:iCs/>
        </w:rPr>
        <w:t xml:space="preserve">the </w:t>
      </w:r>
      <w:r w:rsidR="0049699E">
        <w:rPr>
          <w:iCs/>
        </w:rPr>
        <w:t>c</w:t>
      </w:r>
      <w:r w:rsidR="00713205" w:rsidRPr="00713205">
        <w:rPr>
          <w:iCs/>
        </w:rPr>
        <w:t xml:space="preserve">ost </w:t>
      </w:r>
      <w:r w:rsidR="00644813">
        <w:rPr>
          <w:iCs/>
        </w:rPr>
        <w:t>collection</w:t>
      </w:r>
      <w:r w:rsidR="00713205" w:rsidRPr="00713205">
        <w:rPr>
          <w:iCs/>
        </w:rPr>
        <w:t xml:space="preserve"> </w:t>
      </w:r>
      <w:r w:rsidR="0049699E">
        <w:rPr>
          <w:iCs/>
        </w:rPr>
        <w:t>t</w:t>
      </w:r>
      <w:r w:rsidR="00713205" w:rsidRPr="00713205">
        <w:rPr>
          <w:iCs/>
        </w:rPr>
        <w:t>ool</w:t>
      </w:r>
      <w:r w:rsidR="00495B5A">
        <w:rPr>
          <w:iCs/>
        </w:rPr>
        <w:t xml:space="preserve"> (</w:t>
      </w:r>
      <w:r w:rsidR="00644813">
        <w:rPr>
          <w:iCs/>
        </w:rPr>
        <w:t>CCT</w:t>
      </w:r>
      <w:r w:rsidR="00495B5A">
        <w:rPr>
          <w:iCs/>
        </w:rPr>
        <w:t>)</w:t>
      </w:r>
      <w:r w:rsidR="00713205" w:rsidRPr="00713205">
        <w:rPr>
          <w:iCs/>
        </w:rPr>
        <w:t xml:space="preserve"> </w:t>
      </w:r>
      <w:r w:rsidRPr="00713205">
        <w:t>is</w:t>
      </w:r>
      <w:r w:rsidRPr="008452E5">
        <w:t xml:space="preserve"> to provide</w:t>
      </w:r>
      <w:r w:rsidR="00495B5A">
        <w:t xml:space="preserve"> CDC,</w:t>
      </w:r>
      <w:r w:rsidRPr="008452E5">
        <w:t xml:space="preserve"> </w:t>
      </w:r>
      <w:r w:rsidR="00713205">
        <w:t>PCNASP grantees</w:t>
      </w:r>
      <w:r w:rsidR="00495B5A">
        <w:t>, and their partners</w:t>
      </w:r>
      <w:r w:rsidRPr="008452E5">
        <w:t xml:space="preserve"> with the ability to analyze data related to the direct </w:t>
      </w:r>
      <w:r w:rsidR="00C1544A">
        <w:t xml:space="preserve">and indirect </w:t>
      </w:r>
      <w:r w:rsidRPr="008452E5">
        <w:t xml:space="preserve">costs associated with particular intervention approaches, based on their timeframe. These data collected by RTI </w:t>
      </w:r>
      <w:r w:rsidR="0049699E">
        <w:t xml:space="preserve">International </w:t>
      </w:r>
      <w:r w:rsidRPr="008452E5">
        <w:t xml:space="preserve">will be used to augment a </w:t>
      </w:r>
      <w:r w:rsidR="005C4212">
        <w:t>simulation</w:t>
      </w:r>
      <w:r w:rsidRPr="008452E5">
        <w:t xml:space="preserve"> model with actual intervention cost data to calculate new economic metrics within the model, such as cost-effectiveness and cost and health benefits. These analyses and</w:t>
      </w:r>
      <w:r w:rsidR="00713205">
        <w:t xml:space="preserve"> the refined model will assist PCNASP grantees</w:t>
      </w:r>
      <w:r w:rsidRPr="008452E5">
        <w:t>, CDC, and HHS in simulating various evidence-based scenarios to strategically choose intervention approaches for particular populations that are both cost-effective and cost and health beneficial.</w:t>
      </w:r>
      <w:r w:rsidR="0062573D" w:rsidRPr="0062573D">
        <w:rPr>
          <w:vertAlign w:val="superscript"/>
        </w:rPr>
        <w:t>4-5</w:t>
      </w:r>
      <w:r w:rsidR="0062573D">
        <w:t xml:space="preserve"> </w:t>
      </w:r>
      <w:r w:rsidR="00713205">
        <w:t>This refined modeling</w:t>
      </w:r>
      <w:r w:rsidRPr="008452E5">
        <w:t xml:space="preserve"> will also assist </w:t>
      </w:r>
      <w:r w:rsidR="00713205">
        <w:t>grantee program staff</w:t>
      </w:r>
      <w:r w:rsidRPr="008452E5">
        <w:t xml:space="preserve"> as they create work plans </w:t>
      </w:r>
      <w:r w:rsidR="00713205">
        <w:t xml:space="preserve">creating comprehensive stroke systems of care in their states. </w:t>
      </w:r>
    </w:p>
    <w:p w14:paraId="043963CA" w14:textId="77777777" w:rsidR="006E57A1" w:rsidRPr="008452E5" w:rsidRDefault="006E57A1" w:rsidP="008E6558">
      <w:pPr>
        <w:spacing w:line="276" w:lineRule="auto"/>
        <w:ind w:firstLine="720"/>
      </w:pPr>
    </w:p>
    <w:p w14:paraId="6E18FFF5" w14:textId="1F736986" w:rsidR="008452E5" w:rsidRDefault="008452E5" w:rsidP="008E6558">
      <w:pPr>
        <w:spacing w:line="276" w:lineRule="auto"/>
        <w:ind w:firstLine="720"/>
      </w:pPr>
      <w:r w:rsidRPr="008452E5">
        <w:t xml:space="preserve">Cost data currently do not exist for large-scale, </w:t>
      </w:r>
      <w:r w:rsidR="00272D3B">
        <w:t xml:space="preserve">state-based </w:t>
      </w:r>
      <w:r w:rsidR="009B4DEA">
        <w:t xml:space="preserve">public health </w:t>
      </w:r>
      <w:r w:rsidRPr="008452E5">
        <w:t>programs that employ multiple combinations of policy, environmental, programmatic, and infrastructure strategies</w:t>
      </w:r>
      <w:r w:rsidR="00713205">
        <w:t xml:space="preserve"> to address stroke care</w:t>
      </w:r>
      <w:r w:rsidR="009B4DEA">
        <w:t xml:space="preserve"> and quality improvement</w:t>
      </w:r>
      <w:r w:rsidRPr="008452E5">
        <w:t xml:space="preserve">. Integrating these economic metrics is advantageous both to </w:t>
      </w:r>
      <w:r w:rsidR="00713205">
        <w:t xml:space="preserve">state health department staff and partners </w:t>
      </w:r>
      <w:r w:rsidRPr="008452E5">
        <w:t xml:space="preserve">that </w:t>
      </w:r>
      <w:r w:rsidR="00DB4112">
        <w:t>need</w:t>
      </w:r>
      <w:r w:rsidR="00DB4112" w:rsidRPr="008452E5">
        <w:t xml:space="preserve"> </w:t>
      </w:r>
      <w:r w:rsidRPr="008452E5">
        <w:t xml:space="preserve">to make informed choices for developing policies, making programmatic choices, and identifying efficient resource allocation. These new cost data will enable </w:t>
      </w:r>
      <w:r w:rsidR="00432A95">
        <w:t>CDC</w:t>
      </w:r>
      <w:r w:rsidR="00432A95" w:rsidRPr="008452E5">
        <w:t xml:space="preserve"> </w:t>
      </w:r>
      <w:r w:rsidRPr="008452E5">
        <w:t>to identify cost-effective and cost</w:t>
      </w:r>
      <w:r w:rsidR="00DB4112">
        <w:t>-</w:t>
      </w:r>
      <w:r w:rsidRPr="008452E5">
        <w:t xml:space="preserve"> and health</w:t>
      </w:r>
      <w:r w:rsidR="00DB4112">
        <w:t>-</w:t>
      </w:r>
      <w:r w:rsidRPr="008452E5">
        <w:t>beneficial intervention approaches.</w:t>
      </w:r>
    </w:p>
    <w:p w14:paraId="28B5E30C" w14:textId="77777777" w:rsidR="006E57A1" w:rsidRPr="008452E5" w:rsidRDefault="006E57A1" w:rsidP="008E6558">
      <w:pPr>
        <w:spacing w:line="276" w:lineRule="auto"/>
        <w:ind w:firstLine="720"/>
      </w:pPr>
    </w:p>
    <w:p w14:paraId="64D412B5" w14:textId="3B08EB91" w:rsidR="006E57A1" w:rsidRPr="006E57A1" w:rsidRDefault="008452E5" w:rsidP="006E57A1">
      <w:pPr>
        <w:spacing w:line="276" w:lineRule="auto"/>
        <w:ind w:firstLine="720"/>
        <w:rPr>
          <w:vertAlign w:val="superscript"/>
        </w:rPr>
      </w:pPr>
      <w:r w:rsidRPr="008452E5">
        <w:t xml:space="preserve">Economic analysis will provide critical information </w:t>
      </w:r>
      <w:r w:rsidR="00DB4112">
        <w:t>for</w:t>
      </w:r>
      <w:r w:rsidRPr="008452E5">
        <w:t xml:space="preserve"> decision making by assessing the actual costs of </w:t>
      </w:r>
      <w:r w:rsidR="00495B5A">
        <w:t>establishing statewide comprehensive stroke systems of care</w:t>
      </w:r>
      <w:r w:rsidRPr="008452E5">
        <w:t xml:space="preserve">. The literature contains numerous examples of using costing methodologies to obtain detailed cost data to perform economic </w:t>
      </w:r>
      <w:r w:rsidR="00C006D2">
        <w:t>assessments</w:t>
      </w:r>
      <w:r w:rsidR="00C006D2" w:rsidRPr="008452E5">
        <w:t xml:space="preserve"> </w:t>
      </w:r>
      <w:r w:rsidRPr="008452E5">
        <w:t xml:space="preserve">of health programs in the United States and internationally. In the United States, there is a long history of using an activity-based costing approach to perform cost-effectiveness </w:t>
      </w:r>
      <w:r w:rsidR="00C006D2">
        <w:t>assessments</w:t>
      </w:r>
      <w:r w:rsidR="00C006D2" w:rsidRPr="008452E5">
        <w:t xml:space="preserve"> </w:t>
      </w:r>
      <w:r w:rsidRPr="008452E5">
        <w:t>of substance abuse programs,</w:t>
      </w:r>
      <w:r w:rsidR="0062573D">
        <w:rPr>
          <w:vertAlign w:val="superscript"/>
        </w:rPr>
        <w:t>6-8</w:t>
      </w:r>
      <w:r w:rsidRPr="008452E5">
        <w:t xml:space="preserve"> which recently has been extended to cancer interventions</w:t>
      </w:r>
      <w:r w:rsidR="007866CD">
        <w:t xml:space="preserve"> and a significant proportion of costs are shared by program partners</w:t>
      </w:r>
      <w:r w:rsidRPr="008452E5">
        <w:t>.</w:t>
      </w:r>
      <w:r w:rsidR="0062573D">
        <w:rPr>
          <w:vertAlign w:val="superscript"/>
        </w:rPr>
        <w:t>9</w:t>
      </w:r>
      <w:r w:rsidRPr="008452E5">
        <w:rPr>
          <w:vertAlign w:val="superscript"/>
        </w:rPr>
        <w:t>-</w:t>
      </w:r>
      <w:r w:rsidR="0062573D">
        <w:rPr>
          <w:vertAlign w:val="superscript"/>
        </w:rPr>
        <w:t>12</w:t>
      </w:r>
    </w:p>
    <w:p w14:paraId="1379383A" w14:textId="77777777" w:rsidR="006E57A1" w:rsidRDefault="006E57A1" w:rsidP="00891828">
      <w:pPr>
        <w:ind w:firstLine="360"/>
      </w:pPr>
    </w:p>
    <w:p w14:paraId="00F59A40" w14:textId="6041FF21" w:rsidR="002A701B" w:rsidRPr="002A701B" w:rsidRDefault="002A701B" w:rsidP="00891828">
      <w:pPr>
        <w:ind w:firstLine="360"/>
      </w:pPr>
      <w:r w:rsidRPr="002A701B">
        <w:t xml:space="preserve">Data collected in this cost and modeling </w:t>
      </w:r>
      <w:r w:rsidR="00C006D2">
        <w:t>assessment</w:t>
      </w:r>
      <w:r w:rsidR="00C006D2" w:rsidRPr="002A701B">
        <w:t xml:space="preserve"> </w:t>
      </w:r>
      <w:r w:rsidRPr="002A701B">
        <w:t xml:space="preserve">will be </w:t>
      </w:r>
      <w:r w:rsidR="00DB4112">
        <w:t xml:space="preserve">paired with outcome data from secondary data sources and will be </w:t>
      </w:r>
      <w:r w:rsidRPr="002A701B">
        <w:t>used t</w:t>
      </w:r>
      <w:r w:rsidR="00713205">
        <w:t>o</w:t>
      </w:r>
      <w:r w:rsidR="00891828">
        <w:t xml:space="preserve"> determine the long-term cost-effectiveness of the program. </w:t>
      </w:r>
    </w:p>
    <w:p w14:paraId="55F16FC5" w14:textId="77777777" w:rsidR="005C4212" w:rsidRDefault="005C4212" w:rsidP="002A701B">
      <w:pPr>
        <w:spacing w:line="276" w:lineRule="auto"/>
        <w:rPr>
          <w:b/>
          <w:bCs/>
          <w:i/>
          <w:iCs/>
        </w:rPr>
      </w:pPr>
    </w:p>
    <w:p w14:paraId="19FF1EF9" w14:textId="41529025" w:rsidR="005C4212" w:rsidRDefault="005C4212" w:rsidP="005C4212">
      <w:pPr>
        <w:spacing w:after="120" w:line="276" w:lineRule="auto"/>
        <w:rPr>
          <w:b/>
          <w:bCs/>
          <w:iCs/>
        </w:rPr>
      </w:pPr>
      <w:r w:rsidRPr="005C4212">
        <w:rPr>
          <w:b/>
          <w:bCs/>
          <w:iCs/>
        </w:rPr>
        <w:t xml:space="preserve">Telephonic Interviews </w:t>
      </w:r>
    </w:p>
    <w:p w14:paraId="11B2E488" w14:textId="58C23CA4" w:rsidR="005C4212" w:rsidRPr="005C4212" w:rsidRDefault="008478E2" w:rsidP="00377EAD">
      <w:pPr>
        <w:spacing w:line="276" w:lineRule="auto"/>
        <w:ind w:firstLine="720"/>
      </w:pPr>
      <w:r w:rsidRPr="008452E5">
        <w:t xml:space="preserve">The goal of the information collection for </w:t>
      </w:r>
      <w:r w:rsidRPr="00713205">
        <w:rPr>
          <w:iCs/>
        </w:rPr>
        <w:t xml:space="preserve">the </w:t>
      </w:r>
      <w:r>
        <w:rPr>
          <w:iCs/>
        </w:rPr>
        <w:t>telephonic interviews</w:t>
      </w:r>
      <w:r w:rsidRPr="00713205">
        <w:rPr>
          <w:iCs/>
        </w:rPr>
        <w:t xml:space="preserve"> </w:t>
      </w:r>
      <w:r w:rsidRPr="00713205">
        <w:t>is</w:t>
      </w:r>
      <w:r>
        <w:t xml:space="preserve"> to provide</w:t>
      </w:r>
      <w:r w:rsidR="005F45A4">
        <w:t xml:space="preserve"> </w:t>
      </w:r>
      <w:r>
        <w:t xml:space="preserve">CDC with </w:t>
      </w:r>
      <w:r w:rsidR="005F45A4">
        <w:t>the opportunity to unearth valuable details not otherwise obtainable through quantitative</w:t>
      </w:r>
      <w:r w:rsidR="00350574">
        <w:t xml:space="preserve"> data analysis </w:t>
      </w:r>
      <w:r>
        <w:t>and</w:t>
      </w:r>
      <w:r w:rsidR="005F45A4">
        <w:t xml:space="preserve"> expand on key strategies that contributed to improved stroke systems of care and greater infrastructure to support data linkages, data collection, and data-driven quality improvement activities. </w:t>
      </w:r>
    </w:p>
    <w:p w14:paraId="16F5ECC8" w14:textId="77777777" w:rsidR="005C4212" w:rsidRPr="005C4212" w:rsidRDefault="005C4212" w:rsidP="00377EAD">
      <w:pPr>
        <w:spacing w:line="276" w:lineRule="auto"/>
        <w:ind w:firstLine="720"/>
        <w:rPr>
          <w:highlight w:val="yellow"/>
        </w:rPr>
      </w:pPr>
    </w:p>
    <w:p w14:paraId="7389710C" w14:textId="2E6B91A5" w:rsidR="005C4212" w:rsidRPr="005C4212" w:rsidRDefault="005C4212" w:rsidP="00377EAD">
      <w:pPr>
        <w:spacing w:line="276" w:lineRule="auto"/>
        <w:ind w:firstLine="720"/>
      </w:pPr>
      <w:r w:rsidRPr="005C4212">
        <w:t xml:space="preserve">Information collected </w:t>
      </w:r>
      <w:r>
        <w:t>through the telephonic interviews</w:t>
      </w:r>
      <w:r w:rsidRPr="005C4212">
        <w:t xml:space="preserve"> will be used to: </w:t>
      </w:r>
    </w:p>
    <w:p w14:paraId="7AC2C2A1" w14:textId="77777777" w:rsidR="005C4212" w:rsidRPr="005C4212" w:rsidRDefault="005C4212" w:rsidP="00377EAD">
      <w:pPr>
        <w:spacing w:line="276" w:lineRule="auto"/>
        <w:ind w:firstLine="720"/>
      </w:pPr>
    </w:p>
    <w:p w14:paraId="6F1E83B0" w14:textId="77777777" w:rsidR="00266EFF" w:rsidRDefault="00266EFF" w:rsidP="00266EFF">
      <w:pPr>
        <w:numPr>
          <w:ilvl w:val="0"/>
          <w:numId w:val="12"/>
        </w:numPr>
        <w:spacing w:after="120" w:line="276" w:lineRule="auto"/>
        <w:rPr>
          <w:szCs w:val="20"/>
        </w:rPr>
      </w:pPr>
      <w:r w:rsidRPr="00266EFF">
        <w:rPr>
          <w:szCs w:val="20"/>
        </w:rPr>
        <w:t>Identify successful strategies that contributed to improved stroke systems of care and greater infrastructure to support data linkages, data collection, and data-driven quality improvement activities.</w:t>
      </w:r>
    </w:p>
    <w:p w14:paraId="1C1F383D" w14:textId="77777777" w:rsidR="00266EFF" w:rsidRDefault="00266EFF" w:rsidP="00266EFF">
      <w:pPr>
        <w:numPr>
          <w:ilvl w:val="0"/>
          <w:numId w:val="12"/>
        </w:numPr>
        <w:spacing w:after="120" w:line="276" w:lineRule="auto"/>
        <w:rPr>
          <w:szCs w:val="20"/>
        </w:rPr>
      </w:pPr>
      <w:r>
        <w:rPr>
          <w:szCs w:val="20"/>
        </w:rPr>
        <w:t xml:space="preserve">Understand the processes undertaken to implement strategies that had an </w:t>
      </w:r>
      <w:r>
        <w:t>impact on improving stroke systems of care, the efficiency and quality of stroke care, and stroke patient health outcomes.</w:t>
      </w:r>
    </w:p>
    <w:p w14:paraId="002F8A58" w14:textId="74BD4969" w:rsidR="00266EFF" w:rsidRPr="00266EFF" w:rsidRDefault="00266EFF" w:rsidP="00266EFF">
      <w:pPr>
        <w:numPr>
          <w:ilvl w:val="0"/>
          <w:numId w:val="12"/>
        </w:numPr>
        <w:spacing w:after="120" w:line="276" w:lineRule="auto"/>
        <w:rPr>
          <w:szCs w:val="20"/>
        </w:rPr>
      </w:pPr>
      <w:r w:rsidRPr="00266EFF">
        <w:rPr>
          <w:szCs w:val="20"/>
        </w:rPr>
        <w:t>Explain how different combinations of strategies affect implementation success, and determine whether there are economies of scale and scope.</w:t>
      </w:r>
    </w:p>
    <w:p w14:paraId="50248C71" w14:textId="34D22C3F" w:rsidR="00266EFF" w:rsidRPr="00266EFF" w:rsidRDefault="00266EFF" w:rsidP="00266EFF">
      <w:pPr>
        <w:numPr>
          <w:ilvl w:val="0"/>
          <w:numId w:val="12"/>
        </w:numPr>
        <w:spacing w:after="120" w:line="276" w:lineRule="auto"/>
        <w:rPr>
          <w:szCs w:val="20"/>
        </w:rPr>
      </w:pPr>
      <w:r>
        <w:t>Demonstrate how the Coverdell program promotes evidence-based practice by addressing the American Stroke Association’s Task Force recommendations for the establishment and development of stroke systems of care.</w:t>
      </w:r>
    </w:p>
    <w:p w14:paraId="2A59C105" w14:textId="48FE2707" w:rsidR="005C4212" w:rsidRPr="00266EFF" w:rsidRDefault="005C4212" w:rsidP="00B53E90">
      <w:pPr>
        <w:numPr>
          <w:ilvl w:val="0"/>
          <w:numId w:val="12"/>
        </w:numPr>
        <w:spacing w:after="120" w:line="276" w:lineRule="auto"/>
        <w:rPr>
          <w:szCs w:val="20"/>
        </w:rPr>
      </w:pPr>
      <w:r w:rsidRPr="00266EFF">
        <w:rPr>
          <w:szCs w:val="20"/>
        </w:rPr>
        <w:t xml:space="preserve">Develop practitioner-focused enhanced </w:t>
      </w:r>
      <w:r w:rsidR="008E6558" w:rsidRPr="00266EFF">
        <w:rPr>
          <w:szCs w:val="20"/>
        </w:rPr>
        <w:t>dissemination products</w:t>
      </w:r>
      <w:r w:rsidRPr="00266EFF">
        <w:rPr>
          <w:szCs w:val="20"/>
        </w:rPr>
        <w:t xml:space="preserve"> to inform future federal, state, and local efforts to implement similar interventions.  Understanding the key variables and contextual factors that inhibited or accelerated successful implementation of strategies in </w:t>
      </w:r>
      <w:r w:rsidR="008E6558" w:rsidRPr="00266EFF">
        <w:rPr>
          <w:szCs w:val="20"/>
        </w:rPr>
        <w:t>PCNASP-funded states</w:t>
      </w:r>
      <w:r w:rsidRPr="00266EFF">
        <w:rPr>
          <w:szCs w:val="20"/>
        </w:rPr>
        <w:t xml:space="preserve"> would allow future communities to anticipate such issues in advance, adapt their environment and context so it is more supportive of strategy implementation, or choose only strategies that </w:t>
      </w:r>
      <w:r w:rsidR="00350574">
        <w:rPr>
          <w:szCs w:val="20"/>
        </w:rPr>
        <w:t xml:space="preserve">are effective in </w:t>
      </w:r>
      <w:r w:rsidRPr="00266EFF">
        <w:rPr>
          <w:szCs w:val="20"/>
        </w:rPr>
        <w:t>their current environment and context.</w:t>
      </w:r>
    </w:p>
    <w:p w14:paraId="21795260" w14:textId="6442987F" w:rsidR="00DE715A" w:rsidRDefault="002A701B" w:rsidP="002A701B">
      <w:pPr>
        <w:spacing w:line="276" w:lineRule="auto"/>
        <w:rPr>
          <w:b/>
          <w:bCs/>
          <w:i/>
          <w:iCs/>
        </w:rPr>
      </w:pPr>
      <w:r w:rsidRPr="002A701B">
        <w:rPr>
          <w:b/>
          <w:bCs/>
          <w:i/>
          <w:iCs/>
        </w:rPr>
        <w:t>Privacy Impact Assessment Information</w:t>
      </w:r>
    </w:p>
    <w:p w14:paraId="69E11D32" w14:textId="77777777" w:rsidR="008E6558" w:rsidRPr="008E6558" w:rsidRDefault="008E6558" w:rsidP="008E6558">
      <w:pPr>
        <w:rPr>
          <w:b/>
          <w:bCs/>
          <w:i/>
          <w:iCs/>
        </w:rPr>
      </w:pPr>
    </w:p>
    <w:p w14:paraId="4659E572" w14:textId="77777777" w:rsidR="002A701B" w:rsidRPr="002A701B" w:rsidRDefault="002A701B" w:rsidP="00377EAD">
      <w:pPr>
        <w:spacing w:line="276" w:lineRule="auto"/>
        <w:ind w:firstLine="720"/>
      </w:pPr>
      <w:r w:rsidRPr="002A701B">
        <w:t>The proposed collection will have little or no effect on the respondent’s privacy.  No information in identifiable form (IIF) is being collected.</w:t>
      </w:r>
    </w:p>
    <w:p w14:paraId="01C42594" w14:textId="77777777" w:rsidR="008452E5" w:rsidRDefault="008452E5" w:rsidP="008452E5"/>
    <w:p w14:paraId="5CE2461A" w14:textId="77777777" w:rsidR="00DE715A" w:rsidRPr="00DE715A" w:rsidRDefault="00DE715A" w:rsidP="00DE715A">
      <w:pPr>
        <w:pStyle w:val="Heading2"/>
        <w:rPr>
          <w:rFonts w:ascii="Times New Roman" w:hAnsi="Times New Roman" w:cs="Times New Roman"/>
          <w:b/>
          <w:color w:val="auto"/>
          <w:sz w:val="24"/>
          <w:szCs w:val="24"/>
        </w:rPr>
      </w:pPr>
      <w:bookmarkStart w:id="8" w:name="_Toc480354125"/>
      <w:r w:rsidRPr="00DE715A">
        <w:rPr>
          <w:rFonts w:ascii="Times New Roman" w:hAnsi="Times New Roman" w:cs="Times New Roman"/>
          <w:b/>
          <w:color w:val="auto"/>
          <w:sz w:val="24"/>
          <w:szCs w:val="24"/>
        </w:rPr>
        <w:t>A.3 Use of Improved Information Technology and Burden Reduction</w:t>
      </w:r>
      <w:bookmarkEnd w:id="8"/>
      <w:r w:rsidRPr="00DE715A">
        <w:rPr>
          <w:rFonts w:ascii="Times New Roman" w:hAnsi="Times New Roman" w:cs="Times New Roman"/>
          <w:b/>
          <w:color w:val="auto"/>
          <w:sz w:val="24"/>
          <w:szCs w:val="24"/>
        </w:rPr>
        <w:t xml:space="preserve"> </w:t>
      </w:r>
    </w:p>
    <w:p w14:paraId="6FA83B25" w14:textId="77777777" w:rsidR="00DE715A" w:rsidRDefault="00DE715A" w:rsidP="008452E5"/>
    <w:p w14:paraId="598FCE7C" w14:textId="41D144F7" w:rsidR="008E6558" w:rsidRPr="008E6558" w:rsidRDefault="008E6558" w:rsidP="008E6558">
      <w:pPr>
        <w:spacing w:line="360" w:lineRule="auto"/>
        <w:rPr>
          <w:b/>
        </w:rPr>
      </w:pPr>
      <w:r w:rsidRPr="005C4212">
        <w:rPr>
          <w:b/>
        </w:rPr>
        <w:t xml:space="preserve">Cost </w:t>
      </w:r>
      <w:r w:rsidR="00644813">
        <w:rPr>
          <w:b/>
        </w:rPr>
        <w:t>Collection</w:t>
      </w:r>
      <w:r w:rsidRPr="005C4212">
        <w:rPr>
          <w:b/>
        </w:rPr>
        <w:t xml:space="preserve"> Tool</w:t>
      </w:r>
    </w:p>
    <w:p w14:paraId="23F1FA45" w14:textId="22B6AC9C" w:rsidR="00DE715A" w:rsidRPr="00DE715A" w:rsidRDefault="00DE715A" w:rsidP="00377EAD">
      <w:pPr>
        <w:spacing w:line="276" w:lineRule="auto"/>
        <w:ind w:firstLine="720"/>
      </w:pPr>
      <w:r w:rsidRPr="00DE715A">
        <w:t xml:space="preserve">All </w:t>
      </w:r>
      <w:r w:rsidR="00625859">
        <w:t xml:space="preserve">cost </w:t>
      </w:r>
      <w:r w:rsidRPr="00DE715A">
        <w:t>data will be collected electronically via a Web-based instrument (</w:t>
      </w:r>
      <w:r w:rsidRPr="008E6558">
        <w:rPr>
          <w:b/>
          <w:i/>
        </w:rPr>
        <w:t xml:space="preserve">Attachment </w:t>
      </w:r>
      <w:r w:rsidR="00073E01">
        <w:rPr>
          <w:b/>
          <w:i/>
        </w:rPr>
        <w:t>A2</w:t>
      </w:r>
      <w:r w:rsidRPr="00DE715A">
        <w:t xml:space="preserve">) to reduce respondent burden, data collection errors, and delays in receiving data. </w:t>
      </w:r>
      <w:r w:rsidR="002444B3">
        <w:t xml:space="preserve">The survey </w:t>
      </w:r>
      <w:r w:rsidR="00442C33">
        <w:t xml:space="preserve">includes five items and </w:t>
      </w:r>
      <w:r w:rsidR="002444B3">
        <w:t xml:space="preserve">can be completed at the convenience of the respondent. </w:t>
      </w:r>
      <w:r w:rsidR="004B04FE">
        <w:t>The</w:t>
      </w:r>
      <w:r w:rsidRPr="00DE715A">
        <w:t xml:space="preserve"> </w:t>
      </w:r>
      <w:r w:rsidR="008E6558">
        <w:t xml:space="preserve">Cost </w:t>
      </w:r>
      <w:r w:rsidR="00644813">
        <w:t>Collection</w:t>
      </w:r>
      <w:r w:rsidR="008E6558">
        <w:t xml:space="preserve"> Tool </w:t>
      </w:r>
      <w:r w:rsidR="00A4720D">
        <w:t>may</w:t>
      </w:r>
      <w:r w:rsidRPr="00DE715A">
        <w:t xml:space="preserve"> be pilot tested with</w:t>
      </w:r>
      <w:r w:rsidR="008E6558">
        <w:t xml:space="preserve"> one PCNASP </w:t>
      </w:r>
      <w:r w:rsidR="00A4720D">
        <w:t>program partner</w:t>
      </w:r>
      <w:r w:rsidRPr="00DE715A">
        <w:t xml:space="preserve"> to assess its ability to provide requested data and identify approaches to minimize burden. During the pretest, the clarity of the instrument, usability of the system, and accuracy of the data entered will also be </w:t>
      </w:r>
      <w:r w:rsidR="00C006D2">
        <w:t>assessed</w:t>
      </w:r>
      <w:r w:rsidRPr="00DE715A">
        <w:t>.</w:t>
      </w:r>
      <w:r w:rsidR="002444B3" w:rsidRPr="002444B3">
        <w:t xml:space="preserve"> </w:t>
      </w:r>
      <w:r w:rsidR="002444B3">
        <w:t xml:space="preserve">The tool will be streamlined to only include the most important questions to inform the relevant </w:t>
      </w:r>
      <w:r w:rsidR="00C006D2">
        <w:t xml:space="preserve">assessment </w:t>
      </w:r>
      <w:r w:rsidR="002444B3">
        <w:t>questions; therefore, no extraneous information will be collected.</w:t>
      </w:r>
      <w:r w:rsidR="0015229D">
        <w:t xml:space="preserve"> </w:t>
      </w:r>
      <w:r w:rsidR="00350574">
        <w:t>A</w:t>
      </w:r>
      <w:r w:rsidR="0015229D">
        <w:t xml:space="preserve"> similar tool was piloted as part of a prior </w:t>
      </w:r>
      <w:r w:rsidR="00C006D2">
        <w:t xml:space="preserve">assessment </w:t>
      </w:r>
      <w:r w:rsidR="0015229D">
        <w:t xml:space="preserve">of the Coverdell program in May of 2015; important learnings from this data collection were incorporated into this most current version of </w:t>
      </w:r>
      <w:r w:rsidR="00644813">
        <w:t>CCT</w:t>
      </w:r>
      <w:r w:rsidR="0015229D">
        <w:t>.</w:t>
      </w:r>
    </w:p>
    <w:p w14:paraId="151AFE6A" w14:textId="77777777" w:rsidR="00DE715A" w:rsidRDefault="00DE715A" w:rsidP="00377EAD">
      <w:pPr>
        <w:spacing w:line="276" w:lineRule="auto"/>
      </w:pPr>
    </w:p>
    <w:p w14:paraId="479ED7B6" w14:textId="22A3D015" w:rsidR="00DE715A" w:rsidRPr="00DE715A" w:rsidRDefault="00DE715A" w:rsidP="00377EAD">
      <w:pPr>
        <w:spacing w:line="276" w:lineRule="auto"/>
        <w:ind w:firstLine="720"/>
      </w:pPr>
      <w:r w:rsidRPr="00DE715A">
        <w:t>The instrument will be easily accessible through the Web and will include several features to specifically reduce data collection burden and collect high quality data</w:t>
      </w:r>
      <w:r w:rsidR="000F1C5D">
        <w:t xml:space="preserve"> including the ability to import information such as staff that worked on the project from a previous yearly submission and validity checks such as making sure that percentages in a row sum to 100% and no data elements were missed by the respondent</w:t>
      </w:r>
      <w:r w:rsidRPr="00DE715A">
        <w:t xml:space="preserve">. </w:t>
      </w:r>
    </w:p>
    <w:p w14:paraId="33C64B97" w14:textId="77777777" w:rsidR="00DE715A" w:rsidRDefault="00DE715A" w:rsidP="00377EAD">
      <w:pPr>
        <w:spacing w:line="276" w:lineRule="auto"/>
      </w:pPr>
    </w:p>
    <w:p w14:paraId="3CDA8BF7" w14:textId="50BE16D3" w:rsidR="00DE715A" w:rsidRDefault="00DE715A" w:rsidP="00377EAD">
      <w:pPr>
        <w:spacing w:line="276" w:lineRule="auto"/>
        <w:ind w:firstLine="720"/>
      </w:pPr>
      <w:r w:rsidRPr="00DE715A">
        <w:t xml:space="preserve">The tool will also contain an interactive User’s Manual </w:t>
      </w:r>
      <w:r w:rsidR="002F0CA6">
        <w:t>(</w:t>
      </w:r>
      <w:r w:rsidR="002F0CA6" w:rsidRPr="00073E01">
        <w:rPr>
          <w:b/>
          <w:i/>
        </w:rPr>
        <w:t xml:space="preserve">Attachment </w:t>
      </w:r>
      <w:r w:rsidR="004B04FE">
        <w:rPr>
          <w:b/>
          <w:i/>
        </w:rPr>
        <w:t>A3</w:t>
      </w:r>
      <w:r w:rsidR="00073E01">
        <w:t>)</w:t>
      </w:r>
      <w:r w:rsidR="002F0CA6">
        <w:t xml:space="preserve"> </w:t>
      </w:r>
      <w:r w:rsidRPr="00DE715A">
        <w:t xml:space="preserve">that will provide variable definitions and instructions for providing the required data. RTI will develop a guidance document that will provide general background information, detail the approach used to capture costs of the program implemented by each </w:t>
      </w:r>
      <w:r w:rsidR="00A4720D">
        <w:t>program partner</w:t>
      </w:r>
      <w:r w:rsidRPr="00DE715A">
        <w:t xml:space="preserve">, and provide guidance to </w:t>
      </w:r>
      <w:r w:rsidR="00A4720D">
        <w:t>program partners</w:t>
      </w:r>
      <w:r w:rsidRPr="00DE715A">
        <w:t xml:space="preserve"> on how to collect and report costs. Each data element collected by the tool will be explained. The document will also include a frequently-asked-questions section with a</w:t>
      </w:r>
      <w:r w:rsidR="00A4720D">
        <w:t>nswers to questions on the cost data collection</w:t>
      </w:r>
      <w:r w:rsidRPr="00DE715A">
        <w:t xml:space="preserve">. </w:t>
      </w:r>
      <w:r w:rsidRPr="00DE715A">
        <w:rPr>
          <w:bCs/>
        </w:rPr>
        <w:t xml:space="preserve">The guidance </w:t>
      </w:r>
      <w:r w:rsidRPr="00DE715A">
        <w:t>document</w:t>
      </w:r>
      <w:r w:rsidRPr="00DE715A">
        <w:rPr>
          <w:bCs/>
        </w:rPr>
        <w:t xml:space="preserve"> will be made available to </w:t>
      </w:r>
      <w:r w:rsidR="00A4720D">
        <w:rPr>
          <w:bCs/>
        </w:rPr>
        <w:t>program partners</w:t>
      </w:r>
      <w:r w:rsidRPr="00DE715A">
        <w:rPr>
          <w:bCs/>
        </w:rPr>
        <w:t xml:space="preserve"> in electronic format. </w:t>
      </w:r>
      <w:r w:rsidR="00A4720D">
        <w:t>Program p</w:t>
      </w:r>
      <w:r w:rsidR="00495B5A">
        <w:t xml:space="preserve">artners </w:t>
      </w:r>
      <w:r w:rsidRPr="00DE715A">
        <w:t>participating in the study will be provided with detailed instructions and training to input the required data. RTI</w:t>
      </w:r>
      <w:r w:rsidRPr="00DE715A">
        <w:rPr>
          <w:b/>
        </w:rPr>
        <w:t xml:space="preserve"> </w:t>
      </w:r>
      <w:r w:rsidRPr="00DE715A">
        <w:t>will cond</w:t>
      </w:r>
      <w:r w:rsidR="00A4720D">
        <w:t xml:space="preserve">uct a Web-based training for program partners </w:t>
      </w:r>
      <w:r w:rsidRPr="00DE715A">
        <w:t xml:space="preserve">and </w:t>
      </w:r>
      <w:r w:rsidRPr="00DE715A">
        <w:rPr>
          <w:bCs/>
        </w:rPr>
        <w:t xml:space="preserve">telephone technical assistance for </w:t>
      </w:r>
      <w:r w:rsidR="00A4720D">
        <w:rPr>
          <w:bCs/>
        </w:rPr>
        <w:t>program partners</w:t>
      </w:r>
      <w:r w:rsidRPr="00DE715A">
        <w:t xml:space="preserve"> to ensure that all users are fully prepared to report accurate data.</w:t>
      </w:r>
      <w:r w:rsidR="00A74BFE">
        <w:t xml:space="preserve"> </w:t>
      </w:r>
      <w:r w:rsidR="009D04D6">
        <w:t xml:space="preserve">As discussed in </w:t>
      </w:r>
      <w:r w:rsidR="009D04D6" w:rsidRPr="009D04D6">
        <w:rPr>
          <w:b/>
          <w:i/>
        </w:rPr>
        <w:t>Statement B</w:t>
      </w:r>
      <w:r w:rsidR="009D04D6">
        <w:t xml:space="preserve">, </w:t>
      </w:r>
      <w:r w:rsidR="00A83206">
        <w:t>CDC</w:t>
      </w:r>
      <w:r w:rsidR="009D04D6">
        <w:t xml:space="preserve"> will ask each PCNASP grantee to identify a sample of their partners to invite to participate in the PCNASP partner cost data collection.</w:t>
      </w:r>
      <w:r w:rsidR="00594C0F">
        <w:t xml:space="preserve"> Specifically, </w:t>
      </w:r>
      <w:r w:rsidR="00A83206">
        <w:t>CDC</w:t>
      </w:r>
      <w:r w:rsidR="00594C0F">
        <w:t xml:space="preserve"> will </w:t>
      </w:r>
      <w:r w:rsidR="00B750AF">
        <w:t>email managers of each state PCNASP program to ask them to</w:t>
      </w:r>
      <w:r w:rsidR="00594C0F">
        <w:t xml:space="preserve"> complete a simpl</w:t>
      </w:r>
      <w:r w:rsidR="00883424">
        <w:t>e</w:t>
      </w:r>
      <w:r w:rsidR="005A54F2">
        <w:t xml:space="preserve"> </w:t>
      </w:r>
      <w:r w:rsidR="00594C0F">
        <w:t xml:space="preserve">table that </w:t>
      </w:r>
      <w:r w:rsidR="00B750AF">
        <w:t xml:space="preserve">contains </w:t>
      </w:r>
      <w:r w:rsidR="00883424">
        <w:t>contact information for a</w:t>
      </w:r>
      <w:r w:rsidR="00594C0F">
        <w:t xml:space="preserve"> sample of partners from small, medium, and la</w:t>
      </w:r>
      <w:r w:rsidR="005A54F2">
        <w:t xml:space="preserve">rge organizations. In the </w:t>
      </w:r>
      <w:r w:rsidR="00594C0F">
        <w:t xml:space="preserve">table, the </w:t>
      </w:r>
      <w:r w:rsidR="00B750AF">
        <w:t xml:space="preserve">PCNASP </w:t>
      </w:r>
      <w:r w:rsidR="00594C0F">
        <w:t xml:space="preserve">manager will </w:t>
      </w:r>
      <w:r w:rsidR="00883424">
        <w:t xml:space="preserve">be asked to </w:t>
      </w:r>
      <w:r w:rsidR="00594C0F">
        <w:t xml:space="preserve">fill out the partner organization’s name, </w:t>
      </w:r>
      <w:r w:rsidR="00883424">
        <w:t xml:space="preserve">name of the </w:t>
      </w:r>
      <w:r w:rsidR="00594C0F">
        <w:t xml:space="preserve">contact person at the organization, and email address of the contact person. </w:t>
      </w:r>
      <w:r w:rsidR="009D04D6">
        <w:t xml:space="preserve"> </w:t>
      </w:r>
    </w:p>
    <w:p w14:paraId="52AF19D2" w14:textId="77777777" w:rsidR="008E6558" w:rsidRDefault="008E6558" w:rsidP="00377EAD">
      <w:pPr>
        <w:spacing w:line="276" w:lineRule="auto"/>
        <w:ind w:firstLine="720"/>
      </w:pPr>
    </w:p>
    <w:p w14:paraId="27385767" w14:textId="404C518D" w:rsidR="00DE715A" w:rsidRDefault="00DE715A" w:rsidP="00377EAD">
      <w:pPr>
        <w:spacing w:line="276" w:lineRule="auto"/>
        <w:ind w:firstLine="720"/>
      </w:pPr>
      <w:r w:rsidRPr="00DE715A">
        <w:t>RTI will collect and ta</w:t>
      </w:r>
      <w:r w:rsidR="00A4720D">
        <w:t xml:space="preserve">bulate the data provided by program </w:t>
      </w:r>
      <w:r w:rsidR="008E6558">
        <w:t>partners</w:t>
      </w:r>
      <w:r w:rsidRPr="00DE715A">
        <w:t xml:space="preserve">. We expect to collect minimum information necessary to address the research project’s research questions. </w:t>
      </w:r>
      <w:r w:rsidRPr="00DE715A">
        <w:rPr>
          <w:bCs/>
        </w:rPr>
        <w:t>Efforts have been made to design the instrument to be brief, easy to use, and understandable. The study investigators have carefully considered the content, appropriateness, and phrasing of the questions</w:t>
      </w:r>
      <w:r w:rsidRPr="00DE715A">
        <w:t>.</w:t>
      </w:r>
    </w:p>
    <w:p w14:paraId="2659ADC4" w14:textId="77777777" w:rsidR="002F0CA6" w:rsidRPr="00DE715A" w:rsidRDefault="002F0CA6" w:rsidP="00377EAD">
      <w:pPr>
        <w:spacing w:line="276" w:lineRule="auto"/>
        <w:ind w:firstLine="720"/>
      </w:pPr>
    </w:p>
    <w:p w14:paraId="00BA7742" w14:textId="5E4DD596" w:rsidR="00625859" w:rsidRPr="00625859" w:rsidRDefault="00625859" w:rsidP="008452E5">
      <w:pPr>
        <w:rPr>
          <w:b/>
        </w:rPr>
      </w:pPr>
      <w:r w:rsidRPr="00625859">
        <w:rPr>
          <w:b/>
        </w:rPr>
        <w:t xml:space="preserve">Telephonic Interviews </w:t>
      </w:r>
    </w:p>
    <w:p w14:paraId="55683C33" w14:textId="77777777" w:rsidR="00625859" w:rsidRDefault="00625859" w:rsidP="008452E5"/>
    <w:p w14:paraId="0C7DE14B" w14:textId="29A4031C" w:rsidR="00625859" w:rsidRDefault="00625859" w:rsidP="00377EAD">
      <w:pPr>
        <w:spacing w:line="276" w:lineRule="auto"/>
      </w:pPr>
      <w:r>
        <w:tab/>
      </w:r>
      <w:r w:rsidR="00A74BFE">
        <w:t xml:space="preserve">We will email managers of each state </w:t>
      </w:r>
      <w:r w:rsidR="00B750AF">
        <w:t>PCNASP</w:t>
      </w:r>
      <w:r w:rsidR="00A74BFE">
        <w:t xml:space="preserve"> program to invite them to participate in a planning call for the interviews (see </w:t>
      </w:r>
      <w:r w:rsidR="00A74BFE" w:rsidRPr="00A74BFE">
        <w:rPr>
          <w:b/>
          <w:i/>
        </w:rPr>
        <w:t>Attachment B5</w:t>
      </w:r>
      <w:r w:rsidR="00A74BFE" w:rsidRPr="00A74BFE">
        <w:t>)</w:t>
      </w:r>
      <w:r w:rsidR="00A74BFE">
        <w:t xml:space="preserve">. During the planning call, we will discuss logistics of the interviews and identify </w:t>
      </w:r>
      <w:r w:rsidR="005D4806">
        <w:t xml:space="preserve">key stakeholders who will </w:t>
      </w:r>
      <w:r w:rsidR="00E91876">
        <w:t>receive an email invitation</w:t>
      </w:r>
      <w:r w:rsidR="005D4806">
        <w:t xml:space="preserve"> to participate in the interviews</w:t>
      </w:r>
      <w:r w:rsidR="00A74BFE">
        <w:t xml:space="preserve">. </w:t>
      </w:r>
      <w:r w:rsidR="005D4806">
        <w:t>During the interviews, r</w:t>
      </w:r>
      <w:r w:rsidR="0015229D">
        <w:t xml:space="preserve">espondents will be asked approximately </w:t>
      </w:r>
      <w:r w:rsidR="00E20DF1">
        <w:t>ten</w:t>
      </w:r>
      <w:r w:rsidR="0015229D">
        <w:t xml:space="preserve"> qu</w:t>
      </w:r>
      <w:r w:rsidR="00E20DF1">
        <w:t>estions over the course of a 60-</w:t>
      </w:r>
      <w:r w:rsidR="0015229D">
        <w:t xml:space="preserve">minute interview. </w:t>
      </w:r>
      <w:r w:rsidR="00DF7A4E" w:rsidRPr="00001197">
        <w:rPr>
          <w:rFonts w:eastAsia="Calibri"/>
          <w:szCs w:val="20"/>
        </w:rPr>
        <w:t xml:space="preserve">Telephone interviews will collect qualitative data without the costs </w:t>
      </w:r>
      <w:r w:rsidR="00DF7A4E">
        <w:rPr>
          <w:rFonts w:eastAsia="Calibri"/>
          <w:szCs w:val="20"/>
        </w:rPr>
        <w:t xml:space="preserve">and respondent burden </w:t>
      </w:r>
      <w:r w:rsidR="00DF7A4E" w:rsidRPr="00001197">
        <w:rPr>
          <w:rFonts w:eastAsia="Calibri"/>
          <w:szCs w:val="20"/>
        </w:rPr>
        <w:t>associated with traditional face-to-face site visits</w:t>
      </w:r>
      <w:r w:rsidR="00A4720D">
        <w:rPr>
          <w:rFonts w:eastAsia="Calibri"/>
          <w:szCs w:val="20"/>
        </w:rPr>
        <w:t>.</w:t>
      </w:r>
      <w:r w:rsidR="0015229D">
        <w:rPr>
          <w:rFonts w:eastAsia="Calibri"/>
          <w:szCs w:val="20"/>
        </w:rPr>
        <w:t xml:space="preserve"> </w:t>
      </w:r>
      <w:r w:rsidR="00137D9A">
        <w:t xml:space="preserve">RTI International will work individually with each respondent to find convenient times for them to complete the interview. Once mutual availability has been established, RTI International will send each interviewee an electronic meeting request containing information for a secure conference line. </w:t>
      </w:r>
      <w:r w:rsidR="00E20DF1">
        <w:rPr>
          <w:rFonts w:eastAsia="Calibri"/>
          <w:szCs w:val="20"/>
        </w:rPr>
        <w:t xml:space="preserve">RTI International will </w:t>
      </w:r>
      <w:r w:rsidR="0015229D">
        <w:rPr>
          <w:rFonts w:eastAsia="Calibri"/>
          <w:szCs w:val="20"/>
        </w:rPr>
        <w:t>be responsible for setting up and initiating the conference line</w:t>
      </w:r>
      <w:r w:rsidR="00E20DF1">
        <w:rPr>
          <w:rFonts w:eastAsia="Calibri"/>
          <w:szCs w:val="20"/>
        </w:rPr>
        <w:t xml:space="preserve"> for the interviews</w:t>
      </w:r>
      <w:r w:rsidR="0015229D">
        <w:rPr>
          <w:rFonts w:eastAsia="Calibri"/>
          <w:szCs w:val="20"/>
        </w:rPr>
        <w:t xml:space="preserve">; </w:t>
      </w:r>
      <w:r w:rsidR="006C0C2E">
        <w:rPr>
          <w:rFonts w:eastAsia="Calibri"/>
          <w:szCs w:val="20"/>
        </w:rPr>
        <w:t>respondents</w:t>
      </w:r>
      <w:r w:rsidR="0015229D">
        <w:rPr>
          <w:rFonts w:eastAsia="Calibri"/>
          <w:szCs w:val="20"/>
        </w:rPr>
        <w:t xml:space="preserve"> will be able to easily join </w:t>
      </w:r>
      <w:r w:rsidR="00E20DF1">
        <w:rPr>
          <w:rFonts w:eastAsia="Calibri"/>
          <w:szCs w:val="20"/>
        </w:rPr>
        <w:t xml:space="preserve">a secure conference </w:t>
      </w:r>
      <w:r w:rsidR="0015229D">
        <w:rPr>
          <w:rFonts w:eastAsia="Calibri"/>
          <w:szCs w:val="20"/>
        </w:rPr>
        <w:t xml:space="preserve">line </w:t>
      </w:r>
      <w:r w:rsidR="00E20DF1">
        <w:rPr>
          <w:rFonts w:eastAsia="Calibri"/>
          <w:szCs w:val="20"/>
        </w:rPr>
        <w:t xml:space="preserve">using </w:t>
      </w:r>
      <w:r w:rsidR="0015229D">
        <w:rPr>
          <w:rFonts w:eastAsia="Calibri"/>
          <w:szCs w:val="20"/>
        </w:rPr>
        <w:t xml:space="preserve">a passcode provided to them in advance. </w:t>
      </w:r>
      <w:r w:rsidR="006C0C2E">
        <w:rPr>
          <w:rFonts w:eastAsia="Calibri"/>
          <w:szCs w:val="20"/>
        </w:rPr>
        <w:t xml:space="preserve">Respondents will not be asked to make special preparations in advance of the call. </w:t>
      </w:r>
    </w:p>
    <w:p w14:paraId="5438A435" w14:textId="77777777" w:rsidR="00625859" w:rsidRDefault="00625859" w:rsidP="008452E5"/>
    <w:p w14:paraId="6F607B0C" w14:textId="2AAAF913" w:rsidR="00DE715A" w:rsidRPr="00594C0F" w:rsidRDefault="00DE715A" w:rsidP="00594C0F">
      <w:pPr>
        <w:spacing w:after="160" w:line="259" w:lineRule="auto"/>
        <w:rPr>
          <w:rFonts w:eastAsiaTheme="majorEastAsia"/>
          <w:b/>
        </w:rPr>
      </w:pPr>
      <w:bookmarkStart w:id="9" w:name="_Toc480354126"/>
      <w:r w:rsidRPr="00DE715A">
        <w:rPr>
          <w:b/>
        </w:rPr>
        <w:t>A.4 Efforts to Identify Duplication and Use of Similar Information</w:t>
      </w:r>
      <w:bookmarkEnd w:id="9"/>
      <w:r w:rsidRPr="00DE715A">
        <w:rPr>
          <w:b/>
        </w:rPr>
        <w:t xml:space="preserve"> </w:t>
      </w:r>
    </w:p>
    <w:p w14:paraId="64A2751A" w14:textId="3FEAE561" w:rsidR="0020408F" w:rsidRDefault="0020408F" w:rsidP="00FF75EF"/>
    <w:p w14:paraId="058BF315" w14:textId="46E1D8B5" w:rsidR="00E577FB" w:rsidRDefault="00E577FB" w:rsidP="008478E2">
      <w:pPr>
        <w:spacing w:line="276" w:lineRule="auto"/>
      </w:pPr>
      <w:r>
        <w:tab/>
      </w:r>
      <w:r w:rsidR="006E57A1">
        <w:t xml:space="preserve">While PCNASP has existed since 2001, the </w:t>
      </w:r>
      <w:r w:rsidR="00ED113F">
        <w:t xml:space="preserve">goal and mission of the program has evolved with each funding cycle. The 2015-2020 funding cycle is the first such initiative to focus on </w:t>
      </w:r>
      <w:r w:rsidR="00A4720D">
        <w:t>establishing comprehensive</w:t>
      </w:r>
      <w:r w:rsidR="00ED113F">
        <w:t xml:space="preserve"> stroke systems of care. This is an enhanced program mission with new requirements for implementing quality improvement and collaborative strategies in the </w:t>
      </w:r>
      <w:r w:rsidR="0062573D">
        <w:t>funded</w:t>
      </w:r>
      <w:r w:rsidR="00ED113F">
        <w:t xml:space="preserve"> states</w:t>
      </w:r>
      <w:r w:rsidR="007F115C">
        <w:t xml:space="preserve"> to improve transitions of care and the quality of stroke care across the care continuum</w:t>
      </w:r>
      <w:r w:rsidR="00ED113F">
        <w:t xml:space="preserve">. Given this, no instruments from previous </w:t>
      </w:r>
      <w:r w:rsidR="00C006D2">
        <w:t xml:space="preserve">assessments </w:t>
      </w:r>
      <w:r w:rsidR="00ED113F">
        <w:t>of PCNASP exist to collect data at the level of these specific sets of strategies</w:t>
      </w:r>
      <w:r w:rsidR="00576A24">
        <w:t xml:space="preserve"> and their costs to </w:t>
      </w:r>
      <w:r w:rsidR="00A4720D">
        <w:t>program partners</w:t>
      </w:r>
      <w:r w:rsidR="00ED113F">
        <w:t>.</w:t>
      </w:r>
      <w:r w:rsidR="00576A24">
        <w:t xml:space="preserve"> </w:t>
      </w:r>
      <w:r w:rsidR="006C0C2E">
        <w:t>The proposed information collection is unique in that there are no other surveys administered to Coverdell funded states that assess program implementation related to building state-wide comprehensive stroke systems of care and the associate</w:t>
      </w:r>
      <w:r w:rsidR="000D4639">
        <w:t>d partner</w:t>
      </w:r>
      <w:r w:rsidR="006C0C2E">
        <w:t xml:space="preserve"> costs. This is the first data collection effort to assess an initiative of this nature. In addition, the interview and </w:t>
      </w:r>
      <w:r w:rsidR="00346321">
        <w:t xml:space="preserve">partner </w:t>
      </w:r>
      <w:r w:rsidR="006C0C2E">
        <w:t>cost data will provide complementary information that is not obtain</w:t>
      </w:r>
      <w:r w:rsidR="00346321">
        <w:t>ed</w:t>
      </w:r>
      <w:r w:rsidR="006C0C2E">
        <w:t xml:space="preserve"> through regular grantee progress reporting</w:t>
      </w:r>
      <w:r w:rsidR="00346321">
        <w:t xml:space="preserve"> and stroke registry reporting</w:t>
      </w:r>
      <w:r w:rsidR="006C0C2E">
        <w:t xml:space="preserve"> to the CDC </w:t>
      </w:r>
      <w:r w:rsidR="006C0C2E" w:rsidRPr="008478E2">
        <w:t>(</w:t>
      </w:r>
      <w:r w:rsidR="006C0C2E">
        <w:t>Paul Coverdell National Acute Stroke Program</w:t>
      </w:r>
      <w:r w:rsidR="006C0C2E" w:rsidRPr="008478E2">
        <w:t xml:space="preserve"> </w:t>
      </w:r>
      <w:r w:rsidR="006C0C2E">
        <w:t>(PCNASP) Reporting System</w:t>
      </w:r>
      <w:r w:rsidR="006C0C2E" w:rsidRPr="008478E2">
        <w:t xml:space="preserve">, OMB Control Number </w:t>
      </w:r>
      <w:r w:rsidR="006C0C2E" w:rsidRPr="00122A0E">
        <w:t>0920-1108</w:t>
      </w:r>
      <w:r w:rsidR="006C0C2E" w:rsidRPr="008478E2">
        <w:t>, Expiration Date 3/31/2019).</w:t>
      </w:r>
      <w:r w:rsidR="006C0C2E">
        <w:t xml:space="preserve"> </w:t>
      </w:r>
      <w:r w:rsidR="00644813">
        <w:t xml:space="preserve">CCT </w:t>
      </w:r>
      <w:r w:rsidR="00576A24">
        <w:t>and</w:t>
      </w:r>
      <w:r w:rsidR="00ED113F">
        <w:t xml:space="preserve"> </w:t>
      </w:r>
      <w:r w:rsidR="00576A24">
        <w:t>t</w:t>
      </w:r>
      <w:r>
        <w:t xml:space="preserve">he interview questions were developed by a </w:t>
      </w:r>
      <w:r w:rsidR="00576A24">
        <w:t xml:space="preserve">panel from RTI and CDC </w:t>
      </w:r>
      <w:r>
        <w:t xml:space="preserve">to ensure that the most useful questions were being asked and to minimize redundancy.  </w:t>
      </w:r>
      <w:r w:rsidRPr="008478E2">
        <w:t xml:space="preserve">The </w:t>
      </w:r>
      <w:r w:rsidR="00576A24" w:rsidRPr="008478E2">
        <w:t>panel</w:t>
      </w:r>
      <w:r w:rsidRPr="008478E2">
        <w:t xml:space="preserve"> carefully considered the content, appropriateness, and phrasing of the </w:t>
      </w:r>
      <w:r w:rsidR="00A4720D" w:rsidRPr="008478E2">
        <w:t>interview</w:t>
      </w:r>
      <w:r w:rsidRPr="008478E2">
        <w:t xml:space="preserve"> questions so that they are brief, easy to use, and understandable.</w:t>
      </w:r>
      <w:r w:rsidR="006C0C2E" w:rsidRPr="008478E2">
        <w:t xml:space="preserve"> Similarly, the panel reviewed each cost item for appropriateness, clarity, and utility in an analysis. </w:t>
      </w:r>
    </w:p>
    <w:p w14:paraId="64F931B6" w14:textId="77777777" w:rsidR="00E577FB" w:rsidRDefault="00E577FB" w:rsidP="00377EAD">
      <w:pPr>
        <w:pStyle w:val="Header"/>
        <w:spacing w:line="276" w:lineRule="auto"/>
      </w:pPr>
    </w:p>
    <w:p w14:paraId="147C9383" w14:textId="5038FB83" w:rsidR="00FF75EF" w:rsidRPr="00207B0B" w:rsidRDefault="00E577FB" w:rsidP="00377EAD">
      <w:pPr>
        <w:pStyle w:val="Header"/>
        <w:tabs>
          <w:tab w:val="left" w:pos="720"/>
        </w:tabs>
        <w:spacing w:line="276" w:lineRule="auto"/>
      </w:pPr>
      <w:r w:rsidRPr="00207B0B">
        <w:rPr>
          <w:bCs/>
          <w:szCs w:val="24"/>
        </w:rPr>
        <w:tab/>
        <w:t xml:space="preserve">CDC project officers communicate with </w:t>
      </w:r>
      <w:r w:rsidR="00576A24" w:rsidRPr="00207B0B">
        <w:rPr>
          <w:bCs/>
          <w:szCs w:val="24"/>
        </w:rPr>
        <w:t>PCNASP grantees</w:t>
      </w:r>
      <w:r w:rsidRPr="00207B0B">
        <w:rPr>
          <w:bCs/>
          <w:szCs w:val="24"/>
        </w:rPr>
        <w:t xml:space="preserve"> on an ongoing basis, including through monthly conference calls.  However, routine calls and progress reports do not provide a systematic overview of larger context and key issues that seem to hinder or facilitate the implementation of strategies and achievement of the intended </w:t>
      </w:r>
      <w:r w:rsidR="00576A24" w:rsidRPr="00207B0B">
        <w:rPr>
          <w:bCs/>
          <w:szCs w:val="24"/>
        </w:rPr>
        <w:t>system-level changes in the state</w:t>
      </w:r>
      <w:r w:rsidR="00346321">
        <w:rPr>
          <w:bCs/>
          <w:szCs w:val="24"/>
        </w:rPr>
        <w:t xml:space="preserve"> from multiple, diverse stakeholder perspectives</w:t>
      </w:r>
      <w:r w:rsidR="00576A24" w:rsidRPr="00207B0B">
        <w:rPr>
          <w:bCs/>
          <w:szCs w:val="24"/>
        </w:rPr>
        <w:t xml:space="preserve">. </w:t>
      </w:r>
      <w:r w:rsidR="006C0C2E" w:rsidRPr="00207B0B">
        <w:rPr>
          <w:bCs/>
          <w:szCs w:val="24"/>
        </w:rPr>
        <w:t>Similarly, the financial reporting required of grantees, the Federal Financial Report (FFRs) and program budgets, do not include detailed information of the true program costs</w:t>
      </w:r>
      <w:r w:rsidR="00346321">
        <w:rPr>
          <w:bCs/>
          <w:szCs w:val="24"/>
        </w:rPr>
        <w:t>, including partner cost contributions</w:t>
      </w:r>
      <w:r w:rsidR="006C0C2E" w:rsidRPr="00207B0B">
        <w:rPr>
          <w:bCs/>
          <w:szCs w:val="24"/>
        </w:rPr>
        <w:t xml:space="preserve">. </w:t>
      </w:r>
    </w:p>
    <w:p w14:paraId="0A33B780" w14:textId="77777777" w:rsidR="00FF75EF" w:rsidRPr="00FF75EF" w:rsidRDefault="00FF75EF" w:rsidP="00FF75EF"/>
    <w:p w14:paraId="7D1351BC" w14:textId="1606D6A3" w:rsidR="00FF75EF" w:rsidRDefault="00FF75EF" w:rsidP="00FF75EF">
      <w:pPr>
        <w:pStyle w:val="Heading2"/>
        <w:rPr>
          <w:rFonts w:ascii="Times New Roman" w:hAnsi="Times New Roman" w:cs="Times New Roman"/>
          <w:b/>
          <w:color w:val="auto"/>
          <w:sz w:val="24"/>
          <w:szCs w:val="24"/>
        </w:rPr>
      </w:pPr>
      <w:bookmarkStart w:id="10" w:name="_Toc480354127"/>
      <w:r w:rsidRPr="00FF75EF">
        <w:rPr>
          <w:rFonts w:ascii="Times New Roman" w:hAnsi="Times New Roman" w:cs="Times New Roman"/>
          <w:b/>
          <w:color w:val="auto"/>
          <w:sz w:val="24"/>
          <w:szCs w:val="24"/>
        </w:rPr>
        <w:t>A.5 Impact on Small Businesses or Other Small Entities</w:t>
      </w:r>
      <w:bookmarkEnd w:id="10"/>
      <w:r w:rsidRPr="00FF75EF">
        <w:rPr>
          <w:rFonts w:ascii="Times New Roman" w:hAnsi="Times New Roman" w:cs="Times New Roman"/>
          <w:b/>
          <w:color w:val="auto"/>
          <w:sz w:val="24"/>
          <w:szCs w:val="24"/>
        </w:rPr>
        <w:t xml:space="preserve"> </w:t>
      </w:r>
    </w:p>
    <w:p w14:paraId="693387E4" w14:textId="77777777" w:rsidR="00FF75EF" w:rsidRDefault="00FF75EF" w:rsidP="00FF75EF"/>
    <w:p w14:paraId="37EF006A" w14:textId="3C7FEFD2" w:rsidR="002444B3" w:rsidRDefault="002444B3" w:rsidP="00E20DF1">
      <w:pPr>
        <w:spacing w:line="276" w:lineRule="auto"/>
        <w:ind w:firstLine="720"/>
      </w:pPr>
      <w:r>
        <w:t xml:space="preserve">Small businesses and other small entities will not be targeted to participate in this assessment. Recruited participants will primarily include program staff employed by state health departments (i.e., program directors, evaluators, and program staff with subject matter expertise) and their partners. It is possible that some partners who will be recruited to complete the </w:t>
      </w:r>
      <w:r w:rsidR="00644813">
        <w:t xml:space="preserve">CCT </w:t>
      </w:r>
      <w:r w:rsidR="008B2B6E">
        <w:t>may be</w:t>
      </w:r>
      <w:r>
        <w:t xml:space="preserve"> representatives of a small business. However, CDC anticipates that this will be a rare occurrence. There are no specific requirements for small businesses. </w:t>
      </w:r>
    </w:p>
    <w:p w14:paraId="66EFAFE8" w14:textId="77777777" w:rsidR="002444B3" w:rsidRDefault="002444B3" w:rsidP="00E20DF1">
      <w:pPr>
        <w:spacing w:line="276" w:lineRule="auto"/>
        <w:ind w:firstLine="720"/>
      </w:pPr>
    </w:p>
    <w:p w14:paraId="786E3B89" w14:textId="60AF039F" w:rsidR="002444B3" w:rsidRDefault="002444B3" w:rsidP="00E20DF1">
      <w:pPr>
        <w:spacing w:line="276" w:lineRule="auto"/>
        <w:ind w:firstLine="720"/>
      </w:pPr>
      <w:r>
        <w:t>In addition, because the survey</w:t>
      </w:r>
      <w:r w:rsidR="008B2B6E">
        <w:t xml:space="preserve"> and interviews are</w:t>
      </w:r>
      <w:r>
        <w:t xml:space="preserve"> voluntary and each recruited participant will indicate</w:t>
      </w:r>
      <w:r w:rsidRPr="00E12984">
        <w:t xml:space="preserve"> their desire to participate </w:t>
      </w:r>
      <w:r>
        <w:t>at the start of the survey</w:t>
      </w:r>
      <w:r w:rsidR="008B2B6E">
        <w:t xml:space="preserve"> or interview</w:t>
      </w:r>
      <w:r>
        <w:t>,</w:t>
      </w:r>
      <w:r w:rsidRPr="00E12984">
        <w:t xml:space="preserve"> the impact of the information collection on respondents—including small businesses—is expected to be minimal. The online admin</w:t>
      </w:r>
      <w:r>
        <w:t>istration of the survey will allow</w:t>
      </w:r>
      <w:r w:rsidRPr="00E12984">
        <w:t xml:space="preserve"> respondents to complete </w:t>
      </w:r>
      <w:r>
        <w:t xml:space="preserve">the survey </w:t>
      </w:r>
      <w:r w:rsidRPr="00E12984">
        <w:t>in multiple sessions at their</w:t>
      </w:r>
      <w:r>
        <w:t xml:space="preserve"> convenience over several weeks, which </w:t>
      </w:r>
      <w:r w:rsidRPr="00E12984">
        <w:t>will also minimize the burden on small employers</w:t>
      </w:r>
      <w:r>
        <w:t>.</w:t>
      </w:r>
    </w:p>
    <w:p w14:paraId="78F1138F" w14:textId="77777777" w:rsidR="00FF75EF" w:rsidRPr="00FF75EF" w:rsidRDefault="00FF75EF" w:rsidP="00FF75EF"/>
    <w:p w14:paraId="51F3C278" w14:textId="77777777" w:rsidR="00545E70" w:rsidRDefault="00545E70" w:rsidP="00C32371">
      <w:pPr>
        <w:pStyle w:val="Heading2"/>
        <w:rPr>
          <w:rFonts w:ascii="Times New Roman" w:hAnsi="Times New Roman" w:cs="Times New Roman"/>
          <w:b/>
          <w:color w:val="auto"/>
          <w:sz w:val="24"/>
          <w:szCs w:val="24"/>
        </w:rPr>
      </w:pPr>
      <w:bookmarkStart w:id="11" w:name="_Toc480354128"/>
    </w:p>
    <w:p w14:paraId="318D9B9A" w14:textId="3754F97B" w:rsidR="00FF75EF" w:rsidRDefault="00FF75EF" w:rsidP="00C32371">
      <w:pPr>
        <w:pStyle w:val="Heading2"/>
        <w:rPr>
          <w:rFonts w:ascii="Times New Roman" w:hAnsi="Times New Roman" w:cs="Times New Roman"/>
          <w:b/>
          <w:color w:val="auto"/>
          <w:sz w:val="24"/>
          <w:szCs w:val="24"/>
        </w:rPr>
      </w:pPr>
      <w:r w:rsidRPr="00FF75EF">
        <w:rPr>
          <w:rFonts w:ascii="Times New Roman" w:hAnsi="Times New Roman" w:cs="Times New Roman"/>
          <w:b/>
          <w:color w:val="auto"/>
          <w:sz w:val="24"/>
          <w:szCs w:val="24"/>
        </w:rPr>
        <w:t>A.6 Consequences of Collecting the Information Less Frequently</w:t>
      </w:r>
      <w:bookmarkEnd w:id="11"/>
      <w:r w:rsidRPr="00FF75EF">
        <w:rPr>
          <w:rFonts w:ascii="Times New Roman" w:hAnsi="Times New Roman" w:cs="Times New Roman"/>
          <w:b/>
          <w:color w:val="auto"/>
          <w:sz w:val="24"/>
          <w:szCs w:val="24"/>
        </w:rPr>
        <w:t xml:space="preserve"> </w:t>
      </w:r>
    </w:p>
    <w:p w14:paraId="2CEA044C" w14:textId="77777777" w:rsidR="00C32371" w:rsidRPr="00C32371" w:rsidRDefault="00C32371" w:rsidP="00C32371"/>
    <w:p w14:paraId="545852A7" w14:textId="13202761" w:rsidR="008E6558" w:rsidRPr="001675E3" w:rsidRDefault="00891828" w:rsidP="00891828">
      <w:pPr>
        <w:autoSpaceDE w:val="0"/>
        <w:autoSpaceDN w:val="0"/>
        <w:adjustRightInd w:val="0"/>
        <w:rPr>
          <w:b/>
          <w:szCs w:val="20"/>
        </w:rPr>
      </w:pPr>
      <w:r w:rsidRPr="001675E3">
        <w:rPr>
          <w:b/>
          <w:szCs w:val="20"/>
        </w:rPr>
        <w:t xml:space="preserve">Cost </w:t>
      </w:r>
      <w:r w:rsidR="00644813">
        <w:rPr>
          <w:b/>
          <w:szCs w:val="20"/>
        </w:rPr>
        <w:t>Collection</w:t>
      </w:r>
      <w:r w:rsidRPr="001675E3">
        <w:rPr>
          <w:b/>
          <w:szCs w:val="20"/>
        </w:rPr>
        <w:t xml:space="preserve"> Tool </w:t>
      </w:r>
    </w:p>
    <w:p w14:paraId="0298D0ED" w14:textId="77777777" w:rsidR="00891828" w:rsidRDefault="00891828" w:rsidP="00891828">
      <w:pPr>
        <w:autoSpaceDE w:val="0"/>
        <w:autoSpaceDN w:val="0"/>
        <w:adjustRightInd w:val="0"/>
        <w:rPr>
          <w:szCs w:val="20"/>
        </w:rPr>
      </w:pPr>
    </w:p>
    <w:p w14:paraId="6B6D1F58" w14:textId="021F6D1C" w:rsidR="008E6558" w:rsidRDefault="008E6558" w:rsidP="00625859">
      <w:pPr>
        <w:spacing w:line="276" w:lineRule="auto"/>
        <w:ind w:firstLine="720"/>
      </w:pPr>
      <w:r w:rsidRPr="007B4638">
        <w:t xml:space="preserve">Without these cost data, </w:t>
      </w:r>
      <w:r w:rsidR="00207B0B">
        <w:t>CDC</w:t>
      </w:r>
      <w:r w:rsidRPr="007B4638">
        <w:t xml:space="preserve"> will not be able to assess the cost-effectiveness and cost and health benefits associated with </w:t>
      </w:r>
      <w:r w:rsidR="00891828">
        <w:t>strategies to establish comprehensive stroke systems of care</w:t>
      </w:r>
      <w:r w:rsidRPr="007B4638">
        <w:t>. This economic analysis will provide critical information to inform decision making and future resource allocation by assessing the actual costs</w:t>
      </w:r>
      <w:r w:rsidR="00891828">
        <w:t xml:space="preserve"> </w:t>
      </w:r>
      <w:r w:rsidR="00D317FF">
        <w:t xml:space="preserve">of </w:t>
      </w:r>
      <w:r w:rsidR="00891828">
        <w:t>PCNASP grantees and their partners</w:t>
      </w:r>
      <w:r w:rsidRPr="007B4638">
        <w:t xml:space="preserve">. This information is vital to the overall </w:t>
      </w:r>
      <w:r w:rsidR="00C006D2">
        <w:t>assessment</w:t>
      </w:r>
      <w:r w:rsidR="00C006D2" w:rsidRPr="007B4638">
        <w:t xml:space="preserve"> </w:t>
      </w:r>
      <w:r w:rsidRPr="007B4638">
        <w:t xml:space="preserve">of the </w:t>
      </w:r>
      <w:r w:rsidR="00891828">
        <w:t>PCNASP</w:t>
      </w:r>
      <w:r w:rsidRPr="007B4638">
        <w:t xml:space="preserve"> program and essential for future, successful program planning</w:t>
      </w:r>
      <w:r w:rsidR="00D317FF">
        <w:t xml:space="preserve">, </w:t>
      </w:r>
      <w:r w:rsidRPr="007B4638">
        <w:t>implementation</w:t>
      </w:r>
      <w:r w:rsidR="00D317FF">
        <w:t xml:space="preserve">, and </w:t>
      </w:r>
      <w:r w:rsidR="00D317FF" w:rsidRPr="005B2A0E">
        <w:t>sustainability</w:t>
      </w:r>
      <w:r w:rsidRPr="005B2A0E">
        <w:t xml:space="preserve">. It is anticipated that over the </w:t>
      </w:r>
      <w:r w:rsidR="00891828" w:rsidRPr="005B2A0E">
        <w:t>three</w:t>
      </w:r>
      <w:r w:rsidRPr="005B2A0E">
        <w:t xml:space="preserve">-year </w:t>
      </w:r>
      <w:r w:rsidR="00C006D2">
        <w:t>assessment</w:t>
      </w:r>
      <w:r w:rsidR="00C006D2" w:rsidRPr="005B2A0E">
        <w:t xml:space="preserve"> </w:t>
      </w:r>
      <w:r w:rsidRPr="005B2A0E">
        <w:t xml:space="preserve">period, </w:t>
      </w:r>
      <w:r w:rsidR="00A4720D" w:rsidRPr="005B2A0E">
        <w:t xml:space="preserve">program partners </w:t>
      </w:r>
      <w:r w:rsidRPr="005B2A0E">
        <w:t xml:space="preserve">will collect and report these cost data </w:t>
      </w:r>
      <w:r w:rsidR="005E1147">
        <w:rPr>
          <w:bCs/>
        </w:rPr>
        <w:t xml:space="preserve">at two time points – once in </w:t>
      </w:r>
      <w:r w:rsidR="0017789D">
        <w:rPr>
          <w:bCs/>
        </w:rPr>
        <w:t>April-May</w:t>
      </w:r>
      <w:r w:rsidR="00644813">
        <w:rPr>
          <w:bCs/>
        </w:rPr>
        <w:t xml:space="preserve"> </w:t>
      </w:r>
      <w:r w:rsidR="005E1147">
        <w:rPr>
          <w:bCs/>
        </w:rPr>
        <w:t xml:space="preserve">2018 and once in </w:t>
      </w:r>
      <w:r w:rsidR="0017789D">
        <w:rPr>
          <w:bCs/>
        </w:rPr>
        <w:t>April-May</w:t>
      </w:r>
      <w:r w:rsidR="00644813">
        <w:rPr>
          <w:bCs/>
        </w:rPr>
        <w:t xml:space="preserve"> </w:t>
      </w:r>
      <w:r w:rsidR="005E1147">
        <w:rPr>
          <w:bCs/>
        </w:rPr>
        <w:t>2019</w:t>
      </w:r>
      <w:r w:rsidRPr="005B2A0E">
        <w:t>. Reducing the respondent burden below the estimated levels (that is, reducing the frequency of the data collection) would diminish the utility of the study and inhibit the</w:t>
      </w:r>
      <w:r w:rsidRPr="007B4638">
        <w:t xml:space="preserve"> ability of </w:t>
      </w:r>
      <w:r w:rsidR="00207B0B">
        <w:t>CDC</w:t>
      </w:r>
      <w:r w:rsidRPr="007B4638">
        <w:t xml:space="preserve"> to respond to anticipated requests for cost data associated with this program. There are no legal obstacles to reduce the burden.</w:t>
      </w:r>
    </w:p>
    <w:p w14:paraId="495D1FD6" w14:textId="77777777" w:rsidR="00C32371" w:rsidRDefault="00C32371" w:rsidP="00C32371"/>
    <w:p w14:paraId="1AA22607" w14:textId="72AAEA55" w:rsidR="00891828" w:rsidRPr="00891828" w:rsidRDefault="00891828" w:rsidP="00C32371">
      <w:pPr>
        <w:rPr>
          <w:b/>
        </w:rPr>
      </w:pPr>
      <w:r w:rsidRPr="00891828">
        <w:rPr>
          <w:b/>
        </w:rPr>
        <w:t xml:space="preserve">Telephonic Interviews </w:t>
      </w:r>
    </w:p>
    <w:p w14:paraId="59998C5E" w14:textId="77777777" w:rsidR="00891828" w:rsidRDefault="00891828" w:rsidP="00C32371"/>
    <w:p w14:paraId="206DDAC5" w14:textId="0AA969F9" w:rsidR="00C32371" w:rsidRDefault="00891828" w:rsidP="00625859">
      <w:pPr>
        <w:autoSpaceDE w:val="0"/>
        <w:autoSpaceDN w:val="0"/>
        <w:adjustRightInd w:val="0"/>
        <w:spacing w:line="276" w:lineRule="auto"/>
        <w:ind w:firstLine="720"/>
      </w:pPr>
      <w:r>
        <w:t xml:space="preserve">This information collection is critical to the overall </w:t>
      </w:r>
      <w:r w:rsidR="00C006D2">
        <w:t xml:space="preserve">assessment </w:t>
      </w:r>
      <w:r>
        <w:t>of the PCNASP initiative and essential for future program planning</w:t>
      </w:r>
      <w:r w:rsidR="00442C33">
        <w:t>, developing a detailed description characterizing established comprehensive stroke systems of care, and adding to practice-based evidence in the stroke care and public health fields</w:t>
      </w:r>
      <w:r>
        <w:t xml:space="preserve">.  Without this information collection, </w:t>
      </w:r>
      <w:r w:rsidR="00207B0B">
        <w:t>CDC</w:t>
      </w:r>
      <w:r>
        <w:t xml:space="preserve"> will not be able to conduct an adequate assessme</w:t>
      </w:r>
      <w:r w:rsidR="005B2A0E">
        <w:t>nt of the programs’ operations,</w:t>
      </w:r>
      <w:r>
        <w:t xml:space="preserve"> identify and understand factors that impact successful implementation, assess efficiencies for specific mixes of strategies, or identify the cost effectiveness of funded strategies. </w:t>
      </w:r>
      <w:r w:rsidR="00C32371">
        <w:t xml:space="preserve">In-depth interviews will be conducted at </w:t>
      </w:r>
      <w:r w:rsidR="001675E3">
        <w:t>one time point</w:t>
      </w:r>
      <w:r w:rsidR="00671154">
        <w:t>:</w:t>
      </w:r>
      <w:r w:rsidR="007866CD">
        <w:t xml:space="preserve"> </w:t>
      </w:r>
      <w:r w:rsidR="00671154">
        <w:rPr>
          <w:bCs/>
        </w:rPr>
        <w:t>February 2019</w:t>
      </w:r>
      <w:r w:rsidR="001675E3">
        <w:t xml:space="preserve">. </w:t>
      </w:r>
      <w:r w:rsidR="00C32371">
        <w:t>There are no legal obstacles to reduce the burden.</w:t>
      </w:r>
    </w:p>
    <w:p w14:paraId="20972C3A" w14:textId="77777777" w:rsidR="00FF75EF" w:rsidRPr="00FF75EF" w:rsidRDefault="00FF75EF" w:rsidP="00FF75EF"/>
    <w:p w14:paraId="62887945" w14:textId="77777777" w:rsidR="00FF75EF" w:rsidRDefault="00FF75EF" w:rsidP="00FF75EF">
      <w:pPr>
        <w:pStyle w:val="Heading2"/>
        <w:rPr>
          <w:rFonts w:ascii="Times New Roman" w:hAnsi="Times New Roman" w:cs="Times New Roman"/>
          <w:b/>
          <w:color w:val="auto"/>
          <w:sz w:val="24"/>
          <w:szCs w:val="24"/>
        </w:rPr>
      </w:pPr>
      <w:bookmarkStart w:id="12" w:name="_Toc480354129"/>
      <w:r w:rsidRPr="00FF75EF">
        <w:rPr>
          <w:rFonts w:ascii="Times New Roman" w:hAnsi="Times New Roman" w:cs="Times New Roman"/>
          <w:b/>
          <w:color w:val="auto"/>
          <w:sz w:val="24"/>
          <w:szCs w:val="24"/>
        </w:rPr>
        <w:t>A.7 Special Circumstances Relating to the Guidelines of 5 CFR 1320.5</w:t>
      </w:r>
      <w:bookmarkEnd w:id="12"/>
      <w:r w:rsidRPr="00FF75EF">
        <w:rPr>
          <w:rFonts w:ascii="Times New Roman" w:hAnsi="Times New Roman" w:cs="Times New Roman"/>
          <w:b/>
          <w:color w:val="auto"/>
          <w:sz w:val="24"/>
          <w:szCs w:val="24"/>
        </w:rPr>
        <w:t xml:space="preserve"> </w:t>
      </w:r>
    </w:p>
    <w:p w14:paraId="28A141DB" w14:textId="77777777" w:rsidR="00FF75EF" w:rsidRDefault="00FF75EF" w:rsidP="00FF75EF"/>
    <w:p w14:paraId="56C55CCD" w14:textId="110D1EC3" w:rsidR="008B2B6E" w:rsidRPr="005B2A0E" w:rsidRDefault="008B2B6E" w:rsidP="0034521D">
      <w:pPr>
        <w:autoSpaceDE w:val="0"/>
        <w:autoSpaceDN w:val="0"/>
        <w:adjustRightInd w:val="0"/>
        <w:spacing w:line="276" w:lineRule="auto"/>
        <w:ind w:firstLine="720"/>
      </w:pPr>
      <w:r w:rsidRPr="005B2A0E">
        <w:t>There are no special circumstances relating to the guidelines of 5 CFR 1320.5, and the project fully complies with the regulation.</w:t>
      </w:r>
    </w:p>
    <w:p w14:paraId="3F61E054" w14:textId="77777777" w:rsidR="005B2A0E" w:rsidRPr="00064AC5" w:rsidRDefault="005B2A0E" w:rsidP="008B2B6E">
      <w:pPr>
        <w:rPr>
          <w:bCs/>
        </w:rPr>
      </w:pPr>
    </w:p>
    <w:p w14:paraId="3207E140" w14:textId="092BAD15" w:rsidR="00FF75EF" w:rsidRDefault="00FF75EF" w:rsidP="00FF75EF">
      <w:pPr>
        <w:pStyle w:val="Heading2"/>
        <w:rPr>
          <w:rFonts w:ascii="Times New Roman" w:hAnsi="Times New Roman" w:cs="Times New Roman"/>
          <w:b/>
          <w:color w:val="auto"/>
          <w:sz w:val="24"/>
          <w:szCs w:val="24"/>
        </w:rPr>
      </w:pPr>
      <w:bookmarkStart w:id="13" w:name="_Toc480354130"/>
      <w:r w:rsidRPr="00FF75EF">
        <w:rPr>
          <w:rFonts w:ascii="Times New Roman" w:hAnsi="Times New Roman" w:cs="Times New Roman"/>
          <w:b/>
          <w:color w:val="auto"/>
          <w:sz w:val="24"/>
          <w:szCs w:val="24"/>
        </w:rPr>
        <w:t xml:space="preserve">A.8 Comments in Response to the Federal Register Notice and Efforts to Consult Outside the Agency </w:t>
      </w:r>
      <w:bookmarkEnd w:id="13"/>
    </w:p>
    <w:p w14:paraId="245691F0" w14:textId="5054084C" w:rsidR="00073E01" w:rsidRDefault="00073E01" w:rsidP="00FF75EF">
      <w:pPr>
        <w:pStyle w:val="Heading2"/>
        <w:rPr>
          <w:rFonts w:ascii="Times New Roman" w:hAnsi="Times New Roman" w:cs="Times New Roman"/>
          <w:b/>
          <w:color w:val="auto"/>
          <w:sz w:val="24"/>
          <w:szCs w:val="24"/>
        </w:rPr>
      </w:pPr>
    </w:p>
    <w:p w14:paraId="69009CBE" w14:textId="27A94DF6" w:rsidR="00AA0285" w:rsidRDefault="00713EEF" w:rsidP="00AA0285">
      <w:r>
        <w:t xml:space="preserve">The 60-Day Federal Register Notice was published on Tuesday, October 10, 2017, Vol. 82, No. 194 [46993-46994].  </w:t>
      </w:r>
      <w:r w:rsidR="009C7EF0" w:rsidRPr="004450AA">
        <w:t xml:space="preserve">There were no </w:t>
      </w:r>
      <w:r>
        <w:t>public comments received</w:t>
      </w:r>
      <w:r w:rsidRPr="004450AA">
        <w:t xml:space="preserve"> </w:t>
      </w:r>
      <w:r w:rsidR="009C7EF0" w:rsidRPr="004450AA">
        <w:t>during the 60-day FRN period</w:t>
      </w:r>
      <w:r w:rsidR="004619D6">
        <w:t>.</w:t>
      </w:r>
      <w:r w:rsidR="003E6CE3">
        <w:t xml:space="preserve"> There were no additional efforts to consult outside the agency.  </w:t>
      </w:r>
    </w:p>
    <w:p w14:paraId="6B6D76D2" w14:textId="77777777" w:rsidR="004619D6" w:rsidRPr="00AA0285" w:rsidRDefault="004619D6" w:rsidP="00AA0285"/>
    <w:p w14:paraId="7B11E8E3" w14:textId="77777777" w:rsidR="00FF75EF" w:rsidRDefault="00FF75EF" w:rsidP="00FF75EF">
      <w:pPr>
        <w:pStyle w:val="Heading2"/>
        <w:rPr>
          <w:rFonts w:ascii="Times New Roman" w:hAnsi="Times New Roman" w:cs="Times New Roman"/>
          <w:b/>
          <w:color w:val="auto"/>
          <w:sz w:val="24"/>
          <w:szCs w:val="24"/>
        </w:rPr>
      </w:pPr>
      <w:bookmarkStart w:id="14" w:name="_Toc480354131"/>
      <w:r w:rsidRPr="00FF75EF">
        <w:rPr>
          <w:rFonts w:ascii="Times New Roman" w:hAnsi="Times New Roman" w:cs="Times New Roman"/>
          <w:b/>
          <w:color w:val="auto"/>
          <w:sz w:val="24"/>
          <w:szCs w:val="24"/>
        </w:rPr>
        <w:t>A.9 Explanation of Any Payment or Gift to Respondents</w:t>
      </w:r>
      <w:bookmarkEnd w:id="14"/>
      <w:r w:rsidRPr="00FF75EF">
        <w:rPr>
          <w:rFonts w:ascii="Times New Roman" w:hAnsi="Times New Roman" w:cs="Times New Roman"/>
          <w:b/>
          <w:color w:val="auto"/>
          <w:sz w:val="24"/>
          <w:szCs w:val="24"/>
        </w:rPr>
        <w:t xml:space="preserve"> </w:t>
      </w:r>
    </w:p>
    <w:p w14:paraId="79203583" w14:textId="77777777" w:rsidR="00FF75EF" w:rsidRDefault="00FF75EF" w:rsidP="00FF75EF"/>
    <w:p w14:paraId="63B1D5E7" w14:textId="20531BAD" w:rsidR="00FF75EF" w:rsidRPr="005B2A0E" w:rsidRDefault="00C32371" w:rsidP="0034521D">
      <w:pPr>
        <w:autoSpaceDE w:val="0"/>
        <w:autoSpaceDN w:val="0"/>
        <w:adjustRightInd w:val="0"/>
        <w:spacing w:line="276" w:lineRule="auto"/>
        <w:ind w:firstLine="720"/>
      </w:pPr>
      <w:r w:rsidRPr="005B2A0E">
        <w:t xml:space="preserve">No remuneration will be provided to </w:t>
      </w:r>
      <w:r w:rsidR="002762AA" w:rsidRPr="005B2A0E">
        <w:t xml:space="preserve">PCNASP </w:t>
      </w:r>
      <w:r w:rsidR="000826BA" w:rsidRPr="005B2A0E">
        <w:t>study participants</w:t>
      </w:r>
      <w:r w:rsidRPr="005B2A0E">
        <w:t xml:space="preserve">.  Grantees agreed to participate in </w:t>
      </w:r>
      <w:r w:rsidR="00C006D2">
        <w:t>assessment</w:t>
      </w:r>
      <w:r w:rsidR="00C006D2" w:rsidRPr="005B2A0E">
        <w:t xml:space="preserve"> </w:t>
      </w:r>
      <w:r w:rsidRPr="005B2A0E">
        <w:t>activities</w:t>
      </w:r>
      <w:r w:rsidR="00490774" w:rsidRPr="005B2A0E">
        <w:t xml:space="preserve"> </w:t>
      </w:r>
      <w:r w:rsidRPr="005B2A0E">
        <w:t xml:space="preserve">as a condition of </w:t>
      </w:r>
      <w:r w:rsidR="00151C7C">
        <w:t xml:space="preserve">the CDC 5-year cooperative agreement </w:t>
      </w:r>
      <w:r w:rsidRPr="005B2A0E">
        <w:t>award.</w:t>
      </w:r>
    </w:p>
    <w:p w14:paraId="2432C69B" w14:textId="77777777" w:rsidR="00C32371" w:rsidRPr="00FF75EF" w:rsidRDefault="00C32371" w:rsidP="00FF75EF"/>
    <w:p w14:paraId="3867EDBD" w14:textId="77777777" w:rsidR="00FF75EF" w:rsidRDefault="00FF75EF" w:rsidP="00FF75EF">
      <w:pPr>
        <w:pStyle w:val="Heading2"/>
        <w:rPr>
          <w:rFonts w:ascii="Times New Roman" w:hAnsi="Times New Roman" w:cs="Times New Roman"/>
          <w:b/>
          <w:color w:val="auto"/>
          <w:sz w:val="24"/>
          <w:szCs w:val="24"/>
        </w:rPr>
      </w:pPr>
      <w:bookmarkStart w:id="15" w:name="_Toc480354132"/>
      <w:r w:rsidRPr="00FF75EF">
        <w:rPr>
          <w:rFonts w:ascii="Times New Roman" w:hAnsi="Times New Roman" w:cs="Times New Roman"/>
          <w:b/>
          <w:color w:val="auto"/>
          <w:sz w:val="24"/>
          <w:szCs w:val="24"/>
        </w:rPr>
        <w:t>A.10 Protection of the Privacy and Confidentiality of Information Provided by Respondents</w:t>
      </w:r>
      <w:bookmarkEnd w:id="15"/>
      <w:r w:rsidRPr="00FF75EF">
        <w:rPr>
          <w:rFonts w:ascii="Times New Roman" w:hAnsi="Times New Roman" w:cs="Times New Roman"/>
          <w:b/>
          <w:color w:val="auto"/>
          <w:sz w:val="24"/>
          <w:szCs w:val="24"/>
        </w:rPr>
        <w:t xml:space="preserve"> </w:t>
      </w:r>
    </w:p>
    <w:p w14:paraId="061837F1" w14:textId="77777777" w:rsidR="00FF75EF" w:rsidRDefault="00FF75EF" w:rsidP="00FF75EF"/>
    <w:p w14:paraId="7B866B76" w14:textId="46CC67C0" w:rsidR="000E6544" w:rsidRDefault="00C32371" w:rsidP="0034521D">
      <w:pPr>
        <w:autoSpaceDE w:val="0"/>
        <w:autoSpaceDN w:val="0"/>
        <w:adjustRightInd w:val="0"/>
        <w:spacing w:line="276" w:lineRule="auto"/>
        <w:ind w:firstLine="720"/>
      </w:pPr>
      <w:r>
        <w:t>Respondents are local governments</w:t>
      </w:r>
      <w:r w:rsidR="00442C33">
        <w:t xml:space="preserve">, health care organizations, and health-focused </w:t>
      </w:r>
      <w:r>
        <w:t xml:space="preserve">nonprofit organizations that are providing information on their organizational structure, infrastructure, intervention strategy costs, and other expenditures.  No </w:t>
      </w:r>
      <w:r w:rsidR="000E6544">
        <w:t>information in identifiable form (</w:t>
      </w:r>
      <w:r>
        <w:t>I</w:t>
      </w:r>
      <w:r w:rsidR="000E6544">
        <w:t>I</w:t>
      </w:r>
      <w:r>
        <w:t>F</w:t>
      </w:r>
      <w:r w:rsidR="000E6544">
        <w:t>)</w:t>
      </w:r>
      <w:r>
        <w:t xml:space="preserve"> is being collected</w:t>
      </w:r>
      <w:r w:rsidR="00551E2A">
        <w:t>.</w:t>
      </w:r>
      <w:r w:rsidR="000E6544" w:rsidRPr="000E6544">
        <w:t xml:space="preserve"> </w:t>
      </w:r>
      <w:r w:rsidR="000E6544">
        <w:t xml:space="preserve">Information collection for the </w:t>
      </w:r>
      <w:r w:rsidR="00644813">
        <w:t xml:space="preserve">CCT </w:t>
      </w:r>
      <w:r w:rsidR="000E6544">
        <w:t>and i</w:t>
      </w:r>
      <w:r w:rsidR="00E20DF1">
        <w:t xml:space="preserve">nterviews is for the purpose of </w:t>
      </w:r>
      <w:r w:rsidR="000E6544">
        <w:t xml:space="preserve">assessing CDC-funded programs’ activities at the organizational level, and partner organizational costs. </w:t>
      </w:r>
    </w:p>
    <w:p w14:paraId="65863C2B" w14:textId="6CDE7638" w:rsidR="00C32371" w:rsidRDefault="00C32371" w:rsidP="000E6544">
      <w:pPr>
        <w:pStyle w:val="BodyText1"/>
        <w:spacing w:line="276" w:lineRule="auto"/>
        <w:ind w:firstLine="0"/>
      </w:pPr>
    </w:p>
    <w:p w14:paraId="38E1C713" w14:textId="77777777" w:rsidR="000E6544" w:rsidRPr="005B2A0E" w:rsidRDefault="000E6544" w:rsidP="000E6544">
      <w:pPr>
        <w:autoSpaceDE w:val="0"/>
        <w:autoSpaceDN w:val="0"/>
        <w:adjustRightInd w:val="0"/>
        <w:rPr>
          <w:b/>
        </w:rPr>
      </w:pPr>
      <w:r w:rsidRPr="005B2A0E">
        <w:rPr>
          <w:b/>
        </w:rPr>
        <w:t>Privacy Impact Assessment</w:t>
      </w:r>
    </w:p>
    <w:p w14:paraId="489F05FC" w14:textId="77777777" w:rsidR="000E6544" w:rsidRDefault="000E6544" w:rsidP="000E6544">
      <w:pPr>
        <w:autoSpaceDE w:val="0"/>
        <w:autoSpaceDN w:val="0"/>
        <w:adjustRightInd w:val="0"/>
      </w:pPr>
    </w:p>
    <w:p w14:paraId="17B56579" w14:textId="2AB4FD1B" w:rsidR="000E6544" w:rsidRDefault="000E6544" w:rsidP="0034521D">
      <w:pPr>
        <w:autoSpaceDE w:val="0"/>
        <w:autoSpaceDN w:val="0"/>
        <w:adjustRightInd w:val="0"/>
        <w:spacing w:line="276" w:lineRule="auto"/>
        <w:ind w:firstLine="720"/>
      </w:pPr>
      <w:r w:rsidRPr="001D0C95">
        <w:t>The proposed study</w:t>
      </w:r>
      <w:r>
        <w:t xml:space="preserve"> involves a minimum amount of </w:t>
      </w:r>
      <w:r w:rsidRPr="001D0C95">
        <w:t>IIF</w:t>
      </w:r>
      <w:r>
        <w:t>, and includes only contact information for each respondent (i.e., name, telephone number, and email address).</w:t>
      </w:r>
      <w:r w:rsidRPr="001D0C95">
        <w:t xml:space="preserve"> </w:t>
      </w:r>
      <w:r>
        <w:t>T</w:t>
      </w:r>
      <w:r w:rsidRPr="001D0C95">
        <w:t xml:space="preserve">he information to be obtained through surveys </w:t>
      </w:r>
      <w:r w:rsidR="00F03BF2">
        <w:t>and interviews concern</w:t>
      </w:r>
      <w:r w:rsidRPr="001D0C95">
        <w:t xml:space="preserve"> organizational activities </w:t>
      </w:r>
      <w:r w:rsidR="00F03BF2">
        <w:t xml:space="preserve">and costs </w:t>
      </w:r>
      <w:r w:rsidRPr="001D0C95">
        <w:t>rather than personal matters and is not considered highly sensitive</w:t>
      </w:r>
      <w:r w:rsidR="00F03BF2">
        <w:t>. Within interviews</w:t>
      </w:r>
      <w:r w:rsidRPr="001D0C95">
        <w:t xml:space="preserve">, respondents </w:t>
      </w:r>
      <w:r>
        <w:t xml:space="preserve">will be asked to identify their state health department, role, and </w:t>
      </w:r>
      <w:r w:rsidRPr="001D0C95">
        <w:t>perceptions about activities conducted within</w:t>
      </w:r>
      <w:r w:rsidR="006C0C2E">
        <w:t xml:space="preserve">, and facilitated by, </w:t>
      </w:r>
      <w:r w:rsidRPr="001D0C95">
        <w:t xml:space="preserve">their organization, but </w:t>
      </w:r>
      <w:r>
        <w:t xml:space="preserve">they </w:t>
      </w:r>
      <w:r w:rsidRPr="001D0C95">
        <w:t xml:space="preserve">will not be asked to provide specific names or information about individual program staff or partners. The </w:t>
      </w:r>
      <w:r w:rsidR="006C0C2E">
        <w:t>interview data</w:t>
      </w:r>
      <w:r w:rsidRPr="001D0C95">
        <w:t xml:space="preserve"> collected will focus on respondents’ thoughts and experiences related to programmatic</w:t>
      </w:r>
      <w:r w:rsidR="00F03BF2">
        <w:t xml:space="preserve"> activities</w:t>
      </w:r>
      <w:r>
        <w:t>.</w:t>
      </w:r>
      <w:r w:rsidR="006C0C2E">
        <w:t xml:space="preserve"> The cost information collected will focus on programmatic spending</w:t>
      </w:r>
      <w:r w:rsidR="00302CEE">
        <w:t xml:space="preserve">; </w:t>
      </w:r>
      <w:r w:rsidR="00644813">
        <w:t xml:space="preserve">CCT </w:t>
      </w:r>
      <w:r w:rsidR="00302CEE">
        <w:t xml:space="preserve">will not ask individuals to input any IIF. </w:t>
      </w:r>
    </w:p>
    <w:p w14:paraId="25028D07" w14:textId="77777777" w:rsidR="000E6544" w:rsidRDefault="000E6544" w:rsidP="0034521D">
      <w:pPr>
        <w:autoSpaceDE w:val="0"/>
        <w:autoSpaceDN w:val="0"/>
        <w:adjustRightInd w:val="0"/>
        <w:spacing w:line="276" w:lineRule="auto"/>
        <w:ind w:firstLine="720"/>
      </w:pPr>
    </w:p>
    <w:p w14:paraId="6DE9169D" w14:textId="2BE879BC" w:rsidR="000E6544" w:rsidRPr="001D0C95" w:rsidRDefault="000E6544" w:rsidP="0034521D">
      <w:pPr>
        <w:autoSpaceDE w:val="0"/>
        <w:autoSpaceDN w:val="0"/>
        <w:adjustRightInd w:val="0"/>
        <w:spacing w:line="276" w:lineRule="auto"/>
        <w:ind w:firstLine="720"/>
      </w:pPr>
      <w:r>
        <w:t xml:space="preserve">Survey </w:t>
      </w:r>
      <w:r w:rsidR="00207B0B">
        <w:t xml:space="preserve">and interview </w:t>
      </w:r>
      <w:r>
        <w:t xml:space="preserve">responses will be linked to respondents’ state health departments </w:t>
      </w:r>
      <w:r w:rsidR="00207B0B">
        <w:t xml:space="preserve">and roles to ensure that </w:t>
      </w:r>
      <w:r>
        <w:t>findings ca</w:t>
      </w:r>
      <w:r w:rsidR="00F03BF2">
        <w:t>n be linked to organizations and other existing organizational data</w:t>
      </w:r>
      <w:r>
        <w:t xml:space="preserve">. </w:t>
      </w:r>
      <w:r w:rsidR="00F03BF2">
        <w:t>RTI</w:t>
      </w:r>
      <w:r>
        <w:t>, t</w:t>
      </w:r>
      <w:r w:rsidRPr="001D0C95">
        <w:t xml:space="preserve">he data collection contractor, will have access to </w:t>
      </w:r>
      <w:r>
        <w:t xml:space="preserve">IIF for </w:t>
      </w:r>
      <w:r w:rsidRPr="001D0C95">
        <w:t xml:space="preserve">program </w:t>
      </w:r>
      <w:r>
        <w:t xml:space="preserve">leadership and </w:t>
      </w:r>
      <w:r w:rsidRPr="001D0C95">
        <w:t xml:space="preserve">staff </w:t>
      </w:r>
      <w:r>
        <w:t>recruited for participation.</w:t>
      </w:r>
      <w:r w:rsidRPr="001D0C95">
        <w:t xml:space="preserve"> No other personal identifiers will be collected.</w:t>
      </w:r>
    </w:p>
    <w:p w14:paraId="22157368" w14:textId="77777777" w:rsidR="000E6544" w:rsidRPr="00767AB3" w:rsidRDefault="000E6544" w:rsidP="0034521D">
      <w:pPr>
        <w:autoSpaceDE w:val="0"/>
        <w:autoSpaceDN w:val="0"/>
        <w:adjustRightInd w:val="0"/>
        <w:spacing w:line="276" w:lineRule="auto"/>
        <w:ind w:firstLine="720"/>
      </w:pPr>
    </w:p>
    <w:p w14:paraId="2BF925B0" w14:textId="685358AC" w:rsidR="000E6544" w:rsidRDefault="000E6544" w:rsidP="0034521D">
      <w:pPr>
        <w:autoSpaceDE w:val="0"/>
        <w:autoSpaceDN w:val="0"/>
        <w:adjustRightInd w:val="0"/>
        <w:spacing w:line="276" w:lineRule="auto"/>
        <w:ind w:firstLine="720"/>
      </w:pPr>
      <w:r w:rsidRPr="00FD714A">
        <w:t>IIF will be stored separately from response data. A linking file will be created and available o</w:t>
      </w:r>
      <w:r w:rsidR="00F03BF2">
        <w:t>nly to project management at RTI</w:t>
      </w:r>
      <w:r w:rsidRPr="00FD714A">
        <w:t xml:space="preserve"> International. This information will </w:t>
      </w:r>
      <w:r>
        <w:t xml:space="preserve">only </w:t>
      </w:r>
      <w:r w:rsidRPr="00FD714A">
        <w:t>be used to ensure completeness of the data files. The linking file will include the role of the respondent and their organization (and will not include the individual’s name or contact information), the date of survey</w:t>
      </w:r>
      <w:r w:rsidR="00207B0B">
        <w:t>/interview</w:t>
      </w:r>
      <w:r w:rsidRPr="00FD714A">
        <w:t xml:space="preserve"> completion, and the code assigned to the data file. This will ensure that no</w:t>
      </w:r>
      <w:r>
        <w:t xml:space="preserve"> IIF </w:t>
      </w:r>
      <w:r w:rsidRPr="00FD714A">
        <w:t xml:space="preserve">outside of the individual’s role and organization is re-linkable. </w:t>
      </w:r>
      <w:r>
        <w:t xml:space="preserve">All data files will be stored in a secure electronic folder on a password-protected shared computer drive that is only accessible by authorized project staff.  </w:t>
      </w:r>
    </w:p>
    <w:p w14:paraId="15F5243D" w14:textId="77777777" w:rsidR="0034521D" w:rsidRPr="0034521D" w:rsidRDefault="0034521D" w:rsidP="0034521D">
      <w:pPr>
        <w:pStyle w:val="BodyText1"/>
        <w:spacing w:line="276" w:lineRule="auto"/>
        <w:ind w:left="1080" w:firstLine="0"/>
      </w:pPr>
    </w:p>
    <w:p w14:paraId="69BF31FC" w14:textId="1092F12C" w:rsidR="00C32371" w:rsidRDefault="00C32371" w:rsidP="00377EAD">
      <w:pPr>
        <w:pStyle w:val="BodyText1"/>
        <w:numPr>
          <w:ilvl w:val="0"/>
          <w:numId w:val="10"/>
        </w:numPr>
        <w:spacing w:line="276" w:lineRule="auto"/>
      </w:pPr>
      <w:r>
        <w:rPr>
          <w:u w:val="single"/>
        </w:rPr>
        <w:t>Privacy Act Determination</w:t>
      </w:r>
      <w:r>
        <w:t xml:space="preserve">.  CDC has reviewed this submission and determined that the Privacy Act does not apply. Although a primary contact person will be identified for each </w:t>
      </w:r>
      <w:r w:rsidR="003F64FC">
        <w:t>grantee</w:t>
      </w:r>
      <w:r>
        <w:t xml:space="preserve">’s organization, the contact person will be speaking from their role as a representative of the responding </w:t>
      </w:r>
      <w:r w:rsidR="003F64FC">
        <w:t>PCNASP grantee’s</w:t>
      </w:r>
      <w:r>
        <w:t xml:space="preserve"> organization</w:t>
      </w:r>
      <w:r w:rsidR="007D6AFE">
        <w:t xml:space="preserve"> or partner organization</w:t>
      </w:r>
      <w:r>
        <w:t>. The information collection does not involve collection of sensitive or personal information.</w:t>
      </w:r>
    </w:p>
    <w:p w14:paraId="41485B04" w14:textId="18C90421" w:rsidR="005B2A0E" w:rsidRDefault="00C32371" w:rsidP="00AB4C9B">
      <w:pPr>
        <w:pStyle w:val="BodyText1"/>
        <w:numPr>
          <w:ilvl w:val="0"/>
          <w:numId w:val="10"/>
        </w:numPr>
        <w:spacing w:line="276" w:lineRule="auto"/>
      </w:pPr>
      <w:r>
        <w:rPr>
          <w:u w:val="single"/>
        </w:rPr>
        <w:t>Safeguards</w:t>
      </w:r>
      <w:r>
        <w:t xml:space="preserve">.  </w:t>
      </w:r>
      <w:r w:rsidR="005B2A0E">
        <w:t xml:space="preserve">For the </w:t>
      </w:r>
      <w:r w:rsidR="00644813">
        <w:t>CCT</w:t>
      </w:r>
      <w:r w:rsidR="005B2A0E">
        <w:t xml:space="preserve">, data collection will be conducted via a </w:t>
      </w:r>
      <w:r w:rsidR="0047598E">
        <w:t xml:space="preserve">secure </w:t>
      </w:r>
      <w:r w:rsidR="005B2A0E">
        <w:t>Web-based instrument managed by RTI</w:t>
      </w:r>
      <w:r w:rsidR="00207B0B">
        <w:t xml:space="preserve"> International</w:t>
      </w:r>
      <w:r w:rsidR="005B2A0E">
        <w:t xml:space="preserve">. Data will be submitted to CDC according to approved Internet-based communication protocols. Access to the Web-based </w:t>
      </w:r>
      <w:r w:rsidR="00644813">
        <w:t xml:space="preserve">CCT </w:t>
      </w:r>
      <w:r w:rsidR="005B2A0E">
        <w:t xml:space="preserve">system will be controlled by a password-protected login that allows varying degrees of access for RTI staff, CDC personnel, and project personnel associated with each PCNASP partner organization. </w:t>
      </w:r>
      <w:r w:rsidR="003373BD">
        <w:t>Identifiable partner data will not be shared with grantees</w:t>
      </w:r>
      <w:r w:rsidR="005B2A0E">
        <w:t xml:space="preserve">. The systems to be put in place will ensure that stored information is accessible to authorized users yet secure. </w:t>
      </w:r>
      <w:r w:rsidR="00AB4C9B">
        <w:t>We are collecting o</w:t>
      </w:r>
      <w:r w:rsidR="007866CD">
        <w:t xml:space="preserve">ther data that are not included in this information collection request; these </w:t>
      </w:r>
      <w:r w:rsidR="00AB4C9B">
        <w:t xml:space="preserve">data are collected from all nine PCNASP grantees. Since there are only nine PCNASP grantees, this other data collection could never be directed at 10 or more respondents and – therefore – does not require Paperwork Reduction Act Clearance. </w:t>
      </w:r>
    </w:p>
    <w:p w14:paraId="0FD87FD3" w14:textId="55F7E8CA" w:rsidR="005B2A0E" w:rsidRDefault="005B2A0E" w:rsidP="005B2A0E">
      <w:pPr>
        <w:pStyle w:val="BodyText1"/>
        <w:spacing w:line="276" w:lineRule="auto"/>
        <w:ind w:left="1080" w:firstLine="0"/>
      </w:pPr>
      <w:r>
        <w:t xml:space="preserve">Data collection for the telephonic interviews will take place on a secure telephone line that is passcode-protected. </w:t>
      </w:r>
      <w:r w:rsidRPr="00891828">
        <w:t xml:space="preserve">Data from telephonic interviews </w:t>
      </w:r>
      <w:r>
        <w:t xml:space="preserve">will be securely stored on RTI servers. Furthermore, data will be de-identified to protect the </w:t>
      </w:r>
      <w:r w:rsidR="007457B6">
        <w:t xml:space="preserve">confidentiality </w:t>
      </w:r>
      <w:r>
        <w:t xml:space="preserve">of respondents. </w:t>
      </w:r>
    </w:p>
    <w:p w14:paraId="7FAC6D2F" w14:textId="77777777" w:rsidR="005B2A0E" w:rsidRPr="005B2A0E" w:rsidRDefault="005B2A0E" w:rsidP="005B2A0E">
      <w:pPr>
        <w:pStyle w:val="BodyText1"/>
        <w:spacing w:line="276" w:lineRule="auto"/>
        <w:ind w:left="1080" w:firstLine="0"/>
      </w:pPr>
      <w:r>
        <w:t xml:space="preserve">Although the data collection contractor will have temporary access to identifiable information for recruitment and scheduling purposes, response data will not be recorded in a manner that can be linked to respondent identifiers. The contractor will assign each respondent a unique identifier code, and will store and analyze data by identifier code. The personal contact information for respondents will not be used for analysis or reporting purposes. </w:t>
      </w:r>
      <w:r w:rsidRPr="005B2A0E">
        <w:t xml:space="preserve">All data collected will be analyzed in aggregate and discussed in summary reports that do not contain any personal identifiers.  </w:t>
      </w:r>
    </w:p>
    <w:p w14:paraId="26E4BDF1" w14:textId="2ABF3990" w:rsidR="005B2A0E" w:rsidRDefault="005B2A0E" w:rsidP="005B2A0E">
      <w:pPr>
        <w:pStyle w:val="BodyText1"/>
        <w:spacing w:line="276" w:lineRule="auto"/>
        <w:ind w:left="1080" w:firstLine="0"/>
      </w:pPr>
      <w:r>
        <w:t xml:space="preserve">Study information and data, including contact information for respondents, </w:t>
      </w:r>
      <w:r w:rsidR="00961F02">
        <w:t xml:space="preserve">linking identifiers, and </w:t>
      </w:r>
      <w:r>
        <w:t xml:space="preserve">responses, will be destroyed within </w:t>
      </w:r>
      <w:r w:rsidR="00E20DF1">
        <w:t>3</w:t>
      </w:r>
      <w:r>
        <w:t xml:space="preserve"> </w:t>
      </w:r>
      <w:r w:rsidRPr="00D67C5B">
        <w:t>years</w:t>
      </w:r>
      <w:r>
        <w:t xml:space="preserve"> of the project end date. </w:t>
      </w:r>
      <w:r w:rsidRPr="00C57D73">
        <w:t xml:space="preserve">All electronic </w:t>
      </w:r>
      <w:r>
        <w:t xml:space="preserve">data files (e.g. </w:t>
      </w:r>
      <w:r w:rsidR="00E20DF1">
        <w:t>interview transcripts</w:t>
      </w:r>
      <w:r>
        <w:t>)</w:t>
      </w:r>
      <w:r w:rsidRPr="00C57D73">
        <w:t xml:space="preserve"> will be stored at </w:t>
      </w:r>
      <w:r>
        <w:t>RTI</w:t>
      </w:r>
      <w:r w:rsidRPr="00C57D73">
        <w:t xml:space="preserve"> on a project share</w:t>
      </w:r>
      <w:r>
        <w:t>d</w:t>
      </w:r>
      <w:r w:rsidRPr="00C57D73">
        <w:t xml:space="preserve"> drive on </w:t>
      </w:r>
      <w:r>
        <w:t>RTI’s</w:t>
      </w:r>
      <w:r w:rsidRPr="00C57D73">
        <w:t xml:space="preserve"> secure network servers; only project staff who have been authorized by the project </w:t>
      </w:r>
      <w:r>
        <w:t>manager</w:t>
      </w:r>
      <w:r w:rsidRPr="00C57D73">
        <w:t xml:space="preserve"> can access the share</w:t>
      </w:r>
      <w:r>
        <w:t>d</w:t>
      </w:r>
      <w:r w:rsidRPr="00C57D73">
        <w:t xml:space="preserve"> drive</w:t>
      </w:r>
      <w:r>
        <w:t xml:space="preserve">. </w:t>
      </w:r>
    </w:p>
    <w:p w14:paraId="125707CD" w14:textId="6ABF0587" w:rsidR="008A4364" w:rsidRPr="008A4364" w:rsidRDefault="00C32371" w:rsidP="008A4364">
      <w:pPr>
        <w:pStyle w:val="BodyText1"/>
        <w:numPr>
          <w:ilvl w:val="0"/>
          <w:numId w:val="10"/>
        </w:numPr>
        <w:spacing w:line="276" w:lineRule="auto"/>
      </w:pPr>
      <w:r w:rsidRPr="005B2A0E">
        <w:rPr>
          <w:u w:val="single"/>
        </w:rPr>
        <w:t>Consent</w:t>
      </w:r>
      <w:r>
        <w:t xml:space="preserve">.  Because the information collection does not involve research with human subjects, IRB approval and individual consent requirements are not applicable. </w:t>
      </w:r>
      <w:r w:rsidR="003316E0" w:rsidRPr="008A4364">
        <w:rPr>
          <w:bCs/>
        </w:rPr>
        <w:t>An informed consent statement will be included on the cover page of the survey instrument</w:t>
      </w:r>
      <w:r w:rsidR="004D37A0" w:rsidRPr="008A4364">
        <w:rPr>
          <w:bCs/>
        </w:rPr>
        <w:t xml:space="preserve"> or interview</w:t>
      </w:r>
      <w:r w:rsidR="003316E0" w:rsidRPr="008A4364">
        <w:rPr>
          <w:bCs/>
        </w:rPr>
        <w:t xml:space="preserve"> prior to the instrument questions (</w:t>
      </w:r>
      <w:r w:rsidR="003316E0" w:rsidRPr="0049699E">
        <w:rPr>
          <w:b/>
          <w:bCs/>
          <w:i/>
        </w:rPr>
        <w:t xml:space="preserve">Attachment </w:t>
      </w:r>
      <w:r w:rsidR="004B04FE" w:rsidRPr="0049699E">
        <w:rPr>
          <w:b/>
          <w:bCs/>
          <w:i/>
        </w:rPr>
        <w:t>A</w:t>
      </w:r>
      <w:r w:rsidR="004B04FE">
        <w:rPr>
          <w:b/>
          <w:bCs/>
          <w:i/>
        </w:rPr>
        <w:t>5</w:t>
      </w:r>
      <w:r w:rsidR="004B7292" w:rsidRPr="0049699E">
        <w:rPr>
          <w:b/>
          <w:bCs/>
          <w:i/>
        </w:rPr>
        <w:t>-</w:t>
      </w:r>
      <w:r w:rsidR="004B04FE" w:rsidRPr="0049699E">
        <w:rPr>
          <w:b/>
          <w:bCs/>
          <w:i/>
        </w:rPr>
        <w:t>A</w:t>
      </w:r>
      <w:r w:rsidR="004B04FE">
        <w:rPr>
          <w:b/>
          <w:bCs/>
          <w:i/>
        </w:rPr>
        <w:t>9</w:t>
      </w:r>
      <w:r w:rsidR="003316E0" w:rsidRPr="008A4364">
        <w:rPr>
          <w:bCs/>
        </w:rPr>
        <w:t xml:space="preserve">). </w:t>
      </w:r>
    </w:p>
    <w:p w14:paraId="0B475E07" w14:textId="2FD2F8AC" w:rsidR="003316E0" w:rsidRDefault="003316E0" w:rsidP="008A4364">
      <w:pPr>
        <w:pStyle w:val="BodyText1"/>
        <w:spacing w:line="276" w:lineRule="auto"/>
        <w:ind w:left="1080" w:firstLine="0"/>
        <w:rPr>
          <w:bCs/>
        </w:rPr>
      </w:pPr>
      <w:r w:rsidRPr="008A4364">
        <w:rPr>
          <w:bCs/>
        </w:rPr>
        <w:t xml:space="preserve">The consent statement informs participants </w:t>
      </w:r>
      <w:r w:rsidR="004D37A0" w:rsidRPr="008A4364">
        <w:rPr>
          <w:bCs/>
        </w:rPr>
        <w:t xml:space="preserve">of how the data will be used and </w:t>
      </w:r>
      <w:r w:rsidRPr="008A4364">
        <w:rPr>
          <w:bCs/>
        </w:rPr>
        <w:t>that their participation i</w:t>
      </w:r>
      <w:r w:rsidR="004D37A0" w:rsidRPr="008A4364">
        <w:rPr>
          <w:bCs/>
        </w:rPr>
        <w:t>n the survey and interviews is voluntary. T</w:t>
      </w:r>
      <w:r w:rsidRPr="008A4364">
        <w:rPr>
          <w:bCs/>
        </w:rPr>
        <w:t>hey can choose not to answer individual questions, end the survey</w:t>
      </w:r>
      <w:r w:rsidR="004D37A0" w:rsidRPr="008A4364">
        <w:rPr>
          <w:bCs/>
        </w:rPr>
        <w:t xml:space="preserve"> or interview</w:t>
      </w:r>
      <w:r w:rsidRPr="008A4364">
        <w:rPr>
          <w:bCs/>
        </w:rPr>
        <w:t xml:space="preserve"> at any time, or decline participation without penalty. Whether or not individuals choose to participate will not impact current or future funding.  Respondents will be required to either agree to or decline participation prior to completing the survey</w:t>
      </w:r>
      <w:r w:rsidR="004D37A0" w:rsidRPr="008A4364">
        <w:rPr>
          <w:bCs/>
        </w:rPr>
        <w:t xml:space="preserve"> or interview</w:t>
      </w:r>
      <w:r w:rsidR="008A4364">
        <w:rPr>
          <w:bCs/>
        </w:rPr>
        <w:t>.</w:t>
      </w:r>
    </w:p>
    <w:p w14:paraId="4B9AB6F9" w14:textId="6C97B3EC" w:rsidR="008A4364" w:rsidRPr="008A4364" w:rsidRDefault="008A4364" w:rsidP="008A4364">
      <w:pPr>
        <w:pStyle w:val="BodyText1"/>
        <w:spacing w:line="276" w:lineRule="auto"/>
        <w:ind w:left="1080" w:firstLine="0"/>
      </w:pPr>
      <w:r>
        <w:rPr>
          <w:bCs/>
        </w:rPr>
        <w:t>As part of the informed consent, respondents will be asked</w:t>
      </w:r>
      <w:r>
        <w:t xml:space="preserve"> to grant permission for the interview team to audio record the interview for note taking and clarification purposes only.  The audio tapes will be destroyed once they have been used to fill in any gaps in the notes taken by the note taker.  </w:t>
      </w:r>
    </w:p>
    <w:p w14:paraId="4AF099C1" w14:textId="77777777" w:rsidR="003316E0" w:rsidRDefault="003316E0" w:rsidP="003316E0">
      <w:pPr>
        <w:pStyle w:val="BodyText1"/>
        <w:spacing w:line="276" w:lineRule="auto"/>
        <w:ind w:left="720" w:firstLine="0"/>
      </w:pPr>
    </w:p>
    <w:p w14:paraId="51234289" w14:textId="70F544C0" w:rsidR="00C32371" w:rsidRDefault="00C32371" w:rsidP="00377EAD">
      <w:pPr>
        <w:pStyle w:val="BodyText1"/>
        <w:numPr>
          <w:ilvl w:val="0"/>
          <w:numId w:val="10"/>
        </w:numPr>
        <w:spacing w:line="276" w:lineRule="auto"/>
      </w:pPr>
      <w:r>
        <w:rPr>
          <w:u w:val="single"/>
        </w:rPr>
        <w:t>Nature of Response</w:t>
      </w:r>
      <w:r>
        <w:t xml:space="preserve">.  No IIF is being collected.  The proposed collection will have little or no effect on the respondent’s privacy.  </w:t>
      </w:r>
      <w:r w:rsidR="005F404C">
        <w:t>Participation in the survey is voluntary for all participants; respondents who decline participation will not face penalty of any kind.</w:t>
      </w:r>
    </w:p>
    <w:p w14:paraId="50BC5E9B" w14:textId="77777777" w:rsidR="00C32371" w:rsidRPr="00FF75EF" w:rsidRDefault="00C32371" w:rsidP="00FF75EF"/>
    <w:p w14:paraId="44784200" w14:textId="77777777" w:rsidR="00241025" w:rsidRDefault="00241025">
      <w:pPr>
        <w:spacing w:after="160" w:line="259" w:lineRule="auto"/>
        <w:rPr>
          <w:rFonts w:eastAsiaTheme="majorEastAsia"/>
          <w:b/>
        </w:rPr>
      </w:pPr>
      <w:bookmarkStart w:id="16" w:name="_Toc480354133"/>
      <w:r>
        <w:rPr>
          <w:b/>
        </w:rPr>
        <w:br w:type="page"/>
      </w:r>
    </w:p>
    <w:p w14:paraId="6CE9C029" w14:textId="3206A86E" w:rsidR="00FF75EF" w:rsidRDefault="00FF75EF" w:rsidP="00FF75EF">
      <w:pPr>
        <w:pStyle w:val="Heading2"/>
        <w:rPr>
          <w:rFonts w:ascii="Times New Roman" w:hAnsi="Times New Roman" w:cs="Times New Roman"/>
          <w:b/>
          <w:color w:val="auto"/>
          <w:sz w:val="24"/>
          <w:szCs w:val="24"/>
        </w:rPr>
      </w:pPr>
      <w:r w:rsidRPr="00FF75EF">
        <w:rPr>
          <w:rFonts w:ascii="Times New Roman" w:hAnsi="Times New Roman" w:cs="Times New Roman"/>
          <w:b/>
          <w:color w:val="auto"/>
          <w:sz w:val="24"/>
          <w:szCs w:val="24"/>
        </w:rPr>
        <w:t>A.11 Institutional Review Board (IRB) and Justification for Sensitive Questions</w:t>
      </w:r>
      <w:bookmarkEnd w:id="16"/>
      <w:r w:rsidRPr="00FF75EF">
        <w:rPr>
          <w:rFonts w:ascii="Times New Roman" w:hAnsi="Times New Roman" w:cs="Times New Roman"/>
          <w:b/>
          <w:color w:val="auto"/>
          <w:sz w:val="24"/>
          <w:szCs w:val="24"/>
        </w:rPr>
        <w:t xml:space="preserve"> </w:t>
      </w:r>
    </w:p>
    <w:p w14:paraId="5E7DE266" w14:textId="77777777" w:rsidR="00FF75EF" w:rsidRDefault="00FF75EF" w:rsidP="00FF75EF"/>
    <w:p w14:paraId="4768357E" w14:textId="2F597862" w:rsidR="003A0622" w:rsidRDefault="00C32371" w:rsidP="00377EAD">
      <w:pPr>
        <w:pStyle w:val="BodyText1"/>
        <w:spacing w:line="276" w:lineRule="auto"/>
      </w:pPr>
      <w:r>
        <w:t xml:space="preserve">We are collecting program-level cost </w:t>
      </w:r>
      <w:r w:rsidR="00576A24">
        <w:t xml:space="preserve">and qualitative implementation data. We are </w:t>
      </w:r>
      <w:r w:rsidR="008E6558">
        <w:t xml:space="preserve">not </w:t>
      </w:r>
      <w:r w:rsidR="00576A24">
        <w:t xml:space="preserve">collecting </w:t>
      </w:r>
      <w:r w:rsidR="008E6558">
        <w:t xml:space="preserve">individual-level data. This </w:t>
      </w:r>
      <w:r w:rsidR="00C006D2">
        <w:t xml:space="preserve">assessment </w:t>
      </w:r>
      <w:r>
        <w:t>does not request sensitive or personally identifiable information.</w:t>
      </w:r>
      <w:r w:rsidR="002F0CA6">
        <w:t xml:space="preserve"> </w:t>
      </w:r>
    </w:p>
    <w:p w14:paraId="3E9974B5" w14:textId="3D43F578" w:rsidR="002F0CA6" w:rsidRPr="00073E01" w:rsidRDefault="003316E0" w:rsidP="00073E01">
      <w:pPr>
        <w:pStyle w:val="BodyText"/>
        <w:spacing w:line="276" w:lineRule="auto"/>
        <w:ind w:firstLine="720"/>
        <w:rPr>
          <w:b/>
          <w:bCs/>
        </w:rPr>
      </w:pPr>
      <w:r>
        <w:rPr>
          <w:rFonts w:ascii="Times New Roman" w:hAnsi="Times New Roman"/>
          <w:lang w:val="en-US"/>
        </w:rPr>
        <w:t>CDC’s</w:t>
      </w:r>
      <w:r w:rsidR="002F0CA6">
        <w:rPr>
          <w:rFonts w:ascii="Times New Roman" w:hAnsi="Times New Roman"/>
          <w:lang w:val="en-US"/>
        </w:rPr>
        <w:t xml:space="preserve"> information collection contractor’s Institutional Review Board (IRB) determined that this project does not constitute research with human subjects as defined by the US Code of Federal Regulations (45 CFR 46.102). RTI’s IRB determination memorandum is included </w:t>
      </w:r>
      <w:r w:rsidR="002F0CA6" w:rsidRPr="00F30A43">
        <w:rPr>
          <w:rFonts w:ascii="Times New Roman" w:hAnsi="Times New Roman"/>
          <w:lang w:val="en-US"/>
        </w:rPr>
        <w:t xml:space="preserve">as </w:t>
      </w:r>
      <w:r w:rsidR="002F0CA6" w:rsidRPr="008A2D86">
        <w:rPr>
          <w:rFonts w:ascii="Times New Roman" w:hAnsi="Times New Roman"/>
          <w:b/>
          <w:i/>
          <w:lang w:val="en-US"/>
        </w:rPr>
        <w:t xml:space="preserve">Attachment </w:t>
      </w:r>
      <w:r w:rsidR="004B04FE" w:rsidRPr="008A2D86">
        <w:rPr>
          <w:rFonts w:ascii="Times New Roman" w:hAnsi="Times New Roman"/>
          <w:b/>
          <w:i/>
          <w:lang w:val="en-US"/>
        </w:rPr>
        <w:t>A</w:t>
      </w:r>
      <w:r w:rsidR="004B04FE">
        <w:rPr>
          <w:rFonts w:ascii="Times New Roman" w:hAnsi="Times New Roman"/>
          <w:b/>
          <w:i/>
          <w:lang w:val="en-US"/>
        </w:rPr>
        <w:t>4</w:t>
      </w:r>
      <w:r w:rsidR="002F0CA6" w:rsidRPr="00F30A43">
        <w:rPr>
          <w:rFonts w:ascii="Times New Roman" w:hAnsi="Times New Roman"/>
          <w:b/>
          <w:lang w:val="en-US"/>
        </w:rPr>
        <w:t>.</w:t>
      </w:r>
    </w:p>
    <w:p w14:paraId="6193DE4F" w14:textId="5753CC90" w:rsidR="00FF75EF" w:rsidRDefault="00FF75EF" w:rsidP="00FF75EF">
      <w:pPr>
        <w:pStyle w:val="Heading2"/>
        <w:rPr>
          <w:rFonts w:ascii="Times New Roman" w:hAnsi="Times New Roman" w:cs="Times New Roman"/>
          <w:b/>
          <w:color w:val="auto"/>
          <w:sz w:val="24"/>
          <w:szCs w:val="24"/>
        </w:rPr>
      </w:pPr>
      <w:bookmarkStart w:id="17" w:name="_Toc480354134"/>
      <w:r w:rsidRPr="00FF75EF">
        <w:rPr>
          <w:rFonts w:ascii="Times New Roman" w:hAnsi="Times New Roman" w:cs="Times New Roman"/>
          <w:b/>
          <w:color w:val="auto"/>
          <w:sz w:val="24"/>
          <w:szCs w:val="24"/>
        </w:rPr>
        <w:t>A.12 Estimates of Annualized Burden Hours and Costs</w:t>
      </w:r>
      <w:bookmarkEnd w:id="17"/>
      <w:r w:rsidRPr="00FF75EF">
        <w:rPr>
          <w:rFonts w:ascii="Times New Roman" w:hAnsi="Times New Roman" w:cs="Times New Roman"/>
          <w:b/>
          <w:color w:val="auto"/>
          <w:sz w:val="24"/>
          <w:szCs w:val="24"/>
        </w:rPr>
        <w:t xml:space="preserve"> </w:t>
      </w:r>
    </w:p>
    <w:p w14:paraId="00C45FAF" w14:textId="77777777" w:rsidR="00FF75EF" w:rsidRDefault="00FF75EF" w:rsidP="00FF75EF"/>
    <w:p w14:paraId="2BD464C6" w14:textId="77777777" w:rsidR="008B05B7" w:rsidRPr="008B05B7" w:rsidRDefault="008B05B7" w:rsidP="008B05B7">
      <w:pPr>
        <w:rPr>
          <w:b/>
          <w:bCs/>
          <w:i/>
          <w:iCs/>
        </w:rPr>
      </w:pPr>
      <w:bookmarkStart w:id="18" w:name="_Toc275433774"/>
      <w:bookmarkStart w:id="19" w:name="_Toc307224707"/>
      <w:r w:rsidRPr="008B05B7">
        <w:rPr>
          <w:b/>
          <w:bCs/>
          <w:i/>
          <w:iCs/>
        </w:rPr>
        <w:t>A.12.1</w:t>
      </w:r>
      <w:r w:rsidRPr="008B05B7">
        <w:rPr>
          <w:b/>
          <w:bCs/>
          <w:i/>
          <w:iCs/>
        </w:rPr>
        <w:tab/>
        <w:t>Estimated Annualized Burden Hours</w:t>
      </w:r>
      <w:bookmarkEnd w:id="18"/>
      <w:bookmarkEnd w:id="19"/>
    </w:p>
    <w:p w14:paraId="0A087B84" w14:textId="77777777" w:rsidR="003A0622" w:rsidRDefault="003A0622" w:rsidP="00FF75EF"/>
    <w:p w14:paraId="355F534A" w14:textId="53607344" w:rsidR="003316E0" w:rsidRDefault="00E577FB" w:rsidP="0034521D">
      <w:pPr>
        <w:autoSpaceDE w:val="0"/>
        <w:autoSpaceDN w:val="0"/>
        <w:adjustRightInd w:val="0"/>
        <w:spacing w:line="276" w:lineRule="auto"/>
        <w:rPr>
          <w:bCs/>
        </w:rPr>
      </w:pPr>
      <w:r>
        <w:tab/>
      </w:r>
      <w:r w:rsidR="003316E0" w:rsidRPr="009C312E">
        <w:rPr>
          <w:bCs/>
        </w:rPr>
        <w:t>OM</w:t>
      </w:r>
      <w:r w:rsidR="003316E0">
        <w:rPr>
          <w:bCs/>
        </w:rPr>
        <w:t xml:space="preserve">B approval is requested for three </w:t>
      </w:r>
      <w:r w:rsidR="003316E0" w:rsidRPr="009C312E">
        <w:rPr>
          <w:bCs/>
        </w:rPr>
        <w:t>years.</w:t>
      </w:r>
      <w:r w:rsidR="003316E0" w:rsidRPr="00CD7036">
        <w:rPr>
          <w:bCs/>
        </w:rPr>
        <w:t xml:space="preserve"> Over this period, CDC will administer the </w:t>
      </w:r>
      <w:r w:rsidR="00644813">
        <w:rPr>
          <w:bCs/>
        </w:rPr>
        <w:t xml:space="preserve">CCT </w:t>
      </w:r>
      <w:r w:rsidR="003316E0">
        <w:rPr>
          <w:bCs/>
        </w:rPr>
        <w:t xml:space="preserve">Survey at two time points – once in </w:t>
      </w:r>
      <w:r w:rsidR="0017789D">
        <w:rPr>
          <w:bCs/>
        </w:rPr>
        <w:t>April-May</w:t>
      </w:r>
      <w:r w:rsidR="00644813">
        <w:rPr>
          <w:bCs/>
        </w:rPr>
        <w:t xml:space="preserve"> </w:t>
      </w:r>
      <w:r w:rsidR="003316E0">
        <w:rPr>
          <w:bCs/>
        </w:rPr>
        <w:t xml:space="preserve">2018 and once in </w:t>
      </w:r>
      <w:r w:rsidR="0017789D">
        <w:rPr>
          <w:bCs/>
        </w:rPr>
        <w:t>April-May</w:t>
      </w:r>
      <w:r w:rsidR="00644813">
        <w:rPr>
          <w:bCs/>
        </w:rPr>
        <w:t xml:space="preserve"> </w:t>
      </w:r>
      <w:r w:rsidR="003316E0">
        <w:rPr>
          <w:bCs/>
        </w:rPr>
        <w:t>2019. The interviews will be completed on</w:t>
      </w:r>
      <w:r w:rsidR="00961F02">
        <w:rPr>
          <w:bCs/>
        </w:rPr>
        <w:t>c</w:t>
      </w:r>
      <w:r w:rsidR="003316E0">
        <w:rPr>
          <w:bCs/>
        </w:rPr>
        <w:t xml:space="preserve">e in February 2019. </w:t>
      </w:r>
      <w:r w:rsidR="003316E0" w:rsidRPr="0065318D">
        <w:rPr>
          <w:bCs/>
        </w:rPr>
        <w:t xml:space="preserve">Annualized estimates of the number of respondents involved in </w:t>
      </w:r>
      <w:r w:rsidR="003316E0">
        <w:rPr>
          <w:bCs/>
        </w:rPr>
        <w:t>the information collection activities</w:t>
      </w:r>
      <w:r w:rsidR="003316E0" w:rsidRPr="0065318D">
        <w:rPr>
          <w:bCs/>
        </w:rPr>
        <w:t xml:space="preserve"> are provided below</w:t>
      </w:r>
      <w:r w:rsidR="003316E0">
        <w:rPr>
          <w:bCs/>
        </w:rPr>
        <w:t>.</w:t>
      </w:r>
      <w:r w:rsidR="003316E0" w:rsidRPr="00CD7036">
        <w:rPr>
          <w:bCs/>
        </w:rPr>
        <w:t xml:space="preserve"> </w:t>
      </w:r>
    </w:p>
    <w:p w14:paraId="7896ADEC" w14:textId="77777777" w:rsidR="0034521D" w:rsidRDefault="0034521D" w:rsidP="0034521D">
      <w:pPr>
        <w:pStyle w:val="ListParagraph"/>
        <w:autoSpaceDE w:val="0"/>
        <w:autoSpaceDN w:val="0"/>
        <w:adjustRightInd w:val="0"/>
        <w:spacing w:line="276" w:lineRule="auto"/>
      </w:pPr>
    </w:p>
    <w:p w14:paraId="266BC572" w14:textId="3DB99338" w:rsidR="00C03277" w:rsidRDefault="00576A24" w:rsidP="0034521D">
      <w:pPr>
        <w:pStyle w:val="ListParagraph"/>
        <w:numPr>
          <w:ilvl w:val="0"/>
          <w:numId w:val="16"/>
        </w:numPr>
        <w:autoSpaceDE w:val="0"/>
        <w:autoSpaceDN w:val="0"/>
        <w:adjustRightInd w:val="0"/>
        <w:spacing w:line="276" w:lineRule="auto"/>
      </w:pPr>
      <w:r>
        <w:t xml:space="preserve">To complete </w:t>
      </w:r>
      <w:r w:rsidR="003316E0">
        <w:t xml:space="preserve">the online </w:t>
      </w:r>
      <w:r w:rsidR="00644813">
        <w:t xml:space="preserve">CCT </w:t>
      </w:r>
      <w:r w:rsidR="003316E0">
        <w:t>(</w:t>
      </w:r>
      <w:r w:rsidR="003316E0" w:rsidRPr="00E912E9">
        <w:rPr>
          <w:b/>
          <w:i/>
        </w:rPr>
        <w:t xml:space="preserve">Attachment </w:t>
      </w:r>
      <w:r w:rsidR="00442C33" w:rsidRPr="00E912E9">
        <w:rPr>
          <w:b/>
          <w:i/>
        </w:rPr>
        <w:t>A2</w:t>
      </w:r>
      <w:r w:rsidR="003316E0">
        <w:t xml:space="preserve">) </w:t>
      </w:r>
      <w:r>
        <w:t xml:space="preserve">with a subset of </w:t>
      </w:r>
      <w:r w:rsidR="00551E2A">
        <w:t>program</w:t>
      </w:r>
      <w:r>
        <w:t xml:space="preserve"> partners</w:t>
      </w:r>
      <w:r w:rsidR="00551E2A">
        <w:t xml:space="preserve"> working with the nine </w:t>
      </w:r>
      <w:r w:rsidR="00C03277">
        <w:t>Coverdell-funded health departments</w:t>
      </w:r>
      <w:r>
        <w:t xml:space="preserve">, the total estimated burden to respondents is </w:t>
      </w:r>
      <w:r w:rsidR="00B67FD1">
        <w:t>820</w:t>
      </w:r>
      <w:r>
        <w:t xml:space="preserve"> hours. </w:t>
      </w:r>
      <w:r w:rsidR="00C03277">
        <w:t xml:space="preserve">The estimated burden per response is 2.0 hours. The total estimated annualized number of respondents is </w:t>
      </w:r>
      <w:r w:rsidR="00ED76EC">
        <w:t xml:space="preserve">137 </w:t>
      </w:r>
      <w:r w:rsidR="00C03277">
        <w:t xml:space="preserve">and the total estimated annualized burden is </w:t>
      </w:r>
      <w:r w:rsidR="00ED76EC">
        <w:t xml:space="preserve">274 </w:t>
      </w:r>
      <w:r w:rsidR="00C03277">
        <w:t>hours.</w:t>
      </w:r>
    </w:p>
    <w:p w14:paraId="186E7E1B" w14:textId="77777777" w:rsidR="00C03277" w:rsidRDefault="00C03277" w:rsidP="0034521D">
      <w:pPr>
        <w:autoSpaceDE w:val="0"/>
        <w:autoSpaceDN w:val="0"/>
        <w:adjustRightInd w:val="0"/>
        <w:spacing w:line="276" w:lineRule="auto"/>
      </w:pPr>
    </w:p>
    <w:p w14:paraId="7AC40C17" w14:textId="3BC54A12" w:rsidR="00E577FB" w:rsidRDefault="00E577FB" w:rsidP="0034521D">
      <w:pPr>
        <w:pStyle w:val="ListParagraph"/>
        <w:numPr>
          <w:ilvl w:val="0"/>
          <w:numId w:val="16"/>
        </w:numPr>
        <w:autoSpaceDE w:val="0"/>
        <w:autoSpaceDN w:val="0"/>
        <w:adjustRightInd w:val="0"/>
        <w:spacing w:line="276" w:lineRule="auto"/>
      </w:pPr>
      <w:r>
        <w:t xml:space="preserve">To schedule and conduct an average of </w:t>
      </w:r>
      <w:r w:rsidR="00576A24">
        <w:t>six</w:t>
      </w:r>
      <w:r>
        <w:t xml:space="preserve"> </w:t>
      </w:r>
      <w:r w:rsidR="00C03277">
        <w:t xml:space="preserve">telephone </w:t>
      </w:r>
      <w:r>
        <w:t xml:space="preserve">interviews </w:t>
      </w:r>
      <w:r w:rsidR="00C03277">
        <w:t xml:space="preserve">(see </w:t>
      </w:r>
      <w:r w:rsidR="00C03277" w:rsidRPr="008A2D86">
        <w:rPr>
          <w:b/>
          <w:i/>
        </w:rPr>
        <w:t xml:space="preserve">Attachment </w:t>
      </w:r>
      <w:r w:rsidR="004B04FE" w:rsidRPr="008A2D86">
        <w:rPr>
          <w:b/>
          <w:bCs/>
          <w:i/>
        </w:rPr>
        <w:t>A</w:t>
      </w:r>
      <w:r w:rsidR="004B04FE">
        <w:rPr>
          <w:b/>
          <w:bCs/>
          <w:i/>
        </w:rPr>
        <w:t>5</w:t>
      </w:r>
      <w:r w:rsidR="004B7292" w:rsidRPr="008A2D86">
        <w:rPr>
          <w:b/>
          <w:bCs/>
          <w:i/>
        </w:rPr>
        <w:t>-</w:t>
      </w:r>
      <w:r w:rsidR="004B04FE" w:rsidRPr="008A2D86">
        <w:rPr>
          <w:b/>
          <w:bCs/>
          <w:i/>
        </w:rPr>
        <w:t>A</w:t>
      </w:r>
      <w:r w:rsidR="004B04FE">
        <w:rPr>
          <w:b/>
          <w:bCs/>
          <w:i/>
        </w:rPr>
        <w:t>9</w:t>
      </w:r>
      <w:r w:rsidR="00C03277">
        <w:t xml:space="preserve">) </w:t>
      </w:r>
      <w:r>
        <w:t xml:space="preserve">per site at </w:t>
      </w:r>
      <w:r w:rsidR="00576A24">
        <w:t>nine</w:t>
      </w:r>
      <w:r>
        <w:t xml:space="preserve"> sites, the total estimated burden to respondents is </w:t>
      </w:r>
      <w:r w:rsidR="00576A24">
        <w:t>54</w:t>
      </w:r>
      <w:r>
        <w:t xml:space="preserve"> hours</w:t>
      </w:r>
      <w:r w:rsidR="00576A24">
        <w:t xml:space="preserve">. </w:t>
      </w:r>
      <w:r w:rsidR="00C03277">
        <w:t xml:space="preserve">Respondents will be program staff of Coverdell-funded health departments and partners. The estimated burden per response is 1.0 hour. To obtain a variety of perspectives, the interviews will be completed by up to </w:t>
      </w:r>
      <w:r w:rsidR="007745C2">
        <w:t>6</w:t>
      </w:r>
      <w:r w:rsidR="00C03277">
        <w:t xml:space="preserve"> staff per site: 1 </w:t>
      </w:r>
      <w:r w:rsidR="007745C2">
        <w:t xml:space="preserve">principal investigator, 1 grantee program manager, </w:t>
      </w:r>
      <w:r w:rsidR="00C03277">
        <w:t xml:space="preserve">1 </w:t>
      </w:r>
      <w:r w:rsidR="007745C2">
        <w:t>quality improvement specialist</w:t>
      </w:r>
      <w:r w:rsidR="00C03277">
        <w:t xml:space="preserve">, 1 </w:t>
      </w:r>
      <w:r w:rsidR="007745C2">
        <w:t>data analyst/ program evaluator</w:t>
      </w:r>
      <w:r w:rsidR="00C03277">
        <w:t xml:space="preserve">, and 2 partner support staff.  The total estimated annualized number of respondents is </w:t>
      </w:r>
      <w:r w:rsidR="00322389">
        <w:t xml:space="preserve">18 </w:t>
      </w:r>
      <w:r w:rsidR="00C03277">
        <w:t xml:space="preserve">and the total estimated annualized burden is </w:t>
      </w:r>
      <w:r w:rsidR="00322389">
        <w:t xml:space="preserve">18 </w:t>
      </w:r>
      <w:r w:rsidR="00C03277">
        <w:t xml:space="preserve">hours. </w:t>
      </w:r>
      <w:r w:rsidR="00576A24">
        <w:t>These calculations</w:t>
      </w:r>
      <w:r>
        <w:t xml:space="preserve"> </w:t>
      </w:r>
      <w:r w:rsidR="00576A24">
        <w:t>are</w:t>
      </w:r>
      <w:r>
        <w:t xml:space="preserve"> summarized in Table A.12</w:t>
      </w:r>
      <w:r w:rsidR="003316E0">
        <w:t>.1</w:t>
      </w:r>
      <w:r>
        <w:t>.</w:t>
      </w:r>
    </w:p>
    <w:p w14:paraId="20507F42" w14:textId="77777777" w:rsidR="00E577FB" w:rsidRDefault="00E577FB" w:rsidP="00FF75EF"/>
    <w:p w14:paraId="5108F3EC" w14:textId="77777777" w:rsidR="00241025" w:rsidRDefault="00241025">
      <w:pPr>
        <w:spacing w:after="160" w:line="259" w:lineRule="auto"/>
        <w:rPr>
          <w:b/>
          <w:bCs/>
          <w:szCs w:val="20"/>
        </w:rPr>
      </w:pPr>
      <w:r>
        <w:br w:type="page"/>
      </w:r>
    </w:p>
    <w:p w14:paraId="7A281574" w14:textId="57101246" w:rsidR="00E577FB" w:rsidRPr="005A2446" w:rsidRDefault="008B05B7" w:rsidP="00E577FB">
      <w:pPr>
        <w:pStyle w:val="TableTitle"/>
      </w:pPr>
      <w:r w:rsidRPr="005A2446">
        <w:t xml:space="preserve">Table </w:t>
      </w:r>
      <w:r>
        <w:t>A.12.</w:t>
      </w:r>
      <w:r w:rsidR="000442BC">
        <w:fldChar w:fldCharType="begin"/>
      </w:r>
      <w:r w:rsidR="000442BC">
        <w:instrText xml:space="preserve"> SEQ Figure \* ARABIC </w:instrText>
      </w:r>
      <w:r w:rsidR="000442BC">
        <w:fldChar w:fldCharType="separate"/>
      </w:r>
      <w:r>
        <w:rPr>
          <w:noProof/>
        </w:rPr>
        <w:t>1</w:t>
      </w:r>
      <w:r w:rsidR="000442BC">
        <w:rPr>
          <w:noProof/>
        </w:rPr>
        <w:fldChar w:fldCharType="end"/>
      </w:r>
      <w:r w:rsidRPr="005A2446">
        <w:t>.</w:t>
      </w:r>
      <w:r w:rsidRPr="005A2446">
        <w:tab/>
      </w:r>
      <w:r w:rsidR="00322389">
        <w:t xml:space="preserve">Annualized </w:t>
      </w:r>
      <w:r w:rsidRPr="005A2446">
        <w:t>Estimated Response Burden Table (Hours)</w:t>
      </w:r>
    </w:p>
    <w:tbl>
      <w:tblPr>
        <w:tblStyle w:val="TableGrid"/>
        <w:tblW w:w="9360" w:type="dxa"/>
        <w:tblInd w:w="86" w:type="dxa"/>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115" w:type="dxa"/>
          <w:right w:w="115" w:type="dxa"/>
        </w:tblCellMar>
        <w:tblLook w:val="04A0" w:firstRow="1" w:lastRow="0" w:firstColumn="1" w:lastColumn="0" w:noHBand="0" w:noVBand="1"/>
      </w:tblPr>
      <w:tblGrid>
        <w:gridCol w:w="1548"/>
        <w:gridCol w:w="2261"/>
        <w:gridCol w:w="1530"/>
        <w:gridCol w:w="1440"/>
        <w:gridCol w:w="1350"/>
        <w:gridCol w:w="1231"/>
      </w:tblGrid>
      <w:tr w:rsidR="008B05B7" w:rsidRPr="00FD40D0" w14:paraId="2F8A01B0" w14:textId="77777777" w:rsidTr="008B05B7">
        <w:trPr>
          <w:cantSplit/>
        </w:trPr>
        <w:tc>
          <w:tcPr>
            <w:tcW w:w="1548" w:type="dxa"/>
            <w:vAlign w:val="bottom"/>
          </w:tcPr>
          <w:p w14:paraId="64CCD742" w14:textId="77777777" w:rsidR="008B05B7" w:rsidRPr="00FD40D0" w:rsidRDefault="008B05B7" w:rsidP="008B05B7">
            <w:pPr>
              <w:pStyle w:val="TableHeaders"/>
              <w:rPr>
                <w:sz w:val="21"/>
                <w:szCs w:val="21"/>
              </w:rPr>
            </w:pPr>
            <w:r w:rsidRPr="00FD40D0">
              <w:rPr>
                <w:sz w:val="21"/>
                <w:szCs w:val="21"/>
              </w:rPr>
              <w:t>Type of Respondent</w:t>
            </w:r>
          </w:p>
        </w:tc>
        <w:tc>
          <w:tcPr>
            <w:tcW w:w="2261" w:type="dxa"/>
            <w:vAlign w:val="bottom"/>
          </w:tcPr>
          <w:p w14:paraId="216ADB11" w14:textId="77777777" w:rsidR="008B05B7" w:rsidRPr="00FD40D0" w:rsidRDefault="008B05B7" w:rsidP="008B05B7">
            <w:pPr>
              <w:pStyle w:val="TableHeaders"/>
              <w:rPr>
                <w:sz w:val="21"/>
                <w:szCs w:val="21"/>
              </w:rPr>
            </w:pPr>
            <w:r w:rsidRPr="00FD40D0">
              <w:rPr>
                <w:sz w:val="21"/>
                <w:szCs w:val="21"/>
              </w:rPr>
              <w:t>Form Name</w:t>
            </w:r>
          </w:p>
        </w:tc>
        <w:tc>
          <w:tcPr>
            <w:tcW w:w="1530" w:type="dxa"/>
            <w:vAlign w:val="bottom"/>
          </w:tcPr>
          <w:p w14:paraId="1B62D7B8" w14:textId="77777777" w:rsidR="008B05B7" w:rsidRPr="00FD40D0" w:rsidRDefault="008B05B7" w:rsidP="008B05B7">
            <w:pPr>
              <w:pStyle w:val="TableHeaders"/>
              <w:rPr>
                <w:sz w:val="21"/>
                <w:szCs w:val="21"/>
              </w:rPr>
            </w:pPr>
            <w:r w:rsidRPr="00FD40D0">
              <w:rPr>
                <w:sz w:val="21"/>
                <w:szCs w:val="21"/>
              </w:rPr>
              <w:t>Number of Respondents</w:t>
            </w:r>
          </w:p>
        </w:tc>
        <w:tc>
          <w:tcPr>
            <w:tcW w:w="1440" w:type="dxa"/>
            <w:vAlign w:val="bottom"/>
          </w:tcPr>
          <w:p w14:paraId="39FA7EB1" w14:textId="77777777" w:rsidR="008B05B7" w:rsidRPr="00FD40D0" w:rsidRDefault="008B05B7" w:rsidP="008B05B7">
            <w:pPr>
              <w:pStyle w:val="TableHeaders"/>
              <w:rPr>
                <w:sz w:val="21"/>
                <w:szCs w:val="21"/>
              </w:rPr>
            </w:pPr>
            <w:r w:rsidRPr="00FD40D0">
              <w:rPr>
                <w:sz w:val="21"/>
                <w:szCs w:val="21"/>
              </w:rPr>
              <w:t>Number of Responses per Respondent</w:t>
            </w:r>
          </w:p>
        </w:tc>
        <w:tc>
          <w:tcPr>
            <w:tcW w:w="1350" w:type="dxa"/>
            <w:vAlign w:val="bottom"/>
          </w:tcPr>
          <w:p w14:paraId="59DB25C4" w14:textId="77777777" w:rsidR="008B05B7" w:rsidRPr="00FD40D0" w:rsidRDefault="008B05B7" w:rsidP="008B05B7">
            <w:pPr>
              <w:pStyle w:val="TableHeaders"/>
              <w:rPr>
                <w:sz w:val="21"/>
                <w:szCs w:val="21"/>
              </w:rPr>
            </w:pPr>
            <w:r w:rsidRPr="00FD40D0">
              <w:rPr>
                <w:sz w:val="21"/>
                <w:szCs w:val="21"/>
              </w:rPr>
              <w:t>Average Burden per Response (in hours)</w:t>
            </w:r>
          </w:p>
        </w:tc>
        <w:tc>
          <w:tcPr>
            <w:tcW w:w="1231" w:type="dxa"/>
            <w:vAlign w:val="bottom"/>
          </w:tcPr>
          <w:p w14:paraId="4744A565" w14:textId="77777777" w:rsidR="008B05B7" w:rsidRPr="00FD40D0" w:rsidRDefault="008B05B7" w:rsidP="008B05B7">
            <w:pPr>
              <w:pStyle w:val="TableHeaders"/>
              <w:rPr>
                <w:sz w:val="21"/>
                <w:szCs w:val="21"/>
              </w:rPr>
            </w:pPr>
            <w:r w:rsidRPr="00FD40D0">
              <w:rPr>
                <w:sz w:val="21"/>
                <w:szCs w:val="21"/>
              </w:rPr>
              <w:t>Total Burden (in hours)</w:t>
            </w:r>
          </w:p>
        </w:tc>
      </w:tr>
      <w:tr w:rsidR="008B05B7" w:rsidRPr="00FD40D0" w14:paraId="3A41E885" w14:textId="77777777" w:rsidTr="008B05B7">
        <w:trPr>
          <w:cantSplit/>
        </w:trPr>
        <w:tc>
          <w:tcPr>
            <w:tcW w:w="1548" w:type="dxa"/>
          </w:tcPr>
          <w:p w14:paraId="13FB289C" w14:textId="52866C97" w:rsidR="008B05B7" w:rsidRPr="008C4132" w:rsidRDefault="00E912E9" w:rsidP="008B05B7">
            <w:pPr>
              <w:pStyle w:val="TableText"/>
              <w:rPr>
                <w:szCs w:val="21"/>
              </w:rPr>
            </w:pPr>
            <w:r>
              <w:rPr>
                <w:szCs w:val="21"/>
              </w:rPr>
              <w:t>Partner Program Manager</w:t>
            </w:r>
          </w:p>
        </w:tc>
        <w:tc>
          <w:tcPr>
            <w:tcW w:w="2261" w:type="dxa"/>
          </w:tcPr>
          <w:p w14:paraId="2551B181" w14:textId="2DAF568B" w:rsidR="008B05B7" w:rsidRPr="008C4132" w:rsidRDefault="008B05B7" w:rsidP="008B05B7">
            <w:pPr>
              <w:pStyle w:val="TableText"/>
              <w:rPr>
                <w:szCs w:val="21"/>
              </w:rPr>
            </w:pPr>
            <w:r w:rsidRPr="008C4132">
              <w:rPr>
                <w:szCs w:val="21"/>
              </w:rPr>
              <w:t xml:space="preserve">Cost Resource and Utilization Tool  </w:t>
            </w:r>
          </w:p>
        </w:tc>
        <w:tc>
          <w:tcPr>
            <w:tcW w:w="1530" w:type="dxa"/>
          </w:tcPr>
          <w:p w14:paraId="4A136A9E" w14:textId="737F242C" w:rsidR="008B05B7" w:rsidRPr="008C4132" w:rsidRDefault="00ED76EC" w:rsidP="00551E2A">
            <w:pPr>
              <w:pStyle w:val="TableText"/>
              <w:tabs>
                <w:tab w:val="decimal" w:pos="785"/>
              </w:tabs>
              <w:jc w:val="right"/>
              <w:rPr>
                <w:bCs/>
                <w:szCs w:val="21"/>
              </w:rPr>
            </w:pPr>
            <w:r>
              <w:rPr>
                <w:bCs/>
                <w:szCs w:val="21"/>
              </w:rPr>
              <w:t>137</w:t>
            </w:r>
          </w:p>
        </w:tc>
        <w:tc>
          <w:tcPr>
            <w:tcW w:w="1440" w:type="dxa"/>
          </w:tcPr>
          <w:p w14:paraId="65EE178C" w14:textId="6F9B9E66" w:rsidR="008B05B7" w:rsidRPr="008C4132" w:rsidRDefault="00ED76EC" w:rsidP="00551E2A">
            <w:pPr>
              <w:pStyle w:val="TableText"/>
              <w:jc w:val="right"/>
              <w:rPr>
                <w:szCs w:val="21"/>
              </w:rPr>
            </w:pPr>
            <w:r>
              <w:rPr>
                <w:szCs w:val="21"/>
              </w:rPr>
              <w:t>1</w:t>
            </w:r>
          </w:p>
        </w:tc>
        <w:tc>
          <w:tcPr>
            <w:tcW w:w="1350" w:type="dxa"/>
          </w:tcPr>
          <w:p w14:paraId="7A0A4221" w14:textId="707105CE" w:rsidR="008B05B7" w:rsidRPr="008C4132" w:rsidRDefault="008B05B7" w:rsidP="00551E2A">
            <w:pPr>
              <w:pStyle w:val="TableText"/>
              <w:jc w:val="right"/>
              <w:rPr>
                <w:szCs w:val="21"/>
              </w:rPr>
            </w:pPr>
            <w:r w:rsidRPr="008C4132">
              <w:rPr>
                <w:szCs w:val="21"/>
              </w:rPr>
              <w:t>2</w:t>
            </w:r>
          </w:p>
        </w:tc>
        <w:tc>
          <w:tcPr>
            <w:tcW w:w="1231" w:type="dxa"/>
          </w:tcPr>
          <w:p w14:paraId="7697D7E2" w14:textId="401896FB" w:rsidR="008B05B7" w:rsidRPr="008C4132" w:rsidRDefault="00ED76EC" w:rsidP="00551E2A">
            <w:pPr>
              <w:pStyle w:val="TableText"/>
              <w:tabs>
                <w:tab w:val="decimal" w:pos="605"/>
              </w:tabs>
              <w:jc w:val="right"/>
              <w:rPr>
                <w:szCs w:val="21"/>
              </w:rPr>
            </w:pPr>
            <w:r>
              <w:rPr>
                <w:szCs w:val="21"/>
              </w:rPr>
              <w:t>274</w:t>
            </w:r>
          </w:p>
        </w:tc>
      </w:tr>
      <w:tr w:rsidR="00E912E9" w:rsidRPr="00FD40D0" w14:paraId="1736DC48" w14:textId="77777777" w:rsidTr="00084587">
        <w:trPr>
          <w:cantSplit/>
        </w:trPr>
        <w:tc>
          <w:tcPr>
            <w:tcW w:w="1548" w:type="dxa"/>
            <w:vAlign w:val="center"/>
          </w:tcPr>
          <w:p w14:paraId="39B4DE8C" w14:textId="04A7E567" w:rsidR="00E912E9" w:rsidRPr="008C4132" w:rsidRDefault="00E912E9" w:rsidP="00E912E9">
            <w:pPr>
              <w:pStyle w:val="TableText"/>
              <w:rPr>
                <w:szCs w:val="21"/>
              </w:rPr>
            </w:pPr>
            <w:r>
              <w:rPr>
                <w:color w:val="000000"/>
                <w:szCs w:val="21"/>
              </w:rPr>
              <w:t>Principal Investigator</w:t>
            </w:r>
          </w:p>
        </w:tc>
        <w:tc>
          <w:tcPr>
            <w:tcW w:w="2261" w:type="dxa"/>
          </w:tcPr>
          <w:p w14:paraId="6ACA8017" w14:textId="59D1767E" w:rsidR="00E912E9" w:rsidRPr="008C4132" w:rsidRDefault="00E912E9" w:rsidP="00E912E9">
            <w:pPr>
              <w:pStyle w:val="TableText"/>
              <w:rPr>
                <w:szCs w:val="21"/>
              </w:rPr>
            </w:pPr>
            <w:r w:rsidRPr="008C4132">
              <w:rPr>
                <w:szCs w:val="21"/>
              </w:rPr>
              <w:t>Telephonic Interviews</w:t>
            </w:r>
          </w:p>
        </w:tc>
        <w:tc>
          <w:tcPr>
            <w:tcW w:w="1530" w:type="dxa"/>
          </w:tcPr>
          <w:p w14:paraId="75A0ED63" w14:textId="0A64F2A1" w:rsidR="00E912E9" w:rsidRPr="008C4132" w:rsidRDefault="00322389" w:rsidP="00E912E9">
            <w:pPr>
              <w:pStyle w:val="TableText"/>
              <w:tabs>
                <w:tab w:val="decimal" w:pos="785"/>
              </w:tabs>
              <w:jc w:val="right"/>
              <w:rPr>
                <w:bCs/>
                <w:szCs w:val="21"/>
                <w:highlight w:val="yellow"/>
              </w:rPr>
            </w:pPr>
            <w:r>
              <w:rPr>
                <w:bCs/>
                <w:szCs w:val="21"/>
              </w:rPr>
              <w:t>3</w:t>
            </w:r>
          </w:p>
        </w:tc>
        <w:tc>
          <w:tcPr>
            <w:tcW w:w="1440" w:type="dxa"/>
          </w:tcPr>
          <w:p w14:paraId="39BFD2B2" w14:textId="61E05A1A" w:rsidR="00E912E9" w:rsidRPr="008C4132" w:rsidRDefault="00E912E9" w:rsidP="00E912E9">
            <w:pPr>
              <w:pStyle w:val="TableText"/>
              <w:jc w:val="right"/>
              <w:rPr>
                <w:szCs w:val="21"/>
              </w:rPr>
            </w:pPr>
            <w:r w:rsidRPr="008C4132">
              <w:rPr>
                <w:szCs w:val="21"/>
              </w:rPr>
              <w:t>1</w:t>
            </w:r>
          </w:p>
        </w:tc>
        <w:tc>
          <w:tcPr>
            <w:tcW w:w="1350" w:type="dxa"/>
          </w:tcPr>
          <w:p w14:paraId="0F02C784" w14:textId="1B0043C6" w:rsidR="00E912E9" w:rsidRPr="008C4132" w:rsidRDefault="00E912E9" w:rsidP="00E912E9">
            <w:pPr>
              <w:pStyle w:val="TableText"/>
              <w:jc w:val="right"/>
              <w:rPr>
                <w:szCs w:val="21"/>
              </w:rPr>
            </w:pPr>
            <w:r w:rsidRPr="008C4132">
              <w:rPr>
                <w:szCs w:val="21"/>
              </w:rPr>
              <w:t>1</w:t>
            </w:r>
          </w:p>
        </w:tc>
        <w:tc>
          <w:tcPr>
            <w:tcW w:w="1231" w:type="dxa"/>
          </w:tcPr>
          <w:p w14:paraId="78ACC60D" w14:textId="5DBCBCFD" w:rsidR="00E912E9" w:rsidRPr="008C4132" w:rsidRDefault="00322389" w:rsidP="00E912E9">
            <w:pPr>
              <w:pStyle w:val="TableText"/>
              <w:tabs>
                <w:tab w:val="decimal" w:pos="605"/>
              </w:tabs>
              <w:jc w:val="right"/>
              <w:rPr>
                <w:szCs w:val="21"/>
              </w:rPr>
            </w:pPr>
            <w:r>
              <w:rPr>
                <w:szCs w:val="21"/>
              </w:rPr>
              <w:t>3</w:t>
            </w:r>
          </w:p>
        </w:tc>
      </w:tr>
      <w:tr w:rsidR="00E912E9" w:rsidRPr="00FD40D0" w14:paraId="14508F8C" w14:textId="77777777" w:rsidTr="00084587">
        <w:trPr>
          <w:cantSplit/>
        </w:trPr>
        <w:tc>
          <w:tcPr>
            <w:tcW w:w="1548" w:type="dxa"/>
            <w:vAlign w:val="center"/>
          </w:tcPr>
          <w:p w14:paraId="5D78F1E3" w14:textId="17C8ECF0" w:rsidR="00E912E9" w:rsidRPr="008C4132" w:rsidRDefault="00E912E9" w:rsidP="00E912E9">
            <w:pPr>
              <w:pStyle w:val="TableText"/>
              <w:rPr>
                <w:szCs w:val="21"/>
              </w:rPr>
            </w:pPr>
            <w:r>
              <w:rPr>
                <w:color w:val="000000"/>
                <w:szCs w:val="21"/>
              </w:rPr>
              <w:t>Grantee Program Manager</w:t>
            </w:r>
          </w:p>
        </w:tc>
        <w:tc>
          <w:tcPr>
            <w:tcW w:w="2261" w:type="dxa"/>
          </w:tcPr>
          <w:p w14:paraId="03E46BC2" w14:textId="53BB9E08" w:rsidR="00E912E9" w:rsidRPr="008C4132" w:rsidRDefault="00E912E9" w:rsidP="00E912E9">
            <w:pPr>
              <w:pStyle w:val="TableText"/>
              <w:rPr>
                <w:szCs w:val="21"/>
              </w:rPr>
            </w:pPr>
            <w:r w:rsidRPr="008C4132">
              <w:rPr>
                <w:szCs w:val="21"/>
              </w:rPr>
              <w:t>Telephonic Interviews</w:t>
            </w:r>
          </w:p>
        </w:tc>
        <w:tc>
          <w:tcPr>
            <w:tcW w:w="1530" w:type="dxa"/>
          </w:tcPr>
          <w:p w14:paraId="6D06A03B" w14:textId="2CAB2016" w:rsidR="00E912E9" w:rsidRPr="008C4132" w:rsidRDefault="00322389" w:rsidP="00E912E9">
            <w:pPr>
              <w:pStyle w:val="TableText"/>
              <w:tabs>
                <w:tab w:val="decimal" w:pos="785"/>
              </w:tabs>
              <w:jc w:val="right"/>
              <w:rPr>
                <w:bCs/>
                <w:szCs w:val="21"/>
              </w:rPr>
            </w:pPr>
            <w:r>
              <w:rPr>
                <w:bCs/>
                <w:szCs w:val="21"/>
              </w:rPr>
              <w:t>3</w:t>
            </w:r>
          </w:p>
        </w:tc>
        <w:tc>
          <w:tcPr>
            <w:tcW w:w="1440" w:type="dxa"/>
          </w:tcPr>
          <w:p w14:paraId="323DDE76" w14:textId="206694A2" w:rsidR="00E912E9" w:rsidRPr="008C4132" w:rsidRDefault="00E912E9" w:rsidP="00E912E9">
            <w:pPr>
              <w:pStyle w:val="TableText"/>
              <w:jc w:val="right"/>
              <w:rPr>
                <w:szCs w:val="21"/>
              </w:rPr>
            </w:pPr>
            <w:r w:rsidRPr="008C4132">
              <w:rPr>
                <w:szCs w:val="21"/>
              </w:rPr>
              <w:t>1</w:t>
            </w:r>
          </w:p>
        </w:tc>
        <w:tc>
          <w:tcPr>
            <w:tcW w:w="1350" w:type="dxa"/>
          </w:tcPr>
          <w:p w14:paraId="0A8C256B" w14:textId="53B987E8" w:rsidR="00E912E9" w:rsidRPr="008C4132" w:rsidRDefault="00E912E9" w:rsidP="00E912E9">
            <w:pPr>
              <w:pStyle w:val="TableText"/>
              <w:jc w:val="right"/>
              <w:rPr>
                <w:szCs w:val="21"/>
              </w:rPr>
            </w:pPr>
            <w:r w:rsidRPr="008C4132">
              <w:rPr>
                <w:szCs w:val="21"/>
              </w:rPr>
              <w:t>1</w:t>
            </w:r>
          </w:p>
        </w:tc>
        <w:tc>
          <w:tcPr>
            <w:tcW w:w="1231" w:type="dxa"/>
          </w:tcPr>
          <w:p w14:paraId="3D843776" w14:textId="3BFAAE3B" w:rsidR="00E912E9" w:rsidRPr="008C4132" w:rsidRDefault="00322389" w:rsidP="00E912E9">
            <w:pPr>
              <w:pStyle w:val="TableText"/>
              <w:tabs>
                <w:tab w:val="decimal" w:pos="605"/>
              </w:tabs>
              <w:jc w:val="right"/>
              <w:rPr>
                <w:szCs w:val="21"/>
              </w:rPr>
            </w:pPr>
            <w:r>
              <w:rPr>
                <w:szCs w:val="21"/>
              </w:rPr>
              <w:t>3</w:t>
            </w:r>
          </w:p>
        </w:tc>
      </w:tr>
      <w:tr w:rsidR="00E912E9" w:rsidRPr="00FD40D0" w14:paraId="32B29403" w14:textId="77777777" w:rsidTr="00084587">
        <w:trPr>
          <w:cantSplit/>
        </w:trPr>
        <w:tc>
          <w:tcPr>
            <w:tcW w:w="1548" w:type="dxa"/>
            <w:vAlign w:val="center"/>
          </w:tcPr>
          <w:p w14:paraId="0F004759" w14:textId="1820AC53" w:rsidR="00E912E9" w:rsidRPr="008C4132" w:rsidRDefault="00E912E9" w:rsidP="00E912E9">
            <w:pPr>
              <w:pStyle w:val="TableText"/>
              <w:rPr>
                <w:szCs w:val="21"/>
              </w:rPr>
            </w:pPr>
            <w:r>
              <w:rPr>
                <w:color w:val="000000"/>
              </w:rPr>
              <w:t>Quality Improvement Specialist</w:t>
            </w:r>
          </w:p>
        </w:tc>
        <w:tc>
          <w:tcPr>
            <w:tcW w:w="2261" w:type="dxa"/>
          </w:tcPr>
          <w:p w14:paraId="18BDD21D" w14:textId="5FAA8613" w:rsidR="00E912E9" w:rsidRPr="008C4132" w:rsidRDefault="00E912E9" w:rsidP="00E912E9">
            <w:pPr>
              <w:pStyle w:val="TableText"/>
              <w:rPr>
                <w:szCs w:val="21"/>
              </w:rPr>
            </w:pPr>
            <w:r w:rsidRPr="008C4132">
              <w:rPr>
                <w:szCs w:val="21"/>
              </w:rPr>
              <w:t>Telephonic Interviews</w:t>
            </w:r>
          </w:p>
        </w:tc>
        <w:tc>
          <w:tcPr>
            <w:tcW w:w="1530" w:type="dxa"/>
          </w:tcPr>
          <w:p w14:paraId="45325F87" w14:textId="1AFAD6CA" w:rsidR="00E912E9" w:rsidRPr="008C4132" w:rsidRDefault="00322389" w:rsidP="00E912E9">
            <w:pPr>
              <w:pStyle w:val="TableText"/>
              <w:tabs>
                <w:tab w:val="decimal" w:pos="785"/>
              </w:tabs>
              <w:jc w:val="right"/>
              <w:rPr>
                <w:bCs/>
                <w:szCs w:val="21"/>
              </w:rPr>
            </w:pPr>
            <w:r>
              <w:rPr>
                <w:bCs/>
                <w:szCs w:val="21"/>
              </w:rPr>
              <w:t>3</w:t>
            </w:r>
          </w:p>
        </w:tc>
        <w:tc>
          <w:tcPr>
            <w:tcW w:w="1440" w:type="dxa"/>
          </w:tcPr>
          <w:p w14:paraId="38879257" w14:textId="107A5FC3" w:rsidR="00E912E9" w:rsidRPr="008C4132" w:rsidRDefault="00E912E9" w:rsidP="00E912E9">
            <w:pPr>
              <w:pStyle w:val="TableText"/>
              <w:jc w:val="right"/>
              <w:rPr>
                <w:szCs w:val="21"/>
              </w:rPr>
            </w:pPr>
            <w:r w:rsidRPr="008C4132">
              <w:rPr>
                <w:szCs w:val="21"/>
              </w:rPr>
              <w:t>1</w:t>
            </w:r>
          </w:p>
        </w:tc>
        <w:tc>
          <w:tcPr>
            <w:tcW w:w="1350" w:type="dxa"/>
          </w:tcPr>
          <w:p w14:paraId="4405D458" w14:textId="015C6D15" w:rsidR="00E912E9" w:rsidRPr="008C4132" w:rsidRDefault="00E912E9" w:rsidP="00E912E9">
            <w:pPr>
              <w:pStyle w:val="TableText"/>
              <w:jc w:val="right"/>
              <w:rPr>
                <w:szCs w:val="21"/>
              </w:rPr>
            </w:pPr>
            <w:r w:rsidRPr="008C4132">
              <w:rPr>
                <w:szCs w:val="21"/>
              </w:rPr>
              <w:t>1</w:t>
            </w:r>
          </w:p>
        </w:tc>
        <w:tc>
          <w:tcPr>
            <w:tcW w:w="1231" w:type="dxa"/>
          </w:tcPr>
          <w:p w14:paraId="2EB00B69" w14:textId="240ED68E" w:rsidR="00E912E9" w:rsidRPr="008C4132" w:rsidRDefault="00322389" w:rsidP="00E912E9">
            <w:pPr>
              <w:pStyle w:val="TableText"/>
              <w:tabs>
                <w:tab w:val="decimal" w:pos="605"/>
              </w:tabs>
              <w:jc w:val="right"/>
              <w:rPr>
                <w:szCs w:val="21"/>
              </w:rPr>
            </w:pPr>
            <w:r>
              <w:rPr>
                <w:szCs w:val="21"/>
              </w:rPr>
              <w:t>3</w:t>
            </w:r>
          </w:p>
        </w:tc>
      </w:tr>
      <w:tr w:rsidR="00E912E9" w:rsidRPr="00FD40D0" w14:paraId="0222C001" w14:textId="77777777" w:rsidTr="00084587">
        <w:trPr>
          <w:cantSplit/>
        </w:trPr>
        <w:tc>
          <w:tcPr>
            <w:tcW w:w="1548" w:type="dxa"/>
            <w:vAlign w:val="center"/>
          </w:tcPr>
          <w:p w14:paraId="2C10B248" w14:textId="387FA0C1" w:rsidR="00E912E9" w:rsidRPr="008C4132" w:rsidRDefault="00E912E9" w:rsidP="00E912E9">
            <w:pPr>
              <w:pStyle w:val="TableText"/>
              <w:rPr>
                <w:szCs w:val="21"/>
              </w:rPr>
            </w:pPr>
            <w:r>
              <w:rPr>
                <w:color w:val="000000"/>
              </w:rPr>
              <w:t>Data Analyst/ Program Evaluator</w:t>
            </w:r>
          </w:p>
        </w:tc>
        <w:tc>
          <w:tcPr>
            <w:tcW w:w="2261" w:type="dxa"/>
          </w:tcPr>
          <w:p w14:paraId="179442E9" w14:textId="2BE679B2" w:rsidR="00E912E9" w:rsidRPr="008C4132" w:rsidRDefault="00E912E9" w:rsidP="00E912E9">
            <w:pPr>
              <w:pStyle w:val="TableText"/>
              <w:rPr>
                <w:szCs w:val="21"/>
              </w:rPr>
            </w:pPr>
            <w:r w:rsidRPr="008C4132">
              <w:rPr>
                <w:szCs w:val="21"/>
              </w:rPr>
              <w:t>Telephonic Interviews</w:t>
            </w:r>
          </w:p>
        </w:tc>
        <w:tc>
          <w:tcPr>
            <w:tcW w:w="1530" w:type="dxa"/>
          </w:tcPr>
          <w:p w14:paraId="2DD79473" w14:textId="6849D0E3" w:rsidR="00E912E9" w:rsidRPr="008C4132" w:rsidRDefault="00322389" w:rsidP="00E912E9">
            <w:pPr>
              <w:pStyle w:val="TableText"/>
              <w:tabs>
                <w:tab w:val="decimal" w:pos="785"/>
              </w:tabs>
              <w:jc w:val="right"/>
              <w:rPr>
                <w:bCs/>
                <w:szCs w:val="21"/>
              </w:rPr>
            </w:pPr>
            <w:r>
              <w:rPr>
                <w:bCs/>
                <w:szCs w:val="21"/>
              </w:rPr>
              <w:t>3</w:t>
            </w:r>
          </w:p>
        </w:tc>
        <w:tc>
          <w:tcPr>
            <w:tcW w:w="1440" w:type="dxa"/>
          </w:tcPr>
          <w:p w14:paraId="4266D545" w14:textId="5E030C08" w:rsidR="00E912E9" w:rsidRPr="008C4132" w:rsidRDefault="00E912E9" w:rsidP="00E912E9">
            <w:pPr>
              <w:pStyle w:val="TableText"/>
              <w:jc w:val="right"/>
              <w:rPr>
                <w:szCs w:val="21"/>
              </w:rPr>
            </w:pPr>
            <w:r w:rsidRPr="008C4132">
              <w:rPr>
                <w:szCs w:val="21"/>
              </w:rPr>
              <w:t>1</w:t>
            </w:r>
          </w:p>
        </w:tc>
        <w:tc>
          <w:tcPr>
            <w:tcW w:w="1350" w:type="dxa"/>
          </w:tcPr>
          <w:p w14:paraId="7E109B91" w14:textId="4B4C28FF" w:rsidR="00E912E9" w:rsidRPr="008C4132" w:rsidRDefault="00E912E9" w:rsidP="00E912E9">
            <w:pPr>
              <w:pStyle w:val="TableText"/>
              <w:jc w:val="right"/>
              <w:rPr>
                <w:szCs w:val="21"/>
              </w:rPr>
            </w:pPr>
            <w:r w:rsidRPr="008C4132">
              <w:rPr>
                <w:szCs w:val="21"/>
              </w:rPr>
              <w:t>1</w:t>
            </w:r>
          </w:p>
        </w:tc>
        <w:tc>
          <w:tcPr>
            <w:tcW w:w="1231" w:type="dxa"/>
          </w:tcPr>
          <w:p w14:paraId="5E2D1245" w14:textId="72DF835B" w:rsidR="00E912E9" w:rsidRPr="008C4132" w:rsidRDefault="00322389" w:rsidP="00E912E9">
            <w:pPr>
              <w:pStyle w:val="TableText"/>
              <w:tabs>
                <w:tab w:val="decimal" w:pos="605"/>
              </w:tabs>
              <w:jc w:val="right"/>
              <w:rPr>
                <w:szCs w:val="21"/>
              </w:rPr>
            </w:pPr>
            <w:r>
              <w:rPr>
                <w:szCs w:val="21"/>
              </w:rPr>
              <w:t>3</w:t>
            </w:r>
          </w:p>
        </w:tc>
      </w:tr>
      <w:tr w:rsidR="00E912E9" w:rsidRPr="00FD40D0" w14:paraId="67BF9B0D" w14:textId="77777777" w:rsidTr="00084587">
        <w:trPr>
          <w:cantSplit/>
        </w:trPr>
        <w:tc>
          <w:tcPr>
            <w:tcW w:w="1548" w:type="dxa"/>
            <w:vAlign w:val="center"/>
          </w:tcPr>
          <w:p w14:paraId="6EBEE6B1" w14:textId="7D6290B7" w:rsidR="00E912E9" w:rsidRPr="008C4132" w:rsidRDefault="007745C2" w:rsidP="00E912E9">
            <w:pPr>
              <w:pStyle w:val="TableText"/>
              <w:rPr>
                <w:szCs w:val="21"/>
              </w:rPr>
            </w:pPr>
            <w:r>
              <w:rPr>
                <w:color w:val="000000"/>
              </w:rPr>
              <w:t xml:space="preserve">Partner </w:t>
            </w:r>
            <w:r w:rsidR="00E912E9">
              <w:rPr>
                <w:color w:val="000000"/>
              </w:rPr>
              <w:t>Support Staff</w:t>
            </w:r>
          </w:p>
        </w:tc>
        <w:tc>
          <w:tcPr>
            <w:tcW w:w="2261" w:type="dxa"/>
          </w:tcPr>
          <w:p w14:paraId="2CA5151B" w14:textId="43D75FA1" w:rsidR="00E912E9" w:rsidRPr="008C4132" w:rsidRDefault="00E912E9" w:rsidP="00E912E9">
            <w:pPr>
              <w:pStyle w:val="TableText"/>
              <w:rPr>
                <w:szCs w:val="21"/>
              </w:rPr>
            </w:pPr>
            <w:r w:rsidRPr="008C4132">
              <w:rPr>
                <w:szCs w:val="21"/>
              </w:rPr>
              <w:t>Telephonic Interviews</w:t>
            </w:r>
          </w:p>
        </w:tc>
        <w:tc>
          <w:tcPr>
            <w:tcW w:w="1530" w:type="dxa"/>
          </w:tcPr>
          <w:p w14:paraId="54276993" w14:textId="03BF33AC" w:rsidR="00E912E9" w:rsidRPr="008C4132" w:rsidRDefault="00322389" w:rsidP="00E912E9">
            <w:pPr>
              <w:pStyle w:val="TableText"/>
              <w:tabs>
                <w:tab w:val="decimal" w:pos="785"/>
              </w:tabs>
              <w:jc w:val="right"/>
              <w:rPr>
                <w:bCs/>
                <w:szCs w:val="21"/>
              </w:rPr>
            </w:pPr>
            <w:r>
              <w:rPr>
                <w:bCs/>
                <w:szCs w:val="21"/>
              </w:rPr>
              <w:t>6</w:t>
            </w:r>
          </w:p>
        </w:tc>
        <w:tc>
          <w:tcPr>
            <w:tcW w:w="1440" w:type="dxa"/>
          </w:tcPr>
          <w:p w14:paraId="070A1229" w14:textId="7AF4D666" w:rsidR="00E912E9" w:rsidRPr="008C4132" w:rsidRDefault="00E912E9" w:rsidP="00E912E9">
            <w:pPr>
              <w:pStyle w:val="TableText"/>
              <w:jc w:val="right"/>
              <w:rPr>
                <w:szCs w:val="21"/>
              </w:rPr>
            </w:pPr>
            <w:r w:rsidRPr="008C4132">
              <w:rPr>
                <w:szCs w:val="21"/>
              </w:rPr>
              <w:t>1</w:t>
            </w:r>
          </w:p>
        </w:tc>
        <w:tc>
          <w:tcPr>
            <w:tcW w:w="1350" w:type="dxa"/>
          </w:tcPr>
          <w:p w14:paraId="286755A2" w14:textId="5125F836" w:rsidR="00E912E9" w:rsidRPr="008C4132" w:rsidRDefault="00E912E9" w:rsidP="00E912E9">
            <w:pPr>
              <w:pStyle w:val="TableText"/>
              <w:jc w:val="right"/>
              <w:rPr>
                <w:szCs w:val="21"/>
              </w:rPr>
            </w:pPr>
            <w:r w:rsidRPr="008C4132">
              <w:rPr>
                <w:szCs w:val="21"/>
              </w:rPr>
              <w:t>1</w:t>
            </w:r>
          </w:p>
        </w:tc>
        <w:tc>
          <w:tcPr>
            <w:tcW w:w="1231" w:type="dxa"/>
          </w:tcPr>
          <w:p w14:paraId="1F4CFE2C" w14:textId="592DF977" w:rsidR="00E912E9" w:rsidRPr="008C4132" w:rsidRDefault="00322389" w:rsidP="00E912E9">
            <w:pPr>
              <w:pStyle w:val="TableText"/>
              <w:tabs>
                <w:tab w:val="decimal" w:pos="605"/>
              </w:tabs>
              <w:jc w:val="right"/>
              <w:rPr>
                <w:szCs w:val="21"/>
              </w:rPr>
            </w:pPr>
            <w:r>
              <w:rPr>
                <w:szCs w:val="21"/>
              </w:rPr>
              <w:t>6</w:t>
            </w:r>
          </w:p>
        </w:tc>
      </w:tr>
      <w:tr w:rsidR="00E912E9" w:rsidRPr="00FD40D0" w14:paraId="7B0DF625" w14:textId="77777777" w:rsidTr="008B05B7">
        <w:trPr>
          <w:cantSplit/>
        </w:trPr>
        <w:tc>
          <w:tcPr>
            <w:tcW w:w="1548" w:type="dxa"/>
          </w:tcPr>
          <w:p w14:paraId="799D7DF0" w14:textId="77777777" w:rsidR="00E912E9" w:rsidRPr="008C4132" w:rsidRDefault="00E912E9" w:rsidP="00E912E9">
            <w:pPr>
              <w:pStyle w:val="TableText"/>
              <w:rPr>
                <w:szCs w:val="21"/>
              </w:rPr>
            </w:pPr>
          </w:p>
        </w:tc>
        <w:tc>
          <w:tcPr>
            <w:tcW w:w="2261" w:type="dxa"/>
          </w:tcPr>
          <w:p w14:paraId="29F54C29" w14:textId="77777777" w:rsidR="00E912E9" w:rsidRPr="008C4132" w:rsidRDefault="00E912E9" w:rsidP="00E912E9">
            <w:pPr>
              <w:pStyle w:val="TableText"/>
              <w:rPr>
                <w:szCs w:val="21"/>
              </w:rPr>
            </w:pPr>
          </w:p>
        </w:tc>
        <w:tc>
          <w:tcPr>
            <w:tcW w:w="1530" w:type="dxa"/>
            <w:shd w:val="clear" w:color="auto" w:fill="auto"/>
          </w:tcPr>
          <w:p w14:paraId="427790FE" w14:textId="77777777" w:rsidR="00E912E9" w:rsidRPr="008C4132" w:rsidRDefault="00E912E9" w:rsidP="00E912E9">
            <w:pPr>
              <w:pStyle w:val="TableText"/>
              <w:tabs>
                <w:tab w:val="decimal" w:pos="785"/>
              </w:tabs>
              <w:jc w:val="right"/>
              <w:rPr>
                <w:bCs/>
                <w:szCs w:val="21"/>
              </w:rPr>
            </w:pPr>
          </w:p>
        </w:tc>
        <w:tc>
          <w:tcPr>
            <w:tcW w:w="1440" w:type="dxa"/>
          </w:tcPr>
          <w:p w14:paraId="000240C9" w14:textId="77777777" w:rsidR="00E912E9" w:rsidRPr="008C4132" w:rsidRDefault="00E912E9" w:rsidP="00E912E9">
            <w:pPr>
              <w:pStyle w:val="TableText"/>
              <w:jc w:val="right"/>
              <w:rPr>
                <w:szCs w:val="21"/>
              </w:rPr>
            </w:pPr>
          </w:p>
        </w:tc>
        <w:tc>
          <w:tcPr>
            <w:tcW w:w="1350" w:type="dxa"/>
          </w:tcPr>
          <w:p w14:paraId="717C10B2" w14:textId="61A8F328" w:rsidR="00E912E9" w:rsidRPr="006F122F" w:rsidRDefault="00E912E9" w:rsidP="00E912E9">
            <w:pPr>
              <w:pStyle w:val="TableText"/>
              <w:jc w:val="right"/>
              <w:rPr>
                <w:b/>
                <w:szCs w:val="21"/>
              </w:rPr>
            </w:pPr>
            <w:r w:rsidRPr="006F122F">
              <w:rPr>
                <w:b/>
                <w:szCs w:val="21"/>
              </w:rPr>
              <w:t>Total:</w:t>
            </w:r>
          </w:p>
        </w:tc>
        <w:tc>
          <w:tcPr>
            <w:tcW w:w="1231" w:type="dxa"/>
          </w:tcPr>
          <w:p w14:paraId="3F9966EA" w14:textId="067C97CB" w:rsidR="00E912E9" w:rsidRPr="008C4132" w:rsidRDefault="005C1CF2" w:rsidP="00E912E9">
            <w:pPr>
              <w:pStyle w:val="TableText"/>
              <w:tabs>
                <w:tab w:val="decimal" w:pos="605"/>
              </w:tabs>
              <w:jc w:val="right"/>
              <w:rPr>
                <w:szCs w:val="21"/>
              </w:rPr>
            </w:pPr>
            <w:r>
              <w:rPr>
                <w:szCs w:val="21"/>
              </w:rPr>
              <w:t>292</w:t>
            </w:r>
          </w:p>
        </w:tc>
      </w:tr>
    </w:tbl>
    <w:p w14:paraId="02773F6A" w14:textId="53D2BAC3" w:rsidR="003A0622" w:rsidRDefault="003A0622" w:rsidP="00FF75EF"/>
    <w:p w14:paraId="78225FEA" w14:textId="77777777" w:rsidR="00156DA4" w:rsidRDefault="00156DA4" w:rsidP="00156DA4"/>
    <w:p w14:paraId="17EE3D1E" w14:textId="38356A79" w:rsidR="00A05FF7" w:rsidRPr="00E971CB" w:rsidRDefault="00156DA4" w:rsidP="0034521D">
      <w:pPr>
        <w:spacing w:line="276" w:lineRule="auto"/>
        <w:rPr>
          <w:b/>
          <w:bCs/>
          <w:i/>
          <w:iCs/>
        </w:rPr>
      </w:pPr>
      <w:r w:rsidRPr="008B05B7">
        <w:rPr>
          <w:b/>
          <w:bCs/>
          <w:i/>
          <w:iCs/>
        </w:rPr>
        <w:t>A.12.</w:t>
      </w:r>
      <w:r>
        <w:rPr>
          <w:b/>
          <w:bCs/>
          <w:i/>
          <w:iCs/>
        </w:rPr>
        <w:t>2</w:t>
      </w:r>
      <w:r w:rsidRPr="008B05B7">
        <w:rPr>
          <w:b/>
          <w:bCs/>
          <w:i/>
          <w:iCs/>
        </w:rPr>
        <w:tab/>
      </w:r>
      <w:r w:rsidR="00A05FF7" w:rsidRPr="00E971CB">
        <w:rPr>
          <w:b/>
          <w:bCs/>
          <w:i/>
          <w:iCs/>
        </w:rPr>
        <w:t>Estimated Annualized Cost to Respondents</w:t>
      </w:r>
    </w:p>
    <w:p w14:paraId="6AD5AF87" w14:textId="6707239D" w:rsidR="00156DA4" w:rsidRDefault="00156DA4" w:rsidP="0034521D">
      <w:pPr>
        <w:spacing w:line="276" w:lineRule="auto"/>
        <w:rPr>
          <w:b/>
          <w:bCs/>
          <w:i/>
          <w:iCs/>
        </w:rPr>
      </w:pPr>
    </w:p>
    <w:p w14:paraId="5FB82B68" w14:textId="0DC61C22" w:rsidR="00E577FB" w:rsidRDefault="00E577FB" w:rsidP="0034521D">
      <w:pPr>
        <w:spacing w:line="276" w:lineRule="auto"/>
        <w:ind w:firstLine="720"/>
        <w:rPr>
          <w:szCs w:val="20"/>
        </w:rPr>
      </w:pPr>
      <w:r w:rsidRPr="00E577FB">
        <w:rPr>
          <w:szCs w:val="20"/>
        </w:rPr>
        <w:t>Average hourly wage estimates were obtained from the U.S. Department of Labor, Bureau of Labor Statistics.  The estimated annualized cost to respondents is $</w:t>
      </w:r>
      <w:r w:rsidR="0015251C">
        <w:rPr>
          <w:szCs w:val="20"/>
        </w:rPr>
        <w:t>16,141.72</w:t>
      </w:r>
      <w:r w:rsidRPr="00E577FB">
        <w:rPr>
          <w:szCs w:val="20"/>
        </w:rPr>
        <w:t>, as summarized below in Table A.12-B.</w:t>
      </w:r>
    </w:p>
    <w:p w14:paraId="0A43D235" w14:textId="03B79926" w:rsidR="00122A0E" w:rsidRPr="00A834FD" w:rsidRDefault="00122A0E" w:rsidP="0034521D">
      <w:pPr>
        <w:pStyle w:val="BodyText"/>
        <w:numPr>
          <w:ilvl w:val="0"/>
          <w:numId w:val="21"/>
        </w:numPr>
        <w:spacing w:after="0" w:line="276" w:lineRule="auto"/>
        <w:rPr>
          <w:rFonts w:ascii="Times New Roman" w:hAnsi="Times New Roman"/>
        </w:rPr>
      </w:pPr>
      <w:r w:rsidRPr="00A834FD">
        <w:rPr>
          <w:rFonts w:ascii="Times New Roman" w:hAnsi="Times New Roman"/>
        </w:rPr>
        <w:t xml:space="preserve">The average annual salary of $117,200 for general and operational managers was used to calculate the hourly wage of $56.35 for </w:t>
      </w:r>
      <w:r w:rsidR="00B53E90">
        <w:rPr>
          <w:rFonts w:ascii="Times New Roman" w:hAnsi="Times New Roman"/>
          <w:lang w:val="en-US"/>
        </w:rPr>
        <w:t xml:space="preserve">principal investigators and </w:t>
      </w:r>
      <w:r>
        <w:rPr>
          <w:rFonts w:ascii="Times New Roman" w:hAnsi="Times New Roman"/>
        </w:rPr>
        <w:t>program managers</w:t>
      </w:r>
      <w:r w:rsidRPr="00A834FD">
        <w:rPr>
          <w:rFonts w:ascii="Times New Roman" w:hAnsi="Times New Roman"/>
        </w:rPr>
        <w:t xml:space="preserve">. </w:t>
      </w:r>
    </w:p>
    <w:p w14:paraId="0B8515AA" w14:textId="063F652F" w:rsidR="00122A0E" w:rsidRDefault="00122A0E" w:rsidP="0034521D">
      <w:pPr>
        <w:pStyle w:val="BodyText"/>
        <w:numPr>
          <w:ilvl w:val="0"/>
          <w:numId w:val="21"/>
        </w:numPr>
        <w:spacing w:after="0" w:line="276" w:lineRule="auto"/>
        <w:rPr>
          <w:rFonts w:ascii="Times New Roman" w:hAnsi="Times New Roman"/>
        </w:rPr>
      </w:pPr>
      <w:r w:rsidRPr="00A834FD">
        <w:rPr>
          <w:rFonts w:ascii="Times New Roman" w:hAnsi="Times New Roman"/>
        </w:rPr>
        <w:t>The average annual salary of $</w:t>
      </w:r>
      <w:r w:rsidR="008D3CB8">
        <w:rPr>
          <w:rFonts w:ascii="Times New Roman" w:hAnsi="Times New Roman"/>
          <w:lang w:val="en-US"/>
        </w:rPr>
        <w:t xml:space="preserve">53,920 </w:t>
      </w:r>
      <w:r w:rsidRPr="00A834FD">
        <w:rPr>
          <w:rFonts w:ascii="Times New Roman" w:hAnsi="Times New Roman"/>
        </w:rPr>
        <w:t>for survey researchers was used to calculate the hourly wage of $</w:t>
      </w:r>
      <w:r w:rsidR="008D3CB8">
        <w:rPr>
          <w:rFonts w:ascii="Times New Roman" w:hAnsi="Times New Roman"/>
          <w:lang w:val="en-US"/>
        </w:rPr>
        <w:t>25.92</w:t>
      </w:r>
      <w:r w:rsidRPr="00A834FD">
        <w:rPr>
          <w:rFonts w:ascii="Times New Roman" w:hAnsi="Times New Roman"/>
        </w:rPr>
        <w:t xml:space="preserve"> for </w:t>
      </w:r>
      <w:r w:rsidR="00B53E90">
        <w:rPr>
          <w:rFonts w:ascii="Times New Roman" w:hAnsi="Times New Roman"/>
          <w:lang w:val="en-US"/>
        </w:rPr>
        <w:t xml:space="preserve">quality improvement specialists and </w:t>
      </w:r>
      <w:r w:rsidR="003A00C3">
        <w:rPr>
          <w:rFonts w:ascii="Times New Roman" w:hAnsi="Times New Roman"/>
          <w:lang w:val="en-US"/>
        </w:rPr>
        <w:t xml:space="preserve">data analyst/ </w:t>
      </w:r>
      <w:r w:rsidRPr="00A834FD">
        <w:rPr>
          <w:rFonts w:ascii="Times New Roman" w:hAnsi="Times New Roman"/>
        </w:rPr>
        <w:t xml:space="preserve">program evaluators. </w:t>
      </w:r>
    </w:p>
    <w:p w14:paraId="30184EAE" w14:textId="18F916C7" w:rsidR="00B53E90" w:rsidRPr="00B53E90" w:rsidRDefault="00B53E90" w:rsidP="00B53E90">
      <w:pPr>
        <w:pStyle w:val="BodyText"/>
        <w:numPr>
          <w:ilvl w:val="0"/>
          <w:numId w:val="21"/>
        </w:numPr>
        <w:spacing w:after="0" w:line="276" w:lineRule="auto"/>
        <w:rPr>
          <w:rFonts w:ascii="Times New Roman" w:hAnsi="Times New Roman"/>
        </w:rPr>
      </w:pPr>
      <w:r w:rsidRPr="00A834FD">
        <w:rPr>
          <w:rFonts w:ascii="Times New Roman" w:hAnsi="Times New Roman"/>
        </w:rPr>
        <w:t>The average annual salary of $</w:t>
      </w:r>
      <w:r>
        <w:rPr>
          <w:rFonts w:ascii="Times New Roman" w:hAnsi="Times New Roman"/>
          <w:lang w:val="en-US"/>
        </w:rPr>
        <w:t xml:space="preserve">68,450 </w:t>
      </w:r>
      <w:r w:rsidRPr="00A834FD">
        <w:rPr>
          <w:rFonts w:ascii="Times New Roman" w:hAnsi="Times New Roman"/>
        </w:rPr>
        <w:t xml:space="preserve">for </w:t>
      </w:r>
      <w:r>
        <w:rPr>
          <w:rFonts w:ascii="Times New Roman" w:hAnsi="Times New Roman"/>
          <w:lang w:val="en-US"/>
        </w:rPr>
        <w:t>registered nurses</w:t>
      </w:r>
      <w:r w:rsidRPr="00A834FD">
        <w:rPr>
          <w:rFonts w:ascii="Times New Roman" w:hAnsi="Times New Roman"/>
        </w:rPr>
        <w:t xml:space="preserve"> was used to calculate the hourly wage of $</w:t>
      </w:r>
      <w:r>
        <w:rPr>
          <w:rFonts w:ascii="Times New Roman" w:hAnsi="Times New Roman"/>
          <w:lang w:val="en-US"/>
        </w:rPr>
        <w:t>34.70</w:t>
      </w:r>
      <w:r w:rsidRPr="00A834FD">
        <w:rPr>
          <w:rFonts w:ascii="Times New Roman" w:hAnsi="Times New Roman"/>
        </w:rPr>
        <w:t xml:space="preserve"> for </w:t>
      </w:r>
      <w:r>
        <w:rPr>
          <w:rFonts w:ascii="Times New Roman" w:hAnsi="Times New Roman"/>
          <w:lang w:val="en-US"/>
        </w:rPr>
        <w:t>support staff</w:t>
      </w:r>
      <w:r w:rsidR="003A00C3">
        <w:rPr>
          <w:rFonts w:ascii="Times New Roman" w:hAnsi="Times New Roman"/>
          <w:lang w:val="en-US"/>
        </w:rPr>
        <w:t>, which can include post-hospital staff participating in PCNASP, the head of the state EMS, or EMS responders</w:t>
      </w:r>
      <w:r w:rsidRPr="00A834FD">
        <w:rPr>
          <w:rFonts w:ascii="Times New Roman" w:hAnsi="Times New Roman"/>
        </w:rPr>
        <w:t xml:space="preserve">. </w:t>
      </w:r>
    </w:p>
    <w:p w14:paraId="313C2149" w14:textId="77777777" w:rsidR="00156DA4" w:rsidRDefault="00156DA4" w:rsidP="00FF75EF"/>
    <w:p w14:paraId="066A0DE8" w14:textId="77777777" w:rsidR="003A00C3" w:rsidRDefault="003A00C3">
      <w:pPr>
        <w:spacing w:after="160" w:line="259" w:lineRule="auto"/>
        <w:rPr>
          <w:b/>
        </w:rPr>
      </w:pPr>
      <w:r>
        <w:rPr>
          <w:b/>
        </w:rPr>
        <w:br w:type="page"/>
      </w:r>
    </w:p>
    <w:p w14:paraId="21D53B89" w14:textId="542AFD52" w:rsidR="008B05B7" w:rsidRPr="003A00C3" w:rsidRDefault="00122A0E" w:rsidP="008B05B7">
      <w:pPr>
        <w:rPr>
          <w:b/>
          <w:bCs/>
        </w:rPr>
      </w:pPr>
      <w:r w:rsidRPr="003A00C3">
        <w:rPr>
          <w:b/>
        </w:rPr>
        <w:t>Table A.12-B.</w:t>
      </w:r>
      <w:r w:rsidRPr="003A00C3">
        <w:rPr>
          <w:b/>
        </w:rPr>
        <w:tab/>
      </w:r>
      <w:r w:rsidR="00ED76EC">
        <w:rPr>
          <w:b/>
        </w:rPr>
        <w:t xml:space="preserve">Annualized </w:t>
      </w:r>
      <w:r w:rsidR="008B05B7" w:rsidRPr="003A00C3">
        <w:rPr>
          <w:b/>
          <w:bCs/>
        </w:rPr>
        <w:t>Estimated Response Burden Table (Annualized Wages)</w:t>
      </w:r>
    </w:p>
    <w:tbl>
      <w:tblPr>
        <w:tblStyle w:val="TableGrid"/>
        <w:tblW w:w="9450" w:type="dxa"/>
        <w:tblInd w:w="86" w:type="dxa"/>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ayout w:type="fixed"/>
        <w:tblCellMar>
          <w:left w:w="58" w:type="dxa"/>
          <w:right w:w="58" w:type="dxa"/>
        </w:tblCellMar>
        <w:tblLook w:val="04A0" w:firstRow="1" w:lastRow="0" w:firstColumn="1" w:lastColumn="0" w:noHBand="0" w:noVBand="1"/>
      </w:tblPr>
      <w:tblGrid>
        <w:gridCol w:w="1444"/>
        <w:gridCol w:w="1440"/>
        <w:gridCol w:w="1350"/>
        <w:gridCol w:w="1498"/>
        <w:gridCol w:w="1346"/>
        <w:gridCol w:w="936"/>
        <w:gridCol w:w="238"/>
        <w:gridCol w:w="1080"/>
        <w:gridCol w:w="118"/>
      </w:tblGrid>
      <w:tr w:rsidR="008B05B7" w:rsidRPr="003A00C3" w14:paraId="30F71F6E" w14:textId="77777777" w:rsidTr="007745C2">
        <w:trPr>
          <w:cantSplit/>
        </w:trPr>
        <w:tc>
          <w:tcPr>
            <w:tcW w:w="1444" w:type="dxa"/>
            <w:vAlign w:val="bottom"/>
          </w:tcPr>
          <w:p w14:paraId="0C59BFD4" w14:textId="77777777" w:rsidR="008B05B7" w:rsidRPr="003A00C3" w:rsidRDefault="008B05B7" w:rsidP="008B05B7">
            <w:pPr>
              <w:rPr>
                <w:b/>
                <w:sz w:val="22"/>
              </w:rPr>
            </w:pPr>
            <w:r w:rsidRPr="003A00C3">
              <w:rPr>
                <w:b/>
                <w:sz w:val="22"/>
              </w:rPr>
              <w:t>Type of Respondent</w:t>
            </w:r>
          </w:p>
        </w:tc>
        <w:tc>
          <w:tcPr>
            <w:tcW w:w="1440" w:type="dxa"/>
            <w:vAlign w:val="bottom"/>
          </w:tcPr>
          <w:p w14:paraId="6A20DF4F" w14:textId="77777777" w:rsidR="008B05B7" w:rsidRPr="003A00C3" w:rsidRDefault="008B05B7" w:rsidP="008B05B7">
            <w:pPr>
              <w:rPr>
                <w:b/>
                <w:sz w:val="22"/>
              </w:rPr>
            </w:pPr>
            <w:r w:rsidRPr="003A00C3">
              <w:rPr>
                <w:b/>
                <w:sz w:val="22"/>
              </w:rPr>
              <w:t>Form Name</w:t>
            </w:r>
          </w:p>
        </w:tc>
        <w:tc>
          <w:tcPr>
            <w:tcW w:w="1350" w:type="dxa"/>
            <w:vAlign w:val="bottom"/>
          </w:tcPr>
          <w:p w14:paraId="0A23DBDA" w14:textId="77777777" w:rsidR="008B05B7" w:rsidRPr="003A00C3" w:rsidRDefault="008B05B7" w:rsidP="008B05B7">
            <w:pPr>
              <w:rPr>
                <w:b/>
                <w:sz w:val="22"/>
              </w:rPr>
            </w:pPr>
            <w:r w:rsidRPr="003A00C3">
              <w:rPr>
                <w:b/>
                <w:sz w:val="22"/>
              </w:rPr>
              <w:t>Number of Respondents</w:t>
            </w:r>
          </w:p>
        </w:tc>
        <w:tc>
          <w:tcPr>
            <w:tcW w:w="1498" w:type="dxa"/>
            <w:vAlign w:val="bottom"/>
          </w:tcPr>
          <w:p w14:paraId="1CB6013B" w14:textId="77777777" w:rsidR="008B05B7" w:rsidRPr="003A00C3" w:rsidRDefault="008B05B7" w:rsidP="008B05B7">
            <w:pPr>
              <w:rPr>
                <w:b/>
                <w:sz w:val="22"/>
              </w:rPr>
            </w:pPr>
            <w:r w:rsidRPr="003A00C3">
              <w:rPr>
                <w:b/>
                <w:sz w:val="22"/>
              </w:rPr>
              <w:t>Number of Responses per Respondent</w:t>
            </w:r>
          </w:p>
        </w:tc>
        <w:tc>
          <w:tcPr>
            <w:tcW w:w="1346" w:type="dxa"/>
            <w:vAlign w:val="bottom"/>
          </w:tcPr>
          <w:p w14:paraId="0D59EF68" w14:textId="77777777" w:rsidR="008B05B7" w:rsidRPr="003A00C3" w:rsidRDefault="008B05B7" w:rsidP="008B05B7">
            <w:pPr>
              <w:rPr>
                <w:b/>
                <w:sz w:val="22"/>
              </w:rPr>
            </w:pPr>
            <w:r w:rsidRPr="003A00C3">
              <w:rPr>
                <w:b/>
                <w:sz w:val="22"/>
              </w:rPr>
              <w:t>Average Burden per Response (in hours)</w:t>
            </w:r>
          </w:p>
        </w:tc>
        <w:tc>
          <w:tcPr>
            <w:tcW w:w="1174" w:type="dxa"/>
            <w:gridSpan w:val="2"/>
            <w:vAlign w:val="bottom"/>
          </w:tcPr>
          <w:p w14:paraId="4E421A62" w14:textId="7BAB4365" w:rsidR="008B05B7" w:rsidRPr="003A00C3" w:rsidRDefault="008B05B7" w:rsidP="008B05B7">
            <w:pPr>
              <w:rPr>
                <w:b/>
                <w:sz w:val="22"/>
              </w:rPr>
            </w:pPr>
            <w:r w:rsidRPr="003A00C3">
              <w:rPr>
                <w:b/>
                <w:sz w:val="22"/>
              </w:rPr>
              <w:t>Average Hourly Wage Rate</w:t>
            </w:r>
          </w:p>
        </w:tc>
        <w:tc>
          <w:tcPr>
            <w:tcW w:w="1198" w:type="dxa"/>
            <w:gridSpan w:val="2"/>
            <w:vAlign w:val="bottom"/>
          </w:tcPr>
          <w:p w14:paraId="58FB04E1" w14:textId="77777777" w:rsidR="008B05B7" w:rsidRPr="003A00C3" w:rsidRDefault="008B05B7" w:rsidP="008B05B7">
            <w:pPr>
              <w:rPr>
                <w:b/>
                <w:sz w:val="22"/>
              </w:rPr>
            </w:pPr>
            <w:r w:rsidRPr="003A00C3">
              <w:rPr>
                <w:b/>
                <w:sz w:val="22"/>
              </w:rPr>
              <w:t>Total Cost</w:t>
            </w:r>
          </w:p>
        </w:tc>
      </w:tr>
      <w:tr w:rsidR="00ED76EC" w:rsidRPr="003A00C3" w14:paraId="001F8E69" w14:textId="77777777" w:rsidTr="00ED76EC">
        <w:trPr>
          <w:cantSplit/>
          <w:trHeight w:val="843"/>
        </w:trPr>
        <w:tc>
          <w:tcPr>
            <w:tcW w:w="1444" w:type="dxa"/>
            <w:vAlign w:val="center"/>
          </w:tcPr>
          <w:p w14:paraId="4714A5DD" w14:textId="121501AB" w:rsidR="00ED76EC" w:rsidRPr="003A00C3" w:rsidRDefault="00ED76EC" w:rsidP="00ED76EC">
            <w:pPr>
              <w:rPr>
                <w:sz w:val="22"/>
                <w:szCs w:val="21"/>
              </w:rPr>
            </w:pPr>
            <w:r>
              <w:rPr>
                <w:sz w:val="22"/>
                <w:szCs w:val="21"/>
              </w:rPr>
              <w:t>Partner Program Manager</w:t>
            </w:r>
          </w:p>
        </w:tc>
        <w:tc>
          <w:tcPr>
            <w:tcW w:w="1440" w:type="dxa"/>
            <w:vAlign w:val="center"/>
          </w:tcPr>
          <w:p w14:paraId="7E2BF615" w14:textId="412014E1" w:rsidR="00ED76EC" w:rsidRPr="003A00C3" w:rsidRDefault="00ED76EC" w:rsidP="00ED76EC">
            <w:r w:rsidRPr="003A00C3">
              <w:t>Cost Resource and Utilization Tool</w:t>
            </w:r>
          </w:p>
        </w:tc>
        <w:tc>
          <w:tcPr>
            <w:tcW w:w="1350" w:type="dxa"/>
            <w:vAlign w:val="center"/>
          </w:tcPr>
          <w:p w14:paraId="778C8BEC" w14:textId="0AE95E1B" w:rsidR="00ED76EC" w:rsidRDefault="00ED76EC" w:rsidP="00ED76EC">
            <w:pPr>
              <w:jc w:val="center"/>
            </w:pPr>
            <w:r>
              <w:rPr>
                <w:bCs/>
                <w:szCs w:val="21"/>
              </w:rPr>
              <w:t>137</w:t>
            </w:r>
          </w:p>
        </w:tc>
        <w:tc>
          <w:tcPr>
            <w:tcW w:w="1498" w:type="dxa"/>
            <w:vAlign w:val="center"/>
          </w:tcPr>
          <w:p w14:paraId="65E0C628" w14:textId="6BE29F46" w:rsidR="00ED76EC" w:rsidRPr="003A00C3" w:rsidRDefault="00ED76EC" w:rsidP="00ED76EC">
            <w:pPr>
              <w:jc w:val="center"/>
            </w:pPr>
            <w:r>
              <w:rPr>
                <w:szCs w:val="21"/>
              </w:rPr>
              <w:t>1</w:t>
            </w:r>
          </w:p>
        </w:tc>
        <w:tc>
          <w:tcPr>
            <w:tcW w:w="1346" w:type="dxa"/>
            <w:vAlign w:val="center"/>
          </w:tcPr>
          <w:p w14:paraId="7B1EDC3F" w14:textId="115CFD54" w:rsidR="00ED76EC" w:rsidRPr="003A00C3" w:rsidRDefault="00ED76EC" w:rsidP="00ED76EC">
            <w:pPr>
              <w:jc w:val="center"/>
            </w:pPr>
            <w:r w:rsidRPr="008C4132">
              <w:rPr>
                <w:szCs w:val="21"/>
              </w:rPr>
              <w:t>2</w:t>
            </w:r>
          </w:p>
        </w:tc>
        <w:tc>
          <w:tcPr>
            <w:tcW w:w="1174" w:type="dxa"/>
            <w:gridSpan w:val="2"/>
            <w:vAlign w:val="center"/>
          </w:tcPr>
          <w:p w14:paraId="683E01D4" w14:textId="77777777" w:rsidR="00ED76EC" w:rsidRPr="003A00C3" w:rsidRDefault="00ED76EC" w:rsidP="00ED76EC">
            <w:pPr>
              <w:jc w:val="center"/>
            </w:pPr>
            <w:r w:rsidRPr="003A00C3">
              <w:t>$56.35</w:t>
            </w:r>
          </w:p>
          <w:p w14:paraId="69F4566B" w14:textId="77777777" w:rsidR="00ED76EC" w:rsidRPr="003A00C3" w:rsidRDefault="00ED76EC" w:rsidP="00ED76EC">
            <w:pPr>
              <w:jc w:val="center"/>
            </w:pPr>
          </w:p>
        </w:tc>
        <w:tc>
          <w:tcPr>
            <w:tcW w:w="1198" w:type="dxa"/>
            <w:gridSpan w:val="2"/>
            <w:vAlign w:val="center"/>
          </w:tcPr>
          <w:p w14:paraId="5DA438B0" w14:textId="376F4D11" w:rsidR="00ED76EC" w:rsidRPr="00ED76EC" w:rsidRDefault="00ED76EC" w:rsidP="00ED76EC">
            <w:pPr>
              <w:jc w:val="center"/>
            </w:pPr>
            <w:r w:rsidRPr="00ED76EC">
              <w:t xml:space="preserve">$15,439.90 </w:t>
            </w:r>
          </w:p>
        </w:tc>
      </w:tr>
      <w:tr w:rsidR="00ED76EC" w:rsidRPr="003A00C3" w14:paraId="57BFD6C1" w14:textId="77777777" w:rsidTr="00ED76EC">
        <w:trPr>
          <w:cantSplit/>
          <w:trHeight w:val="843"/>
        </w:trPr>
        <w:tc>
          <w:tcPr>
            <w:tcW w:w="1444" w:type="dxa"/>
            <w:vAlign w:val="center"/>
          </w:tcPr>
          <w:p w14:paraId="137D83D3" w14:textId="45257204" w:rsidR="00ED76EC" w:rsidRPr="003A00C3" w:rsidRDefault="00ED76EC" w:rsidP="00ED76EC">
            <w:r w:rsidRPr="003A00C3">
              <w:rPr>
                <w:sz w:val="22"/>
                <w:szCs w:val="21"/>
              </w:rPr>
              <w:t>Principal Investigator</w:t>
            </w:r>
          </w:p>
        </w:tc>
        <w:tc>
          <w:tcPr>
            <w:tcW w:w="1440" w:type="dxa"/>
            <w:vAlign w:val="center"/>
          </w:tcPr>
          <w:p w14:paraId="5136E65B" w14:textId="70C1C7F5" w:rsidR="00ED76EC" w:rsidRPr="003A00C3" w:rsidRDefault="00ED76EC" w:rsidP="00ED76EC">
            <w:r w:rsidRPr="003A00C3">
              <w:t>Telephonic Interviews</w:t>
            </w:r>
          </w:p>
        </w:tc>
        <w:tc>
          <w:tcPr>
            <w:tcW w:w="1350" w:type="dxa"/>
            <w:vAlign w:val="center"/>
          </w:tcPr>
          <w:p w14:paraId="42300D72" w14:textId="43EC5EF1" w:rsidR="00ED76EC" w:rsidRPr="003A00C3" w:rsidRDefault="00ED76EC" w:rsidP="00ED76EC">
            <w:pPr>
              <w:jc w:val="center"/>
            </w:pPr>
            <w:r>
              <w:rPr>
                <w:bCs/>
                <w:szCs w:val="21"/>
              </w:rPr>
              <w:t>3</w:t>
            </w:r>
          </w:p>
        </w:tc>
        <w:tc>
          <w:tcPr>
            <w:tcW w:w="1498" w:type="dxa"/>
            <w:vAlign w:val="center"/>
          </w:tcPr>
          <w:p w14:paraId="4880A6D4" w14:textId="5E030E41" w:rsidR="00ED76EC" w:rsidRPr="003A00C3" w:rsidRDefault="00ED76EC" w:rsidP="00ED76EC">
            <w:pPr>
              <w:jc w:val="center"/>
            </w:pPr>
            <w:r w:rsidRPr="008C4132">
              <w:rPr>
                <w:szCs w:val="21"/>
              </w:rPr>
              <w:t>1</w:t>
            </w:r>
          </w:p>
        </w:tc>
        <w:tc>
          <w:tcPr>
            <w:tcW w:w="1346" w:type="dxa"/>
            <w:vAlign w:val="center"/>
          </w:tcPr>
          <w:p w14:paraId="0A8CF9BF" w14:textId="3646B120" w:rsidR="00ED76EC" w:rsidRPr="003A00C3" w:rsidRDefault="00ED76EC" w:rsidP="00ED76EC">
            <w:pPr>
              <w:jc w:val="center"/>
            </w:pPr>
            <w:r w:rsidRPr="008C4132">
              <w:rPr>
                <w:szCs w:val="21"/>
              </w:rPr>
              <w:t>1</w:t>
            </w:r>
          </w:p>
        </w:tc>
        <w:tc>
          <w:tcPr>
            <w:tcW w:w="1174" w:type="dxa"/>
            <w:gridSpan w:val="2"/>
            <w:vAlign w:val="center"/>
          </w:tcPr>
          <w:p w14:paraId="5D55C8FC" w14:textId="09DCE880" w:rsidR="00ED76EC" w:rsidRPr="003A00C3" w:rsidRDefault="00ED76EC" w:rsidP="00ED76EC">
            <w:pPr>
              <w:jc w:val="center"/>
            </w:pPr>
            <w:r w:rsidRPr="003A00C3">
              <w:t>$</w:t>
            </w:r>
            <w:r w:rsidRPr="00A834FD">
              <w:t>56.35</w:t>
            </w:r>
          </w:p>
        </w:tc>
        <w:tc>
          <w:tcPr>
            <w:tcW w:w="1198" w:type="dxa"/>
            <w:gridSpan w:val="2"/>
            <w:vAlign w:val="center"/>
          </w:tcPr>
          <w:p w14:paraId="3F0C5904" w14:textId="5105E67A" w:rsidR="00ED76EC" w:rsidRPr="003A00C3" w:rsidRDefault="00ED76EC" w:rsidP="00ED76EC">
            <w:pPr>
              <w:jc w:val="center"/>
            </w:pPr>
            <w:r w:rsidRPr="00ED76EC">
              <w:t xml:space="preserve">$169.05 </w:t>
            </w:r>
          </w:p>
        </w:tc>
      </w:tr>
      <w:tr w:rsidR="00ED76EC" w:rsidRPr="003A00C3" w14:paraId="4D66204C" w14:textId="77777777" w:rsidTr="00ED76EC">
        <w:trPr>
          <w:cantSplit/>
        </w:trPr>
        <w:tc>
          <w:tcPr>
            <w:tcW w:w="1444" w:type="dxa"/>
            <w:vAlign w:val="center"/>
          </w:tcPr>
          <w:p w14:paraId="20212AB7" w14:textId="16CE1B76" w:rsidR="00ED76EC" w:rsidRPr="003A00C3" w:rsidRDefault="00ED76EC" w:rsidP="00ED76EC">
            <w:pPr>
              <w:rPr>
                <w:sz w:val="22"/>
                <w:szCs w:val="21"/>
              </w:rPr>
            </w:pPr>
            <w:r>
              <w:rPr>
                <w:sz w:val="22"/>
                <w:szCs w:val="21"/>
              </w:rPr>
              <w:t>Grantee Program Manager</w:t>
            </w:r>
          </w:p>
        </w:tc>
        <w:tc>
          <w:tcPr>
            <w:tcW w:w="1440" w:type="dxa"/>
            <w:vAlign w:val="center"/>
          </w:tcPr>
          <w:p w14:paraId="337074D7" w14:textId="11D9713A" w:rsidR="00ED76EC" w:rsidRPr="003A00C3" w:rsidRDefault="00ED76EC" w:rsidP="00ED76EC">
            <w:r w:rsidRPr="003A00C3">
              <w:t>Telephonic Interviews</w:t>
            </w:r>
          </w:p>
        </w:tc>
        <w:tc>
          <w:tcPr>
            <w:tcW w:w="1350" w:type="dxa"/>
            <w:vAlign w:val="center"/>
          </w:tcPr>
          <w:p w14:paraId="7C3F2515" w14:textId="6A67A598" w:rsidR="00ED76EC" w:rsidRPr="003A00C3" w:rsidRDefault="00ED76EC" w:rsidP="00ED76EC">
            <w:pPr>
              <w:jc w:val="center"/>
            </w:pPr>
            <w:r>
              <w:rPr>
                <w:bCs/>
                <w:szCs w:val="21"/>
              </w:rPr>
              <w:t>3</w:t>
            </w:r>
          </w:p>
        </w:tc>
        <w:tc>
          <w:tcPr>
            <w:tcW w:w="1498" w:type="dxa"/>
            <w:vAlign w:val="center"/>
          </w:tcPr>
          <w:p w14:paraId="1D7E93B0" w14:textId="254898CE" w:rsidR="00ED76EC" w:rsidRPr="003A00C3" w:rsidRDefault="00ED76EC" w:rsidP="00ED76EC">
            <w:pPr>
              <w:jc w:val="center"/>
            </w:pPr>
            <w:r w:rsidRPr="008C4132">
              <w:rPr>
                <w:szCs w:val="21"/>
              </w:rPr>
              <w:t>1</w:t>
            </w:r>
          </w:p>
        </w:tc>
        <w:tc>
          <w:tcPr>
            <w:tcW w:w="1346" w:type="dxa"/>
            <w:vAlign w:val="center"/>
          </w:tcPr>
          <w:p w14:paraId="1BF4808F" w14:textId="6D1ACF7B" w:rsidR="00ED76EC" w:rsidRPr="003A00C3" w:rsidRDefault="00ED76EC" w:rsidP="00ED76EC">
            <w:pPr>
              <w:jc w:val="center"/>
            </w:pPr>
            <w:r w:rsidRPr="008C4132">
              <w:rPr>
                <w:szCs w:val="21"/>
              </w:rPr>
              <w:t>1</w:t>
            </w:r>
          </w:p>
        </w:tc>
        <w:tc>
          <w:tcPr>
            <w:tcW w:w="1174" w:type="dxa"/>
            <w:gridSpan w:val="2"/>
            <w:vAlign w:val="center"/>
          </w:tcPr>
          <w:p w14:paraId="0DF4BB94" w14:textId="129FE88A" w:rsidR="00ED76EC" w:rsidRPr="003A00C3" w:rsidRDefault="00ED76EC" w:rsidP="00ED76EC">
            <w:pPr>
              <w:jc w:val="center"/>
            </w:pPr>
            <w:r w:rsidRPr="003A00C3">
              <w:t>$</w:t>
            </w:r>
            <w:r w:rsidRPr="00A834FD">
              <w:t>56.35</w:t>
            </w:r>
          </w:p>
        </w:tc>
        <w:tc>
          <w:tcPr>
            <w:tcW w:w="1198" w:type="dxa"/>
            <w:gridSpan w:val="2"/>
            <w:vAlign w:val="center"/>
          </w:tcPr>
          <w:p w14:paraId="00CCD724" w14:textId="389687D0" w:rsidR="00ED76EC" w:rsidRPr="00ED76EC" w:rsidRDefault="00ED76EC" w:rsidP="00ED76EC">
            <w:pPr>
              <w:jc w:val="center"/>
            </w:pPr>
            <w:r w:rsidRPr="00ED76EC">
              <w:t xml:space="preserve">$169.05 </w:t>
            </w:r>
          </w:p>
        </w:tc>
      </w:tr>
      <w:tr w:rsidR="00ED76EC" w:rsidRPr="003A00C3" w14:paraId="667C10E3" w14:textId="77777777" w:rsidTr="00ED76EC">
        <w:trPr>
          <w:cantSplit/>
        </w:trPr>
        <w:tc>
          <w:tcPr>
            <w:tcW w:w="1444" w:type="dxa"/>
            <w:vAlign w:val="center"/>
          </w:tcPr>
          <w:p w14:paraId="44070312" w14:textId="4B4800D4" w:rsidR="00ED76EC" w:rsidRPr="003A00C3" w:rsidRDefault="00ED76EC" w:rsidP="00ED76EC">
            <w:r>
              <w:t>Quality Improvement Specialist</w:t>
            </w:r>
          </w:p>
        </w:tc>
        <w:tc>
          <w:tcPr>
            <w:tcW w:w="1440" w:type="dxa"/>
            <w:vAlign w:val="center"/>
          </w:tcPr>
          <w:p w14:paraId="5C0DA566" w14:textId="087FFA3A" w:rsidR="00ED76EC" w:rsidRPr="003A00C3" w:rsidRDefault="00ED76EC" w:rsidP="00ED76EC">
            <w:r w:rsidRPr="003A00C3">
              <w:t>Telephonic Interviews</w:t>
            </w:r>
          </w:p>
        </w:tc>
        <w:tc>
          <w:tcPr>
            <w:tcW w:w="1350" w:type="dxa"/>
            <w:vAlign w:val="center"/>
          </w:tcPr>
          <w:p w14:paraId="128F2E6C" w14:textId="01E50039" w:rsidR="00ED76EC" w:rsidRPr="003A00C3" w:rsidRDefault="00ED76EC" w:rsidP="00ED76EC">
            <w:pPr>
              <w:jc w:val="center"/>
            </w:pPr>
            <w:r>
              <w:rPr>
                <w:bCs/>
                <w:szCs w:val="21"/>
              </w:rPr>
              <w:t>3</w:t>
            </w:r>
          </w:p>
        </w:tc>
        <w:tc>
          <w:tcPr>
            <w:tcW w:w="1498" w:type="dxa"/>
            <w:vAlign w:val="center"/>
          </w:tcPr>
          <w:p w14:paraId="19F49C16" w14:textId="49462D06" w:rsidR="00ED76EC" w:rsidRPr="003A00C3" w:rsidRDefault="00ED76EC" w:rsidP="00ED76EC">
            <w:pPr>
              <w:jc w:val="center"/>
            </w:pPr>
            <w:r w:rsidRPr="008C4132">
              <w:rPr>
                <w:szCs w:val="21"/>
              </w:rPr>
              <w:t>1</w:t>
            </w:r>
          </w:p>
        </w:tc>
        <w:tc>
          <w:tcPr>
            <w:tcW w:w="1346" w:type="dxa"/>
            <w:vAlign w:val="center"/>
          </w:tcPr>
          <w:p w14:paraId="5814A9F8" w14:textId="243A205E" w:rsidR="00ED76EC" w:rsidRPr="003A00C3" w:rsidRDefault="00ED76EC" w:rsidP="00ED76EC">
            <w:pPr>
              <w:jc w:val="center"/>
            </w:pPr>
            <w:r w:rsidRPr="008C4132">
              <w:rPr>
                <w:szCs w:val="21"/>
              </w:rPr>
              <w:t>1</w:t>
            </w:r>
          </w:p>
        </w:tc>
        <w:tc>
          <w:tcPr>
            <w:tcW w:w="1174" w:type="dxa"/>
            <w:gridSpan w:val="2"/>
            <w:vAlign w:val="center"/>
          </w:tcPr>
          <w:p w14:paraId="2BC96EDB" w14:textId="676F49FA" w:rsidR="00ED76EC" w:rsidRPr="003A00C3" w:rsidRDefault="00ED76EC" w:rsidP="00ED76EC">
            <w:pPr>
              <w:jc w:val="center"/>
            </w:pPr>
            <w:r w:rsidRPr="003A00C3">
              <w:t>$</w:t>
            </w:r>
            <w:r>
              <w:t>25.92</w:t>
            </w:r>
          </w:p>
        </w:tc>
        <w:tc>
          <w:tcPr>
            <w:tcW w:w="1198" w:type="dxa"/>
            <w:gridSpan w:val="2"/>
            <w:vAlign w:val="center"/>
          </w:tcPr>
          <w:p w14:paraId="69AE8047" w14:textId="64F870D1" w:rsidR="00ED76EC" w:rsidRPr="003A00C3" w:rsidRDefault="00ED76EC" w:rsidP="00ED76EC">
            <w:pPr>
              <w:jc w:val="center"/>
            </w:pPr>
            <w:r w:rsidRPr="00ED76EC">
              <w:t xml:space="preserve">$77.76 </w:t>
            </w:r>
          </w:p>
        </w:tc>
      </w:tr>
      <w:tr w:rsidR="00ED76EC" w:rsidRPr="003A00C3" w14:paraId="08D990EC" w14:textId="77777777" w:rsidTr="00ED76EC">
        <w:trPr>
          <w:cantSplit/>
          <w:trHeight w:val="1395"/>
        </w:trPr>
        <w:tc>
          <w:tcPr>
            <w:tcW w:w="1444" w:type="dxa"/>
            <w:vAlign w:val="center"/>
          </w:tcPr>
          <w:p w14:paraId="3D7BA697" w14:textId="5F5B7146" w:rsidR="00ED76EC" w:rsidRPr="003A00C3" w:rsidRDefault="00ED76EC" w:rsidP="00ED76EC">
            <w:r>
              <w:t>Data Analyst/ Program Evaluator</w:t>
            </w:r>
          </w:p>
        </w:tc>
        <w:tc>
          <w:tcPr>
            <w:tcW w:w="1440" w:type="dxa"/>
            <w:vAlign w:val="center"/>
          </w:tcPr>
          <w:p w14:paraId="4BB2D01D" w14:textId="30AF4801" w:rsidR="00ED76EC" w:rsidRPr="003A00C3" w:rsidRDefault="00ED76EC" w:rsidP="00ED76EC">
            <w:r w:rsidRPr="003A00C3">
              <w:t>Telephonic Interviews</w:t>
            </w:r>
          </w:p>
        </w:tc>
        <w:tc>
          <w:tcPr>
            <w:tcW w:w="1350" w:type="dxa"/>
            <w:vAlign w:val="center"/>
          </w:tcPr>
          <w:p w14:paraId="25E6B989" w14:textId="2A0CE462" w:rsidR="00ED76EC" w:rsidRPr="003A00C3" w:rsidRDefault="00ED76EC" w:rsidP="00ED76EC">
            <w:pPr>
              <w:jc w:val="center"/>
            </w:pPr>
            <w:r>
              <w:rPr>
                <w:bCs/>
                <w:szCs w:val="21"/>
              </w:rPr>
              <w:t>3</w:t>
            </w:r>
          </w:p>
        </w:tc>
        <w:tc>
          <w:tcPr>
            <w:tcW w:w="1498" w:type="dxa"/>
            <w:vAlign w:val="center"/>
          </w:tcPr>
          <w:p w14:paraId="1F687DCF" w14:textId="4BA25101" w:rsidR="00ED76EC" w:rsidRPr="003A00C3" w:rsidRDefault="00ED76EC" w:rsidP="00ED76EC">
            <w:pPr>
              <w:jc w:val="center"/>
            </w:pPr>
            <w:r w:rsidRPr="008C4132">
              <w:rPr>
                <w:szCs w:val="21"/>
              </w:rPr>
              <w:t>1</w:t>
            </w:r>
          </w:p>
        </w:tc>
        <w:tc>
          <w:tcPr>
            <w:tcW w:w="1346" w:type="dxa"/>
            <w:vAlign w:val="center"/>
          </w:tcPr>
          <w:p w14:paraId="06AF3B28" w14:textId="2D0A5F31" w:rsidR="00ED76EC" w:rsidRPr="003A00C3" w:rsidRDefault="00ED76EC" w:rsidP="00ED76EC">
            <w:pPr>
              <w:jc w:val="center"/>
            </w:pPr>
            <w:r w:rsidRPr="008C4132">
              <w:rPr>
                <w:szCs w:val="21"/>
              </w:rPr>
              <w:t>1</w:t>
            </w:r>
          </w:p>
        </w:tc>
        <w:tc>
          <w:tcPr>
            <w:tcW w:w="1174" w:type="dxa"/>
            <w:gridSpan w:val="2"/>
            <w:vAlign w:val="center"/>
          </w:tcPr>
          <w:p w14:paraId="0B7D0F8D" w14:textId="39D8C153" w:rsidR="00ED76EC" w:rsidRPr="003A00C3" w:rsidRDefault="00ED76EC" w:rsidP="00ED76EC">
            <w:pPr>
              <w:jc w:val="center"/>
            </w:pPr>
            <w:r w:rsidRPr="003A00C3">
              <w:t>$</w:t>
            </w:r>
            <w:r>
              <w:t>25.92</w:t>
            </w:r>
          </w:p>
        </w:tc>
        <w:tc>
          <w:tcPr>
            <w:tcW w:w="1198" w:type="dxa"/>
            <w:gridSpan w:val="2"/>
            <w:vAlign w:val="center"/>
          </w:tcPr>
          <w:p w14:paraId="57CA5988" w14:textId="01F2ADC0" w:rsidR="00ED76EC" w:rsidRPr="003A00C3" w:rsidRDefault="00ED76EC" w:rsidP="00ED76EC">
            <w:pPr>
              <w:jc w:val="center"/>
            </w:pPr>
            <w:r w:rsidRPr="00ED76EC">
              <w:t xml:space="preserve">$77.76 </w:t>
            </w:r>
          </w:p>
        </w:tc>
      </w:tr>
      <w:tr w:rsidR="00ED76EC" w:rsidRPr="003A00C3" w14:paraId="7B2788DF" w14:textId="77777777" w:rsidTr="00ED76EC">
        <w:trPr>
          <w:cantSplit/>
          <w:trHeight w:val="1395"/>
        </w:trPr>
        <w:tc>
          <w:tcPr>
            <w:tcW w:w="1444" w:type="dxa"/>
            <w:vAlign w:val="center"/>
          </w:tcPr>
          <w:p w14:paraId="36B0873A" w14:textId="59F66A3C" w:rsidR="00ED76EC" w:rsidRDefault="00ED76EC" w:rsidP="00ED76EC">
            <w:r>
              <w:t>Partner Support Staff</w:t>
            </w:r>
          </w:p>
        </w:tc>
        <w:tc>
          <w:tcPr>
            <w:tcW w:w="1440" w:type="dxa"/>
            <w:vAlign w:val="center"/>
          </w:tcPr>
          <w:p w14:paraId="2D407D1C" w14:textId="7A627925" w:rsidR="00ED76EC" w:rsidRPr="003A00C3" w:rsidRDefault="00ED76EC" w:rsidP="00ED76EC">
            <w:r w:rsidRPr="003A00C3">
              <w:t>Telephonic Interviews</w:t>
            </w:r>
          </w:p>
        </w:tc>
        <w:tc>
          <w:tcPr>
            <w:tcW w:w="1350" w:type="dxa"/>
            <w:vAlign w:val="center"/>
          </w:tcPr>
          <w:p w14:paraId="1E0C6820" w14:textId="56005526" w:rsidR="00ED76EC" w:rsidRDefault="00ED76EC" w:rsidP="00ED76EC">
            <w:pPr>
              <w:jc w:val="center"/>
            </w:pPr>
            <w:r>
              <w:rPr>
                <w:bCs/>
                <w:szCs w:val="21"/>
              </w:rPr>
              <w:t>6</w:t>
            </w:r>
          </w:p>
        </w:tc>
        <w:tc>
          <w:tcPr>
            <w:tcW w:w="1498" w:type="dxa"/>
            <w:vAlign w:val="center"/>
          </w:tcPr>
          <w:p w14:paraId="5D035C01" w14:textId="65CF67B3" w:rsidR="00ED76EC" w:rsidRPr="003A00C3" w:rsidRDefault="00ED76EC" w:rsidP="00ED76EC">
            <w:pPr>
              <w:jc w:val="center"/>
            </w:pPr>
            <w:r w:rsidRPr="008C4132">
              <w:rPr>
                <w:szCs w:val="21"/>
              </w:rPr>
              <w:t>1</w:t>
            </w:r>
          </w:p>
        </w:tc>
        <w:tc>
          <w:tcPr>
            <w:tcW w:w="1346" w:type="dxa"/>
            <w:vAlign w:val="center"/>
          </w:tcPr>
          <w:p w14:paraId="64ED7E09" w14:textId="60CA2726" w:rsidR="00ED76EC" w:rsidRPr="003A00C3" w:rsidRDefault="00ED76EC" w:rsidP="00ED76EC">
            <w:pPr>
              <w:jc w:val="center"/>
            </w:pPr>
            <w:r w:rsidRPr="008C4132">
              <w:rPr>
                <w:szCs w:val="21"/>
              </w:rPr>
              <w:t>1</w:t>
            </w:r>
          </w:p>
        </w:tc>
        <w:tc>
          <w:tcPr>
            <w:tcW w:w="1174" w:type="dxa"/>
            <w:gridSpan w:val="2"/>
            <w:vAlign w:val="center"/>
          </w:tcPr>
          <w:p w14:paraId="0608F9C9" w14:textId="2E1DC9A3" w:rsidR="00ED76EC" w:rsidRPr="003A00C3" w:rsidRDefault="00ED76EC" w:rsidP="00ED76EC">
            <w:pPr>
              <w:jc w:val="center"/>
            </w:pPr>
            <w:r w:rsidRPr="003A00C3">
              <w:t>$</w:t>
            </w:r>
            <w:r>
              <w:t>34.70</w:t>
            </w:r>
          </w:p>
        </w:tc>
        <w:tc>
          <w:tcPr>
            <w:tcW w:w="1198" w:type="dxa"/>
            <w:gridSpan w:val="2"/>
            <w:vAlign w:val="center"/>
          </w:tcPr>
          <w:p w14:paraId="216357AF" w14:textId="464CD6F0" w:rsidR="00ED76EC" w:rsidRPr="003A00C3" w:rsidRDefault="00ED76EC" w:rsidP="00ED76EC">
            <w:pPr>
              <w:jc w:val="center"/>
            </w:pPr>
            <w:r w:rsidRPr="00ED76EC">
              <w:t xml:space="preserve">$208.20 </w:t>
            </w:r>
          </w:p>
        </w:tc>
      </w:tr>
      <w:tr w:rsidR="00E912E9" w:rsidRPr="008B05B7" w14:paraId="3455BDE7" w14:textId="77777777" w:rsidTr="00377EAD">
        <w:tblPrEx>
          <w:tblBorders>
            <w:insideH w:val="none" w:sz="0" w:space="0" w:color="auto"/>
          </w:tblBorders>
        </w:tblPrEx>
        <w:trPr>
          <w:gridAfter w:val="1"/>
          <w:wAfter w:w="118" w:type="dxa"/>
          <w:cantSplit/>
        </w:trPr>
        <w:tc>
          <w:tcPr>
            <w:tcW w:w="8014" w:type="dxa"/>
            <w:gridSpan w:val="6"/>
            <w:tcBorders>
              <w:top w:val="single" w:sz="6" w:space="0" w:color="auto"/>
            </w:tcBorders>
            <w:shd w:val="clear" w:color="auto" w:fill="BFBFBF"/>
          </w:tcPr>
          <w:p w14:paraId="34DCA21B" w14:textId="77777777" w:rsidR="00E912E9" w:rsidRPr="003A00C3" w:rsidRDefault="00E912E9" w:rsidP="00E912E9">
            <w:pPr>
              <w:rPr>
                <w:b/>
                <w:bCs/>
              </w:rPr>
            </w:pPr>
            <w:r w:rsidRPr="003A00C3">
              <w:rPr>
                <w:b/>
                <w:bCs/>
              </w:rPr>
              <w:t>Total</w:t>
            </w:r>
          </w:p>
        </w:tc>
        <w:tc>
          <w:tcPr>
            <w:tcW w:w="1318" w:type="dxa"/>
            <w:gridSpan w:val="2"/>
            <w:tcBorders>
              <w:top w:val="single" w:sz="6" w:space="0" w:color="auto"/>
            </w:tcBorders>
          </w:tcPr>
          <w:p w14:paraId="0F43BA7B" w14:textId="77D7BC36" w:rsidR="00E912E9" w:rsidRPr="008B05B7" w:rsidRDefault="00E912E9" w:rsidP="00E912E9">
            <w:pPr>
              <w:jc w:val="right"/>
              <w:rPr>
                <w:b/>
                <w:bCs/>
              </w:rPr>
            </w:pPr>
            <w:r w:rsidRPr="003A00C3">
              <w:rPr>
                <w:b/>
                <w:bCs/>
              </w:rPr>
              <w:t>$</w:t>
            </w:r>
            <w:r w:rsidR="00ED76EC">
              <w:rPr>
                <w:b/>
                <w:bCs/>
              </w:rPr>
              <w:t>16,141.72</w:t>
            </w:r>
          </w:p>
        </w:tc>
      </w:tr>
    </w:tbl>
    <w:p w14:paraId="65232962" w14:textId="77777777" w:rsidR="00E971CB" w:rsidRDefault="00E971CB" w:rsidP="00FF75EF"/>
    <w:p w14:paraId="36472D9F" w14:textId="77777777" w:rsidR="003A0622" w:rsidRPr="00FF75EF" w:rsidRDefault="003A0622" w:rsidP="00FF75EF"/>
    <w:p w14:paraId="3464D7E3" w14:textId="77777777" w:rsidR="00FF75EF" w:rsidRDefault="00FF75EF" w:rsidP="0034521D">
      <w:pPr>
        <w:pStyle w:val="Heading2"/>
        <w:spacing w:before="0" w:line="276" w:lineRule="auto"/>
        <w:rPr>
          <w:rFonts w:ascii="Times New Roman" w:hAnsi="Times New Roman" w:cs="Times New Roman"/>
          <w:b/>
          <w:color w:val="auto"/>
          <w:sz w:val="24"/>
          <w:szCs w:val="24"/>
        </w:rPr>
      </w:pPr>
      <w:bookmarkStart w:id="20" w:name="_Toc480354135"/>
      <w:r w:rsidRPr="00FF75EF">
        <w:rPr>
          <w:rFonts w:ascii="Times New Roman" w:hAnsi="Times New Roman" w:cs="Times New Roman"/>
          <w:b/>
          <w:color w:val="auto"/>
          <w:sz w:val="24"/>
          <w:szCs w:val="24"/>
        </w:rPr>
        <w:t>A.13 Estimates of Other Total Annual Cost Burden to Respondents and Record Keepers</w:t>
      </w:r>
      <w:bookmarkEnd w:id="20"/>
      <w:r w:rsidRPr="00FF75EF">
        <w:rPr>
          <w:rFonts w:ascii="Times New Roman" w:hAnsi="Times New Roman" w:cs="Times New Roman"/>
          <w:b/>
          <w:color w:val="auto"/>
          <w:sz w:val="24"/>
          <w:szCs w:val="24"/>
        </w:rPr>
        <w:t xml:space="preserve"> </w:t>
      </w:r>
    </w:p>
    <w:p w14:paraId="064D7D42" w14:textId="77777777" w:rsidR="003A0622" w:rsidRDefault="003A0622" w:rsidP="0034521D">
      <w:pPr>
        <w:spacing w:line="276" w:lineRule="auto"/>
      </w:pPr>
    </w:p>
    <w:p w14:paraId="6B76987B" w14:textId="77777777" w:rsidR="00A05FF7" w:rsidRDefault="00A05FF7" w:rsidP="0034521D">
      <w:pPr>
        <w:pStyle w:val="BodyText1"/>
        <w:spacing w:after="0" w:line="276" w:lineRule="auto"/>
      </w:pPr>
      <w:r>
        <w:t>No costs other than those described in A.12 will be incurred by the respondents to complete this data collection.</w:t>
      </w:r>
    </w:p>
    <w:p w14:paraId="497450EE" w14:textId="77777777" w:rsidR="003A0622" w:rsidRPr="00FF75EF" w:rsidRDefault="003A0622" w:rsidP="0034521D">
      <w:pPr>
        <w:spacing w:line="276" w:lineRule="auto"/>
      </w:pPr>
    </w:p>
    <w:p w14:paraId="3E6DCB91" w14:textId="77777777" w:rsidR="00FF75EF" w:rsidRDefault="00FF75EF" w:rsidP="0034521D">
      <w:pPr>
        <w:pStyle w:val="Heading2"/>
        <w:spacing w:before="0" w:line="276" w:lineRule="auto"/>
        <w:rPr>
          <w:rFonts w:ascii="Times New Roman" w:hAnsi="Times New Roman" w:cs="Times New Roman"/>
          <w:b/>
          <w:color w:val="auto"/>
          <w:sz w:val="24"/>
          <w:szCs w:val="24"/>
        </w:rPr>
      </w:pPr>
      <w:bookmarkStart w:id="21" w:name="_Toc480354136"/>
      <w:r w:rsidRPr="00FF75EF">
        <w:rPr>
          <w:rFonts w:ascii="Times New Roman" w:hAnsi="Times New Roman" w:cs="Times New Roman"/>
          <w:b/>
          <w:color w:val="auto"/>
          <w:sz w:val="24"/>
          <w:szCs w:val="24"/>
        </w:rPr>
        <w:t>A.14 Annualized Cost to the Federal Government</w:t>
      </w:r>
      <w:bookmarkEnd w:id="21"/>
      <w:r w:rsidRPr="00FF75EF">
        <w:rPr>
          <w:rFonts w:ascii="Times New Roman" w:hAnsi="Times New Roman" w:cs="Times New Roman"/>
          <w:b/>
          <w:color w:val="auto"/>
          <w:sz w:val="24"/>
          <w:szCs w:val="24"/>
        </w:rPr>
        <w:t xml:space="preserve"> </w:t>
      </w:r>
    </w:p>
    <w:p w14:paraId="152745BB" w14:textId="77777777" w:rsidR="00FF75EF" w:rsidRDefault="00FF75EF" w:rsidP="0034521D">
      <w:pPr>
        <w:spacing w:line="276" w:lineRule="auto"/>
      </w:pPr>
    </w:p>
    <w:p w14:paraId="21BEADF2" w14:textId="479B3F8E" w:rsidR="00625859" w:rsidRDefault="00625859" w:rsidP="0034521D">
      <w:pPr>
        <w:pStyle w:val="BodyText1"/>
        <w:spacing w:after="0" w:line="276" w:lineRule="auto"/>
      </w:pPr>
      <w:r>
        <w:rPr>
          <w:b/>
          <w:i/>
        </w:rPr>
        <w:t>Exhibit A.14-1</w:t>
      </w:r>
      <w:r>
        <w:t xml:space="preserve"> presents the two types of costs to the government that will be incurred: (1) external contracted data collection and analyses and (2) government personnel.</w:t>
      </w:r>
    </w:p>
    <w:p w14:paraId="29E1F823" w14:textId="77777777" w:rsidR="0034521D" w:rsidRDefault="0034521D" w:rsidP="0034521D">
      <w:pPr>
        <w:pStyle w:val="BodyText1"/>
        <w:spacing w:after="0" w:line="276" w:lineRule="auto"/>
      </w:pPr>
    </w:p>
    <w:p w14:paraId="2B23DCFB" w14:textId="5CF9307A" w:rsidR="00625859" w:rsidRDefault="00625859" w:rsidP="0034521D">
      <w:pPr>
        <w:pStyle w:val="ListNumber"/>
        <w:tabs>
          <w:tab w:val="clear" w:pos="1080"/>
          <w:tab w:val="num" w:pos="2520"/>
        </w:tabs>
        <w:spacing w:after="0" w:line="276" w:lineRule="auto"/>
        <w:ind w:left="1440"/>
      </w:pPr>
      <w:r>
        <w:t xml:space="preserve">The project is being conducted under a contract that was awarded on August 31, 2016. The contract is for a total of 3 years. The </w:t>
      </w:r>
      <w:r w:rsidRPr="006A0111">
        <w:t>annualized cost for the cost data collection task for the data contractor is estimated at $</w:t>
      </w:r>
      <w:r w:rsidR="006A0111" w:rsidRPr="006A0111">
        <w:t>35,766</w:t>
      </w:r>
      <w:r w:rsidRPr="006A0111">
        <w:t>. The annualized qualitativ</w:t>
      </w:r>
      <w:r w:rsidRPr="006F122F">
        <w:t>e data collection task for the data contractor is estimated at $</w:t>
      </w:r>
      <w:r w:rsidR="006A0111" w:rsidRPr="006F122F">
        <w:t>53,253</w:t>
      </w:r>
      <w:r w:rsidR="00C87C4B" w:rsidRPr="006F122F">
        <w:t>.</w:t>
      </w:r>
    </w:p>
    <w:p w14:paraId="5EC5A963" w14:textId="77777777" w:rsidR="0034521D" w:rsidRPr="006F122F" w:rsidRDefault="0034521D" w:rsidP="0034521D">
      <w:pPr>
        <w:pStyle w:val="ListNumber"/>
        <w:numPr>
          <w:ilvl w:val="0"/>
          <w:numId w:val="0"/>
        </w:numPr>
        <w:spacing w:after="0" w:line="276" w:lineRule="auto"/>
        <w:ind w:left="1440"/>
      </w:pPr>
    </w:p>
    <w:p w14:paraId="19E14847" w14:textId="6D4ECF95" w:rsidR="00625859" w:rsidRPr="006F122F" w:rsidRDefault="00834522" w:rsidP="0034521D">
      <w:pPr>
        <w:pStyle w:val="ListNumber"/>
        <w:tabs>
          <w:tab w:val="clear" w:pos="1080"/>
          <w:tab w:val="num" w:pos="2520"/>
        </w:tabs>
        <w:spacing w:after="0" w:line="276" w:lineRule="auto"/>
        <w:ind w:left="1440"/>
      </w:pPr>
      <w:r w:rsidRPr="006F122F">
        <w:t>Governmental costs for this project include personnel costs for federal staff involved in providing oversight and guidance for the planning and design of the assessment, refinement of the data collection tools, development of OMB materials, collection and analysis of the data, and reporting. T</w:t>
      </w:r>
      <w:r w:rsidR="00625859" w:rsidRPr="006F122F">
        <w:t xml:space="preserve">hese </w:t>
      </w:r>
      <w:r w:rsidRPr="006F122F">
        <w:t>activities</w:t>
      </w:r>
      <w:r w:rsidR="00625859" w:rsidRPr="006F122F">
        <w:t xml:space="preserve"> involve approximately </w:t>
      </w:r>
      <w:r w:rsidR="00E36728" w:rsidRPr="006F122F">
        <w:t>5</w:t>
      </w:r>
      <w:r w:rsidR="00625859" w:rsidRPr="006F122F">
        <w:t>% of a GS-1</w:t>
      </w:r>
      <w:r w:rsidR="00AD083B" w:rsidRPr="006F122F">
        <w:t>2</w:t>
      </w:r>
      <w:r w:rsidR="00625859" w:rsidRPr="006F122F">
        <w:t xml:space="preserve"> health </w:t>
      </w:r>
      <w:r w:rsidR="00AD083B" w:rsidRPr="006F122F">
        <w:t xml:space="preserve">scientist </w:t>
      </w:r>
      <w:r w:rsidR="004062BB" w:rsidRPr="006F122F">
        <w:t>and</w:t>
      </w:r>
      <w:r w:rsidR="00625859" w:rsidRPr="006F122F">
        <w:t xml:space="preserve"> </w:t>
      </w:r>
      <w:r w:rsidR="00E36728" w:rsidRPr="006F122F">
        <w:t>5</w:t>
      </w:r>
      <w:r w:rsidR="00625859" w:rsidRPr="006F122F">
        <w:t xml:space="preserve">% of a GS-13 </w:t>
      </w:r>
      <w:r w:rsidR="004062BB" w:rsidRPr="006F122F">
        <w:t xml:space="preserve">health </w:t>
      </w:r>
      <w:r w:rsidR="00625859" w:rsidRPr="006F122F">
        <w:t xml:space="preserve">scientist. The total cost </w:t>
      </w:r>
      <w:r w:rsidR="006F122F" w:rsidRPr="006F122F">
        <w:t xml:space="preserve">of federal staff </w:t>
      </w:r>
      <w:r w:rsidR="00625859" w:rsidRPr="006F122F">
        <w:t>to the federal government is $</w:t>
      </w:r>
      <w:r w:rsidR="00AD083B" w:rsidRPr="006F122F">
        <w:t>8,886</w:t>
      </w:r>
      <w:r w:rsidR="00625859" w:rsidRPr="006F122F">
        <w:t xml:space="preserve">. </w:t>
      </w:r>
    </w:p>
    <w:p w14:paraId="729E7D05" w14:textId="1856B0BA" w:rsidR="00625859" w:rsidRDefault="00625859" w:rsidP="0034521D">
      <w:pPr>
        <w:pStyle w:val="ListNumber"/>
        <w:numPr>
          <w:ilvl w:val="0"/>
          <w:numId w:val="0"/>
        </w:numPr>
        <w:tabs>
          <w:tab w:val="left" w:pos="720"/>
        </w:tabs>
        <w:spacing w:after="0" w:line="276" w:lineRule="auto"/>
        <w:ind w:left="1440"/>
      </w:pPr>
      <w:r w:rsidRPr="006F122F">
        <w:t>The total annualized cost to the federal government for the duration of this data collection is $</w:t>
      </w:r>
      <w:r w:rsidR="00AD083B" w:rsidRPr="006F122F">
        <w:t>97,905</w:t>
      </w:r>
      <w:r w:rsidRPr="006F122F">
        <w:t>.</w:t>
      </w:r>
    </w:p>
    <w:p w14:paraId="50C6872B" w14:textId="77777777" w:rsidR="0034521D" w:rsidRDefault="0034521D" w:rsidP="0034521D">
      <w:pPr>
        <w:pStyle w:val="ListNumber"/>
        <w:numPr>
          <w:ilvl w:val="0"/>
          <w:numId w:val="0"/>
        </w:numPr>
        <w:tabs>
          <w:tab w:val="left" w:pos="720"/>
        </w:tabs>
        <w:spacing w:after="0" w:line="276" w:lineRule="auto"/>
        <w:ind w:left="1440"/>
      </w:pPr>
    </w:p>
    <w:p w14:paraId="0E518966" w14:textId="77777777" w:rsidR="00625859" w:rsidRPr="006F122F" w:rsidRDefault="00625859" w:rsidP="00625859">
      <w:pPr>
        <w:pStyle w:val="FigureTitle"/>
      </w:pPr>
      <w:bookmarkStart w:id="22" w:name="_Toc307224726"/>
      <w:bookmarkStart w:id="23" w:name="_Toc275433793"/>
      <w:r>
        <w:t>Exhibit A.14-1.</w:t>
      </w:r>
      <w:r>
        <w:tab/>
        <w:t xml:space="preserve">Estimated </w:t>
      </w:r>
      <w:r w:rsidRPr="006F122F">
        <w:t>Annualized Federal Government Cost Distribution</w:t>
      </w:r>
      <w:bookmarkEnd w:id="22"/>
      <w:bookmarkEnd w:id="23"/>
    </w:p>
    <w:tbl>
      <w:tblPr>
        <w:tblW w:w="9360" w:type="dxa"/>
        <w:tblInd w:w="93" w:type="dxa"/>
        <w:tblLayout w:type="fixed"/>
        <w:tblCellMar>
          <w:left w:w="115" w:type="dxa"/>
          <w:right w:w="115" w:type="dxa"/>
        </w:tblCellMar>
        <w:tblLook w:val="04A0" w:firstRow="1" w:lastRow="0" w:firstColumn="1" w:lastColumn="0" w:noHBand="0" w:noVBand="1"/>
      </w:tblPr>
      <w:tblGrid>
        <w:gridCol w:w="6232"/>
        <w:gridCol w:w="3128"/>
      </w:tblGrid>
      <w:tr w:rsidR="00625859" w:rsidRPr="006F122F" w14:paraId="3D30CA61" w14:textId="77777777" w:rsidTr="00625859">
        <w:trPr>
          <w:cantSplit/>
        </w:trPr>
        <w:tc>
          <w:tcPr>
            <w:tcW w:w="6232" w:type="dxa"/>
            <w:tcBorders>
              <w:top w:val="single" w:sz="12" w:space="0" w:color="auto"/>
              <w:left w:val="nil"/>
              <w:bottom w:val="single" w:sz="8" w:space="0" w:color="auto"/>
              <w:right w:val="nil"/>
            </w:tcBorders>
            <w:vAlign w:val="bottom"/>
            <w:hideMark/>
          </w:tcPr>
          <w:p w14:paraId="6910C892" w14:textId="77777777" w:rsidR="00625859" w:rsidRPr="006F122F" w:rsidRDefault="00625859">
            <w:pPr>
              <w:keepNext/>
              <w:spacing w:before="80" w:after="80"/>
              <w:jc w:val="center"/>
              <w:rPr>
                <w:b/>
                <w:sz w:val="22"/>
              </w:rPr>
            </w:pPr>
            <w:r w:rsidRPr="006F122F">
              <w:rPr>
                <w:b/>
                <w:sz w:val="22"/>
              </w:rPr>
              <w:t>Type of Government Cost</w:t>
            </w:r>
          </w:p>
        </w:tc>
        <w:tc>
          <w:tcPr>
            <w:tcW w:w="3128" w:type="dxa"/>
            <w:tcBorders>
              <w:top w:val="single" w:sz="12" w:space="0" w:color="auto"/>
              <w:left w:val="nil"/>
              <w:bottom w:val="single" w:sz="8" w:space="0" w:color="auto"/>
              <w:right w:val="nil"/>
            </w:tcBorders>
            <w:vAlign w:val="bottom"/>
            <w:hideMark/>
          </w:tcPr>
          <w:p w14:paraId="43EB83EC" w14:textId="77777777" w:rsidR="00625859" w:rsidRPr="006F122F" w:rsidRDefault="00625859">
            <w:pPr>
              <w:keepNext/>
              <w:spacing w:before="80" w:after="80"/>
              <w:jc w:val="center"/>
              <w:rPr>
                <w:b/>
                <w:sz w:val="22"/>
              </w:rPr>
            </w:pPr>
            <w:r w:rsidRPr="006F122F">
              <w:rPr>
                <w:b/>
                <w:sz w:val="22"/>
              </w:rPr>
              <w:t>Annualized Cost</w:t>
            </w:r>
          </w:p>
        </w:tc>
      </w:tr>
      <w:tr w:rsidR="00625859" w:rsidRPr="006F122F" w14:paraId="17FB911E" w14:textId="77777777" w:rsidTr="00625859">
        <w:trPr>
          <w:cantSplit/>
        </w:trPr>
        <w:tc>
          <w:tcPr>
            <w:tcW w:w="6232" w:type="dxa"/>
            <w:noWrap/>
            <w:hideMark/>
          </w:tcPr>
          <w:p w14:paraId="13D0B652" w14:textId="77777777" w:rsidR="00625859" w:rsidRPr="0034521D" w:rsidRDefault="00625859">
            <w:pPr>
              <w:keepNext/>
              <w:spacing w:before="80" w:after="80"/>
              <w:rPr>
                <w:sz w:val="22"/>
              </w:rPr>
            </w:pPr>
            <w:r w:rsidRPr="0034521D">
              <w:rPr>
                <w:sz w:val="22"/>
              </w:rPr>
              <w:t>Data Contractor</w:t>
            </w:r>
          </w:p>
        </w:tc>
        <w:tc>
          <w:tcPr>
            <w:tcW w:w="3128" w:type="dxa"/>
            <w:noWrap/>
            <w:hideMark/>
          </w:tcPr>
          <w:p w14:paraId="48EF1B6A" w14:textId="7ECC5FB9" w:rsidR="00625859" w:rsidRPr="0034521D" w:rsidRDefault="006A0111">
            <w:pPr>
              <w:keepNext/>
              <w:tabs>
                <w:tab w:val="decimal" w:pos="1865"/>
              </w:tabs>
              <w:spacing w:before="80" w:after="80"/>
              <w:rPr>
                <w:sz w:val="22"/>
              </w:rPr>
            </w:pPr>
            <w:r w:rsidRPr="0034521D">
              <w:rPr>
                <w:sz w:val="22"/>
              </w:rPr>
              <w:t>$89,019</w:t>
            </w:r>
          </w:p>
        </w:tc>
      </w:tr>
      <w:tr w:rsidR="00625859" w:rsidRPr="006F122F" w14:paraId="57439BF3" w14:textId="77777777" w:rsidTr="00625859">
        <w:trPr>
          <w:cantSplit/>
        </w:trPr>
        <w:tc>
          <w:tcPr>
            <w:tcW w:w="6232" w:type="dxa"/>
            <w:noWrap/>
            <w:hideMark/>
          </w:tcPr>
          <w:p w14:paraId="28FAFD0C" w14:textId="77777777" w:rsidR="00625859" w:rsidRPr="0034521D" w:rsidRDefault="00625859">
            <w:pPr>
              <w:keepNext/>
              <w:spacing w:before="80" w:after="80"/>
              <w:rPr>
                <w:sz w:val="22"/>
              </w:rPr>
            </w:pPr>
            <w:r w:rsidRPr="0034521D">
              <w:rPr>
                <w:sz w:val="22"/>
              </w:rPr>
              <w:t>Federal Staff</w:t>
            </w:r>
          </w:p>
        </w:tc>
        <w:tc>
          <w:tcPr>
            <w:tcW w:w="3128" w:type="dxa"/>
            <w:noWrap/>
            <w:hideMark/>
          </w:tcPr>
          <w:p w14:paraId="3FCA8456" w14:textId="3208FDA2" w:rsidR="00625859" w:rsidRPr="0034521D" w:rsidRDefault="00551E2A">
            <w:pPr>
              <w:keepNext/>
              <w:tabs>
                <w:tab w:val="decimal" w:pos="1865"/>
              </w:tabs>
              <w:spacing w:before="80" w:after="80"/>
              <w:rPr>
                <w:sz w:val="22"/>
              </w:rPr>
            </w:pPr>
            <w:r w:rsidRPr="0034521D">
              <w:rPr>
                <w:sz w:val="22"/>
              </w:rPr>
              <w:t>$</w:t>
            </w:r>
            <w:r w:rsidR="00AD083B" w:rsidRPr="0034521D">
              <w:rPr>
                <w:sz w:val="22"/>
              </w:rPr>
              <w:t>8,886</w:t>
            </w:r>
          </w:p>
        </w:tc>
      </w:tr>
      <w:tr w:rsidR="00625859" w:rsidRPr="006F122F" w14:paraId="3B16BFD5" w14:textId="77777777" w:rsidTr="00625859">
        <w:trPr>
          <w:cantSplit/>
        </w:trPr>
        <w:tc>
          <w:tcPr>
            <w:tcW w:w="6232" w:type="dxa"/>
            <w:noWrap/>
            <w:hideMark/>
          </w:tcPr>
          <w:p w14:paraId="57C2A8C5" w14:textId="2B5C3406" w:rsidR="00625859" w:rsidRPr="0034521D" w:rsidRDefault="00625859" w:rsidP="00625859">
            <w:pPr>
              <w:keepNext/>
              <w:spacing w:before="80" w:after="80"/>
              <w:ind w:left="187"/>
              <w:rPr>
                <w:sz w:val="22"/>
              </w:rPr>
            </w:pPr>
            <w:r w:rsidRPr="0034521D">
              <w:rPr>
                <w:sz w:val="22"/>
              </w:rPr>
              <w:t>GS-1</w:t>
            </w:r>
            <w:r w:rsidR="00897D9D" w:rsidRPr="0034521D">
              <w:rPr>
                <w:sz w:val="22"/>
              </w:rPr>
              <w:t>2</w:t>
            </w:r>
            <w:r w:rsidRPr="0034521D">
              <w:rPr>
                <w:sz w:val="22"/>
              </w:rPr>
              <w:t xml:space="preserve"> health </w:t>
            </w:r>
            <w:r w:rsidR="00897D9D" w:rsidRPr="0034521D">
              <w:rPr>
                <w:sz w:val="22"/>
              </w:rPr>
              <w:t>scientist</w:t>
            </w:r>
            <w:r w:rsidRPr="0034521D">
              <w:rPr>
                <w:sz w:val="22"/>
              </w:rPr>
              <w:t xml:space="preserve"> at </w:t>
            </w:r>
            <w:r w:rsidR="00E36728" w:rsidRPr="0034521D">
              <w:rPr>
                <w:sz w:val="22"/>
              </w:rPr>
              <w:t>5</w:t>
            </w:r>
            <w:r w:rsidRPr="0034521D">
              <w:rPr>
                <w:sz w:val="22"/>
              </w:rPr>
              <w:t>% FTE</w:t>
            </w:r>
          </w:p>
        </w:tc>
        <w:tc>
          <w:tcPr>
            <w:tcW w:w="3128" w:type="dxa"/>
            <w:noWrap/>
            <w:hideMark/>
          </w:tcPr>
          <w:p w14:paraId="61D17232" w14:textId="0B4482E7" w:rsidR="00625859" w:rsidRPr="0034521D" w:rsidRDefault="00551E2A">
            <w:pPr>
              <w:keepNext/>
              <w:tabs>
                <w:tab w:val="decimal" w:pos="1865"/>
              </w:tabs>
              <w:spacing w:before="80" w:after="80"/>
              <w:rPr>
                <w:sz w:val="22"/>
              </w:rPr>
            </w:pPr>
            <w:r w:rsidRPr="0034521D">
              <w:rPr>
                <w:sz w:val="22"/>
              </w:rPr>
              <w:t>$</w:t>
            </w:r>
            <w:r w:rsidR="00897D9D" w:rsidRPr="0034521D">
              <w:rPr>
                <w:sz w:val="22"/>
                <w:szCs w:val="22"/>
              </w:rPr>
              <w:t xml:space="preserve"> </w:t>
            </w:r>
            <w:r w:rsidR="00AD083B" w:rsidRPr="0034521D">
              <w:rPr>
                <w:sz w:val="22"/>
                <w:szCs w:val="22"/>
              </w:rPr>
              <w:t>3,785</w:t>
            </w:r>
          </w:p>
        </w:tc>
      </w:tr>
      <w:tr w:rsidR="00551E2A" w:rsidRPr="006F122F" w14:paraId="1461F877" w14:textId="77777777" w:rsidTr="00625859">
        <w:trPr>
          <w:cantSplit/>
        </w:trPr>
        <w:tc>
          <w:tcPr>
            <w:tcW w:w="6232" w:type="dxa"/>
            <w:noWrap/>
          </w:tcPr>
          <w:p w14:paraId="2BB28834" w14:textId="5E5E9EA6" w:rsidR="00551E2A" w:rsidRPr="0034521D" w:rsidRDefault="00551E2A" w:rsidP="00551E2A">
            <w:pPr>
              <w:keepNext/>
              <w:spacing w:before="80" w:after="80"/>
              <w:ind w:left="187"/>
              <w:rPr>
                <w:sz w:val="22"/>
              </w:rPr>
            </w:pPr>
            <w:r w:rsidRPr="0034521D">
              <w:rPr>
                <w:sz w:val="22"/>
              </w:rPr>
              <w:t xml:space="preserve">GS-13 </w:t>
            </w:r>
            <w:r w:rsidR="00AD083B" w:rsidRPr="0034521D">
              <w:rPr>
                <w:sz w:val="22"/>
              </w:rPr>
              <w:t xml:space="preserve">health </w:t>
            </w:r>
            <w:r w:rsidRPr="0034521D">
              <w:rPr>
                <w:sz w:val="22"/>
              </w:rPr>
              <w:t xml:space="preserve">scientist at </w:t>
            </w:r>
            <w:r w:rsidR="00E36728" w:rsidRPr="0034521D">
              <w:rPr>
                <w:sz w:val="22"/>
              </w:rPr>
              <w:t>5</w:t>
            </w:r>
            <w:r w:rsidRPr="0034521D">
              <w:rPr>
                <w:sz w:val="22"/>
              </w:rPr>
              <w:t>% FTE</w:t>
            </w:r>
          </w:p>
        </w:tc>
        <w:tc>
          <w:tcPr>
            <w:tcW w:w="3128" w:type="dxa"/>
            <w:noWrap/>
          </w:tcPr>
          <w:p w14:paraId="7B1FF75F" w14:textId="6EF93220" w:rsidR="00551E2A" w:rsidRPr="0034521D" w:rsidRDefault="00551E2A" w:rsidP="00551E2A">
            <w:pPr>
              <w:keepNext/>
              <w:tabs>
                <w:tab w:val="decimal" w:pos="1865"/>
              </w:tabs>
              <w:spacing w:before="80" w:after="80"/>
              <w:rPr>
                <w:sz w:val="22"/>
              </w:rPr>
            </w:pPr>
            <w:r w:rsidRPr="0034521D">
              <w:rPr>
                <w:sz w:val="22"/>
              </w:rPr>
              <w:t>$</w:t>
            </w:r>
            <w:r w:rsidR="00AD083B" w:rsidRPr="0034521D">
              <w:rPr>
                <w:sz w:val="22"/>
              </w:rPr>
              <w:t>5,101</w:t>
            </w:r>
          </w:p>
        </w:tc>
      </w:tr>
      <w:tr w:rsidR="00551E2A" w:rsidRPr="006F122F" w14:paraId="13D805DE" w14:textId="77777777" w:rsidTr="00E36728">
        <w:trPr>
          <w:cantSplit/>
        </w:trPr>
        <w:tc>
          <w:tcPr>
            <w:tcW w:w="6232" w:type="dxa"/>
            <w:tcBorders>
              <w:top w:val="nil"/>
              <w:left w:val="nil"/>
              <w:bottom w:val="single" w:sz="4" w:space="0" w:color="auto"/>
              <w:right w:val="nil"/>
            </w:tcBorders>
            <w:noWrap/>
          </w:tcPr>
          <w:p w14:paraId="1E5EB2D1" w14:textId="7AC860D5" w:rsidR="00551E2A" w:rsidRPr="006F122F" w:rsidRDefault="00551E2A" w:rsidP="00551E2A">
            <w:pPr>
              <w:keepNext/>
              <w:spacing w:before="80" w:after="80"/>
              <w:ind w:left="187"/>
              <w:rPr>
                <w:sz w:val="22"/>
              </w:rPr>
            </w:pPr>
          </w:p>
        </w:tc>
        <w:tc>
          <w:tcPr>
            <w:tcW w:w="3128" w:type="dxa"/>
            <w:tcBorders>
              <w:top w:val="nil"/>
              <w:left w:val="nil"/>
              <w:bottom w:val="single" w:sz="4" w:space="0" w:color="auto"/>
              <w:right w:val="nil"/>
            </w:tcBorders>
            <w:noWrap/>
          </w:tcPr>
          <w:p w14:paraId="31FEB7A5" w14:textId="7437B4BA" w:rsidR="00551E2A" w:rsidRPr="006F122F" w:rsidRDefault="00551E2A" w:rsidP="00551E2A">
            <w:pPr>
              <w:keepNext/>
              <w:tabs>
                <w:tab w:val="decimal" w:pos="1865"/>
              </w:tabs>
              <w:spacing w:before="80" w:after="80"/>
              <w:rPr>
                <w:sz w:val="22"/>
              </w:rPr>
            </w:pPr>
          </w:p>
        </w:tc>
      </w:tr>
      <w:tr w:rsidR="00551E2A" w14:paraId="0B507D61" w14:textId="77777777" w:rsidTr="00625859">
        <w:trPr>
          <w:cantSplit/>
        </w:trPr>
        <w:tc>
          <w:tcPr>
            <w:tcW w:w="6232" w:type="dxa"/>
            <w:tcBorders>
              <w:top w:val="single" w:sz="4" w:space="0" w:color="auto"/>
              <w:left w:val="nil"/>
              <w:bottom w:val="single" w:sz="12" w:space="0" w:color="auto"/>
              <w:right w:val="nil"/>
            </w:tcBorders>
            <w:hideMark/>
          </w:tcPr>
          <w:p w14:paraId="6165CFB7" w14:textId="77777777" w:rsidR="00551E2A" w:rsidRPr="006F122F" w:rsidRDefault="00551E2A" w:rsidP="00551E2A">
            <w:pPr>
              <w:keepNext/>
              <w:spacing w:before="80" w:after="80"/>
              <w:rPr>
                <w:sz w:val="22"/>
              </w:rPr>
            </w:pPr>
            <w:r w:rsidRPr="006F122F">
              <w:rPr>
                <w:sz w:val="22"/>
              </w:rPr>
              <w:t>Total</w:t>
            </w:r>
          </w:p>
        </w:tc>
        <w:tc>
          <w:tcPr>
            <w:tcW w:w="3128" w:type="dxa"/>
            <w:tcBorders>
              <w:top w:val="single" w:sz="4" w:space="0" w:color="auto"/>
              <w:left w:val="nil"/>
              <w:bottom w:val="single" w:sz="12" w:space="0" w:color="auto"/>
              <w:right w:val="nil"/>
            </w:tcBorders>
            <w:noWrap/>
            <w:hideMark/>
          </w:tcPr>
          <w:p w14:paraId="19DE96EB" w14:textId="181D2C66" w:rsidR="00551E2A" w:rsidRDefault="006A0111" w:rsidP="00551E2A">
            <w:pPr>
              <w:keepNext/>
              <w:tabs>
                <w:tab w:val="decimal" w:pos="1865"/>
              </w:tabs>
              <w:spacing w:before="80" w:after="80"/>
              <w:rPr>
                <w:sz w:val="22"/>
              </w:rPr>
            </w:pPr>
            <w:r w:rsidRPr="006F122F">
              <w:rPr>
                <w:sz w:val="22"/>
              </w:rPr>
              <w:t>$</w:t>
            </w:r>
            <w:r w:rsidR="00AD083B" w:rsidRPr="006F122F">
              <w:rPr>
                <w:sz w:val="22"/>
              </w:rPr>
              <w:t>97,905</w:t>
            </w:r>
          </w:p>
        </w:tc>
      </w:tr>
    </w:tbl>
    <w:p w14:paraId="04DB1BFE" w14:textId="77777777" w:rsidR="003A0622" w:rsidRDefault="003A0622" w:rsidP="00FF75EF"/>
    <w:p w14:paraId="64CD9DD6" w14:textId="77777777" w:rsidR="003A0622" w:rsidRPr="00FF75EF" w:rsidRDefault="003A0622" w:rsidP="00FF75EF"/>
    <w:p w14:paraId="1B3D77A3" w14:textId="77777777" w:rsidR="00FF75EF" w:rsidRDefault="00FF75EF" w:rsidP="0034521D">
      <w:pPr>
        <w:pStyle w:val="Heading2"/>
        <w:spacing w:before="0" w:line="276" w:lineRule="auto"/>
        <w:rPr>
          <w:rFonts w:ascii="Times New Roman" w:hAnsi="Times New Roman" w:cs="Times New Roman"/>
          <w:b/>
          <w:color w:val="auto"/>
          <w:sz w:val="24"/>
          <w:szCs w:val="24"/>
        </w:rPr>
      </w:pPr>
      <w:bookmarkStart w:id="24" w:name="_Toc480354137"/>
      <w:r w:rsidRPr="00FF75EF">
        <w:rPr>
          <w:rFonts w:ascii="Times New Roman" w:hAnsi="Times New Roman" w:cs="Times New Roman"/>
          <w:b/>
          <w:color w:val="auto"/>
          <w:sz w:val="24"/>
          <w:szCs w:val="24"/>
        </w:rPr>
        <w:t>A.15 Explanation for Program Changes or Adjustments</w:t>
      </w:r>
      <w:bookmarkEnd w:id="24"/>
      <w:r w:rsidRPr="00FF75EF">
        <w:rPr>
          <w:rFonts w:ascii="Times New Roman" w:hAnsi="Times New Roman" w:cs="Times New Roman"/>
          <w:b/>
          <w:color w:val="auto"/>
          <w:sz w:val="24"/>
          <w:szCs w:val="24"/>
        </w:rPr>
        <w:t xml:space="preserve"> </w:t>
      </w:r>
    </w:p>
    <w:p w14:paraId="06EECD92" w14:textId="77777777" w:rsidR="00FF75EF" w:rsidRDefault="00FF75EF" w:rsidP="0034521D">
      <w:pPr>
        <w:spacing w:line="276" w:lineRule="auto"/>
      </w:pPr>
    </w:p>
    <w:p w14:paraId="394BE3A9" w14:textId="52B07C66" w:rsidR="003A0622" w:rsidRDefault="00156DA4" w:rsidP="0034521D">
      <w:pPr>
        <w:spacing w:line="276" w:lineRule="auto"/>
      </w:pPr>
      <w:r>
        <w:tab/>
        <w:t xml:space="preserve">This is a new data collection. </w:t>
      </w:r>
    </w:p>
    <w:p w14:paraId="2F698B49" w14:textId="77777777" w:rsidR="003A0622" w:rsidRPr="00FF75EF" w:rsidRDefault="003A0622" w:rsidP="0034521D">
      <w:pPr>
        <w:spacing w:line="276" w:lineRule="auto"/>
      </w:pPr>
    </w:p>
    <w:p w14:paraId="12511F6D" w14:textId="77777777" w:rsidR="00FF75EF" w:rsidRDefault="00FF75EF" w:rsidP="0034521D">
      <w:pPr>
        <w:pStyle w:val="Heading2"/>
        <w:spacing w:before="0" w:line="276" w:lineRule="auto"/>
        <w:rPr>
          <w:rFonts w:ascii="Times New Roman" w:hAnsi="Times New Roman" w:cs="Times New Roman"/>
          <w:b/>
          <w:color w:val="auto"/>
          <w:sz w:val="24"/>
          <w:szCs w:val="24"/>
        </w:rPr>
      </w:pPr>
      <w:bookmarkStart w:id="25" w:name="_Toc480354138"/>
      <w:r w:rsidRPr="00FF75EF">
        <w:rPr>
          <w:rFonts w:ascii="Times New Roman" w:hAnsi="Times New Roman" w:cs="Times New Roman"/>
          <w:b/>
          <w:color w:val="auto"/>
          <w:sz w:val="24"/>
          <w:szCs w:val="24"/>
        </w:rPr>
        <w:t>A.16 Plans for Tabulation and Publication and Project Time Schedule</w:t>
      </w:r>
      <w:bookmarkEnd w:id="25"/>
      <w:r w:rsidRPr="00FF75EF">
        <w:rPr>
          <w:rFonts w:ascii="Times New Roman" w:hAnsi="Times New Roman" w:cs="Times New Roman"/>
          <w:b/>
          <w:color w:val="auto"/>
          <w:sz w:val="24"/>
          <w:szCs w:val="24"/>
        </w:rPr>
        <w:t xml:space="preserve"> </w:t>
      </w:r>
    </w:p>
    <w:p w14:paraId="4D2F53B7" w14:textId="77777777" w:rsidR="00FF75EF" w:rsidRDefault="00FF75EF" w:rsidP="0034521D">
      <w:pPr>
        <w:spacing w:line="276" w:lineRule="auto"/>
      </w:pPr>
    </w:p>
    <w:p w14:paraId="3D39F1F2" w14:textId="77777777" w:rsidR="00156DA4" w:rsidRPr="00156DA4" w:rsidRDefault="00156DA4" w:rsidP="0034521D">
      <w:pPr>
        <w:spacing w:line="276" w:lineRule="auto"/>
        <w:rPr>
          <w:b/>
          <w:bCs/>
          <w:i/>
          <w:iCs/>
        </w:rPr>
      </w:pPr>
      <w:bookmarkStart w:id="26" w:name="_Toc307224713"/>
      <w:bookmarkStart w:id="27" w:name="_Toc275433780"/>
      <w:r w:rsidRPr="00156DA4">
        <w:rPr>
          <w:b/>
          <w:bCs/>
          <w:i/>
          <w:iCs/>
        </w:rPr>
        <w:t>A.16.1</w:t>
      </w:r>
      <w:r w:rsidRPr="00156DA4">
        <w:rPr>
          <w:b/>
          <w:bCs/>
          <w:i/>
          <w:iCs/>
        </w:rPr>
        <w:tab/>
        <w:t>Publication Plan</w:t>
      </w:r>
      <w:bookmarkEnd w:id="26"/>
      <w:bookmarkEnd w:id="27"/>
    </w:p>
    <w:p w14:paraId="3540F90F" w14:textId="77777777" w:rsidR="00E577FB" w:rsidRDefault="00E577FB" w:rsidP="0034521D">
      <w:pPr>
        <w:spacing w:line="276" w:lineRule="auto"/>
      </w:pPr>
    </w:p>
    <w:p w14:paraId="7303A116" w14:textId="14DB9167" w:rsidR="00156DA4" w:rsidRDefault="00156DA4" w:rsidP="0034521D">
      <w:pPr>
        <w:spacing w:line="276" w:lineRule="auto"/>
        <w:ind w:firstLine="720"/>
      </w:pPr>
      <w:r w:rsidRPr="00156DA4">
        <w:t xml:space="preserve">Results of the study will be disseminated to </w:t>
      </w:r>
      <w:r w:rsidR="00C87C4B">
        <w:t>grantees</w:t>
      </w:r>
      <w:r w:rsidRPr="00156DA4">
        <w:t xml:space="preserve"> and other stakeholders through reports, </w:t>
      </w:r>
      <w:r w:rsidR="00A05FF7">
        <w:t>briefings</w:t>
      </w:r>
      <w:r w:rsidRPr="00156DA4">
        <w:t>, presentations at professional meetings, and publication of manuscripts in peer-reviewed journals. It is anticipated that the results of this project will be developed into several scientific and nonscientific reports.</w:t>
      </w:r>
    </w:p>
    <w:p w14:paraId="7C70AE86" w14:textId="77777777" w:rsidR="00156DA4" w:rsidRPr="00156DA4" w:rsidRDefault="00156DA4" w:rsidP="0034521D">
      <w:pPr>
        <w:spacing w:line="276" w:lineRule="auto"/>
      </w:pPr>
    </w:p>
    <w:p w14:paraId="5A9ED6E3" w14:textId="77777777" w:rsidR="00073E01" w:rsidRDefault="00073E01" w:rsidP="0034521D">
      <w:pPr>
        <w:spacing w:line="276" w:lineRule="auto"/>
        <w:rPr>
          <w:b/>
          <w:bCs/>
          <w:i/>
          <w:iCs/>
        </w:rPr>
      </w:pPr>
      <w:bookmarkStart w:id="28" w:name="_Toc307224714"/>
      <w:bookmarkStart w:id="29" w:name="_Toc275433781"/>
      <w:r>
        <w:rPr>
          <w:b/>
          <w:bCs/>
          <w:i/>
          <w:iCs/>
        </w:rPr>
        <w:br w:type="page"/>
      </w:r>
    </w:p>
    <w:p w14:paraId="6D47B077" w14:textId="37733AAD" w:rsidR="00156DA4" w:rsidRDefault="00156DA4" w:rsidP="0034521D">
      <w:pPr>
        <w:spacing w:line="276" w:lineRule="auto"/>
        <w:rPr>
          <w:b/>
          <w:bCs/>
          <w:i/>
          <w:iCs/>
        </w:rPr>
      </w:pPr>
      <w:r w:rsidRPr="00156DA4">
        <w:rPr>
          <w:b/>
          <w:bCs/>
          <w:i/>
          <w:iCs/>
        </w:rPr>
        <w:t>A.16.2</w:t>
      </w:r>
      <w:r w:rsidRPr="00156DA4">
        <w:rPr>
          <w:b/>
          <w:bCs/>
          <w:i/>
          <w:iCs/>
        </w:rPr>
        <w:tab/>
        <w:t>Project Timeline</w:t>
      </w:r>
      <w:bookmarkEnd w:id="28"/>
      <w:bookmarkEnd w:id="29"/>
    </w:p>
    <w:p w14:paraId="09E4371B" w14:textId="77777777" w:rsidR="00156DA4" w:rsidRPr="00156DA4" w:rsidRDefault="00156DA4" w:rsidP="0034521D">
      <w:pPr>
        <w:spacing w:line="276" w:lineRule="auto"/>
        <w:rPr>
          <w:b/>
          <w:bCs/>
          <w:i/>
          <w:iCs/>
        </w:rPr>
      </w:pPr>
    </w:p>
    <w:p w14:paraId="7249BF96" w14:textId="77777777" w:rsidR="00156DA4" w:rsidRDefault="00156DA4" w:rsidP="0034521D">
      <w:pPr>
        <w:spacing w:line="276" w:lineRule="auto"/>
      </w:pPr>
      <w:r w:rsidRPr="00156DA4">
        <w:t xml:space="preserve">The expected time schedule for project activities is presented in </w:t>
      </w:r>
      <w:r w:rsidRPr="00156DA4">
        <w:rPr>
          <w:b/>
          <w:bCs/>
          <w:i/>
          <w:iCs/>
        </w:rPr>
        <w:t>Exhibit A.16-2</w:t>
      </w:r>
      <w:r w:rsidRPr="00156DA4">
        <w:t>.</w:t>
      </w:r>
    </w:p>
    <w:p w14:paraId="388495FF" w14:textId="77777777" w:rsidR="00156DA4" w:rsidRPr="00156DA4" w:rsidRDefault="00156DA4" w:rsidP="00156DA4"/>
    <w:p w14:paraId="1247CF29" w14:textId="77777777" w:rsidR="00156DA4" w:rsidRPr="00156DA4" w:rsidRDefault="00156DA4" w:rsidP="00156DA4">
      <w:pPr>
        <w:rPr>
          <w:b/>
        </w:rPr>
      </w:pPr>
      <w:bookmarkStart w:id="30" w:name="_Toc307224728"/>
      <w:bookmarkStart w:id="31" w:name="_Toc275433795"/>
      <w:r w:rsidRPr="00156DA4">
        <w:rPr>
          <w:b/>
        </w:rPr>
        <w:t>Exhibit A.16-2.</w:t>
      </w:r>
      <w:r w:rsidRPr="00156DA4">
        <w:rPr>
          <w:b/>
        </w:rPr>
        <w:tab/>
        <w:t>Estimated Time Schedule for Project Activities</w:t>
      </w:r>
      <w:bookmarkEnd w:id="30"/>
      <w:bookmarkEnd w:id="31"/>
    </w:p>
    <w:tbl>
      <w:tblPr>
        <w:tblW w:w="9360" w:type="dxa"/>
        <w:tblInd w:w="86" w:type="dxa"/>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4619"/>
        <w:gridCol w:w="4741"/>
      </w:tblGrid>
      <w:tr w:rsidR="00156DA4" w:rsidRPr="00156DA4" w14:paraId="56EF42A1" w14:textId="77777777" w:rsidTr="00156DA4">
        <w:trPr>
          <w:cantSplit/>
        </w:trPr>
        <w:tc>
          <w:tcPr>
            <w:tcW w:w="4619" w:type="dxa"/>
            <w:tcBorders>
              <w:top w:val="single" w:sz="12" w:space="0" w:color="auto"/>
              <w:left w:val="nil"/>
              <w:bottom w:val="single" w:sz="6" w:space="0" w:color="auto"/>
              <w:right w:val="nil"/>
            </w:tcBorders>
            <w:vAlign w:val="bottom"/>
            <w:hideMark/>
          </w:tcPr>
          <w:p w14:paraId="67E3207F" w14:textId="77777777" w:rsidR="00156DA4" w:rsidRPr="00156DA4" w:rsidRDefault="00156DA4" w:rsidP="00156DA4">
            <w:pPr>
              <w:rPr>
                <w:b/>
              </w:rPr>
            </w:pPr>
            <w:r w:rsidRPr="00156DA4">
              <w:rPr>
                <w:b/>
              </w:rPr>
              <w:t>Activity</w:t>
            </w:r>
          </w:p>
        </w:tc>
        <w:tc>
          <w:tcPr>
            <w:tcW w:w="4741" w:type="dxa"/>
            <w:tcBorders>
              <w:top w:val="single" w:sz="12" w:space="0" w:color="auto"/>
              <w:left w:val="nil"/>
              <w:bottom w:val="single" w:sz="6" w:space="0" w:color="auto"/>
              <w:right w:val="nil"/>
            </w:tcBorders>
            <w:vAlign w:val="bottom"/>
            <w:hideMark/>
          </w:tcPr>
          <w:p w14:paraId="0F62A8B8" w14:textId="77777777" w:rsidR="00156DA4" w:rsidRPr="00156DA4" w:rsidRDefault="00156DA4" w:rsidP="00156DA4">
            <w:pPr>
              <w:rPr>
                <w:b/>
              </w:rPr>
            </w:pPr>
            <w:r w:rsidRPr="00156DA4">
              <w:rPr>
                <w:b/>
              </w:rPr>
              <w:t>Expected Timeline</w:t>
            </w:r>
          </w:p>
        </w:tc>
      </w:tr>
      <w:tr w:rsidR="00156DA4" w:rsidRPr="00156DA4" w14:paraId="611EF392" w14:textId="77777777" w:rsidTr="00156DA4">
        <w:trPr>
          <w:cantSplit/>
        </w:trPr>
        <w:tc>
          <w:tcPr>
            <w:tcW w:w="4619" w:type="dxa"/>
            <w:tcBorders>
              <w:top w:val="single" w:sz="6" w:space="0" w:color="auto"/>
              <w:left w:val="nil"/>
              <w:bottom w:val="nil"/>
              <w:right w:val="nil"/>
            </w:tcBorders>
            <w:hideMark/>
          </w:tcPr>
          <w:p w14:paraId="113C474D" w14:textId="1D28006A" w:rsidR="00156DA4" w:rsidRDefault="00156DA4" w:rsidP="00A05FF7">
            <w:r w:rsidRPr="00156DA4">
              <w:t xml:space="preserve">Development of final version of the Web-based </w:t>
            </w:r>
            <w:r w:rsidR="00644813">
              <w:t>CCT</w:t>
            </w:r>
            <w:r w:rsidR="00644813" w:rsidRPr="00156DA4">
              <w:t xml:space="preserve"> </w:t>
            </w:r>
            <w:r w:rsidRPr="00156DA4">
              <w:t>based on OMB comments</w:t>
            </w:r>
          </w:p>
          <w:p w14:paraId="109E9416" w14:textId="77777777" w:rsidR="00A05FF7" w:rsidRDefault="00A05FF7" w:rsidP="00A05FF7"/>
          <w:p w14:paraId="2EA3CDF6" w14:textId="77777777" w:rsidR="00A05FF7" w:rsidRDefault="00A05FF7" w:rsidP="00A05FF7">
            <w:r>
              <w:t>Development of final version of telephonic interview protocols based on OMB comments</w:t>
            </w:r>
          </w:p>
          <w:p w14:paraId="33DC05A3" w14:textId="50881BC7" w:rsidR="00A05FF7" w:rsidRPr="00156DA4" w:rsidRDefault="00A05FF7" w:rsidP="00A05FF7"/>
        </w:tc>
        <w:tc>
          <w:tcPr>
            <w:tcW w:w="4741" w:type="dxa"/>
            <w:tcBorders>
              <w:top w:val="single" w:sz="6" w:space="0" w:color="auto"/>
              <w:left w:val="nil"/>
              <w:bottom w:val="nil"/>
              <w:right w:val="nil"/>
            </w:tcBorders>
            <w:hideMark/>
          </w:tcPr>
          <w:p w14:paraId="047FD8D5" w14:textId="1F3F0629" w:rsidR="00156DA4" w:rsidRDefault="00A05FF7" w:rsidP="00A05FF7">
            <w:r>
              <w:t>May 2017</w:t>
            </w:r>
            <w:r w:rsidR="007745C2">
              <w:t xml:space="preserve"> – June 2017</w:t>
            </w:r>
          </w:p>
          <w:p w14:paraId="37AE0BEA" w14:textId="77777777" w:rsidR="00A05FF7" w:rsidRDefault="00A05FF7" w:rsidP="00A05FF7"/>
          <w:p w14:paraId="2B0BF41D" w14:textId="77777777" w:rsidR="00A05FF7" w:rsidRDefault="00A05FF7" w:rsidP="00A05FF7"/>
          <w:p w14:paraId="1AD10E51" w14:textId="46B97E83" w:rsidR="00A05FF7" w:rsidRPr="00156DA4" w:rsidRDefault="00A05FF7" w:rsidP="00A05FF7">
            <w:r>
              <w:t>May 2017</w:t>
            </w:r>
            <w:r w:rsidR="007745C2">
              <w:t xml:space="preserve"> – June 2017</w:t>
            </w:r>
          </w:p>
        </w:tc>
      </w:tr>
      <w:tr w:rsidR="00156DA4" w:rsidRPr="00156DA4" w14:paraId="20C9364F" w14:textId="77777777" w:rsidTr="00156DA4">
        <w:trPr>
          <w:cantSplit/>
        </w:trPr>
        <w:tc>
          <w:tcPr>
            <w:tcW w:w="4619" w:type="dxa"/>
            <w:tcBorders>
              <w:top w:val="nil"/>
              <w:left w:val="nil"/>
              <w:bottom w:val="nil"/>
              <w:right w:val="nil"/>
            </w:tcBorders>
            <w:hideMark/>
          </w:tcPr>
          <w:p w14:paraId="7B730014" w14:textId="77777777" w:rsidR="00156DA4" w:rsidRPr="00156DA4" w:rsidRDefault="00156DA4" w:rsidP="00156DA4">
            <w:r w:rsidRPr="00156DA4">
              <w:t>Receive OMB Approval</w:t>
            </w:r>
          </w:p>
        </w:tc>
        <w:tc>
          <w:tcPr>
            <w:tcW w:w="4741" w:type="dxa"/>
            <w:tcBorders>
              <w:top w:val="nil"/>
              <w:left w:val="nil"/>
              <w:bottom w:val="nil"/>
              <w:right w:val="nil"/>
            </w:tcBorders>
            <w:hideMark/>
          </w:tcPr>
          <w:p w14:paraId="05D6E985" w14:textId="6353B7F0" w:rsidR="00156DA4" w:rsidRPr="00156DA4" w:rsidRDefault="00EB4E58" w:rsidP="00156DA4">
            <w:r>
              <w:t xml:space="preserve">March </w:t>
            </w:r>
            <w:r w:rsidR="00A05FF7">
              <w:t>201</w:t>
            </w:r>
            <w:r>
              <w:t>8</w:t>
            </w:r>
          </w:p>
        </w:tc>
      </w:tr>
      <w:tr w:rsidR="00156DA4" w:rsidRPr="00156DA4" w14:paraId="412648F5" w14:textId="77777777" w:rsidTr="00156DA4">
        <w:trPr>
          <w:cantSplit/>
        </w:trPr>
        <w:tc>
          <w:tcPr>
            <w:tcW w:w="4619" w:type="dxa"/>
            <w:tcBorders>
              <w:top w:val="nil"/>
              <w:left w:val="nil"/>
              <w:bottom w:val="nil"/>
              <w:right w:val="nil"/>
            </w:tcBorders>
            <w:hideMark/>
          </w:tcPr>
          <w:p w14:paraId="39B9A955" w14:textId="77777777" w:rsidR="00A05FF7" w:rsidRDefault="00A05FF7" w:rsidP="00156DA4"/>
          <w:p w14:paraId="6FF993B2" w14:textId="22A4A712" w:rsidR="00F059C4" w:rsidRDefault="00F059C4" w:rsidP="00156DA4">
            <w:r>
              <w:t xml:space="preserve">Recruitment emails sent to </w:t>
            </w:r>
            <w:r w:rsidR="00644813">
              <w:t xml:space="preserve">CCT </w:t>
            </w:r>
            <w:r>
              <w:t>and telephonic interview participants</w:t>
            </w:r>
          </w:p>
          <w:p w14:paraId="54A40E2C" w14:textId="77777777" w:rsidR="00F059C4" w:rsidRDefault="00F059C4" w:rsidP="00156DA4"/>
          <w:p w14:paraId="5D211229" w14:textId="21AA18BC" w:rsidR="00156DA4" w:rsidRDefault="00156DA4" w:rsidP="00156DA4">
            <w:r w:rsidRPr="00156DA4">
              <w:t>Technical assistance</w:t>
            </w:r>
            <w:r w:rsidR="00A05FF7">
              <w:t xml:space="preserve"> for </w:t>
            </w:r>
            <w:r w:rsidR="00644813">
              <w:t>CCT</w:t>
            </w:r>
          </w:p>
          <w:p w14:paraId="623547DE" w14:textId="77777777" w:rsidR="00A05FF7" w:rsidRPr="00156DA4" w:rsidRDefault="00A05FF7" w:rsidP="00156DA4"/>
        </w:tc>
        <w:tc>
          <w:tcPr>
            <w:tcW w:w="4741" w:type="dxa"/>
            <w:tcBorders>
              <w:top w:val="nil"/>
              <w:left w:val="nil"/>
              <w:bottom w:val="nil"/>
              <w:right w:val="nil"/>
            </w:tcBorders>
            <w:hideMark/>
          </w:tcPr>
          <w:p w14:paraId="22A1F354" w14:textId="77777777" w:rsidR="00A05FF7" w:rsidRDefault="00A05FF7" w:rsidP="00156DA4"/>
          <w:p w14:paraId="34C0873A" w14:textId="1583AACF" w:rsidR="00F059C4" w:rsidRDefault="00F50274" w:rsidP="00A05FF7">
            <w:r>
              <w:t>March</w:t>
            </w:r>
            <w:r w:rsidR="00644813">
              <w:t xml:space="preserve"> </w:t>
            </w:r>
            <w:r w:rsidR="00F059C4">
              <w:t>2018</w:t>
            </w:r>
          </w:p>
          <w:p w14:paraId="59107C5C" w14:textId="773C77C0" w:rsidR="00F059C4" w:rsidRDefault="00F50274" w:rsidP="00A05FF7">
            <w:r>
              <w:t xml:space="preserve">March </w:t>
            </w:r>
            <w:r w:rsidR="006408A3">
              <w:t>2019</w:t>
            </w:r>
          </w:p>
          <w:p w14:paraId="1F025C03" w14:textId="77777777" w:rsidR="00F059C4" w:rsidRDefault="00F059C4" w:rsidP="00A05FF7"/>
          <w:p w14:paraId="31130151" w14:textId="48B2EC0B" w:rsidR="00156DA4" w:rsidRPr="00156DA4" w:rsidRDefault="00156DA4" w:rsidP="00A05FF7">
            <w:r w:rsidRPr="00156DA4">
              <w:t>Ongoing</w:t>
            </w:r>
            <w:r w:rsidR="00F95F39">
              <w:t xml:space="preserve"> in 2018, 2019</w:t>
            </w:r>
            <w:r w:rsidRPr="00156DA4">
              <w:t xml:space="preserve">, concentrated during </w:t>
            </w:r>
            <w:r w:rsidR="00A05FF7">
              <w:t>yearly data collection</w:t>
            </w:r>
          </w:p>
        </w:tc>
      </w:tr>
      <w:tr w:rsidR="00156DA4" w:rsidRPr="00156DA4" w14:paraId="7EA8CA38" w14:textId="77777777" w:rsidTr="00156DA4">
        <w:trPr>
          <w:cantSplit/>
        </w:trPr>
        <w:tc>
          <w:tcPr>
            <w:tcW w:w="4619" w:type="dxa"/>
            <w:tcBorders>
              <w:top w:val="nil"/>
              <w:left w:val="nil"/>
              <w:bottom w:val="nil"/>
              <w:right w:val="nil"/>
            </w:tcBorders>
            <w:hideMark/>
          </w:tcPr>
          <w:p w14:paraId="3A00A200" w14:textId="77777777" w:rsidR="00A05FF7" w:rsidRDefault="00A05FF7" w:rsidP="00156DA4"/>
          <w:p w14:paraId="74C9B23F" w14:textId="65CAF590" w:rsidR="00156DA4" w:rsidRPr="00156DA4" w:rsidRDefault="00A05FF7" w:rsidP="00156DA4">
            <w:r>
              <w:t>Yearly</w:t>
            </w:r>
            <w:r w:rsidR="00156DA4" w:rsidRPr="00156DA4">
              <w:t xml:space="preserve"> data collections</w:t>
            </w:r>
            <w:r>
              <w:t xml:space="preserve"> for </w:t>
            </w:r>
            <w:r w:rsidR="00644813">
              <w:t>CCT</w:t>
            </w:r>
          </w:p>
        </w:tc>
        <w:tc>
          <w:tcPr>
            <w:tcW w:w="4741" w:type="dxa"/>
            <w:tcBorders>
              <w:top w:val="nil"/>
              <w:left w:val="nil"/>
              <w:bottom w:val="nil"/>
              <w:right w:val="nil"/>
            </w:tcBorders>
            <w:hideMark/>
          </w:tcPr>
          <w:p w14:paraId="4553B497" w14:textId="77777777" w:rsidR="00A05FF7" w:rsidRDefault="00A05FF7" w:rsidP="00156DA4"/>
          <w:p w14:paraId="78C81385" w14:textId="363B760C" w:rsidR="00156DA4" w:rsidRPr="00156DA4" w:rsidRDefault="00156DA4" w:rsidP="00156DA4">
            <w:r w:rsidRPr="00156DA4">
              <w:t xml:space="preserve">1st data collection: </w:t>
            </w:r>
            <w:r w:rsidR="0017789D">
              <w:t>April-May</w:t>
            </w:r>
            <w:r w:rsidR="00644813">
              <w:t xml:space="preserve"> </w:t>
            </w:r>
            <w:r w:rsidR="00A05FF7">
              <w:t>2018</w:t>
            </w:r>
          </w:p>
          <w:p w14:paraId="2EA1C03E" w14:textId="222C70F2" w:rsidR="00156DA4" w:rsidRPr="00156DA4" w:rsidRDefault="00156DA4" w:rsidP="00156DA4">
            <w:r w:rsidRPr="00156DA4">
              <w:t>2</w:t>
            </w:r>
            <w:r w:rsidRPr="00A05FF7">
              <w:rPr>
                <w:vertAlign w:val="superscript"/>
              </w:rPr>
              <w:t>nd</w:t>
            </w:r>
            <w:r w:rsidR="00A05FF7">
              <w:t xml:space="preserve"> </w:t>
            </w:r>
            <w:r w:rsidRPr="00156DA4">
              <w:t xml:space="preserve">data collection: </w:t>
            </w:r>
            <w:r w:rsidR="0017789D">
              <w:t xml:space="preserve">April-May </w:t>
            </w:r>
            <w:r w:rsidR="00A05FF7">
              <w:t>2019</w:t>
            </w:r>
          </w:p>
          <w:p w14:paraId="0E58C5CC" w14:textId="00C94845" w:rsidR="00156DA4" w:rsidRPr="00156DA4" w:rsidRDefault="00156DA4" w:rsidP="00156DA4"/>
        </w:tc>
      </w:tr>
      <w:tr w:rsidR="00156DA4" w:rsidRPr="00156DA4" w14:paraId="7C93CAF1" w14:textId="77777777" w:rsidTr="00156DA4">
        <w:trPr>
          <w:cantSplit/>
        </w:trPr>
        <w:tc>
          <w:tcPr>
            <w:tcW w:w="4619" w:type="dxa"/>
            <w:tcBorders>
              <w:top w:val="nil"/>
              <w:left w:val="nil"/>
              <w:bottom w:val="nil"/>
              <w:right w:val="nil"/>
            </w:tcBorders>
            <w:hideMark/>
          </w:tcPr>
          <w:p w14:paraId="1D65EF2F" w14:textId="163A51CB" w:rsidR="00A05FF7" w:rsidRDefault="00A05FF7" w:rsidP="00156DA4">
            <w:r>
              <w:t xml:space="preserve">Telephonic Interview data collection </w:t>
            </w:r>
          </w:p>
          <w:p w14:paraId="6A9591EC" w14:textId="77777777" w:rsidR="00A05FF7" w:rsidRDefault="00A05FF7" w:rsidP="00156DA4"/>
          <w:p w14:paraId="2C62BF81" w14:textId="1D77267E" w:rsidR="00156DA4" w:rsidRPr="00156DA4" w:rsidRDefault="00A05FF7" w:rsidP="00156DA4">
            <w:r>
              <w:t>Base Year</w:t>
            </w:r>
            <w:r w:rsidR="00156DA4" w:rsidRPr="00156DA4">
              <w:t xml:space="preserve"> cost analyses </w:t>
            </w:r>
          </w:p>
        </w:tc>
        <w:tc>
          <w:tcPr>
            <w:tcW w:w="4741" w:type="dxa"/>
            <w:tcBorders>
              <w:top w:val="nil"/>
              <w:left w:val="nil"/>
              <w:bottom w:val="nil"/>
              <w:right w:val="nil"/>
            </w:tcBorders>
            <w:hideMark/>
          </w:tcPr>
          <w:p w14:paraId="6883CC5E" w14:textId="253B073E" w:rsidR="00A05FF7" w:rsidRDefault="00A05FF7" w:rsidP="00A05FF7">
            <w:r>
              <w:t>February 2019</w:t>
            </w:r>
          </w:p>
          <w:p w14:paraId="234412BC" w14:textId="77777777" w:rsidR="00A05FF7" w:rsidRDefault="00A05FF7" w:rsidP="00A05FF7"/>
          <w:p w14:paraId="635986C3" w14:textId="74BEB203" w:rsidR="00156DA4" w:rsidRPr="00156DA4" w:rsidRDefault="00156DA4" w:rsidP="00A05FF7">
            <w:r w:rsidRPr="00156DA4">
              <w:t xml:space="preserve">Within </w:t>
            </w:r>
            <w:r w:rsidR="00A05FF7">
              <w:t>3</w:t>
            </w:r>
            <w:r w:rsidRPr="00156DA4">
              <w:t xml:space="preserve"> month of </w:t>
            </w:r>
            <w:r w:rsidR="00A05FF7">
              <w:t>1</w:t>
            </w:r>
            <w:r w:rsidR="00A05FF7" w:rsidRPr="00A05FF7">
              <w:rPr>
                <w:vertAlign w:val="superscript"/>
              </w:rPr>
              <w:t>st</w:t>
            </w:r>
            <w:r w:rsidR="00A05FF7">
              <w:t xml:space="preserve"> </w:t>
            </w:r>
            <w:r w:rsidR="00644813">
              <w:t>CCT</w:t>
            </w:r>
            <w:r w:rsidR="00644813" w:rsidRPr="00156DA4">
              <w:t xml:space="preserve"> </w:t>
            </w:r>
            <w:r w:rsidRPr="00156DA4">
              <w:t>data collection</w:t>
            </w:r>
          </w:p>
        </w:tc>
      </w:tr>
      <w:tr w:rsidR="00156DA4" w:rsidRPr="00156DA4" w14:paraId="6EDBBAA5" w14:textId="77777777" w:rsidTr="00156DA4">
        <w:trPr>
          <w:cantSplit/>
        </w:trPr>
        <w:tc>
          <w:tcPr>
            <w:tcW w:w="4619" w:type="dxa"/>
            <w:tcBorders>
              <w:top w:val="nil"/>
              <w:left w:val="nil"/>
              <w:bottom w:val="single" w:sz="12" w:space="0" w:color="auto"/>
              <w:right w:val="nil"/>
            </w:tcBorders>
            <w:hideMark/>
          </w:tcPr>
          <w:p w14:paraId="3743CF7C" w14:textId="77777777" w:rsidR="00A05FF7" w:rsidRDefault="00A05FF7" w:rsidP="00A05FF7"/>
          <w:p w14:paraId="64919058" w14:textId="77777777" w:rsidR="00156DA4" w:rsidRDefault="00156DA4" w:rsidP="00A05FF7">
            <w:r w:rsidRPr="00156DA4">
              <w:t>Final cost data analysis</w:t>
            </w:r>
          </w:p>
          <w:p w14:paraId="3F5B6100" w14:textId="77777777" w:rsidR="00A05FF7" w:rsidRDefault="00A05FF7" w:rsidP="00A05FF7"/>
          <w:p w14:paraId="38909018" w14:textId="77777777" w:rsidR="00A05FF7" w:rsidRDefault="00A05FF7" w:rsidP="00A05FF7">
            <w:r>
              <w:t>Qualitative data analysis</w:t>
            </w:r>
          </w:p>
          <w:p w14:paraId="1CF4BA9E" w14:textId="77777777" w:rsidR="00F059C4" w:rsidRDefault="00F059C4" w:rsidP="00A05FF7"/>
          <w:p w14:paraId="73A80754" w14:textId="77777777" w:rsidR="00F059C4" w:rsidRDefault="00F059C4" w:rsidP="00A05FF7"/>
          <w:p w14:paraId="6701095F" w14:textId="77777777" w:rsidR="00F059C4" w:rsidRDefault="00302CEE" w:rsidP="00A05FF7">
            <w:r>
              <w:t>All data collected to CDC</w:t>
            </w:r>
          </w:p>
          <w:p w14:paraId="4CDD732A" w14:textId="078DD3BF" w:rsidR="00302CEE" w:rsidRPr="00156DA4" w:rsidRDefault="00302CEE" w:rsidP="00A05FF7"/>
        </w:tc>
        <w:tc>
          <w:tcPr>
            <w:tcW w:w="4741" w:type="dxa"/>
            <w:tcBorders>
              <w:top w:val="nil"/>
              <w:left w:val="nil"/>
              <w:bottom w:val="single" w:sz="12" w:space="0" w:color="auto"/>
              <w:right w:val="nil"/>
            </w:tcBorders>
            <w:hideMark/>
          </w:tcPr>
          <w:p w14:paraId="3F7B9E97" w14:textId="77777777" w:rsidR="00A05FF7" w:rsidRDefault="00A05FF7" w:rsidP="00A05FF7"/>
          <w:p w14:paraId="71864500" w14:textId="52C0247C" w:rsidR="00156DA4" w:rsidRDefault="00156DA4" w:rsidP="00A05FF7">
            <w:r w:rsidRPr="00156DA4">
              <w:t xml:space="preserve">Within 3 months of </w:t>
            </w:r>
            <w:r w:rsidR="00A05FF7">
              <w:t>2</w:t>
            </w:r>
            <w:r w:rsidR="00A05FF7" w:rsidRPr="00A05FF7">
              <w:rPr>
                <w:vertAlign w:val="superscript"/>
              </w:rPr>
              <w:t>nd</w:t>
            </w:r>
            <w:r w:rsidR="00A05FF7">
              <w:t xml:space="preserve"> </w:t>
            </w:r>
            <w:r w:rsidR="00644813">
              <w:t xml:space="preserve">CCT </w:t>
            </w:r>
            <w:r w:rsidR="00A05FF7">
              <w:t>data</w:t>
            </w:r>
            <w:r w:rsidRPr="00156DA4">
              <w:t xml:space="preserve"> collection</w:t>
            </w:r>
          </w:p>
          <w:p w14:paraId="47121433" w14:textId="77777777" w:rsidR="00A05FF7" w:rsidRDefault="00A05FF7" w:rsidP="00A05FF7"/>
          <w:p w14:paraId="2DD16A30" w14:textId="77777777" w:rsidR="00A05FF7" w:rsidRDefault="00A05FF7" w:rsidP="00A05FF7">
            <w:r>
              <w:t>Within 3 months of telephonic interview data collection</w:t>
            </w:r>
          </w:p>
          <w:p w14:paraId="55E383C2" w14:textId="77777777" w:rsidR="00302CEE" w:rsidRDefault="00302CEE" w:rsidP="00A05FF7"/>
          <w:p w14:paraId="63EFC3DD" w14:textId="4FDF4D9D" w:rsidR="00302CEE" w:rsidRDefault="00302CEE" w:rsidP="00A05FF7">
            <w:r>
              <w:t>1</w:t>
            </w:r>
            <w:r w:rsidRPr="006F122F">
              <w:rPr>
                <w:vertAlign w:val="superscript"/>
              </w:rPr>
              <w:t>st</w:t>
            </w:r>
            <w:r>
              <w:t xml:space="preserve"> data collection: August 2018</w:t>
            </w:r>
          </w:p>
          <w:p w14:paraId="6697F696" w14:textId="49AB582B" w:rsidR="00302CEE" w:rsidRPr="00156DA4" w:rsidRDefault="00302CEE" w:rsidP="00A05FF7">
            <w:r>
              <w:t>2</w:t>
            </w:r>
            <w:r w:rsidRPr="006F122F">
              <w:rPr>
                <w:vertAlign w:val="superscript"/>
              </w:rPr>
              <w:t>nd</w:t>
            </w:r>
            <w:r>
              <w:t xml:space="preserve"> data collection: August 2019</w:t>
            </w:r>
          </w:p>
        </w:tc>
      </w:tr>
    </w:tbl>
    <w:p w14:paraId="56D9CE39" w14:textId="77777777" w:rsidR="003A0622" w:rsidRDefault="003A0622" w:rsidP="00FF75EF"/>
    <w:p w14:paraId="7CC95418" w14:textId="77777777" w:rsidR="003A0622" w:rsidRPr="00FF75EF" w:rsidRDefault="003A0622" w:rsidP="00FF75EF"/>
    <w:p w14:paraId="6C5C7FA3" w14:textId="77777777" w:rsidR="00FF75EF" w:rsidRDefault="00FF75EF" w:rsidP="0034521D">
      <w:pPr>
        <w:pStyle w:val="Heading2"/>
        <w:spacing w:before="0" w:line="276" w:lineRule="auto"/>
        <w:rPr>
          <w:rFonts w:ascii="Times New Roman" w:hAnsi="Times New Roman" w:cs="Times New Roman"/>
          <w:b/>
          <w:color w:val="auto"/>
          <w:sz w:val="24"/>
          <w:szCs w:val="24"/>
        </w:rPr>
      </w:pPr>
      <w:bookmarkStart w:id="32" w:name="_Toc480354139"/>
      <w:r w:rsidRPr="00FF75EF">
        <w:rPr>
          <w:rFonts w:ascii="Times New Roman" w:hAnsi="Times New Roman" w:cs="Times New Roman"/>
          <w:b/>
          <w:color w:val="auto"/>
          <w:sz w:val="24"/>
          <w:szCs w:val="24"/>
        </w:rPr>
        <w:t>A.17 Reason(s) Display of OMB Expiration Date is Inappropriate</w:t>
      </w:r>
      <w:bookmarkEnd w:id="32"/>
      <w:r w:rsidRPr="00FF75EF">
        <w:rPr>
          <w:rFonts w:ascii="Times New Roman" w:hAnsi="Times New Roman" w:cs="Times New Roman"/>
          <w:b/>
          <w:color w:val="auto"/>
          <w:sz w:val="24"/>
          <w:szCs w:val="24"/>
        </w:rPr>
        <w:t xml:space="preserve"> </w:t>
      </w:r>
    </w:p>
    <w:p w14:paraId="339984A8" w14:textId="77777777" w:rsidR="00FF75EF" w:rsidRDefault="00FF75EF" w:rsidP="0034521D">
      <w:pPr>
        <w:spacing w:line="276" w:lineRule="auto"/>
      </w:pPr>
    </w:p>
    <w:p w14:paraId="2F7E52D9" w14:textId="74BB033C" w:rsidR="003A0622" w:rsidRDefault="00834522" w:rsidP="0034521D">
      <w:pPr>
        <w:pStyle w:val="BodyText"/>
        <w:spacing w:after="0" w:line="276" w:lineRule="auto"/>
        <w:ind w:firstLine="720"/>
        <w:rPr>
          <w:rFonts w:ascii="Times New Roman" w:hAnsi="Times New Roman"/>
        </w:rPr>
      </w:pPr>
      <w:r>
        <w:rPr>
          <w:rFonts w:ascii="Times New Roman" w:hAnsi="Times New Roman"/>
        </w:rPr>
        <w:t>T</w:t>
      </w:r>
      <w:r w:rsidRPr="00064AC5">
        <w:rPr>
          <w:rFonts w:ascii="Times New Roman" w:hAnsi="Times New Roman"/>
        </w:rPr>
        <w:t xml:space="preserve">he OMB expiration date </w:t>
      </w:r>
      <w:r>
        <w:rPr>
          <w:rFonts w:ascii="Times New Roman" w:hAnsi="Times New Roman"/>
        </w:rPr>
        <w:t xml:space="preserve">will be displayed </w:t>
      </w:r>
      <w:r w:rsidRPr="006D45BB">
        <w:rPr>
          <w:rFonts w:ascii="Times New Roman" w:hAnsi="Times New Roman"/>
        </w:rPr>
        <w:t>on all information collection instruments</w:t>
      </w:r>
      <w:r>
        <w:rPr>
          <w:rFonts w:ascii="Times New Roman" w:hAnsi="Times New Roman"/>
        </w:rPr>
        <w:t xml:space="preserve">.  </w:t>
      </w:r>
      <w:r w:rsidR="00081779" w:rsidRPr="00834522">
        <w:rPr>
          <w:rFonts w:ascii="Times New Roman" w:hAnsi="Times New Roman"/>
        </w:rPr>
        <w:t>No request for an exemption from displaying the expiration date for OMB approval is being sought.</w:t>
      </w:r>
    </w:p>
    <w:p w14:paraId="131648A7" w14:textId="77777777" w:rsidR="00F95F39" w:rsidRPr="00834522" w:rsidRDefault="00F95F39" w:rsidP="0034521D">
      <w:pPr>
        <w:pStyle w:val="BodyText"/>
        <w:spacing w:after="0" w:line="276" w:lineRule="auto"/>
        <w:ind w:firstLine="720"/>
        <w:rPr>
          <w:rFonts w:ascii="Times New Roman" w:hAnsi="Times New Roman"/>
        </w:rPr>
      </w:pPr>
    </w:p>
    <w:p w14:paraId="6EB1BECA" w14:textId="77777777" w:rsidR="00FF75EF" w:rsidRPr="00FF75EF" w:rsidRDefault="00FF75EF" w:rsidP="0034521D">
      <w:pPr>
        <w:pStyle w:val="Heading2"/>
        <w:spacing w:before="0" w:line="276" w:lineRule="auto"/>
        <w:rPr>
          <w:rFonts w:ascii="Times New Roman" w:hAnsi="Times New Roman" w:cs="Times New Roman"/>
          <w:b/>
          <w:color w:val="auto"/>
          <w:sz w:val="24"/>
          <w:szCs w:val="24"/>
        </w:rPr>
      </w:pPr>
      <w:bookmarkStart w:id="33" w:name="_Toc480354140"/>
      <w:r w:rsidRPr="00FF75EF">
        <w:rPr>
          <w:rFonts w:ascii="Times New Roman" w:hAnsi="Times New Roman" w:cs="Times New Roman"/>
          <w:b/>
          <w:color w:val="auto"/>
          <w:sz w:val="24"/>
          <w:szCs w:val="24"/>
        </w:rPr>
        <w:t>A.18 Exceptions to Certification for Paperwork Reduction Act Submissions</w:t>
      </w:r>
      <w:bookmarkEnd w:id="33"/>
      <w:r w:rsidRPr="00FF75EF">
        <w:rPr>
          <w:rFonts w:ascii="Times New Roman" w:hAnsi="Times New Roman" w:cs="Times New Roman"/>
          <w:b/>
          <w:color w:val="auto"/>
          <w:sz w:val="24"/>
          <w:szCs w:val="24"/>
        </w:rPr>
        <w:t xml:space="preserve"> </w:t>
      </w:r>
    </w:p>
    <w:p w14:paraId="33F149A3" w14:textId="77777777" w:rsidR="00DE715A" w:rsidRDefault="00DE715A" w:rsidP="0034521D">
      <w:pPr>
        <w:spacing w:line="276" w:lineRule="auto"/>
      </w:pPr>
    </w:p>
    <w:p w14:paraId="4C546E20" w14:textId="5E11AA4C" w:rsidR="00377EAD" w:rsidRDefault="00081779" w:rsidP="0034521D">
      <w:pPr>
        <w:spacing w:line="276" w:lineRule="auto"/>
        <w:ind w:firstLine="720"/>
      </w:pPr>
      <w:r w:rsidRPr="00901A6B">
        <w:t>There are no exceptions to the certification.</w:t>
      </w:r>
    </w:p>
    <w:p w14:paraId="66BF1C4B" w14:textId="77777777" w:rsidR="00377EAD" w:rsidRDefault="00377EAD" w:rsidP="00377EAD">
      <w:pPr>
        <w:ind w:firstLine="720"/>
      </w:pPr>
    </w:p>
    <w:p w14:paraId="0C84E376" w14:textId="16DF68CB" w:rsidR="00377EAD" w:rsidRPr="00377EAD" w:rsidRDefault="00377EAD" w:rsidP="00377EAD">
      <w:pPr>
        <w:rPr>
          <w:b/>
        </w:rPr>
      </w:pPr>
      <w:r w:rsidRPr="00377EAD">
        <w:rPr>
          <w:b/>
        </w:rPr>
        <w:t>REFERENCES</w:t>
      </w:r>
    </w:p>
    <w:p w14:paraId="0E5A88BC" w14:textId="77777777" w:rsidR="00377EAD" w:rsidRDefault="00377EAD" w:rsidP="00377EAD"/>
    <w:p w14:paraId="3C368D2D" w14:textId="77777777" w:rsidR="0062573D" w:rsidRDefault="0062573D" w:rsidP="0062573D">
      <w:pPr>
        <w:pStyle w:val="biblio"/>
      </w:pPr>
      <w:r>
        <w:t xml:space="preserve">American Stroke Association (ASA). </w:t>
      </w:r>
      <w:r w:rsidRPr="00FD416B">
        <w:rPr>
          <w:i/>
          <w:iCs/>
        </w:rPr>
        <w:t>Impact of stroke</w:t>
      </w:r>
      <w:r>
        <w:t xml:space="preserve">. </w:t>
      </w:r>
      <w:hyperlink r:id="rId9" w:history="1">
        <w:r w:rsidRPr="00ED1474">
          <w:rPr>
            <w:rStyle w:val="Hyperlink"/>
          </w:rPr>
          <w:t>http://www.strokeassociation.org/STROKEORG/AboutStroke/Impact-of-Stroke-Stroke-statistics_UCM_310728_Article.jsp</w:t>
        </w:r>
        <w:r w:rsidRPr="0064231E">
          <w:rPr>
            <w:rStyle w:val="Hyperlink"/>
          </w:rPr>
          <w:t>. Last updated June 6</w:t>
        </w:r>
      </w:hyperlink>
      <w:r>
        <w:t>, 2016.</w:t>
      </w:r>
    </w:p>
    <w:p w14:paraId="17DB6531" w14:textId="77777777" w:rsidR="0062573D" w:rsidRDefault="0062573D" w:rsidP="0062573D">
      <w:pPr>
        <w:pStyle w:val="biblio"/>
      </w:pPr>
      <w:r>
        <w:t xml:space="preserve">Matchar, D. B., &amp; Duncan, P. W. (1994). Cost of stroke. </w:t>
      </w:r>
      <w:r w:rsidRPr="00DF24F6">
        <w:rPr>
          <w:i/>
        </w:rPr>
        <w:t>Stroke Clinical Updates, 5</w:t>
      </w:r>
      <w:r>
        <w:t>, 9-12.</w:t>
      </w:r>
    </w:p>
    <w:p w14:paraId="52770CE5" w14:textId="4462A77E" w:rsidR="0062573D" w:rsidRDefault="0062573D" w:rsidP="0062573D">
      <w:pPr>
        <w:pStyle w:val="biblio"/>
      </w:pPr>
      <w:r>
        <w:t xml:space="preserve">Gillum, R. F. (1999). Stroke mortality in blacks: Disturbing trends. </w:t>
      </w:r>
      <w:r w:rsidRPr="00DF24F6">
        <w:rPr>
          <w:i/>
        </w:rPr>
        <w:t xml:space="preserve">Stroke, </w:t>
      </w:r>
      <w:r w:rsidRPr="00343E3D">
        <w:rPr>
          <w:i/>
        </w:rPr>
        <w:t>30</w:t>
      </w:r>
      <w:r w:rsidRPr="00343E3D">
        <w:t xml:space="preserve">(8), 1711–1715. </w:t>
      </w:r>
      <w:hyperlink r:id="rId10" w:history="1">
        <w:r w:rsidRPr="00343E3D">
          <w:rPr>
            <w:color w:val="0000FF"/>
            <w:u w:val="words"/>
          </w:rPr>
          <w:t>http://dx.doi.org/10.1161/01.STR.30.8.1711</w:t>
        </w:r>
      </w:hyperlink>
    </w:p>
    <w:p w14:paraId="17A71933" w14:textId="77777777" w:rsidR="00377EAD" w:rsidRDefault="00377EAD" w:rsidP="00377EAD">
      <w:pPr>
        <w:pStyle w:val="biblio"/>
      </w:pPr>
      <w:r>
        <w:t xml:space="preserve">Homer, J., Milstein, B., Wile, K., et al. (2010). Simulating and evaluating local interventions to improve cardiovascular health. </w:t>
      </w:r>
      <w:r w:rsidRPr="00A57FFA">
        <w:rPr>
          <w:i/>
        </w:rPr>
        <w:t>Preventing Chronic Disease</w:t>
      </w:r>
      <w:r>
        <w:t xml:space="preserve">, 7(1). Retrieved March 30, 2010, from </w:t>
      </w:r>
      <w:hyperlink r:id="rId11" w:history="1">
        <w:r w:rsidRPr="00A57FFA">
          <w:rPr>
            <w:rStyle w:val="Hyperlink"/>
          </w:rPr>
          <w:t>http://www.cdc.gov/pcd/issues/2010/jan/08_0231.htm</w:t>
        </w:r>
      </w:hyperlink>
      <w:r w:rsidRPr="00D21F8F">
        <w:t>.</w:t>
      </w:r>
    </w:p>
    <w:p w14:paraId="007E6750" w14:textId="77777777" w:rsidR="00377EAD" w:rsidRDefault="00377EAD" w:rsidP="00377EAD">
      <w:pPr>
        <w:pStyle w:val="biblio"/>
      </w:pPr>
      <w:r>
        <w:t xml:space="preserve">Homer, J., Milstein, B., Wile, K., Pratibhu, P., Farris, R., &amp; Orenstein, D. (2008). Modeling the local dynamics of cardiovascular health: risk factors, context, and capacity. </w:t>
      </w:r>
      <w:r w:rsidRPr="00A57FFA">
        <w:rPr>
          <w:i/>
        </w:rPr>
        <w:t>Preventing Chronic Disease</w:t>
      </w:r>
      <w:r>
        <w:t xml:space="preserve">, 5(2). Retrieved March 30, 2010, from </w:t>
      </w:r>
      <w:hyperlink r:id="rId12" w:history="1">
        <w:r w:rsidRPr="00A57FFA">
          <w:rPr>
            <w:rStyle w:val="Hyperlink"/>
          </w:rPr>
          <w:t>http://www.cdc.gov/pcd/issues/2008/apr/07_0230.htm</w:t>
        </w:r>
      </w:hyperlink>
      <w:r>
        <w:t>.</w:t>
      </w:r>
    </w:p>
    <w:p w14:paraId="0C4E1ADE" w14:textId="77777777" w:rsidR="00377EAD" w:rsidRPr="005C43A1" w:rsidRDefault="00377EAD" w:rsidP="00377EAD">
      <w:pPr>
        <w:pStyle w:val="biblio"/>
      </w:pPr>
      <w:r w:rsidRPr="005C43A1">
        <w:t xml:space="preserve">French, M. T., Roebuck, M. C., &amp; McLellan, A. T. (2004). Cost estimation when time and resources are limited: the Brief DATCAP. </w:t>
      </w:r>
      <w:r w:rsidRPr="005C43A1">
        <w:rPr>
          <w:i/>
          <w:iCs/>
        </w:rPr>
        <w:t>Journal of Substance Abuse Treatment,</w:t>
      </w:r>
      <w:r w:rsidRPr="005C43A1">
        <w:t xml:space="preserve"> </w:t>
      </w:r>
      <w:r w:rsidRPr="005C43A1">
        <w:rPr>
          <w:i/>
        </w:rPr>
        <w:t>27</w:t>
      </w:r>
      <w:r w:rsidRPr="005C43A1">
        <w:t>(3), 187–193.</w:t>
      </w:r>
    </w:p>
    <w:p w14:paraId="2B696FF9" w14:textId="77777777" w:rsidR="00377EAD" w:rsidRPr="005C43A1" w:rsidRDefault="00377EAD" w:rsidP="00377EAD">
      <w:pPr>
        <w:pStyle w:val="biblio"/>
      </w:pPr>
      <w:r w:rsidRPr="005C43A1">
        <w:t xml:space="preserve">Zarkin, G. A., Lindrooth, R. C., Demiralp, B., &amp; Wechsberg, W. (2001). The cost and cost-effectiveness of an enhanced intervention for people with substance abuse problems at risk for HIV. </w:t>
      </w:r>
      <w:r w:rsidRPr="005C43A1">
        <w:rPr>
          <w:i/>
          <w:iCs/>
        </w:rPr>
        <w:t xml:space="preserve">Health Services Research, </w:t>
      </w:r>
      <w:r w:rsidRPr="005C43A1">
        <w:rPr>
          <w:i/>
        </w:rPr>
        <w:t>36</w:t>
      </w:r>
      <w:r w:rsidRPr="005C43A1">
        <w:t>(2), 335–355.</w:t>
      </w:r>
    </w:p>
    <w:p w14:paraId="06F960B7" w14:textId="77777777" w:rsidR="00377EAD" w:rsidRPr="005C43A1" w:rsidRDefault="00377EAD" w:rsidP="00377EAD">
      <w:pPr>
        <w:pStyle w:val="biblio"/>
      </w:pPr>
      <w:r w:rsidRPr="005C43A1">
        <w:t xml:space="preserve">Salome, H. J., &amp; French, M. T. (2001). Using cost and financing instruments for economic evaluation of substance abuse treatment services. </w:t>
      </w:r>
      <w:r w:rsidRPr="005C43A1">
        <w:rPr>
          <w:i/>
          <w:iCs/>
        </w:rPr>
        <w:t>Recent Developments in Alcoholism</w:t>
      </w:r>
      <w:r w:rsidRPr="005C43A1">
        <w:t xml:space="preserve">, </w:t>
      </w:r>
      <w:r w:rsidRPr="005C43A1">
        <w:rPr>
          <w:i/>
        </w:rPr>
        <w:t>15</w:t>
      </w:r>
      <w:r w:rsidRPr="005C43A1">
        <w:t>, 253–269.</w:t>
      </w:r>
    </w:p>
    <w:p w14:paraId="0DA17DAF" w14:textId="77777777" w:rsidR="0062573D" w:rsidRPr="005C43A1" w:rsidRDefault="0062573D" w:rsidP="0062573D">
      <w:pPr>
        <w:pStyle w:val="biblio"/>
      </w:pPr>
      <w:r w:rsidRPr="005C43A1">
        <w:t xml:space="preserve">Subramanian, S., Ekwueme, D. U., Gardner, J. G., &amp; Trogdon, J. (2009, September). Developing and testing a cost-assessment tool for cancer screening programs. </w:t>
      </w:r>
      <w:r w:rsidRPr="005C43A1">
        <w:rPr>
          <w:rStyle w:val="journalname"/>
          <w:i/>
        </w:rPr>
        <w:t>American Journal of Preventive Medicine</w:t>
      </w:r>
      <w:r w:rsidRPr="005C43A1">
        <w:t xml:space="preserve">, </w:t>
      </w:r>
      <w:r w:rsidRPr="005C43A1">
        <w:rPr>
          <w:i/>
        </w:rPr>
        <w:t>37</w:t>
      </w:r>
      <w:r w:rsidRPr="005C43A1">
        <w:t>(3), 242–247.</w:t>
      </w:r>
    </w:p>
    <w:p w14:paraId="075F5D3F" w14:textId="77777777" w:rsidR="0062573D" w:rsidRPr="005C43A1" w:rsidRDefault="0062573D" w:rsidP="0062573D">
      <w:pPr>
        <w:pStyle w:val="biblio"/>
      </w:pPr>
      <w:r w:rsidRPr="005C43A1">
        <w:rPr>
          <w:color w:val="000000"/>
        </w:rPr>
        <w:t xml:space="preserve">Ekwueme, D. U., Gardner, J. G., Subramanian, S., Tangka, F. K., Bapat, B., &amp; Richardson, L. C. (2008). </w:t>
      </w:r>
      <w:r w:rsidRPr="005C43A1">
        <w:t xml:space="preserve">Cost analysis of the National Breast and Cervical Cancer Early Detection Program (NBCCEDP)—selected states, 2003–2004. </w:t>
      </w:r>
      <w:r w:rsidRPr="005C43A1">
        <w:rPr>
          <w:i/>
        </w:rPr>
        <w:t>Cancer</w:t>
      </w:r>
      <w:r w:rsidRPr="005C43A1">
        <w:t xml:space="preserve">, </w:t>
      </w:r>
      <w:r w:rsidRPr="005C43A1">
        <w:rPr>
          <w:i/>
        </w:rPr>
        <w:t>112</w:t>
      </w:r>
      <w:r w:rsidRPr="005C43A1">
        <w:t>, 626–635.</w:t>
      </w:r>
    </w:p>
    <w:p w14:paraId="7088F5FA" w14:textId="77777777" w:rsidR="0062573D" w:rsidRPr="005C43A1" w:rsidRDefault="0062573D" w:rsidP="0062573D">
      <w:pPr>
        <w:pStyle w:val="biblio"/>
      </w:pPr>
      <w:r w:rsidRPr="005C43A1">
        <w:t xml:space="preserve">Legood, R., Gray, A. M., Mahé, C., Wolstenholme, J., Jayant, K., Nene, B. M., Shastri, S. S., Malvi, S. G., Muwonge, R., Budukh, A. M., &amp; Sankaranarayanan, R. (2005). Screening for cervical cancer in India: How much will it cost? A trial based analysis of the cost per case detected. </w:t>
      </w:r>
      <w:r w:rsidRPr="005C43A1">
        <w:rPr>
          <w:i/>
        </w:rPr>
        <w:t>International Journal of Cancer</w:t>
      </w:r>
      <w:r w:rsidRPr="005C43A1">
        <w:t xml:space="preserve">, </w:t>
      </w:r>
      <w:r w:rsidRPr="005C43A1">
        <w:rPr>
          <w:i/>
        </w:rPr>
        <w:t>117</w:t>
      </w:r>
      <w:r w:rsidRPr="005C43A1">
        <w:t>(6), 981–987.</w:t>
      </w:r>
    </w:p>
    <w:p w14:paraId="51516B95" w14:textId="77777777" w:rsidR="0062573D" w:rsidRPr="005C43A1" w:rsidRDefault="0062573D" w:rsidP="0062573D">
      <w:pPr>
        <w:pStyle w:val="biblio"/>
      </w:pPr>
      <w:r w:rsidRPr="005C43A1">
        <w:t xml:space="preserve">Goldie, S. J., Gaffikin, L., Goldhaber-Fiebert, J. D., Gordillo-Tobar, A., Levin, C., Mahé, C., Wright, T. C., &amp; Alliance for Cervical Cancer Prevention Cost Working Group. (2005). Cost-effectiveness of cervical-cancer screening in five developing countries. </w:t>
      </w:r>
      <w:r w:rsidRPr="005C43A1">
        <w:rPr>
          <w:i/>
          <w:iCs/>
        </w:rPr>
        <w:t xml:space="preserve">New England Journal of Medicine, </w:t>
      </w:r>
      <w:r w:rsidRPr="005C43A1">
        <w:rPr>
          <w:i/>
        </w:rPr>
        <w:t>353</w:t>
      </w:r>
      <w:r w:rsidRPr="005C43A1">
        <w:t>(20), 2158–2168.</w:t>
      </w:r>
    </w:p>
    <w:p w14:paraId="7EFE5391" w14:textId="77777777" w:rsidR="00377EAD" w:rsidRPr="008452E5" w:rsidRDefault="00377EAD" w:rsidP="008452E5"/>
    <w:sectPr w:rsidR="00377EAD" w:rsidRPr="008452E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7908D" w16cid:durableId="1E424A94"/>
  <w16cid:commentId w16cid:paraId="2192A1D1" w16cid:durableId="1E424AFA"/>
  <w16cid:commentId w16cid:paraId="49DF0734" w16cid:durableId="1E424A95"/>
  <w16cid:commentId w16cid:paraId="76D2BB66" w16cid:durableId="1E424D7E"/>
  <w16cid:commentId w16cid:paraId="347097A9" w16cid:durableId="1E424A96"/>
  <w16cid:commentId w16cid:paraId="1DD4B72A" w16cid:durableId="1E424CD6"/>
  <w16cid:commentId w16cid:paraId="780B143A" w16cid:durableId="1E424A97"/>
  <w16cid:commentId w16cid:paraId="166C0934" w16cid:durableId="1E424BC9"/>
  <w16cid:commentId w16cid:paraId="4E63F822" w16cid:durableId="1E424A98"/>
  <w16cid:commentId w16cid:paraId="51A97F16" w16cid:durableId="1E424E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5A219" w14:textId="77777777" w:rsidR="004C3F38" w:rsidRDefault="004C3F38" w:rsidP="00835CB8">
      <w:r>
        <w:separator/>
      </w:r>
    </w:p>
  </w:endnote>
  <w:endnote w:type="continuationSeparator" w:id="0">
    <w:p w14:paraId="02F255FE" w14:textId="77777777" w:rsidR="004C3F38" w:rsidRDefault="004C3F38" w:rsidP="0083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A1"/>
    <w:family w:val="auto"/>
    <w:notTrueType/>
    <w:pitch w:val="default"/>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400D1" w14:textId="77777777" w:rsidR="004C3F38" w:rsidRDefault="004C3F38" w:rsidP="00835CB8">
      <w:r>
        <w:separator/>
      </w:r>
    </w:p>
  </w:footnote>
  <w:footnote w:type="continuationSeparator" w:id="0">
    <w:p w14:paraId="3F831B75" w14:textId="77777777" w:rsidR="004C3F38" w:rsidRDefault="004C3F38" w:rsidP="00835C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483918"/>
    <w:multiLevelType w:val="hybridMultilevel"/>
    <w:tmpl w:val="704F6C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D3A4064"/>
    <w:multiLevelType w:val="hybridMultilevel"/>
    <w:tmpl w:val="AA6D6F76"/>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FFFFFF82"/>
    <w:multiLevelType w:val="singleLevel"/>
    <w:tmpl w:val="8DDE1BFA"/>
    <w:lvl w:ilvl="0">
      <w:start w:val="1"/>
      <w:numFmt w:val="bullet"/>
      <w:pStyle w:val="ListBullet3"/>
      <w:lvlText w:val="•"/>
      <w:lvlJc w:val="left"/>
      <w:pPr>
        <w:ind w:left="1440" w:hanging="360"/>
      </w:pPr>
      <w:rPr>
        <w:rFonts w:ascii="Verdana" w:hAnsi="Verdana" w:hint="default"/>
        <w:sz w:val="20"/>
        <w:szCs w:val="20"/>
      </w:rPr>
    </w:lvl>
  </w:abstractNum>
  <w:abstractNum w:abstractNumId="3">
    <w:nsid w:val="FFFFFF88"/>
    <w:multiLevelType w:val="singleLevel"/>
    <w:tmpl w:val="CC8EF84E"/>
    <w:lvl w:ilvl="0">
      <w:start w:val="1"/>
      <w:numFmt w:val="decimal"/>
      <w:pStyle w:val="ListNumber"/>
      <w:lvlText w:val="%1."/>
      <w:lvlJc w:val="left"/>
      <w:pPr>
        <w:tabs>
          <w:tab w:val="num" w:pos="360"/>
        </w:tabs>
        <w:ind w:left="360" w:hanging="360"/>
      </w:pPr>
    </w:lvl>
  </w:abstractNum>
  <w:abstractNum w:abstractNumId="4">
    <w:nsid w:val="FFFFFF89"/>
    <w:multiLevelType w:val="singleLevel"/>
    <w:tmpl w:val="1C7AF80A"/>
    <w:lvl w:ilvl="0">
      <w:start w:val="1"/>
      <w:numFmt w:val="bullet"/>
      <w:pStyle w:val="ListBullet"/>
      <w:lvlText w:val="▪"/>
      <w:lvlJc w:val="left"/>
      <w:pPr>
        <w:ind w:left="360" w:hanging="360"/>
      </w:pPr>
      <w:rPr>
        <w:rFonts w:ascii="Verdana" w:hAnsi="Verdana" w:hint="default"/>
        <w:sz w:val="24"/>
        <w:szCs w:val="24"/>
      </w:rPr>
    </w:lvl>
  </w:abstractNum>
  <w:abstractNum w:abstractNumId="5">
    <w:nsid w:val="015C5D74"/>
    <w:multiLevelType w:val="hybridMultilevel"/>
    <w:tmpl w:val="D19CE40A"/>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6">
    <w:nsid w:val="098A179D"/>
    <w:multiLevelType w:val="hybridMultilevel"/>
    <w:tmpl w:val="EF341D8E"/>
    <w:lvl w:ilvl="0" w:tplc="36B66F5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0666DE"/>
    <w:multiLevelType w:val="hybridMultilevel"/>
    <w:tmpl w:val="E5DCC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5860B3"/>
    <w:multiLevelType w:val="hybridMultilevel"/>
    <w:tmpl w:val="FB049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12F1055"/>
    <w:multiLevelType w:val="hybridMultilevel"/>
    <w:tmpl w:val="E4FE9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872357"/>
    <w:multiLevelType w:val="hybridMultilevel"/>
    <w:tmpl w:val="6970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8C2CB5"/>
    <w:multiLevelType w:val="hybridMultilevel"/>
    <w:tmpl w:val="6B064052"/>
    <w:lvl w:ilvl="0" w:tplc="D04C756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FF4AC1"/>
    <w:multiLevelType w:val="hybridMultilevel"/>
    <w:tmpl w:val="03261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4059B5"/>
    <w:multiLevelType w:val="hybridMultilevel"/>
    <w:tmpl w:val="69601A44"/>
    <w:lvl w:ilvl="0" w:tplc="2F0C6EF6">
      <w:start w:val="1"/>
      <w:numFmt w:val="upperLetter"/>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51DB73F4"/>
    <w:multiLevelType w:val="hybridMultilevel"/>
    <w:tmpl w:val="7BC6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6E4F2E"/>
    <w:multiLevelType w:val="hybridMultilevel"/>
    <w:tmpl w:val="BB1EED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631D74"/>
    <w:multiLevelType w:val="hybridMultilevel"/>
    <w:tmpl w:val="B7B299A8"/>
    <w:lvl w:ilvl="0" w:tplc="5B32EBDC">
      <w:start w:val="1"/>
      <w:numFmt w:val="decimal"/>
      <w:pStyle w:val="biblio"/>
      <w:lvlText w:val="%1."/>
      <w:lvlJc w:val="left"/>
      <w:pPr>
        <w:tabs>
          <w:tab w:val="num" w:pos="720"/>
        </w:tabs>
        <w:ind w:left="720" w:hanging="360"/>
      </w:pPr>
    </w:lvl>
    <w:lvl w:ilvl="1" w:tplc="E690DC0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C633D9"/>
    <w:multiLevelType w:val="hybridMultilevel"/>
    <w:tmpl w:val="14848408"/>
    <w:lvl w:ilvl="0" w:tplc="0409000F">
      <w:start w:val="1"/>
      <w:numFmt w:val="decimal"/>
      <w:lvlText w:val="%1."/>
      <w:lvlJc w:val="left"/>
      <w:pPr>
        <w:tabs>
          <w:tab w:val="num" w:pos="1080"/>
        </w:tabs>
        <w:ind w:left="108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3FA09BC"/>
    <w:multiLevelType w:val="hybridMultilevel"/>
    <w:tmpl w:val="FC98F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15"/>
  </w:num>
  <w:num w:numId="3">
    <w:abstractNumId w:val="9"/>
  </w:num>
  <w:num w:numId="4">
    <w:abstractNumId w:val="3"/>
    <w:lvlOverride w:ilvl="0">
      <w:startOverride w:val="1"/>
    </w:lvlOverride>
  </w:num>
  <w:num w:numId="5">
    <w:abstractNumId w:val="3"/>
    <w:lvlOverride w:ilvl="0">
      <w:startOverride w:val="1"/>
    </w:lvlOverride>
  </w:num>
  <w:num w:numId="6">
    <w:abstractNumId w:val="0"/>
  </w:num>
  <w:num w:numId="7">
    <w:abstractNumId w:val="11"/>
  </w:num>
  <w:num w:numId="8">
    <w:abstractNumId w:val="6"/>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7"/>
  </w:num>
  <w:num w:numId="13">
    <w:abstractNumId w:val="16"/>
  </w:num>
  <w:num w:numId="14">
    <w:abstractNumId w:val="3"/>
  </w:num>
  <w:num w:numId="15">
    <w:abstractNumId w:val="18"/>
  </w:num>
  <w:num w:numId="16">
    <w:abstractNumId w:val="10"/>
  </w:num>
  <w:num w:numId="17">
    <w:abstractNumId w:val="5"/>
  </w:num>
  <w:num w:numId="18">
    <w:abstractNumId w:val="14"/>
  </w:num>
  <w:num w:numId="19">
    <w:abstractNumId w:val="4"/>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2E5"/>
    <w:rsid w:val="000442BC"/>
    <w:rsid w:val="00073E01"/>
    <w:rsid w:val="00081779"/>
    <w:rsid w:val="000826BA"/>
    <w:rsid w:val="00084587"/>
    <w:rsid w:val="00085AA0"/>
    <w:rsid w:val="000B3837"/>
    <w:rsid w:val="000D4639"/>
    <w:rsid w:val="000D5CE4"/>
    <w:rsid w:val="000E6544"/>
    <w:rsid w:val="000F1C5D"/>
    <w:rsid w:val="000F77C1"/>
    <w:rsid w:val="00117696"/>
    <w:rsid w:val="00122A0E"/>
    <w:rsid w:val="00126F3C"/>
    <w:rsid w:val="00137D9A"/>
    <w:rsid w:val="00151C7C"/>
    <w:rsid w:val="0015229D"/>
    <w:rsid w:val="0015251C"/>
    <w:rsid w:val="00156CB2"/>
    <w:rsid w:val="00156DA4"/>
    <w:rsid w:val="00163AAA"/>
    <w:rsid w:val="00163DF7"/>
    <w:rsid w:val="001675E3"/>
    <w:rsid w:val="0017789D"/>
    <w:rsid w:val="001D0D67"/>
    <w:rsid w:val="001D4347"/>
    <w:rsid w:val="001E290C"/>
    <w:rsid w:val="0020408F"/>
    <w:rsid w:val="00205912"/>
    <w:rsid w:val="00207B0B"/>
    <w:rsid w:val="0021279C"/>
    <w:rsid w:val="0022098F"/>
    <w:rsid w:val="002210A4"/>
    <w:rsid w:val="00241025"/>
    <w:rsid w:val="002444B3"/>
    <w:rsid w:val="00266EFF"/>
    <w:rsid w:val="00272D3B"/>
    <w:rsid w:val="002762AA"/>
    <w:rsid w:val="0028539C"/>
    <w:rsid w:val="002A701B"/>
    <w:rsid w:val="002B3E95"/>
    <w:rsid w:val="002F0CA6"/>
    <w:rsid w:val="003005BA"/>
    <w:rsid w:val="003028BD"/>
    <w:rsid w:val="00302CEE"/>
    <w:rsid w:val="00305570"/>
    <w:rsid w:val="00322389"/>
    <w:rsid w:val="003257CB"/>
    <w:rsid w:val="003316E0"/>
    <w:rsid w:val="003373BD"/>
    <w:rsid w:val="00341F1C"/>
    <w:rsid w:val="00344B4F"/>
    <w:rsid w:val="0034521D"/>
    <w:rsid w:val="00346321"/>
    <w:rsid w:val="00347A22"/>
    <w:rsid w:val="00350574"/>
    <w:rsid w:val="00353C13"/>
    <w:rsid w:val="00377EAD"/>
    <w:rsid w:val="00395CF0"/>
    <w:rsid w:val="00397B7F"/>
    <w:rsid w:val="003A00C3"/>
    <w:rsid w:val="003A0622"/>
    <w:rsid w:val="003D6A4E"/>
    <w:rsid w:val="003D710B"/>
    <w:rsid w:val="003E6CE3"/>
    <w:rsid w:val="003F64FC"/>
    <w:rsid w:val="004062BB"/>
    <w:rsid w:val="00411B9B"/>
    <w:rsid w:val="00432A53"/>
    <w:rsid w:val="00432A95"/>
    <w:rsid w:val="00435308"/>
    <w:rsid w:val="00435CE8"/>
    <w:rsid w:val="00437F5F"/>
    <w:rsid w:val="00442C33"/>
    <w:rsid w:val="004450AA"/>
    <w:rsid w:val="00446D1A"/>
    <w:rsid w:val="004619D6"/>
    <w:rsid w:val="0047598E"/>
    <w:rsid w:val="00480D0A"/>
    <w:rsid w:val="00490774"/>
    <w:rsid w:val="00495B5A"/>
    <w:rsid w:val="0049699E"/>
    <w:rsid w:val="004B04FE"/>
    <w:rsid w:val="004B7292"/>
    <w:rsid w:val="004C3F38"/>
    <w:rsid w:val="004D37A0"/>
    <w:rsid w:val="004D7914"/>
    <w:rsid w:val="004D7988"/>
    <w:rsid w:val="00501709"/>
    <w:rsid w:val="005127D9"/>
    <w:rsid w:val="00526D84"/>
    <w:rsid w:val="00535647"/>
    <w:rsid w:val="005414BA"/>
    <w:rsid w:val="00545E70"/>
    <w:rsid w:val="00551E2A"/>
    <w:rsid w:val="0056047B"/>
    <w:rsid w:val="00576A24"/>
    <w:rsid w:val="005832F3"/>
    <w:rsid w:val="00594C0F"/>
    <w:rsid w:val="0059587B"/>
    <w:rsid w:val="005A54F2"/>
    <w:rsid w:val="005B2A0E"/>
    <w:rsid w:val="005C1CF2"/>
    <w:rsid w:val="005C4212"/>
    <w:rsid w:val="005D4806"/>
    <w:rsid w:val="005E1147"/>
    <w:rsid w:val="005F404C"/>
    <w:rsid w:val="005F45A4"/>
    <w:rsid w:val="00611F72"/>
    <w:rsid w:val="0062573D"/>
    <w:rsid w:val="00625859"/>
    <w:rsid w:val="006408A3"/>
    <w:rsid w:val="00644813"/>
    <w:rsid w:val="00671154"/>
    <w:rsid w:val="00675EB4"/>
    <w:rsid w:val="0069058F"/>
    <w:rsid w:val="00693EC2"/>
    <w:rsid w:val="006A0111"/>
    <w:rsid w:val="006A351A"/>
    <w:rsid w:val="006C0C2E"/>
    <w:rsid w:val="006E57A1"/>
    <w:rsid w:val="006F08BB"/>
    <w:rsid w:val="006F122F"/>
    <w:rsid w:val="00713205"/>
    <w:rsid w:val="00713EEF"/>
    <w:rsid w:val="007257FC"/>
    <w:rsid w:val="007457B6"/>
    <w:rsid w:val="00750311"/>
    <w:rsid w:val="007700EF"/>
    <w:rsid w:val="007745C2"/>
    <w:rsid w:val="007828A1"/>
    <w:rsid w:val="007866CD"/>
    <w:rsid w:val="007900A3"/>
    <w:rsid w:val="007D6AFE"/>
    <w:rsid w:val="007F115C"/>
    <w:rsid w:val="008120E8"/>
    <w:rsid w:val="0083393F"/>
    <w:rsid w:val="00834522"/>
    <w:rsid w:val="00835CB8"/>
    <w:rsid w:val="008452E5"/>
    <w:rsid w:val="00846AFB"/>
    <w:rsid w:val="008478E2"/>
    <w:rsid w:val="0087346A"/>
    <w:rsid w:val="00883424"/>
    <w:rsid w:val="00891828"/>
    <w:rsid w:val="00897D9D"/>
    <w:rsid w:val="008A2D86"/>
    <w:rsid w:val="008A4364"/>
    <w:rsid w:val="008B05B7"/>
    <w:rsid w:val="008B2B6E"/>
    <w:rsid w:val="008C4132"/>
    <w:rsid w:val="008D3CB8"/>
    <w:rsid w:val="008E6558"/>
    <w:rsid w:val="009255DC"/>
    <w:rsid w:val="009276D7"/>
    <w:rsid w:val="0093673F"/>
    <w:rsid w:val="00944AC4"/>
    <w:rsid w:val="00961F02"/>
    <w:rsid w:val="00977375"/>
    <w:rsid w:val="009961ED"/>
    <w:rsid w:val="009B4DEA"/>
    <w:rsid w:val="009C7EF0"/>
    <w:rsid w:val="009D04D6"/>
    <w:rsid w:val="009D60BB"/>
    <w:rsid w:val="009E483B"/>
    <w:rsid w:val="009F7B65"/>
    <w:rsid w:val="00A05FF7"/>
    <w:rsid w:val="00A205FC"/>
    <w:rsid w:val="00A2468C"/>
    <w:rsid w:val="00A4720D"/>
    <w:rsid w:val="00A605F8"/>
    <w:rsid w:val="00A636B9"/>
    <w:rsid w:val="00A639D9"/>
    <w:rsid w:val="00A74BFE"/>
    <w:rsid w:val="00A83206"/>
    <w:rsid w:val="00A84D72"/>
    <w:rsid w:val="00AA0285"/>
    <w:rsid w:val="00AB4C9B"/>
    <w:rsid w:val="00AC2A6D"/>
    <w:rsid w:val="00AC402B"/>
    <w:rsid w:val="00AD083B"/>
    <w:rsid w:val="00AF7883"/>
    <w:rsid w:val="00B010C0"/>
    <w:rsid w:val="00B246AB"/>
    <w:rsid w:val="00B53E90"/>
    <w:rsid w:val="00B56BAA"/>
    <w:rsid w:val="00B61534"/>
    <w:rsid w:val="00B67FD1"/>
    <w:rsid w:val="00B72193"/>
    <w:rsid w:val="00B750AF"/>
    <w:rsid w:val="00B83F1B"/>
    <w:rsid w:val="00BC5DA8"/>
    <w:rsid w:val="00BE1B12"/>
    <w:rsid w:val="00C006D2"/>
    <w:rsid w:val="00C03277"/>
    <w:rsid w:val="00C1544A"/>
    <w:rsid w:val="00C32371"/>
    <w:rsid w:val="00C4185D"/>
    <w:rsid w:val="00C65797"/>
    <w:rsid w:val="00C87C4B"/>
    <w:rsid w:val="00CA71CB"/>
    <w:rsid w:val="00D317FF"/>
    <w:rsid w:val="00D416C6"/>
    <w:rsid w:val="00D95AFC"/>
    <w:rsid w:val="00DB4112"/>
    <w:rsid w:val="00DB4AE7"/>
    <w:rsid w:val="00DE715A"/>
    <w:rsid w:val="00DF7A4E"/>
    <w:rsid w:val="00E20DF1"/>
    <w:rsid w:val="00E36728"/>
    <w:rsid w:val="00E577FB"/>
    <w:rsid w:val="00E8392E"/>
    <w:rsid w:val="00E87218"/>
    <w:rsid w:val="00E912E9"/>
    <w:rsid w:val="00E91876"/>
    <w:rsid w:val="00E971CB"/>
    <w:rsid w:val="00EA6A18"/>
    <w:rsid w:val="00EB4E58"/>
    <w:rsid w:val="00EB5BB8"/>
    <w:rsid w:val="00EC6DCB"/>
    <w:rsid w:val="00ED113F"/>
    <w:rsid w:val="00ED76EC"/>
    <w:rsid w:val="00EF6AA3"/>
    <w:rsid w:val="00F03BF2"/>
    <w:rsid w:val="00F052F7"/>
    <w:rsid w:val="00F059C4"/>
    <w:rsid w:val="00F336C0"/>
    <w:rsid w:val="00F44E92"/>
    <w:rsid w:val="00F50274"/>
    <w:rsid w:val="00F50A9A"/>
    <w:rsid w:val="00F64B37"/>
    <w:rsid w:val="00F9105D"/>
    <w:rsid w:val="00F935EC"/>
    <w:rsid w:val="00F95F39"/>
    <w:rsid w:val="00FA1B34"/>
    <w:rsid w:val="00FD281F"/>
    <w:rsid w:val="00FE1AFE"/>
    <w:rsid w:val="00FF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Bullet" w:uiPriority="0"/>
    <w:lsdException w:name="List Number"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2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B3E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3E9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B05B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Date">
    <w:name w:val="Cov-Date"/>
    <w:basedOn w:val="Normal"/>
    <w:rsid w:val="008452E5"/>
    <w:pPr>
      <w:jc w:val="right"/>
    </w:pPr>
    <w:rPr>
      <w:rFonts w:ascii="Arial" w:hAnsi="Arial"/>
      <w:b/>
      <w:sz w:val="28"/>
      <w:szCs w:val="20"/>
    </w:rPr>
  </w:style>
  <w:style w:type="paragraph" w:customStyle="1" w:styleId="Cov-Title">
    <w:name w:val="Cov-Title"/>
    <w:basedOn w:val="Normal"/>
    <w:rsid w:val="008452E5"/>
    <w:pPr>
      <w:jc w:val="right"/>
    </w:pPr>
    <w:rPr>
      <w:rFonts w:ascii="Arial Black" w:hAnsi="Arial Black"/>
      <w:sz w:val="48"/>
      <w:szCs w:val="20"/>
    </w:rPr>
  </w:style>
  <w:style w:type="paragraph" w:customStyle="1" w:styleId="Cov-Author">
    <w:name w:val="Cov-Author"/>
    <w:basedOn w:val="Normal"/>
    <w:rsid w:val="008452E5"/>
    <w:pPr>
      <w:jc w:val="right"/>
    </w:pPr>
    <w:rPr>
      <w:rFonts w:ascii="Arial Black" w:hAnsi="Arial Black"/>
      <w:szCs w:val="20"/>
    </w:rPr>
  </w:style>
  <w:style w:type="paragraph" w:customStyle="1" w:styleId="Cov-Address">
    <w:name w:val="Cov-Address"/>
    <w:basedOn w:val="Normal"/>
    <w:rsid w:val="008452E5"/>
    <w:pPr>
      <w:jc w:val="right"/>
    </w:pPr>
    <w:rPr>
      <w:rFonts w:ascii="Arial" w:hAnsi="Arial"/>
      <w:szCs w:val="20"/>
    </w:rPr>
  </w:style>
  <w:style w:type="paragraph" w:customStyle="1" w:styleId="TOC0">
    <w:name w:val="TOC 0"/>
    <w:basedOn w:val="Normal"/>
    <w:rsid w:val="008452E5"/>
    <w:pPr>
      <w:spacing w:after="240"/>
      <w:jc w:val="center"/>
    </w:pPr>
    <w:rPr>
      <w:b/>
      <w:caps/>
      <w:sz w:val="28"/>
      <w:szCs w:val="20"/>
    </w:rPr>
  </w:style>
  <w:style w:type="paragraph" w:customStyle="1" w:styleId="Default">
    <w:name w:val="Default"/>
    <w:rsid w:val="008452E5"/>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styleId="ListParagraph">
    <w:name w:val="List Paragraph"/>
    <w:basedOn w:val="Normal"/>
    <w:uiPriority w:val="34"/>
    <w:qFormat/>
    <w:rsid w:val="008452E5"/>
    <w:pPr>
      <w:ind w:left="720"/>
      <w:contextualSpacing/>
    </w:pPr>
  </w:style>
  <w:style w:type="paragraph" w:styleId="ListNumber">
    <w:name w:val="List Number"/>
    <w:basedOn w:val="Normal"/>
    <w:unhideWhenUsed/>
    <w:rsid w:val="002A701B"/>
    <w:pPr>
      <w:numPr>
        <w:numId w:val="4"/>
      </w:numPr>
      <w:tabs>
        <w:tab w:val="clear" w:pos="360"/>
        <w:tab w:val="num" w:pos="1080"/>
      </w:tabs>
      <w:spacing w:after="120"/>
      <w:ind w:left="1080"/>
    </w:pPr>
  </w:style>
  <w:style w:type="character" w:styleId="CommentReference">
    <w:name w:val="annotation reference"/>
    <w:basedOn w:val="DefaultParagraphFont"/>
    <w:unhideWhenUsed/>
    <w:rsid w:val="002A701B"/>
    <w:rPr>
      <w:sz w:val="16"/>
      <w:szCs w:val="16"/>
    </w:rPr>
  </w:style>
  <w:style w:type="paragraph" w:styleId="CommentText">
    <w:name w:val="annotation text"/>
    <w:basedOn w:val="Normal"/>
    <w:link w:val="CommentTextChar"/>
    <w:uiPriority w:val="99"/>
    <w:semiHidden/>
    <w:unhideWhenUsed/>
    <w:rsid w:val="002A701B"/>
    <w:rPr>
      <w:sz w:val="20"/>
      <w:szCs w:val="20"/>
    </w:rPr>
  </w:style>
  <w:style w:type="character" w:customStyle="1" w:styleId="CommentTextChar">
    <w:name w:val="Comment Text Char"/>
    <w:basedOn w:val="DefaultParagraphFont"/>
    <w:link w:val="CommentText"/>
    <w:uiPriority w:val="99"/>
    <w:semiHidden/>
    <w:rsid w:val="002A70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701B"/>
    <w:rPr>
      <w:b/>
      <w:bCs/>
    </w:rPr>
  </w:style>
  <w:style w:type="character" w:customStyle="1" w:styleId="CommentSubjectChar">
    <w:name w:val="Comment Subject Char"/>
    <w:basedOn w:val="CommentTextChar"/>
    <w:link w:val="CommentSubject"/>
    <w:uiPriority w:val="99"/>
    <w:semiHidden/>
    <w:rsid w:val="002A70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A7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01B"/>
    <w:rPr>
      <w:rFonts w:ascii="Segoe UI" w:eastAsia="Times New Roman" w:hAnsi="Segoe UI" w:cs="Segoe UI"/>
      <w:sz w:val="18"/>
      <w:szCs w:val="18"/>
    </w:rPr>
  </w:style>
  <w:style w:type="character" w:customStyle="1" w:styleId="A13">
    <w:name w:val="A13"/>
    <w:uiPriority w:val="99"/>
    <w:rsid w:val="002A701B"/>
    <w:rPr>
      <w:rFonts w:cs="ITC Franklin Gothic Std Book"/>
      <w:color w:val="000000"/>
    </w:rPr>
  </w:style>
  <w:style w:type="character" w:customStyle="1" w:styleId="Heading1Char">
    <w:name w:val="Heading 1 Char"/>
    <w:basedOn w:val="DefaultParagraphFont"/>
    <w:link w:val="Heading1"/>
    <w:uiPriority w:val="9"/>
    <w:rsid w:val="002B3E9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B3E95"/>
    <w:pPr>
      <w:spacing w:line="259" w:lineRule="auto"/>
      <w:outlineLvl w:val="9"/>
    </w:pPr>
  </w:style>
  <w:style w:type="character" w:customStyle="1" w:styleId="Heading2Char">
    <w:name w:val="Heading 2 Char"/>
    <w:basedOn w:val="DefaultParagraphFont"/>
    <w:link w:val="Heading2"/>
    <w:uiPriority w:val="9"/>
    <w:rsid w:val="002B3E95"/>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E20DF1"/>
    <w:pPr>
      <w:tabs>
        <w:tab w:val="left" w:pos="660"/>
        <w:tab w:val="right" w:leader="dot" w:pos="9350"/>
      </w:tabs>
      <w:spacing w:after="100"/>
    </w:pPr>
  </w:style>
  <w:style w:type="paragraph" w:styleId="TOC2">
    <w:name w:val="toc 2"/>
    <w:basedOn w:val="Normal"/>
    <w:next w:val="Normal"/>
    <w:autoRedefine/>
    <w:uiPriority w:val="39"/>
    <w:unhideWhenUsed/>
    <w:rsid w:val="002B3E95"/>
    <w:pPr>
      <w:spacing w:after="100"/>
      <w:ind w:left="240"/>
    </w:pPr>
  </w:style>
  <w:style w:type="character" w:styleId="Hyperlink">
    <w:name w:val="Hyperlink"/>
    <w:basedOn w:val="DefaultParagraphFont"/>
    <w:uiPriority w:val="99"/>
    <w:unhideWhenUsed/>
    <w:rsid w:val="002B3E95"/>
    <w:rPr>
      <w:color w:val="0563C1" w:themeColor="hyperlink"/>
      <w:u w:val="single"/>
    </w:rPr>
  </w:style>
  <w:style w:type="paragraph" w:customStyle="1" w:styleId="BodyText1">
    <w:name w:val="Body Text1"/>
    <w:basedOn w:val="Normal"/>
    <w:link w:val="bodytextChar"/>
    <w:rsid w:val="00C32371"/>
    <w:pPr>
      <w:spacing w:after="120" w:line="360" w:lineRule="auto"/>
      <w:ind w:firstLine="720"/>
    </w:pPr>
    <w:rPr>
      <w:rFonts w:eastAsia="MS Mincho"/>
      <w:szCs w:val="20"/>
    </w:rPr>
  </w:style>
  <w:style w:type="character" w:customStyle="1" w:styleId="bodytextChar">
    <w:name w:val="body text Char"/>
    <w:link w:val="BodyText1"/>
    <w:rsid w:val="00C32371"/>
    <w:rPr>
      <w:rFonts w:ascii="Times New Roman" w:eastAsia="MS Mincho" w:hAnsi="Times New Roman" w:cs="Times New Roman"/>
      <w:sz w:val="24"/>
      <w:szCs w:val="20"/>
    </w:rPr>
  </w:style>
  <w:style w:type="table" w:styleId="TableGrid">
    <w:name w:val="Table Grid"/>
    <w:basedOn w:val="TableNormal"/>
    <w:uiPriority w:val="59"/>
    <w:rsid w:val="008B05B7"/>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qFormat/>
    <w:rsid w:val="008B05B7"/>
    <w:pPr>
      <w:keepNext/>
      <w:spacing w:before="80" w:after="80" w:line="240" w:lineRule="auto"/>
      <w:jc w:val="center"/>
    </w:pPr>
    <w:rPr>
      <w:rFonts w:ascii="Times New Roman" w:eastAsia="Times New Roman" w:hAnsi="Times New Roman" w:cs="Times New Roman"/>
      <w:b/>
      <w:szCs w:val="20"/>
    </w:rPr>
  </w:style>
  <w:style w:type="paragraph" w:customStyle="1" w:styleId="TableText">
    <w:name w:val="Table Text"/>
    <w:basedOn w:val="Normal"/>
    <w:qFormat/>
    <w:rsid w:val="008B05B7"/>
    <w:pPr>
      <w:spacing w:before="60" w:after="60"/>
    </w:pPr>
    <w:rPr>
      <w:rFonts w:eastAsia="MS Mincho"/>
      <w:sz w:val="22"/>
      <w:szCs w:val="20"/>
    </w:rPr>
  </w:style>
  <w:style w:type="paragraph" w:customStyle="1" w:styleId="TableTitle">
    <w:name w:val="Table Title"/>
    <w:basedOn w:val="Normal"/>
    <w:rsid w:val="008B05B7"/>
    <w:pPr>
      <w:keepNext/>
      <w:keepLines/>
      <w:spacing w:before="240" w:after="240"/>
      <w:ind w:left="1080" w:hanging="1080"/>
    </w:pPr>
    <w:rPr>
      <w:b/>
      <w:bCs/>
      <w:szCs w:val="20"/>
    </w:rPr>
  </w:style>
  <w:style w:type="character" w:customStyle="1" w:styleId="Heading3Char">
    <w:name w:val="Heading 3 Char"/>
    <w:basedOn w:val="DefaultParagraphFont"/>
    <w:link w:val="Heading3"/>
    <w:uiPriority w:val="9"/>
    <w:semiHidden/>
    <w:rsid w:val="008B05B7"/>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835CB8"/>
    <w:rPr>
      <w:sz w:val="20"/>
      <w:szCs w:val="20"/>
    </w:rPr>
  </w:style>
  <w:style w:type="character" w:customStyle="1" w:styleId="EndnoteTextChar">
    <w:name w:val="Endnote Text Char"/>
    <w:basedOn w:val="DefaultParagraphFont"/>
    <w:link w:val="EndnoteText"/>
    <w:uiPriority w:val="99"/>
    <w:semiHidden/>
    <w:rsid w:val="00835CB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5CB8"/>
    <w:rPr>
      <w:vertAlign w:val="superscript"/>
    </w:rPr>
  </w:style>
  <w:style w:type="paragraph" w:customStyle="1" w:styleId="FigureTitle">
    <w:name w:val="Figure Title"/>
    <w:basedOn w:val="Normal"/>
    <w:rsid w:val="00625859"/>
    <w:pPr>
      <w:keepNext/>
      <w:keepLines/>
      <w:spacing w:line="480" w:lineRule="auto"/>
    </w:pPr>
    <w:rPr>
      <w:b/>
      <w:szCs w:val="20"/>
    </w:rPr>
  </w:style>
  <w:style w:type="paragraph" w:styleId="Header">
    <w:name w:val="header"/>
    <w:basedOn w:val="Normal"/>
    <w:link w:val="HeaderChar"/>
    <w:uiPriority w:val="99"/>
    <w:rsid w:val="00E577FB"/>
    <w:pPr>
      <w:tabs>
        <w:tab w:val="center" w:pos="4320"/>
        <w:tab w:val="right" w:pos="8640"/>
      </w:tabs>
    </w:pPr>
    <w:rPr>
      <w:szCs w:val="20"/>
    </w:rPr>
  </w:style>
  <w:style w:type="character" w:customStyle="1" w:styleId="HeaderChar">
    <w:name w:val="Header Char"/>
    <w:basedOn w:val="DefaultParagraphFont"/>
    <w:link w:val="Header"/>
    <w:uiPriority w:val="99"/>
    <w:rsid w:val="00E577FB"/>
    <w:rPr>
      <w:rFonts w:ascii="Times New Roman" w:eastAsia="Times New Roman" w:hAnsi="Times New Roman" w:cs="Times New Roman"/>
      <w:sz w:val="24"/>
      <w:szCs w:val="20"/>
    </w:rPr>
  </w:style>
  <w:style w:type="paragraph" w:customStyle="1" w:styleId="biblio">
    <w:name w:val="biblio"/>
    <w:basedOn w:val="Normal"/>
    <w:link w:val="biblioChar"/>
    <w:rsid w:val="00377EAD"/>
    <w:pPr>
      <w:keepLines/>
      <w:numPr>
        <w:numId w:val="13"/>
      </w:numPr>
      <w:tabs>
        <w:tab w:val="clear" w:pos="720"/>
      </w:tabs>
      <w:spacing w:after="240"/>
      <w:ind w:hanging="720"/>
    </w:pPr>
  </w:style>
  <w:style w:type="character" w:customStyle="1" w:styleId="journalname">
    <w:name w:val="journalname"/>
    <w:basedOn w:val="DefaultParagraphFont"/>
    <w:rsid w:val="0062573D"/>
  </w:style>
  <w:style w:type="character" w:customStyle="1" w:styleId="biblioChar">
    <w:name w:val="biblio Char"/>
    <w:basedOn w:val="DefaultParagraphFont"/>
    <w:link w:val="biblio"/>
    <w:locked/>
    <w:rsid w:val="0062573D"/>
    <w:rPr>
      <w:rFonts w:ascii="Times New Roman" w:eastAsia="Times New Roman" w:hAnsi="Times New Roman" w:cs="Times New Roman"/>
      <w:sz w:val="24"/>
      <w:szCs w:val="24"/>
    </w:rPr>
  </w:style>
  <w:style w:type="paragraph" w:styleId="BodyText">
    <w:name w:val="Body Text"/>
    <w:basedOn w:val="Normal"/>
    <w:link w:val="BodyTextChar0"/>
    <w:rsid w:val="002F0CA6"/>
    <w:pPr>
      <w:spacing w:after="240"/>
      <w:jc w:val="both"/>
    </w:pPr>
    <w:rPr>
      <w:rFonts w:ascii="Arial Narrow" w:hAnsi="Arial Narrow"/>
      <w:lang w:val="x-none" w:eastAsia="x-none"/>
    </w:rPr>
  </w:style>
  <w:style w:type="character" w:customStyle="1" w:styleId="BodyTextChar0">
    <w:name w:val="Body Text Char"/>
    <w:basedOn w:val="DefaultParagraphFont"/>
    <w:link w:val="BodyText"/>
    <w:rsid w:val="002F0CA6"/>
    <w:rPr>
      <w:rFonts w:ascii="Arial Narrow" w:eastAsia="Times New Roman" w:hAnsi="Arial Narrow" w:cs="Times New Roman"/>
      <w:sz w:val="24"/>
      <w:szCs w:val="24"/>
      <w:lang w:val="x-none" w:eastAsia="x-none"/>
    </w:rPr>
  </w:style>
  <w:style w:type="paragraph" w:customStyle="1" w:styleId="bodytextCharCharChar">
    <w:name w:val="body text Char Char Char"/>
    <w:aliases w:val="bt Char Char Char,body tx Char Char Char,indent Char Char Char,flush Char Char Char"/>
    <w:basedOn w:val="Normal"/>
    <w:uiPriority w:val="99"/>
    <w:rsid w:val="000E6544"/>
    <w:pPr>
      <w:spacing w:after="240"/>
      <w:ind w:firstLine="720"/>
    </w:pPr>
  </w:style>
  <w:style w:type="paragraph" w:styleId="Revision">
    <w:name w:val="Revision"/>
    <w:hidden/>
    <w:uiPriority w:val="99"/>
    <w:semiHidden/>
    <w:rsid w:val="00D416C6"/>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185D"/>
    <w:rPr>
      <w:color w:val="954F72" w:themeColor="followedHyperlink"/>
      <w:u w:val="single"/>
    </w:rPr>
  </w:style>
  <w:style w:type="paragraph" w:styleId="ListBullet">
    <w:name w:val="List Bullet"/>
    <w:basedOn w:val="Normal"/>
    <w:rsid w:val="00266EFF"/>
    <w:pPr>
      <w:numPr>
        <w:numId w:val="19"/>
      </w:numPr>
      <w:spacing w:after="160"/>
    </w:pPr>
    <w:rPr>
      <w:rFonts w:ascii="Verdana" w:eastAsia="MS Mincho" w:hAnsi="Verdana"/>
      <w:sz w:val="20"/>
      <w:szCs w:val="20"/>
    </w:rPr>
  </w:style>
  <w:style w:type="paragraph" w:styleId="ListBullet3">
    <w:name w:val="List Bullet 3"/>
    <w:basedOn w:val="Normal"/>
    <w:rsid w:val="00266EFF"/>
    <w:pPr>
      <w:numPr>
        <w:numId w:val="20"/>
      </w:numPr>
      <w:spacing w:after="120"/>
    </w:pPr>
    <w:rPr>
      <w:rFonts w:ascii="Verdana" w:eastAsia="MS Mincho"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Bullet" w:uiPriority="0"/>
    <w:lsdException w:name="List Number"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2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B3E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3E9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B05B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Date">
    <w:name w:val="Cov-Date"/>
    <w:basedOn w:val="Normal"/>
    <w:rsid w:val="008452E5"/>
    <w:pPr>
      <w:jc w:val="right"/>
    </w:pPr>
    <w:rPr>
      <w:rFonts w:ascii="Arial" w:hAnsi="Arial"/>
      <w:b/>
      <w:sz w:val="28"/>
      <w:szCs w:val="20"/>
    </w:rPr>
  </w:style>
  <w:style w:type="paragraph" w:customStyle="1" w:styleId="Cov-Title">
    <w:name w:val="Cov-Title"/>
    <w:basedOn w:val="Normal"/>
    <w:rsid w:val="008452E5"/>
    <w:pPr>
      <w:jc w:val="right"/>
    </w:pPr>
    <w:rPr>
      <w:rFonts w:ascii="Arial Black" w:hAnsi="Arial Black"/>
      <w:sz w:val="48"/>
      <w:szCs w:val="20"/>
    </w:rPr>
  </w:style>
  <w:style w:type="paragraph" w:customStyle="1" w:styleId="Cov-Author">
    <w:name w:val="Cov-Author"/>
    <w:basedOn w:val="Normal"/>
    <w:rsid w:val="008452E5"/>
    <w:pPr>
      <w:jc w:val="right"/>
    </w:pPr>
    <w:rPr>
      <w:rFonts w:ascii="Arial Black" w:hAnsi="Arial Black"/>
      <w:szCs w:val="20"/>
    </w:rPr>
  </w:style>
  <w:style w:type="paragraph" w:customStyle="1" w:styleId="Cov-Address">
    <w:name w:val="Cov-Address"/>
    <w:basedOn w:val="Normal"/>
    <w:rsid w:val="008452E5"/>
    <w:pPr>
      <w:jc w:val="right"/>
    </w:pPr>
    <w:rPr>
      <w:rFonts w:ascii="Arial" w:hAnsi="Arial"/>
      <w:szCs w:val="20"/>
    </w:rPr>
  </w:style>
  <w:style w:type="paragraph" w:customStyle="1" w:styleId="TOC0">
    <w:name w:val="TOC 0"/>
    <w:basedOn w:val="Normal"/>
    <w:rsid w:val="008452E5"/>
    <w:pPr>
      <w:spacing w:after="240"/>
      <w:jc w:val="center"/>
    </w:pPr>
    <w:rPr>
      <w:b/>
      <w:caps/>
      <w:sz w:val="28"/>
      <w:szCs w:val="20"/>
    </w:rPr>
  </w:style>
  <w:style w:type="paragraph" w:customStyle="1" w:styleId="Default">
    <w:name w:val="Default"/>
    <w:rsid w:val="008452E5"/>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styleId="ListParagraph">
    <w:name w:val="List Paragraph"/>
    <w:basedOn w:val="Normal"/>
    <w:uiPriority w:val="34"/>
    <w:qFormat/>
    <w:rsid w:val="008452E5"/>
    <w:pPr>
      <w:ind w:left="720"/>
      <w:contextualSpacing/>
    </w:pPr>
  </w:style>
  <w:style w:type="paragraph" w:styleId="ListNumber">
    <w:name w:val="List Number"/>
    <w:basedOn w:val="Normal"/>
    <w:unhideWhenUsed/>
    <w:rsid w:val="002A701B"/>
    <w:pPr>
      <w:numPr>
        <w:numId w:val="4"/>
      </w:numPr>
      <w:tabs>
        <w:tab w:val="clear" w:pos="360"/>
        <w:tab w:val="num" w:pos="1080"/>
      </w:tabs>
      <w:spacing w:after="120"/>
      <w:ind w:left="1080"/>
    </w:pPr>
  </w:style>
  <w:style w:type="character" w:styleId="CommentReference">
    <w:name w:val="annotation reference"/>
    <w:basedOn w:val="DefaultParagraphFont"/>
    <w:unhideWhenUsed/>
    <w:rsid w:val="002A701B"/>
    <w:rPr>
      <w:sz w:val="16"/>
      <w:szCs w:val="16"/>
    </w:rPr>
  </w:style>
  <w:style w:type="paragraph" w:styleId="CommentText">
    <w:name w:val="annotation text"/>
    <w:basedOn w:val="Normal"/>
    <w:link w:val="CommentTextChar"/>
    <w:uiPriority w:val="99"/>
    <w:semiHidden/>
    <w:unhideWhenUsed/>
    <w:rsid w:val="002A701B"/>
    <w:rPr>
      <w:sz w:val="20"/>
      <w:szCs w:val="20"/>
    </w:rPr>
  </w:style>
  <w:style w:type="character" w:customStyle="1" w:styleId="CommentTextChar">
    <w:name w:val="Comment Text Char"/>
    <w:basedOn w:val="DefaultParagraphFont"/>
    <w:link w:val="CommentText"/>
    <w:uiPriority w:val="99"/>
    <w:semiHidden/>
    <w:rsid w:val="002A70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701B"/>
    <w:rPr>
      <w:b/>
      <w:bCs/>
    </w:rPr>
  </w:style>
  <w:style w:type="character" w:customStyle="1" w:styleId="CommentSubjectChar">
    <w:name w:val="Comment Subject Char"/>
    <w:basedOn w:val="CommentTextChar"/>
    <w:link w:val="CommentSubject"/>
    <w:uiPriority w:val="99"/>
    <w:semiHidden/>
    <w:rsid w:val="002A70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A7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01B"/>
    <w:rPr>
      <w:rFonts w:ascii="Segoe UI" w:eastAsia="Times New Roman" w:hAnsi="Segoe UI" w:cs="Segoe UI"/>
      <w:sz w:val="18"/>
      <w:szCs w:val="18"/>
    </w:rPr>
  </w:style>
  <w:style w:type="character" w:customStyle="1" w:styleId="A13">
    <w:name w:val="A13"/>
    <w:uiPriority w:val="99"/>
    <w:rsid w:val="002A701B"/>
    <w:rPr>
      <w:rFonts w:cs="ITC Franklin Gothic Std Book"/>
      <w:color w:val="000000"/>
    </w:rPr>
  </w:style>
  <w:style w:type="character" w:customStyle="1" w:styleId="Heading1Char">
    <w:name w:val="Heading 1 Char"/>
    <w:basedOn w:val="DefaultParagraphFont"/>
    <w:link w:val="Heading1"/>
    <w:uiPriority w:val="9"/>
    <w:rsid w:val="002B3E9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B3E95"/>
    <w:pPr>
      <w:spacing w:line="259" w:lineRule="auto"/>
      <w:outlineLvl w:val="9"/>
    </w:pPr>
  </w:style>
  <w:style w:type="character" w:customStyle="1" w:styleId="Heading2Char">
    <w:name w:val="Heading 2 Char"/>
    <w:basedOn w:val="DefaultParagraphFont"/>
    <w:link w:val="Heading2"/>
    <w:uiPriority w:val="9"/>
    <w:rsid w:val="002B3E95"/>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E20DF1"/>
    <w:pPr>
      <w:tabs>
        <w:tab w:val="left" w:pos="660"/>
        <w:tab w:val="right" w:leader="dot" w:pos="9350"/>
      </w:tabs>
      <w:spacing w:after="100"/>
    </w:pPr>
  </w:style>
  <w:style w:type="paragraph" w:styleId="TOC2">
    <w:name w:val="toc 2"/>
    <w:basedOn w:val="Normal"/>
    <w:next w:val="Normal"/>
    <w:autoRedefine/>
    <w:uiPriority w:val="39"/>
    <w:unhideWhenUsed/>
    <w:rsid w:val="002B3E95"/>
    <w:pPr>
      <w:spacing w:after="100"/>
      <w:ind w:left="240"/>
    </w:pPr>
  </w:style>
  <w:style w:type="character" w:styleId="Hyperlink">
    <w:name w:val="Hyperlink"/>
    <w:basedOn w:val="DefaultParagraphFont"/>
    <w:uiPriority w:val="99"/>
    <w:unhideWhenUsed/>
    <w:rsid w:val="002B3E95"/>
    <w:rPr>
      <w:color w:val="0563C1" w:themeColor="hyperlink"/>
      <w:u w:val="single"/>
    </w:rPr>
  </w:style>
  <w:style w:type="paragraph" w:customStyle="1" w:styleId="BodyText1">
    <w:name w:val="Body Text1"/>
    <w:basedOn w:val="Normal"/>
    <w:link w:val="bodytextChar"/>
    <w:rsid w:val="00C32371"/>
    <w:pPr>
      <w:spacing w:after="120" w:line="360" w:lineRule="auto"/>
      <w:ind w:firstLine="720"/>
    </w:pPr>
    <w:rPr>
      <w:rFonts w:eastAsia="MS Mincho"/>
      <w:szCs w:val="20"/>
    </w:rPr>
  </w:style>
  <w:style w:type="character" w:customStyle="1" w:styleId="bodytextChar">
    <w:name w:val="body text Char"/>
    <w:link w:val="BodyText1"/>
    <w:rsid w:val="00C32371"/>
    <w:rPr>
      <w:rFonts w:ascii="Times New Roman" w:eastAsia="MS Mincho" w:hAnsi="Times New Roman" w:cs="Times New Roman"/>
      <w:sz w:val="24"/>
      <w:szCs w:val="20"/>
    </w:rPr>
  </w:style>
  <w:style w:type="table" w:styleId="TableGrid">
    <w:name w:val="Table Grid"/>
    <w:basedOn w:val="TableNormal"/>
    <w:uiPriority w:val="59"/>
    <w:rsid w:val="008B05B7"/>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qFormat/>
    <w:rsid w:val="008B05B7"/>
    <w:pPr>
      <w:keepNext/>
      <w:spacing w:before="80" w:after="80" w:line="240" w:lineRule="auto"/>
      <w:jc w:val="center"/>
    </w:pPr>
    <w:rPr>
      <w:rFonts w:ascii="Times New Roman" w:eastAsia="Times New Roman" w:hAnsi="Times New Roman" w:cs="Times New Roman"/>
      <w:b/>
      <w:szCs w:val="20"/>
    </w:rPr>
  </w:style>
  <w:style w:type="paragraph" w:customStyle="1" w:styleId="TableText">
    <w:name w:val="Table Text"/>
    <w:basedOn w:val="Normal"/>
    <w:qFormat/>
    <w:rsid w:val="008B05B7"/>
    <w:pPr>
      <w:spacing w:before="60" w:after="60"/>
    </w:pPr>
    <w:rPr>
      <w:rFonts w:eastAsia="MS Mincho"/>
      <w:sz w:val="22"/>
      <w:szCs w:val="20"/>
    </w:rPr>
  </w:style>
  <w:style w:type="paragraph" w:customStyle="1" w:styleId="TableTitle">
    <w:name w:val="Table Title"/>
    <w:basedOn w:val="Normal"/>
    <w:rsid w:val="008B05B7"/>
    <w:pPr>
      <w:keepNext/>
      <w:keepLines/>
      <w:spacing w:before="240" w:after="240"/>
      <w:ind w:left="1080" w:hanging="1080"/>
    </w:pPr>
    <w:rPr>
      <w:b/>
      <w:bCs/>
      <w:szCs w:val="20"/>
    </w:rPr>
  </w:style>
  <w:style w:type="character" w:customStyle="1" w:styleId="Heading3Char">
    <w:name w:val="Heading 3 Char"/>
    <w:basedOn w:val="DefaultParagraphFont"/>
    <w:link w:val="Heading3"/>
    <w:uiPriority w:val="9"/>
    <w:semiHidden/>
    <w:rsid w:val="008B05B7"/>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835CB8"/>
    <w:rPr>
      <w:sz w:val="20"/>
      <w:szCs w:val="20"/>
    </w:rPr>
  </w:style>
  <w:style w:type="character" w:customStyle="1" w:styleId="EndnoteTextChar">
    <w:name w:val="Endnote Text Char"/>
    <w:basedOn w:val="DefaultParagraphFont"/>
    <w:link w:val="EndnoteText"/>
    <w:uiPriority w:val="99"/>
    <w:semiHidden/>
    <w:rsid w:val="00835CB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5CB8"/>
    <w:rPr>
      <w:vertAlign w:val="superscript"/>
    </w:rPr>
  </w:style>
  <w:style w:type="paragraph" w:customStyle="1" w:styleId="FigureTitle">
    <w:name w:val="Figure Title"/>
    <w:basedOn w:val="Normal"/>
    <w:rsid w:val="00625859"/>
    <w:pPr>
      <w:keepNext/>
      <w:keepLines/>
      <w:spacing w:line="480" w:lineRule="auto"/>
    </w:pPr>
    <w:rPr>
      <w:b/>
      <w:szCs w:val="20"/>
    </w:rPr>
  </w:style>
  <w:style w:type="paragraph" w:styleId="Header">
    <w:name w:val="header"/>
    <w:basedOn w:val="Normal"/>
    <w:link w:val="HeaderChar"/>
    <w:uiPriority w:val="99"/>
    <w:rsid w:val="00E577FB"/>
    <w:pPr>
      <w:tabs>
        <w:tab w:val="center" w:pos="4320"/>
        <w:tab w:val="right" w:pos="8640"/>
      </w:tabs>
    </w:pPr>
    <w:rPr>
      <w:szCs w:val="20"/>
    </w:rPr>
  </w:style>
  <w:style w:type="character" w:customStyle="1" w:styleId="HeaderChar">
    <w:name w:val="Header Char"/>
    <w:basedOn w:val="DefaultParagraphFont"/>
    <w:link w:val="Header"/>
    <w:uiPriority w:val="99"/>
    <w:rsid w:val="00E577FB"/>
    <w:rPr>
      <w:rFonts w:ascii="Times New Roman" w:eastAsia="Times New Roman" w:hAnsi="Times New Roman" w:cs="Times New Roman"/>
      <w:sz w:val="24"/>
      <w:szCs w:val="20"/>
    </w:rPr>
  </w:style>
  <w:style w:type="paragraph" w:customStyle="1" w:styleId="biblio">
    <w:name w:val="biblio"/>
    <w:basedOn w:val="Normal"/>
    <w:link w:val="biblioChar"/>
    <w:rsid w:val="00377EAD"/>
    <w:pPr>
      <w:keepLines/>
      <w:numPr>
        <w:numId w:val="13"/>
      </w:numPr>
      <w:tabs>
        <w:tab w:val="clear" w:pos="720"/>
      </w:tabs>
      <w:spacing w:after="240"/>
      <w:ind w:hanging="720"/>
    </w:pPr>
  </w:style>
  <w:style w:type="character" w:customStyle="1" w:styleId="journalname">
    <w:name w:val="journalname"/>
    <w:basedOn w:val="DefaultParagraphFont"/>
    <w:rsid w:val="0062573D"/>
  </w:style>
  <w:style w:type="character" w:customStyle="1" w:styleId="biblioChar">
    <w:name w:val="biblio Char"/>
    <w:basedOn w:val="DefaultParagraphFont"/>
    <w:link w:val="biblio"/>
    <w:locked/>
    <w:rsid w:val="0062573D"/>
    <w:rPr>
      <w:rFonts w:ascii="Times New Roman" w:eastAsia="Times New Roman" w:hAnsi="Times New Roman" w:cs="Times New Roman"/>
      <w:sz w:val="24"/>
      <w:szCs w:val="24"/>
    </w:rPr>
  </w:style>
  <w:style w:type="paragraph" w:styleId="BodyText">
    <w:name w:val="Body Text"/>
    <w:basedOn w:val="Normal"/>
    <w:link w:val="BodyTextChar0"/>
    <w:rsid w:val="002F0CA6"/>
    <w:pPr>
      <w:spacing w:after="240"/>
      <w:jc w:val="both"/>
    </w:pPr>
    <w:rPr>
      <w:rFonts w:ascii="Arial Narrow" w:hAnsi="Arial Narrow"/>
      <w:lang w:val="x-none" w:eastAsia="x-none"/>
    </w:rPr>
  </w:style>
  <w:style w:type="character" w:customStyle="1" w:styleId="BodyTextChar0">
    <w:name w:val="Body Text Char"/>
    <w:basedOn w:val="DefaultParagraphFont"/>
    <w:link w:val="BodyText"/>
    <w:rsid w:val="002F0CA6"/>
    <w:rPr>
      <w:rFonts w:ascii="Arial Narrow" w:eastAsia="Times New Roman" w:hAnsi="Arial Narrow" w:cs="Times New Roman"/>
      <w:sz w:val="24"/>
      <w:szCs w:val="24"/>
      <w:lang w:val="x-none" w:eastAsia="x-none"/>
    </w:rPr>
  </w:style>
  <w:style w:type="paragraph" w:customStyle="1" w:styleId="bodytextCharCharChar">
    <w:name w:val="body text Char Char Char"/>
    <w:aliases w:val="bt Char Char Char,body tx Char Char Char,indent Char Char Char,flush Char Char Char"/>
    <w:basedOn w:val="Normal"/>
    <w:uiPriority w:val="99"/>
    <w:rsid w:val="000E6544"/>
    <w:pPr>
      <w:spacing w:after="240"/>
      <w:ind w:firstLine="720"/>
    </w:pPr>
  </w:style>
  <w:style w:type="paragraph" w:styleId="Revision">
    <w:name w:val="Revision"/>
    <w:hidden/>
    <w:uiPriority w:val="99"/>
    <w:semiHidden/>
    <w:rsid w:val="00D416C6"/>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185D"/>
    <w:rPr>
      <w:color w:val="954F72" w:themeColor="followedHyperlink"/>
      <w:u w:val="single"/>
    </w:rPr>
  </w:style>
  <w:style w:type="paragraph" w:styleId="ListBullet">
    <w:name w:val="List Bullet"/>
    <w:basedOn w:val="Normal"/>
    <w:rsid w:val="00266EFF"/>
    <w:pPr>
      <w:numPr>
        <w:numId w:val="19"/>
      </w:numPr>
      <w:spacing w:after="160"/>
    </w:pPr>
    <w:rPr>
      <w:rFonts w:ascii="Verdana" w:eastAsia="MS Mincho" w:hAnsi="Verdana"/>
      <w:sz w:val="20"/>
      <w:szCs w:val="20"/>
    </w:rPr>
  </w:style>
  <w:style w:type="paragraph" w:styleId="ListBullet3">
    <w:name w:val="List Bullet 3"/>
    <w:basedOn w:val="Normal"/>
    <w:rsid w:val="00266EFF"/>
    <w:pPr>
      <w:numPr>
        <w:numId w:val="20"/>
      </w:numPr>
      <w:spacing w:after="120"/>
    </w:pPr>
    <w:rPr>
      <w:rFonts w:ascii="Verdana" w:eastAsia="MS Mincho"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56004">
      <w:bodyDiv w:val="1"/>
      <w:marLeft w:val="0"/>
      <w:marRight w:val="0"/>
      <w:marTop w:val="0"/>
      <w:marBottom w:val="0"/>
      <w:divBdr>
        <w:top w:val="none" w:sz="0" w:space="0" w:color="auto"/>
        <w:left w:val="none" w:sz="0" w:space="0" w:color="auto"/>
        <w:bottom w:val="none" w:sz="0" w:space="0" w:color="auto"/>
        <w:right w:val="none" w:sz="0" w:space="0" w:color="auto"/>
      </w:divBdr>
    </w:div>
    <w:div w:id="342557211">
      <w:bodyDiv w:val="1"/>
      <w:marLeft w:val="0"/>
      <w:marRight w:val="0"/>
      <w:marTop w:val="0"/>
      <w:marBottom w:val="0"/>
      <w:divBdr>
        <w:top w:val="none" w:sz="0" w:space="0" w:color="auto"/>
        <w:left w:val="none" w:sz="0" w:space="0" w:color="auto"/>
        <w:bottom w:val="none" w:sz="0" w:space="0" w:color="auto"/>
        <w:right w:val="none" w:sz="0" w:space="0" w:color="auto"/>
      </w:divBdr>
    </w:div>
    <w:div w:id="351762690">
      <w:bodyDiv w:val="1"/>
      <w:marLeft w:val="0"/>
      <w:marRight w:val="0"/>
      <w:marTop w:val="0"/>
      <w:marBottom w:val="0"/>
      <w:divBdr>
        <w:top w:val="none" w:sz="0" w:space="0" w:color="auto"/>
        <w:left w:val="none" w:sz="0" w:space="0" w:color="auto"/>
        <w:bottom w:val="none" w:sz="0" w:space="0" w:color="auto"/>
        <w:right w:val="none" w:sz="0" w:space="0" w:color="auto"/>
      </w:divBdr>
    </w:div>
    <w:div w:id="494758838">
      <w:bodyDiv w:val="1"/>
      <w:marLeft w:val="0"/>
      <w:marRight w:val="0"/>
      <w:marTop w:val="0"/>
      <w:marBottom w:val="0"/>
      <w:divBdr>
        <w:top w:val="none" w:sz="0" w:space="0" w:color="auto"/>
        <w:left w:val="none" w:sz="0" w:space="0" w:color="auto"/>
        <w:bottom w:val="none" w:sz="0" w:space="0" w:color="auto"/>
        <w:right w:val="none" w:sz="0" w:space="0" w:color="auto"/>
      </w:divBdr>
    </w:div>
    <w:div w:id="520047946">
      <w:bodyDiv w:val="1"/>
      <w:marLeft w:val="0"/>
      <w:marRight w:val="0"/>
      <w:marTop w:val="0"/>
      <w:marBottom w:val="0"/>
      <w:divBdr>
        <w:top w:val="none" w:sz="0" w:space="0" w:color="auto"/>
        <w:left w:val="none" w:sz="0" w:space="0" w:color="auto"/>
        <w:bottom w:val="none" w:sz="0" w:space="0" w:color="auto"/>
        <w:right w:val="none" w:sz="0" w:space="0" w:color="auto"/>
      </w:divBdr>
    </w:div>
    <w:div w:id="549532571">
      <w:bodyDiv w:val="1"/>
      <w:marLeft w:val="0"/>
      <w:marRight w:val="0"/>
      <w:marTop w:val="0"/>
      <w:marBottom w:val="0"/>
      <w:divBdr>
        <w:top w:val="none" w:sz="0" w:space="0" w:color="auto"/>
        <w:left w:val="none" w:sz="0" w:space="0" w:color="auto"/>
        <w:bottom w:val="none" w:sz="0" w:space="0" w:color="auto"/>
        <w:right w:val="none" w:sz="0" w:space="0" w:color="auto"/>
      </w:divBdr>
    </w:div>
    <w:div w:id="749959353">
      <w:bodyDiv w:val="1"/>
      <w:marLeft w:val="0"/>
      <w:marRight w:val="0"/>
      <w:marTop w:val="0"/>
      <w:marBottom w:val="0"/>
      <w:divBdr>
        <w:top w:val="none" w:sz="0" w:space="0" w:color="auto"/>
        <w:left w:val="none" w:sz="0" w:space="0" w:color="auto"/>
        <w:bottom w:val="none" w:sz="0" w:space="0" w:color="auto"/>
        <w:right w:val="none" w:sz="0" w:space="0" w:color="auto"/>
      </w:divBdr>
    </w:div>
    <w:div w:id="754210992">
      <w:bodyDiv w:val="1"/>
      <w:marLeft w:val="0"/>
      <w:marRight w:val="0"/>
      <w:marTop w:val="0"/>
      <w:marBottom w:val="0"/>
      <w:divBdr>
        <w:top w:val="none" w:sz="0" w:space="0" w:color="auto"/>
        <w:left w:val="none" w:sz="0" w:space="0" w:color="auto"/>
        <w:bottom w:val="none" w:sz="0" w:space="0" w:color="auto"/>
        <w:right w:val="none" w:sz="0" w:space="0" w:color="auto"/>
      </w:divBdr>
    </w:div>
    <w:div w:id="879325047">
      <w:bodyDiv w:val="1"/>
      <w:marLeft w:val="0"/>
      <w:marRight w:val="0"/>
      <w:marTop w:val="0"/>
      <w:marBottom w:val="0"/>
      <w:divBdr>
        <w:top w:val="none" w:sz="0" w:space="0" w:color="auto"/>
        <w:left w:val="none" w:sz="0" w:space="0" w:color="auto"/>
        <w:bottom w:val="none" w:sz="0" w:space="0" w:color="auto"/>
        <w:right w:val="none" w:sz="0" w:space="0" w:color="auto"/>
      </w:divBdr>
    </w:div>
    <w:div w:id="895313857">
      <w:bodyDiv w:val="1"/>
      <w:marLeft w:val="0"/>
      <w:marRight w:val="0"/>
      <w:marTop w:val="0"/>
      <w:marBottom w:val="0"/>
      <w:divBdr>
        <w:top w:val="none" w:sz="0" w:space="0" w:color="auto"/>
        <w:left w:val="none" w:sz="0" w:space="0" w:color="auto"/>
        <w:bottom w:val="none" w:sz="0" w:space="0" w:color="auto"/>
        <w:right w:val="none" w:sz="0" w:space="0" w:color="auto"/>
      </w:divBdr>
    </w:div>
    <w:div w:id="940533177">
      <w:bodyDiv w:val="1"/>
      <w:marLeft w:val="0"/>
      <w:marRight w:val="0"/>
      <w:marTop w:val="0"/>
      <w:marBottom w:val="0"/>
      <w:divBdr>
        <w:top w:val="none" w:sz="0" w:space="0" w:color="auto"/>
        <w:left w:val="none" w:sz="0" w:space="0" w:color="auto"/>
        <w:bottom w:val="none" w:sz="0" w:space="0" w:color="auto"/>
        <w:right w:val="none" w:sz="0" w:space="0" w:color="auto"/>
      </w:divBdr>
    </w:div>
    <w:div w:id="1031419466">
      <w:bodyDiv w:val="1"/>
      <w:marLeft w:val="0"/>
      <w:marRight w:val="0"/>
      <w:marTop w:val="0"/>
      <w:marBottom w:val="0"/>
      <w:divBdr>
        <w:top w:val="none" w:sz="0" w:space="0" w:color="auto"/>
        <w:left w:val="none" w:sz="0" w:space="0" w:color="auto"/>
        <w:bottom w:val="none" w:sz="0" w:space="0" w:color="auto"/>
        <w:right w:val="none" w:sz="0" w:space="0" w:color="auto"/>
      </w:divBdr>
    </w:div>
    <w:div w:id="1087270667">
      <w:bodyDiv w:val="1"/>
      <w:marLeft w:val="0"/>
      <w:marRight w:val="0"/>
      <w:marTop w:val="0"/>
      <w:marBottom w:val="0"/>
      <w:divBdr>
        <w:top w:val="none" w:sz="0" w:space="0" w:color="auto"/>
        <w:left w:val="none" w:sz="0" w:space="0" w:color="auto"/>
        <w:bottom w:val="none" w:sz="0" w:space="0" w:color="auto"/>
        <w:right w:val="none" w:sz="0" w:space="0" w:color="auto"/>
      </w:divBdr>
    </w:div>
    <w:div w:id="1339576044">
      <w:bodyDiv w:val="1"/>
      <w:marLeft w:val="0"/>
      <w:marRight w:val="0"/>
      <w:marTop w:val="0"/>
      <w:marBottom w:val="0"/>
      <w:divBdr>
        <w:top w:val="none" w:sz="0" w:space="0" w:color="auto"/>
        <w:left w:val="none" w:sz="0" w:space="0" w:color="auto"/>
        <w:bottom w:val="none" w:sz="0" w:space="0" w:color="auto"/>
        <w:right w:val="none" w:sz="0" w:space="0" w:color="auto"/>
      </w:divBdr>
    </w:div>
    <w:div w:id="1427112545">
      <w:bodyDiv w:val="1"/>
      <w:marLeft w:val="0"/>
      <w:marRight w:val="0"/>
      <w:marTop w:val="0"/>
      <w:marBottom w:val="0"/>
      <w:divBdr>
        <w:top w:val="none" w:sz="0" w:space="0" w:color="auto"/>
        <w:left w:val="none" w:sz="0" w:space="0" w:color="auto"/>
        <w:bottom w:val="none" w:sz="0" w:space="0" w:color="auto"/>
        <w:right w:val="none" w:sz="0" w:space="0" w:color="auto"/>
      </w:divBdr>
    </w:div>
    <w:div w:id="1519200980">
      <w:bodyDiv w:val="1"/>
      <w:marLeft w:val="0"/>
      <w:marRight w:val="0"/>
      <w:marTop w:val="0"/>
      <w:marBottom w:val="0"/>
      <w:divBdr>
        <w:top w:val="none" w:sz="0" w:space="0" w:color="auto"/>
        <w:left w:val="none" w:sz="0" w:space="0" w:color="auto"/>
        <w:bottom w:val="none" w:sz="0" w:space="0" w:color="auto"/>
        <w:right w:val="none" w:sz="0" w:space="0" w:color="auto"/>
      </w:divBdr>
    </w:div>
    <w:div w:id="1602448779">
      <w:bodyDiv w:val="1"/>
      <w:marLeft w:val="0"/>
      <w:marRight w:val="0"/>
      <w:marTop w:val="0"/>
      <w:marBottom w:val="0"/>
      <w:divBdr>
        <w:top w:val="none" w:sz="0" w:space="0" w:color="auto"/>
        <w:left w:val="none" w:sz="0" w:space="0" w:color="auto"/>
        <w:bottom w:val="none" w:sz="0" w:space="0" w:color="auto"/>
        <w:right w:val="none" w:sz="0" w:space="0" w:color="auto"/>
      </w:divBdr>
    </w:div>
    <w:div w:id="1700004859">
      <w:bodyDiv w:val="1"/>
      <w:marLeft w:val="0"/>
      <w:marRight w:val="0"/>
      <w:marTop w:val="0"/>
      <w:marBottom w:val="0"/>
      <w:divBdr>
        <w:top w:val="none" w:sz="0" w:space="0" w:color="auto"/>
        <w:left w:val="none" w:sz="0" w:space="0" w:color="auto"/>
        <w:bottom w:val="none" w:sz="0" w:space="0" w:color="auto"/>
        <w:right w:val="none" w:sz="0" w:space="0" w:color="auto"/>
      </w:divBdr>
    </w:div>
    <w:div w:id="1873617236">
      <w:bodyDiv w:val="1"/>
      <w:marLeft w:val="0"/>
      <w:marRight w:val="0"/>
      <w:marTop w:val="0"/>
      <w:marBottom w:val="0"/>
      <w:divBdr>
        <w:top w:val="none" w:sz="0" w:space="0" w:color="auto"/>
        <w:left w:val="none" w:sz="0" w:space="0" w:color="auto"/>
        <w:bottom w:val="none" w:sz="0" w:space="0" w:color="auto"/>
        <w:right w:val="none" w:sz="0" w:space="0" w:color="auto"/>
      </w:divBdr>
    </w:div>
    <w:div w:id="1880051046">
      <w:bodyDiv w:val="1"/>
      <w:marLeft w:val="0"/>
      <w:marRight w:val="0"/>
      <w:marTop w:val="0"/>
      <w:marBottom w:val="0"/>
      <w:divBdr>
        <w:top w:val="none" w:sz="0" w:space="0" w:color="auto"/>
        <w:left w:val="none" w:sz="0" w:space="0" w:color="auto"/>
        <w:bottom w:val="none" w:sz="0" w:space="0" w:color="auto"/>
        <w:right w:val="none" w:sz="0" w:space="0" w:color="auto"/>
      </w:divBdr>
      <w:divsChild>
        <w:div w:id="1860968021">
          <w:marLeft w:val="0"/>
          <w:marRight w:val="0"/>
          <w:marTop w:val="0"/>
          <w:marBottom w:val="0"/>
          <w:divBdr>
            <w:top w:val="none" w:sz="0" w:space="0" w:color="auto"/>
            <w:left w:val="none" w:sz="0" w:space="0" w:color="auto"/>
            <w:bottom w:val="none" w:sz="0" w:space="0" w:color="auto"/>
            <w:right w:val="none" w:sz="0" w:space="0" w:color="auto"/>
          </w:divBdr>
        </w:div>
        <w:div w:id="548108174">
          <w:marLeft w:val="0"/>
          <w:marRight w:val="0"/>
          <w:marTop w:val="0"/>
          <w:marBottom w:val="0"/>
          <w:divBdr>
            <w:top w:val="none" w:sz="0" w:space="0" w:color="auto"/>
            <w:left w:val="none" w:sz="0" w:space="0" w:color="auto"/>
            <w:bottom w:val="none" w:sz="0" w:space="0" w:color="auto"/>
            <w:right w:val="none" w:sz="0" w:space="0" w:color="auto"/>
          </w:divBdr>
        </w:div>
        <w:div w:id="668874895">
          <w:marLeft w:val="0"/>
          <w:marRight w:val="0"/>
          <w:marTop w:val="0"/>
          <w:marBottom w:val="0"/>
          <w:divBdr>
            <w:top w:val="none" w:sz="0" w:space="0" w:color="auto"/>
            <w:left w:val="none" w:sz="0" w:space="0" w:color="auto"/>
            <w:bottom w:val="none" w:sz="0" w:space="0" w:color="auto"/>
            <w:right w:val="none" w:sz="0" w:space="0" w:color="auto"/>
          </w:divBdr>
        </w:div>
        <w:div w:id="1896429871">
          <w:marLeft w:val="0"/>
          <w:marRight w:val="0"/>
          <w:marTop w:val="0"/>
          <w:marBottom w:val="0"/>
          <w:divBdr>
            <w:top w:val="none" w:sz="0" w:space="0" w:color="auto"/>
            <w:left w:val="none" w:sz="0" w:space="0" w:color="auto"/>
            <w:bottom w:val="none" w:sz="0" w:space="0" w:color="auto"/>
            <w:right w:val="none" w:sz="0" w:space="0" w:color="auto"/>
          </w:divBdr>
        </w:div>
        <w:div w:id="1698504245">
          <w:marLeft w:val="0"/>
          <w:marRight w:val="0"/>
          <w:marTop w:val="0"/>
          <w:marBottom w:val="0"/>
          <w:divBdr>
            <w:top w:val="none" w:sz="0" w:space="0" w:color="auto"/>
            <w:left w:val="none" w:sz="0" w:space="0" w:color="auto"/>
            <w:bottom w:val="none" w:sz="0" w:space="0" w:color="auto"/>
            <w:right w:val="none" w:sz="0" w:space="0" w:color="auto"/>
          </w:divBdr>
        </w:div>
      </w:divsChild>
    </w:div>
    <w:div w:id="1963685521">
      <w:bodyDiv w:val="1"/>
      <w:marLeft w:val="0"/>
      <w:marRight w:val="0"/>
      <w:marTop w:val="0"/>
      <w:marBottom w:val="0"/>
      <w:divBdr>
        <w:top w:val="none" w:sz="0" w:space="0" w:color="auto"/>
        <w:left w:val="none" w:sz="0" w:space="0" w:color="auto"/>
        <w:bottom w:val="none" w:sz="0" w:space="0" w:color="auto"/>
        <w:right w:val="none" w:sz="0" w:space="0" w:color="auto"/>
      </w:divBdr>
    </w:div>
    <w:div w:id="1983269783">
      <w:bodyDiv w:val="1"/>
      <w:marLeft w:val="0"/>
      <w:marRight w:val="0"/>
      <w:marTop w:val="0"/>
      <w:marBottom w:val="0"/>
      <w:divBdr>
        <w:top w:val="none" w:sz="0" w:space="0" w:color="auto"/>
        <w:left w:val="none" w:sz="0" w:space="0" w:color="auto"/>
        <w:bottom w:val="none" w:sz="0" w:space="0" w:color="auto"/>
        <w:right w:val="none" w:sz="0" w:space="0" w:color="auto"/>
      </w:divBdr>
    </w:div>
    <w:div w:id="2030524232">
      <w:bodyDiv w:val="1"/>
      <w:marLeft w:val="0"/>
      <w:marRight w:val="0"/>
      <w:marTop w:val="0"/>
      <w:marBottom w:val="0"/>
      <w:divBdr>
        <w:top w:val="none" w:sz="0" w:space="0" w:color="auto"/>
        <w:left w:val="none" w:sz="0" w:space="0" w:color="auto"/>
        <w:bottom w:val="none" w:sz="0" w:space="0" w:color="auto"/>
        <w:right w:val="none" w:sz="0" w:space="0" w:color="auto"/>
      </w:divBdr>
    </w:div>
    <w:div w:id="209462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pcd/issues/2008/apr/07_023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pcd/issues/2010/jan/08_0231.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dx.doi.org/10.1161/01.STR.30.8.1711" TargetMode="External"/><Relationship Id="rId4" Type="http://schemas.microsoft.com/office/2007/relationships/stylesWithEffects" Target="stylesWithEffects.xml"/><Relationship Id="rId9" Type="http://schemas.openxmlformats.org/officeDocument/2006/relationships/hyperlink" Target="http://www.strokeassociation.org/STROKEORG/AboutStroke/Impact-of-Stroke-Stroke-statistics_UCM_310728_Article.jsp.%20Last%20updated%20June%2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7B485-9704-42A8-B83E-A4193D365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6254</Words>
  <Characters>35648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Wachtmeister, Devon</dc:creator>
  <cp:keywords/>
  <dc:description/>
  <cp:lastModifiedBy>SYSTEM</cp:lastModifiedBy>
  <cp:revision>2</cp:revision>
  <dcterms:created xsi:type="dcterms:W3CDTF">2018-04-23T18:52:00Z</dcterms:created>
  <dcterms:modified xsi:type="dcterms:W3CDTF">2018-04-23T18:52:00Z</dcterms:modified>
</cp:coreProperties>
</file>