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0B4B66" w14:textId="2F8FC52E" w:rsidR="00021450" w:rsidRDefault="00021450" w:rsidP="00021450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Request for Nonmaterial/N</w:t>
      </w:r>
      <w:r w:rsidR="00782E0A" w:rsidRPr="000C5EF1">
        <w:rPr>
          <w:b/>
          <w:color w:val="000000"/>
        </w:rPr>
        <w:t xml:space="preserve">on-substantive change  </w:t>
      </w:r>
    </w:p>
    <w:p w14:paraId="4C8962EC" w14:textId="25585BD4" w:rsidR="00021450" w:rsidRDefault="00021450" w:rsidP="00021450">
      <w:pPr>
        <w:jc w:val="center"/>
        <w:rPr>
          <w:rFonts w:eastAsia="Calibri"/>
          <w:b/>
        </w:rPr>
      </w:pPr>
      <w:r>
        <w:rPr>
          <w:rFonts w:eastAsia="Calibri"/>
          <w:b/>
        </w:rPr>
        <w:t>Information Collection for Tuberculosis Data from Panel Physicians</w:t>
      </w:r>
    </w:p>
    <w:p w14:paraId="4DA4D791" w14:textId="76AB7CF9" w:rsidR="00021450" w:rsidRDefault="00021450" w:rsidP="00021450">
      <w:pPr>
        <w:jc w:val="center"/>
        <w:rPr>
          <w:rFonts w:eastAsia="Calibri"/>
          <w:b/>
        </w:rPr>
      </w:pPr>
      <w:r w:rsidRPr="000C5EF1">
        <w:rPr>
          <w:b/>
          <w:color w:val="000000"/>
        </w:rPr>
        <w:t xml:space="preserve">OMB Control Number </w:t>
      </w:r>
      <w:r>
        <w:rPr>
          <w:b/>
          <w:color w:val="000000"/>
        </w:rPr>
        <w:t>0920-1102</w:t>
      </w:r>
    </w:p>
    <w:p w14:paraId="2A58DA3B" w14:textId="77777777" w:rsidR="00021450" w:rsidRDefault="00021450" w:rsidP="00021450">
      <w:pPr>
        <w:rPr>
          <w:rFonts w:eastAsiaTheme="minorEastAsia"/>
          <w:b/>
        </w:rPr>
      </w:pPr>
    </w:p>
    <w:p w14:paraId="2DB8D69C" w14:textId="77777777" w:rsidR="00021450" w:rsidRDefault="00021450" w:rsidP="00021450">
      <w:pPr>
        <w:rPr>
          <w:b/>
        </w:rPr>
      </w:pPr>
    </w:p>
    <w:p w14:paraId="7CCEB193" w14:textId="77777777" w:rsidR="00782E0A" w:rsidRDefault="00782E0A" w:rsidP="00D34C78">
      <w:pPr>
        <w:jc w:val="center"/>
        <w:rPr>
          <w:b/>
          <w:color w:val="000000"/>
        </w:rPr>
      </w:pPr>
      <w:r w:rsidRPr="000C5EF1">
        <w:rPr>
          <w:b/>
          <w:color w:val="000000"/>
        </w:rPr>
        <w:t xml:space="preserve">Expiration date </w:t>
      </w:r>
    </w:p>
    <w:p w14:paraId="50AF668A" w14:textId="257D3219" w:rsidR="00782E0A" w:rsidRDefault="00021450" w:rsidP="00021450">
      <w:pPr>
        <w:jc w:val="center"/>
        <w:rPr>
          <w:b/>
        </w:rPr>
      </w:pPr>
      <w:r w:rsidRPr="00021450">
        <w:rPr>
          <w:b/>
          <w:color w:val="000000"/>
        </w:rPr>
        <w:t>02/28/2019</w:t>
      </w:r>
    </w:p>
    <w:p w14:paraId="73FD9B97" w14:textId="77777777" w:rsidR="00987051" w:rsidRDefault="00987051" w:rsidP="00782E0A">
      <w:pPr>
        <w:rPr>
          <w:b/>
        </w:rPr>
      </w:pPr>
    </w:p>
    <w:p w14:paraId="6346D96D" w14:textId="77777777" w:rsidR="00987051" w:rsidRPr="000C5EF1" w:rsidRDefault="00987051" w:rsidP="00782E0A">
      <w:pPr>
        <w:rPr>
          <w:b/>
        </w:rPr>
      </w:pPr>
    </w:p>
    <w:p w14:paraId="30102841" w14:textId="77777777" w:rsidR="00782E0A" w:rsidRPr="000C5EF1" w:rsidRDefault="00782E0A" w:rsidP="00782E0A">
      <w:pPr>
        <w:rPr>
          <w:b/>
        </w:rPr>
      </w:pPr>
    </w:p>
    <w:p w14:paraId="76E5108A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b/>
          <w:u w:val="single"/>
        </w:rPr>
      </w:pPr>
      <w:r w:rsidRPr="000C5EF1">
        <w:rPr>
          <w:b/>
          <w:u w:val="single"/>
        </w:rPr>
        <w:t>Program Contact</w:t>
      </w:r>
    </w:p>
    <w:p w14:paraId="4CB8708C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</w:p>
    <w:p w14:paraId="0B454A9C" w14:textId="77777777" w:rsidR="00FF16CE" w:rsidRDefault="00FF16CE" w:rsidP="00FF16CE">
      <w:pPr>
        <w:pStyle w:val="NoSpacing"/>
      </w:pPr>
      <w:r>
        <w:t>Lee Samuel</w:t>
      </w:r>
    </w:p>
    <w:p w14:paraId="7C4BF5D8" w14:textId="77777777" w:rsidR="00FF16CE" w:rsidRDefault="00FF16CE" w:rsidP="00FF16CE">
      <w:pPr>
        <w:pStyle w:val="NoSpacing"/>
      </w:pPr>
      <w:r>
        <w:t xml:space="preserve">National Center for Emerging and Zoonotic Infectious Diseases </w:t>
      </w:r>
    </w:p>
    <w:p w14:paraId="092361FF" w14:textId="77777777" w:rsidR="00FF16CE" w:rsidRDefault="00FF16CE" w:rsidP="00FF16CE">
      <w:pPr>
        <w:pStyle w:val="NoSpacing"/>
      </w:pPr>
      <w:r>
        <w:t xml:space="preserve">Centers for Disease Control and Prevention </w:t>
      </w:r>
    </w:p>
    <w:p w14:paraId="2D73374C" w14:textId="77777777" w:rsidR="00FF16CE" w:rsidRDefault="00FF16CE" w:rsidP="00FF16CE">
      <w:pPr>
        <w:pStyle w:val="NoSpacing"/>
      </w:pPr>
      <w:r>
        <w:t xml:space="preserve">1600 Clifton Road, NE </w:t>
      </w:r>
    </w:p>
    <w:p w14:paraId="381D3946" w14:textId="77777777" w:rsidR="00FF16CE" w:rsidRDefault="00FF16CE" w:rsidP="00FF16CE">
      <w:pPr>
        <w:pStyle w:val="NoSpacing"/>
      </w:pPr>
      <w:r>
        <w:t xml:space="preserve">Atlanta, Georgia 30333 </w:t>
      </w:r>
    </w:p>
    <w:p w14:paraId="542B0407" w14:textId="77777777" w:rsidR="00FF16CE" w:rsidRDefault="00FF16CE" w:rsidP="00FF16CE">
      <w:pPr>
        <w:pStyle w:val="NoSpacing"/>
      </w:pPr>
      <w:r>
        <w:t xml:space="preserve">Phone: (404) 718-1616 </w:t>
      </w:r>
    </w:p>
    <w:p w14:paraId="7D7C2226" w14:textId="114652F8" w:rsidR="00782E0A" w:rsidRPr="000C5EF1" w:rsidRDefault="00FF16CE" w:rsidP="00FF16CE">
      <w:pPr>
        <w:tabs>
          <w:tab w:val="center" w:pos="4680"/>
        </w:tabs>
        <w:autoSpaceDE w:val="0"/>
        <w:autoSpaceDN w:val="0"/>
        <w:adjustRightInd w:val="0"/>
        <w:rPr>
          <w:b/>
          <w:bCs/>
          <w:noProof/>
        </w:rPr>
      </w:pPr>
      <w:r>
        <w:t xml:space="preserve">Email: </w:t>
      </w:r>
      <w:hyperlink r:id="rId8" w:history="1">
        <w:r>
          <w:rPr>
            <w:rStyle w:val="Hyperlink"/>
          </w:rPr>
          <w:t>llj3@cdc.gov</w:t>
        </w:r>
      </w:hyperlink>
    </w:p>
    <w:p w14:paraId="1E3705A4" w14:textId="77777777" w:rsidR="00782E0A" w:rsidRPr="000C5EF1" w:rsidRDefault="00782E0A" w:rsidP="00782E0A">
      <w:pPr>
        <w:tabs>
          <w:tab w:val="center" w:pos="4680"/>
        </w:tabs>
        <w:autoSpaceDE w:val="0"/>
        <w:autoSpaceDN w:val="0"/>
        <w:adjustRightInd w:val="0"/>
        <w:rPr>
          <w:noProof/>
        </w:rPr>
      </w:pPr>
      <w:r w:rsidRPr="000C5EF1">
        <w:rPr>
          <w:noProof/>
        </w:rPr>
        <w:tab/>
      </w:r>
    </w:p>
    <w:p w14:paraId="3FE0258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u w:val="single"/>
        </w:rPr>
        <w:t xml:space="preserve"> </w:t>
      </w:r>
    </w:p>
    <w:p w14:paraId="150D0B7B" w14:textId="7777777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rPr>
          <w:u w:val="single"/>
        </w:rPr>
      </w:pPr>
    </w:p>
    <w:p w14:paraId="307E3A30" w14:textId="78A7C0B7" w:rsidR="00782E0A" w:rsidRPr="000C5EF1" w:rsidRDefault="00782E0A" w:rsidP="00782E0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</w:pPr>
      <w:r w:rsidRPr="000C5EF1">
        <w:rPr>
          <w:b/>
        </w:rPr>
        <w:t>Submission Date:</w:t>
      </w:r>
      <w:r w:rsidRPr="000C5EF1">
        <w:t xml:space="preserve"> </w:t>
      </w:r>
      <w:r w:rsidR="003A52C8">
        <w:t>4/12/2018</w:t>
      </w:r>
    </w:p>
    <w:p w14:paraId="758B085E" w14:textId="77777777" w:rsidR="00DC57CC" w:rsidRPr="000C5EF1" w:rsidRDefault="00DC57CC"/>
    <w:p w14:paraId="71CD028B" w14:textId="77777777" w:rsidR="00782E0A" w:rsidRPr="000C5EF1" w:rsidRDefault="00782E0A"/>
    <w:p w14:paraId="60E78D33" w14:textId="77777777" w:rsidR="00782E0A" w:rsidRPr="000C5EF1" w:rsidRDefault="00782E0A"/>
    <w:p w14:paraId="2E20BD5D" w14:textId="77777777" w:rsidR="00782E0A" w:rsidRPr="000C5EF1" w:rsidRDefault="00782E0A"/>
    <w:p w14:paraId="390D587A" w14:textId="77777777" w:rsidR="00782E0A" w:rsidRPr="000C5EF1" w:rsidRDefault="00782E0A"/>
    <w:p w14:paraId="500802EE" w14:textId="77777777" w:rsidR="00782E0A" w:rsidRPr="000C5EF1" w:rsidRDefault="00782E0A"/>
    <w:p w14:paraId="5E6550A8" w14:textId="77777777" w:rsidR="00782E0A" w:rsidRPr="000C5EF1" w:rsidRDefault="00782E0A"/>
    <w:p w14:paraId="6FD421F5" w14:textId="77777777" w:rsidR="00782E0A" w:rsidRPr="000C5EF1" w:rsidRDefault="00782E0A"/>
    <w:p w14:paraId="3827A78B" w14:textId="77777777" w:rsidR="00782E0A" w:rsidRPr="000C5EF1" w:rsidRDefault="00782E0A"/>
    <w:p w14:paraId="64535CEE" w14:textId="77777777" w:rsidR="00782E0A" w:rsidRPr="000C5EF1" w:rsidRDefault="00782E0A"/>
    <w:p w14:paraId="6D2103B4" w14:textId="77777777" w:rsidR="00782E0A" w:rsidRPr="000C5EF1" w:rsidRDefault="00782E0A"/>
    <w:p w14:paraId="26980A27" w14:textId="77777777" w:rsidR="00782E0A" w:rsidRPr="000C5EF1" w:rsidRDefault="00782E0A"/>
    <w:p w14:paraId="31CA3417" w14:textId="77777777" w:rsidR="00782E0A" w:rsidRPr="000C5EF1" w:rsidRDefault="00782E0A"/>
    <w:p w14:paraId="353D197E" w14:textId="77777777" w:rsidR="00782E0A" w:rsidRPr="000C5EF1" w:rsidRDefault="00782E0A"/>
    <w:p w14:paraId="0407C707" w14:textId="77777777" w:rsidR="00782E0A" w:rsidRPr="000C5EF1" w:rsidRDefault="00782E0A"/>
    <w:p w14:paraId="396AF943" w14:textId="77777777" w:rsidR="00782E0A" w:rsidRPr="000C5EF1" w:rsidRDefault="00782E0A"/>
    <w:p w14:paraId="57E94F23" w14:textId="77777777" w:rsidR="00782E0A" w:rsidRPr="000C5EF1" w:rsidRDefault="00782E0A"/>
    <w:p w14:paraId="2C8DDCB7" w14:textId="77777777" w:rsidR="00782E0A" w:rsidRPr="000C5EF1" w:rsidRDefault="00782E0A"/>
    <w:p w14:paraId="59591AA4" w14:textId="77777777" w:rsidR="00782E0A" w:rsidRPr="000C5EF1" w:rsidRDefault="00782E0A"/>
    <w:p w14:paraId="4A5FEE54" w14:textId="77777777" w:rsidR="00782E0A" w:rsidRPr="000C5EF1" w:rsidRDefault="00782E0A"/>
    <w:p w14:paraId="5D46E3CE" w14:textId="77777777" w:rsidR="00782E0A" w:rsidRPr="000C5EF1" w:rsidRDefault="00782E0A"/>
    <w:p w14:paraId="039E4722" w14:textId="77777777" w:rsidR="00782E0A" w:rsidRDefault="00782E0A"/>
    <w:p w14:paraId="6A1B890A" w14:textId="77777777" w:rsidR="000C5EF1" w:rsidRDefault="000C5EF1"/>
    <w:p w14:paraId="3D652C7C" w14:textId="77777777" w:rsidR="000C5EF1" w:rsidRDefault="000C5EF1"/>
    <w:p w14:paraId="6D686171" w14:textId="77777777" w:rsidR="000C5EF1" w:rsidRPr="000C5EF1" w:rsidRDefault="000C5EF1"/>
    <w:p w14:paraId="3B6EF1E2" w14:textId="0D9082D4" w:rsidR="00782E0A" w:rsidRPr="000C5EF1" w:rsidRDefault="00782E0A" w:rsidP="00782E0A">
      <w:pPr>
        <w:autoSpaceDE w:val="0"/>
        <w:autoSpaceDN w:val="0"/>
        <w:adjustRightInd w:val="0"/>
        <w:rPr>
          <w:color w:val="000000"/>
        </w:rPr>
      </w:pPr>
      <w:r w:rsidRPr="000C5EF1">
        <w:rPr>
          <w:b/>
          <w:color w:val="000000"/>
          <w:u w:val="single"/>
        </w:rPr>
        <w:lastRenderedPageBreak/>
        <w:t xml:space="preserve">Circumstances of </w:t>
      </w:r>
      <w:r w:rsidR="00B27555">
        <w:rPr>
          <w:b/>
          <w:color w:val="000000"/>
          <w:u w:val="single"/>
        </w:rPr>
        <w:t>C</w:t>
      </w:r>
      <w:r w:rsidR="005A3A7E">
        <w:rPr>
          <w:b/>
          <w:color w:val="000000"/>
          <w:u w:val="single"/>
        </w:rPr>
        <w:t>hange Request for OMB 0920-</w:t>
      </w:r>
      <w:r w:rsidR="00021450">
        <w:rPr>
          <w:b/>
          <w:color w:val="000000"/>
          <w:u w:val="single"/>
        </w:rPr>
        <w:t>1102</w:t>
      </w:r>
    </w:p>
    <w:p w14:paraId="2A42307D" w14:textId="77777777" w:rsidR="00782E0A" w:rsidRPr="000C5EF1" w:rsidRDefault="00782E0A"/>
    <w:p w14:paraId="378DA8CC" w14:textId="4ADEB674" w:rsidR="00225FEC" w:rsidRDefault="00396256">
      <w:r>
        <w:t xml:space="preserve">The Centers for Disease Control and Prevention (CDC), Division of Global Migration and Quarantine (DGMQ) requests a </w:t>
      </w:r>
      <w:r w:rsidR="003F17AA" w:rsidRPr="000C5EF1">
        <w:rPr>
          <w:bCs/>
        </w:rPr>
        <w:t>nonmaterial/non-substantive</w:t>
      </w:r>
      <w:r>
        <w:t xml:space="preserve"> of the currently approved Information Collection Request: “</w:t>
      </w:r>
      <w:r w:rsidR="00021450" w:rsidRPr="00021450">
        <w:t>Information Collection for Tuberculosis Data from Panel Physicians</w:t>
      </w:r>
      <w:r w:rsidR="00225FEC">
        <w:t>.”</w:t>
      </w:r>
    </w:p>
    <w:p w14:paraId="753E0159" w14:textId="77777777" w:rsidR="00225FEC" w:rsidRDefault="00225FEC"/>
    <w:p w14:paraId="43D38A04" w14:textId="03A6DC1E" w:rsidR="00021450" w:rsidRDefault="00021450">
      <w:r>
        <w:t>CDC is moving the collection time frame for the tuberculosis (TB) indicators data from January to March</w:t>
      </w:r>
      <w:r w:rsidR="00F64EB0">
        <w:t xml:space="preserve"> to make more efficient use of panel physician and CDC program staff time concerning the reporting and analysis of critical TB data</w:t>
      </w:r>
      <w:r w:rsidR="00003A0D">
        <w:t>.</w:t>
      </w:r>
      <w:r>
        <w:t xml:space="preserve">  This has two minor impacts on the structure of the reporting form</w:t>
      </w:r>
      <w:r w:rsidR="00F64EB0">
        <w:t>, which, in combination, are not expected to have a substantive impact on reporting burden.</w:t>
      </w:r>
    </w:p>
    <w:p w14:paraId="0A10837E" w14:textId="77777777" w:rsidR="00F64EB0" w:rsidRDefault="00F64EB0"/>
    <w:p w14:paraId="4AB978D2" w14:textId="1431F6A0" w:rsidR="00AB4445" w:rsidRDefault="00AB4445" w:rsidP="00AB4445">
      <w:r>
        <w:t xml:space="preserve">DGMQ TB Indicator data provide valuable TB-related epidemiologic data from required U.S. immigration medical exams and allow CDC to monitor </w:t>
      </w:r>
      <w:r w:rsidRPr="00ED7C3D">
        <w:t>the effectivenes</w:t>
      </w:r>
      <w:r>
        <w:t xml:space="preserve">s and impact of CDC’s </w:t>
      </w:r>
      <w:r w:rsidRPr="007F482E">
        <w:rPr>
          <w:i/>
        </w:rPr>
        <w:t>Technical Instructions</w:t>
      </w:r>
      <w:r w:rsidRPr="00ED7C3D">
        <w:t xml:space="preserve"> i</w:t>
      </w:r>
      <w:r>
        <w:t xml:space="preserve">n diagnosing applicants with TB </w:t>
      </w:r>
      <w:r w:rsidRPr="00ED7C3D">
        <w:t>disease.</w:t>
      </w:r>
      <w:r>
        <w:t xml:space="preserve">  Th</w:t>
      </w:r>
      <w:r w:rsidR="008F5EEF">
        <w:t>ese</w:t>
      </w:r>
      <w:r>
        <w:t xml:space="preserve"> data </w:t>
      </w:r>
      <w:r w:rsidR="008F5EEF">
        <w:t>are</w:t>
      </w:r>
      <w:r>
        <w:t xml:space="preserve"> used to:</w:t>
      </w:r>
    </w:p>
    <w:p w14:paraId="485CFF1C" w14:textId="77777777" w:rsidR="00AB4445" w:rsidRPr="007F482E" w:rsidRDefault="00AB4445" w:rsidP="00AB4445">
      <w:pPr>
        <w:pStyle w:val="ListParagraph"/>
        <w:numPr>
          <w:ilvl w:val="0"/>
          <w:numId w:val="8"/>
        </w:numPr>
        <w:ind w:left="1080"/>
      </w:pPr>
      <w:r w:rsidRPr="007F482E">
        <w:t>Improve quality assurance efforts and monitor proficiency of TB screening programs overseas</w:t>
      </w:r>
    </w:p>
    <w:p w14:paraId="32B3A173" w14:textId="77777777" w:rsidR="00AB4445" w:rsidRPr="007F482E" w:rsidRDefault="00AB4445" w:rsidP="00AB4445">
      <w:pPr>
        <w:pStyle w:val="ListParagraph"/>
        <w:numPr>
          <w:ilvl w:val="0"/>
          <w:numId w:val="8"/>
        </w:numPr>
        <w:ind w:left="1080"/>
      </w:pPr>
      <w:r w:rsidRPr="007F482E">
        <w:t xml:space="preserve">Demonstrate the impact of CDC/DGMQ TB screening programs on </w:t>
      </w:r>
      <w:r>
        <w:t xml:space="preserve">country-specific </w:t>
      </w:r>
      <w:r w:rsidRPr="007F482E">
        <w:t>TB burden</w:t>
      </w:r>
      <w:r>
        <w:t>s</w:t>
      </w:r>
    </w:p>
    <w:p w14:paraId="30458F2C" w14:textId="77777777" w:rsidR="00AB4445" w:rsidRPr="007F482E" w:rsidRDefault="00AB4445" w:rsidP="00AB4445">
      <w:pPr>
        <w:pStyle w:val="ListParagraph"/>
        <w:numPr>
          <w:ilvl w:val="0"/>
          <w:numId w:val="8"/>
        </w:numPr>
        <w:ind w:left="1080"/>
      </w:pPr>
      <w:r w:rsidRPr="007F482E">
        <w:t>Evaluate the impact of the 2007 CDOT TB TI on the immigrant screening program</w:t>
      </w:r>
    </w:p>
    <w:p w14:paraId="77924F04" w14:textId="77777777" w:rsidR="00AB4445" w:rsidRPr="007F482E" w:rsidRDefault="00AB4445" w:rsidP="00AB4445">
      <w:pPr>
        <w:pStyle w:val="ListParagraph"/>
        <w:numPr>
          <w:ilvl w:val="0"/>
          <w:numId w:val="8"/>
        </w:numPr>
        <w:ind w:left="1080"/>
      </w:pPr>
      <w:r w:rsidRPr="007F482E">
        <w:t xml:space="preserve">Compare </w:t>
      </w:r>
      <w:r>
        <w:t xml:space="preserve">TB Indicator incidence rates </w:t>
      </w:r>
      <w:r w:rsidRPr="007F482E">
        <w:t xml:space="preserve">to WHO country-specific TB </w:t>
      </w:r>
      <w:r>
        <w:t xml:space="preserve">incidence </w:t>
      </w:r>
      <w:r w:rsidRPr="007F482E">
        <w:t>rates</w:t>
      </w:r>
    </w:p>
    <w:p w14:paraId="42EE49F5" w14:textId="77777777" w:rsidR="00AB4445" w:rsidRDefault="00AB4445" w:rsidP="00AB4445">
      <w:pPr>
        <w:pStyle w:val="ListParagraph"/>
        <w:numPr>
          <w:ilvl w:val="0"/>
          <w:numId w:val="8"/>
        </w:numPr>
        <w:ind w:left="1080"/>
      </w:pPr>
      <w:r w:rsidRPr="007F482E">
        <w:t>Detect and resolve problems at panel sites demonstrating poor performance</w:t>
      </w:r>
    </w:p>
    <w:p w14:paraId="4A981F6F" w14:textId="77777777" w:rsidR="00AB4445" w:rsidRDefault="00AB4445" w:rsidP="00AB4445">
      <w:pPr>
        <w:pStyle w:val="ListParagraph"/>
        <w:numPr>
          <w:ilvl w:val="0"/>
          <w:numId w:val="8"/>
        </w:numPr>
        <w:ind w:left="1080"/>
      </w:pPr>
      <w:r w:rsidRPr="007F482E">
        <w:t>Provide a potentially new source of TB data to National TB Programs globally</w:t>
      </w:r>
    </w:p>
    <w:p w14:paraId="2FC8F05A" w14:textId="77777777" w:rsidR="00AB4445" w:rsidRDefault="00AB4445">
      <w:pPr>
        <w:rPr>
          <w:u w:val="single"/>
        </w:rPr>
      </w:pPr>
    </w:p>
    <w:p w14:paraId="7B6C78A2" w14:textId="0B5CD6BE" w:rsidR="00F64EB0" w:rsidRPr="00F64EB0" w:rsidRDefault="00F64EB0">
      <w:pPr>
        <w:rPr>
          <w:u w:val="single"/>
        </w:rPr>
      </w:pPr>
      <w:r w:rsidRPr="00F64EB0">
        <w:rPr>
          <w:u w:val="single"/>
        </w:rPr>
        <w:t>Description of the changes</w:t>
      </w:r>
    </w:p>
    <w:p w14:paraId="5475F3DA" w14:textId="77777777" w:rsidR="00021450" w:rsidRDefault="00021450"/>
    <w:p w14:paraId="26FDE86F" w14:textId="77777777" w:rsidR="008F5EEF" w:rsidRDefault="00021450" w:rsidP="00F64EB0">
      <w:r>
        <w:t xml:space="preserve">1) The additional time provides an opportunity for pending </w:t>
      </w:r>
      <w:r w:rsidR="00F64EB0">
        <w:t xml:space="preserve">TB </w:t>
      </w:r>
      <w:r>
        <w:t>results to become final, negating the need for data fiel</w:t>
      </w:r>
      <w:r w:rsidR="008F5EEF">
        <w:t xml:space="preserve">ds requesting pending results. </w:t>
      </w:r>
      <w:r>
        <w:t>Therefore</w:t>
      </w:r>
      <w:r w:rsidR="008F5EEF">
        <w:t>,</w:t>
      </w:r>
      <w:r>
        <w:t xml:space="preserve"> CDC is removing four fields concerning pending results: </w:t>
      </w:r>
    </w:p>
    <w:p w14:paraId="73A6547E" w14:textId="42A13825" w:rsidR="008F5EEF" w:rsidRDefault="008F5EEF" w:rsidP="008F5EEF">
      <w:pPr>
        <w:pStyle w:val="ListParagraph"/>
        <w:numPr>
          <w:ilvl w:val="0"/>
          <w:numId w:val="9"/>
        </w:numPr>
      </w:pPr>
      <w:r>
        <w:t>Row 5a. Smears Pending</w:t>
      </w:r>
    </w:p>
    <w:p w14:paraId="118E643C" w14:textId="77777777" w:rsidR="008F5EEF" w:rsidRDefault="008F5EEF" w:rsidP="008F5EEF">
      <w:pPr>
        <w:pStyle w:val="ListParagraph"/>
        <w:numPr>
          <w:ilvl w:val="0"/>
          <w:numId w:val="9"/>
        </w:numPr>
      </w:pPr>
      <w:r>
        <w:t>Row 5f. Smear+ /Culture Pending</w:t>
      </w:r>
    </w:p>
    <w:p w14:paraId="1CCFA58A" w14:textId="77777777" w:rsidR="008F5EEF" w:rsidRDefault="008F5EEF" w:rsidP="008F5EEF">
      <w:pPr>
        <w:pStyle w:val="ListParagraph"/>
        <w:numPr>
          <w:ilvl w:val="0"/>
          <w:numId w:val="9"/>
        </w:numPr>
      </w:pPr>
      <w:r>
        <w:t>Row 5g. Smear- /Culture Pending</w:t>
      </w:r>
    </w:p>
    <w:p w14:paraId="48FA3677" w14:textId="71F60514" w:rsidR="00225FEC" w:rsidRDefault="008F5EEF" w:rsidP="008F5EEF">
      <w:pPr>
        <w:pStyle w:val="ListParagraph"/>
        <w:numPr>
          <w:ilvl w:val="0"/>
          <w:numId w:val="9"/>
        </w:numPr>
      </w:pPr>
      <w:r>
        <w:t>Row</w:t>
      </w:r>
      <w:r w:rsidR="00F64EB0">
        <w:t xml:space="preserve"> 6a. DST Pending</w:t>
      </w:r>
    </w:p>
    <w:p w14:paraId="72C3EC4E" w14:textId="77777777" w:rsidR="00653102" w:rsidRDefault="00653102" w:rsidP="00653102"/>
    <w:p w14:paraId="43700BBC" w14:textId="77777777" w:rsidR="008F5EEF" w:rsidRDefault="00653102" w:rsidP="00653102">
      <w:r>
        <w:t>2) The additional time also provides added focus on TB outcomes, so CDC is requesting two</w:t>
      </w:r>
      <w:r w:rsidRPr="00021450">
        <w:t xml:space="preserve"> new variables related to treatment outcomes</w:t>
      </w:r>
      <w:r>
        <w:t xml:space="preserve">: </w:t>
      </w:r>
    </w:p>
    <w:p w14:paraId="4C0BD0A8" w14:textId="77777777" w:rsidR="008F5EEF" w:rsidRDefault="008F5EEF" w:rsidP="008F5EEF">
      <w:pPr>
        <w:pStyle w:val="ListParagraph"/>
        <w:numPr>
          <w:ilvl w:val="0"/>
          <w:numId w:val="10"/>
        </w:numPr>
      </w:pPr>
      <w:r>
        <w:t>R</w:t>
      </w:r>
      <w:r w:rsidR="00653102" w:rsidRPr="00021450">
        <w:t xml:space="preserve">ow </w:t>
      </w:r>
      <w:r w:rsidR="00653102">
        <w:t>7a. DOT completed or in-</w:t>
      </w:r>
      <w:r>
        <w:t>progress at DGMQ-approved site</w:t>
      </w:r>
    </w:p>
    <w:p w14:paraId="62C9CCD5" w14:textId="7EE7828F" w:rsidR="00653102" w:rsidRDefault="008F5EEF" w:rsidP="008F5EEF">
      <w:pPr>
        <w:pStyle w:val="ListParagraph"/>
        <w:numPr>
          <w:ilvl w:val="0"/>
          <w:numId w:val="10"/>
        </w:numPr>
      </w:pPr>
      <w:r>
        <w:t xml:space="preserve">Row </w:t>
      </w:r>
      <w:r w:rsidR="00653102">
        <w:t>7b. Decli</w:t>
      </w:r>
      <w:r>
        <w:t>ned DOT at DGMQ-approved site</w:t>
      </w:r>
    </w:p>
    <w:p w14:paraId="7DF2B2FF" w14:textId="77777777" w:rsidR="00653102" w:rsidRDefault="00653102" w:rsidP="00F64EB0"/>
    <w:p w14:paraId="32788CFE" w14:textId="4D5C0C94" w:rsidR="00653102" w:rsidRDefault="00653102" w:rsidP="00F64EB0">
      <w:pPr>
        <w:sectPr w:rsidR="00653102" w:rsidSect="00B55735">
          <w:footerReference w:type="default" r:id="rId9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r>
        <w:t>S</w:t>
      </w:r>
      <w:r w:rsidR="008F5EEF">
        <w:t>ee comparison of sections below.</w:t>
      </w:r>
      <w:r>
        <w:t xml:space="preserve"> </w:t>
      </w:r>
      <w:r w:rsidR="008F5EEF">
        <w:t xml:space="preserve"> R</w:t>
      </w:r>
      <w:r>
        <w:t>ed text is removed</w:t>
      </w:r>
      <w:r w:rsidR="008F5EEF">
        <w:t xml:space="preserve"> fields;</w:t>
      </w:r>
      <w:r>
        <w:t xml:space="preserve"> yellow fields are new.</w:t>
      </w:r>
    </w:p>
    <w:p w14:paraId="614D5FE0" w14:textId="219500AC" w:rsidR="00653102" w:rsidRDefault="00653102" w:rsidP="00F64EB0"/>
    <w:p w14:paraId="49C24732" w14:textId="77777777" w:rsidR="00653102" w:rsidRDefault="00653102">
      <w:pPr>
        <w:rPr>
          <w:noProof/>
        </w:rPr>
      </w:pPr>
    </w:p>
    <w:p w14:paraId="3D322002" w14:textId="77777777" w:rsidR="00653102" w:rsidRDefault="00653102">
      <w:pPr>
        <w:rPr>
          <w:noProof/>
        </w:rPr>
      </w:pPr>
    </w:p>
    <w:p w14:paraId="15672A83" w14:textId="77777777" w:rsidR="00653102" w:rsidRDefault="00653102">
      <w:pPr>
        <w:rPr>
          <w:noProof/>
        </w:rPr>
      </w:pPr>
    </w:p>
    <w:p w14:paraId="31D6A2C1" w14:textId="77777777" w:rsidR="00653102" w:rsidRDefault="00653102">
      <w:pPr>
        <w:rPr>
          <w:noProof/>
        </w:rPr>
      </w:pPr>
    </w:p>
    <w:p w14:paraId="122EA4AD" w14:textId="77777777" w:rsidR="00653102" w:rsidRDefault="00653102">
      <w:pPr>
        <w:rPr>
          <w:noProof/>
        </w:rPr>
      </w:pPr>
    </w:p>
    <w:p w14:paraId="22703D2B" w14:textId="77777777" w:rsidR="00653102" w:rsidRDefault="00653102">
      <w:pPr>
        <w:rPr>
          <w:noProof/>
        </w:rPr>
      </w:pPr>
    </w:p>
    <w:p w14:paraId="46E75690" w14:textId="77777777" w:rsidR="00653102" w:rsidRDefault="00653102">
      <w:pPr>
        <w:rPr>
          <w:noProof/>
        </w:rPr>
      </w:pPr>
    </w:p>
    <w:p w14:paraId="33F0B824" w14:textId="77777777" w:rsidR="00653102" w:rsidRDefault="00653102">
      <w:pPr>
        <w:rPr>
          <w:noProof/>
        </w:rPr>
      </w:pPr>
    </w:p>
    <w:p w14:paraId="34D51126" w14:textId="77777777" w:rsidR="00653102" w:rsidRDefault="00653102">
      <w:pPr>
        <w:rPr>
          <w:noProof/>
        </w:rPr>
      </w:pPr>
    </w:p>
    <w:p w14:paraId="6CFFB100" w14:textId="77777777" w:rsidR="00653102" w:rsidRDefault="00653102">
      <w:pPr>
        <w:rPr>
          <w:noProof/>
        </w:rPr>
      </w:pPr>
    </w:p>
    <w:p w14:paraId="283630CE" w14:textId="77777777" w:rsidR="00653102" w:rsidRDefault="00653102">
      <w:pPr>
        <w:rPr>
          <w:noProof/>
        </w:rPr>
      </w:pPr>
    </w:p>
    <w:p w14:paraId="41FB2694" w14:textId="77777777" w:rsidR="00653102" w:rsidRDefault="00653102">
      <w:pPr>
        <w:rPr>
          <w:noProof/>
        </w:rPr>
      </w:pPr>
    </w:p>
    <w:p w14:paraId="5B03CA24" w14:textId="77777777" w:rsidR="00653102" w:rsidRDefault="00653102">
      <w:pPr>
        <w:rPr>
          <w:noProof/>
        </w:rPr>
      </w:pPr>
    </w:p>
    <w:p w14:paraId="3B6EA0C5" w14:textId="77777777" w:rsidR="00653102" w:rsidRDefault="00653102">
      <w:pPr>
        <w:rPr>
          <w:noProof/>
        </w:rPr>
      </w:pPr>
    </w:p>
    <w:p w14:paraId="1E1A694E" w14:textId="77777777" w:rsidR="00653102" w:rsidRDefault="00653102">
      <w:pPr>
        <w:rPr>
          <w:noProof/>
        </w:rPr>
      </w:pPr>
    </w:p>
    <w:p w14:paraId="7646909A" w14:textId="77777777" w:rsidR="00653102" w:rsidRDefault="00653102">
      <w:pPr>
        <w:rPr>
          <w:noProof/>
        </w:rPr>
      </w:pPr>
    </w:p>
    <w:p w14:paraId="0C2657CA" w14:textId="77777777" w:rsidR="00653102" w:rsidRDefault="00653102">
      <w:pPr>
        <w:rPr>
          <w:noProof/>
        </w:rPr>
      </w:pPr>
    </w:p>
    <w:p w14:paraId="6EDA3D33" w14:textId="30013134" w:rsidR="00D379EE" w:rsidRPr="00D379EE" w:rsidRDefault="00D379EE" w:rsidP="00D379EE">
      <w:pPr>
        <w:pStyle w:val="Caption"/>
        <w:keepNext/>
        <w:rPr>
          <w:b/>
          <w:i w:val="0"/>
          <w:color w:val="auto"/>
          <w:sz w:val="24"/>
          <w:szCs w:val="24"/>
        </w:rPr>
      </w:pPr>
      <w:r w:rsidRPr="00D379EE">
        <w:rPr>
          <w:b/>
          <w:i w:val="0"/>
          <w:color w:val="auto"/>
          <w:sz w:val="24"/>
          <w:szCs w:val="24"/>
        </w:rPr>
        <w:lastRenderedPageBreak/>
        <w:t>Approved form</w:t>
      </w:r>
    </w:p>
    <w:p w14:paraId="6E37C781" w14:textId="218DD616" w:rsidR="00653102" w:rsidRDefault="00653102">
      <w:pPr>
        <w:rPr>
          <w:noProof/>
        </w:rPr>
      </w:pPr>
      <w:r>
        <w:rPr>
          <w:noProof/>
        </w:rPr>
        <w:drawing>
          <wp:inline distT="0" distB="0" distL="0" distR="0" wp14:anchorId="595ADC30" wp14:editId="6CC638B9">
            <wp:extent cx="2514482" cy="58483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63046" cy="596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8D08" w14:textId="77777777" w:rsidR="00653102" w:rsidRDefault="00653102">
      <w:pPr>
        <w:rPr>
          <w:noProof/>
        </w:rPr>
      </w:pPr>
    </w:p>
    <w:p w14:paraId="3F6370F7" w14:textId="616F4674" w:rsidR="00D379EE" w:rsidRPr="00D379EE" w:rsidRDefault="00D379EE" w:rsidP="00D379EE">
      <w:pPr>
        <w:pStyle w:val="Caption"/>
        <w:keepNext/>
        <w:rPr>
          <w:b/>
          <w:i w:val="0"/>
          <w:color w:val="auto"/>
          <w:sz w:val="24"/>
          <w:szCs w:val="24"/>
        </w:rPr>
      </w:pPr>
      <w:r>
        <w:rPr>
          <w:b/>
          <w:i w:val="0"/>
          <w:color w:val="auto"/>
          <w:sz w:val="24"/>
          <w:szCs w:val="24"/>
        </w:rPr>
        <w:t>Requested changes</w:t>
      </w:r>
    </w:p>
    <w:p w14:paraId="20118F6A" w14:textId="16F32FCE" w:rsidR="00653102" w:rsidRDefault="00653102">
      <w:pPr>
        <w:sectPr w:rsidR="00653102" w:rsidSect="00653102">
          <w:type w:val="continuous"/>
          <w:pgSz w:w="12240" w:h="15840"/>
          <w:pgMar w:top="1080" w:right="1080" w:bottom="1080" w:left="108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0A7DAB9C" wp14:editId="48646AB0">
            <wp:extent cx="2638425" cy="5876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89916" w14:textId="16CECD72" w:rsidR="00021450" w:rsidRDefault="00021450"/>
    <w:p w14:paraId="1C0B10F3" w14:textId="77777777" w:rsidR="00782E0A" w:rsidRPr="000C5EF1" w:rsidRDefault="00782E0A" w:rsidP="00782E0A">
      <w:pPr>
        <w:rPr>
          <w:u w:val="single"/>
        </w:rPr>
      </w:pPr>
      <w:r w:rsidRPr="000C5EF1">
        <w:rPr>
          <w:u w:val="single"/>
        </w:rPr>
        <w:t>Burden</w:t>
      </w:r>
    </w:p>
    <w:p w14:paraId="6F95E8A8" w14:textId="499917AF" w:rsidR="00782E0A" w:rsidRDefault="00F64EB0" w:rsidP="004F38B0">
      <w:pPr>
        <w:spacing w:before="240"/>
      </w:pPr>
      <w:r>
        <w:t xml:space="preserve">The removal of the pending results fields and the addition of TB outcome fields is not expected to materially change the burden associated with submitting the TB indicators form.  </w:t>
      </w:r>
      <w:r w:rsidR="003F17AA">
        <w:t>These data are collected as part of routine procedures during the required medical examination of applications for immigration to the United States.</w:t>
      </w:r>
      <w:r w:rsidR="004E6B21">
        <w:t xml:space="preserve"> </w:t>
      </w:r>
    </w:p>
    <w:p w14:paraId="112E66D9" w14:textId="22565F8C" w:rsidR="00384696" w:rsidRDefault="00384696" w:rsidP="004F38B0">
      <w:pPr>
        <w:spacing w:before="240"/>
      </w:pPr>
      <w:r>
        <w:t>The burden table below is unchanged from the approved one.</w:t>
      </w:r>
    </w:p>
    <w:tbl>
      <w:tblPr>
        <w:tblStyle w:val="TableGrid2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890"/>
        <w:gridCol w:w="1530"/>
        <w:gridCol w:w="1440"/>
        <w:gridCol w:w="1440"/>
        <w:gridCol w:w="1278"/>
      </w:tblGrid>
      <w:tr w:rsidR="004F38B0" w:rsidRPr="005242B1" w14:paraId="270F2CF6" w14:textId="77777777" w:rsidTr="002D6DC2">
        <w:trPr>
          <w:tblHeader/>
        </w:trPr>
        <w:tc>
          <w:tcPr>
            <w:tcW w:w="1998" w:type="dxa"/>
          </w:tcPr>
          <w:p w14:paraId="54F6FFE9" w14:textId="77777777" w:rsidR="004F38B0" w:rsidRPr="005242B1" w:rsidRDefault="004F38B0" w:rsidP="002D6DC2">
            <w:pPr>
              <w:spacing w:before="120" w:after="120"/>
              <w:jc w:val="center"/>
            </w:pPr>
            <w:r w:rsidRPr="005242B1">
              <w:rPr>
                <w:b/>
              </w:rPr>
              <w:t>Type of Respondents</w:t>
            </w:r>
          </w:p>
        </w:tc>
        <w:tc>
          <w:tcPr>
            <w:tcW w:w="1890" w:type="dxa"/>
          </w:tcPr>
          <w:p w14:paraId="22C46829" w14:textId="77777777" w:rsidR="004F38B0" w:rsidRPr="005242B1" w:rsidRDefault="004F38B0" w:rsidP="002D6DC2">
            <w:pPr>
              <w:spacing w:before="120" w:after="120"/>
              <w:jc w:val="center"/>
            </w:pPr>
            <w:r w:rsidRPr="005242B1">
              <w:rPr>
                <w:b/>
              </w:rPr>
              <w:t>Form Name</w:t>
            </w:r>
          </w:p>
        </w:tc>
        <w:tc>
          <w:tcPr>
            <w:tcW w:w="1530" w:type="dxa"/>
          </w:tcPr>
          <w:p w14:paraId="63DCB08E" w14:textId="77777777" w:rsidR="004F38B0" w:rsidRPr="005242B1" w:rsidRDefault="004F38B0" w:rsidP="002D6DC2">
            <w:pPr>
              <w:spacing w:before="120" w:after="120"/>
              <w:jc w:val="center"/>
              <w:rPr>
                <w:b/>
              </w:rPr>
            </w:pPr>
            <w:r w:rsidRPr="005242B1">
              <w:rPr>
                <w:b/>
              </w:rPr>
              <w:t>Number of Respondents</w:t>
            </w:r>
          </w:p>
        </w:tc>
        <w:tc>
          <w:tcPr>
            <w:tcW w:w="1440" w:type="dxa"/>
          </w:tcPr>
          <w:p w14:paraId="246E1240" w14:textId="77777777" w:rsidR="004F38B0" w:rsidRPr="005242B1" w:rsidRDefault="004F38B0" w:rsidP="002D6DC2">
            <w:pPr>
              <w:spacing w:before="120" w:after="120"/>
              <w:jc w:val="center"/>
              <w:rPr>
                <w:b/>
              </w:rPr>
            </w:pPr>
            <w:r w:rsidRPr="005242B1">
              <w:rPr>
                <w:b/>
              </w:rPr>
              <w:t>Number of Responses per Respondent</w:t>
            </w:r>
          </w:p>
        </w:tc>
        <w:tc>
          <w:tcPr>
            <w:tcW w:w="1440" w:type="dxa"/>
          </w:tcPr>
          <w:p w14:paraId="2DBEF2D9" w14:textId="77777777" w:rsidR="004F38B0" w:rsidRPr="005242B1" w:rsidRDefault="004F38B0" w:rsidP="002D6DC2">
            <w:pPr>
              <w:spacing w:before="120" w:after="120"/>
              <w:jc w:val="center"/>
              <w:rPr>
                <w:b/>
              </w:rPr>
            </w:pPr>
            <w:r w:rsidRPr="005242B1">
              <w:rPr>
                <w:b/>
              </w:rPr>
              <w:t>Average Burden per Response (in hours)</w:t>
            </w:r>
          </w:p>
        </w:tc>
        <w:tc>
          <w:tcPr>
            <w:tcW w:w="1278" w:type="dxa"/>
          </w:tcPr>
          <w:p w14:paraId="11774142" w14:textId="77777777" w:rsidR="004F38B0" w:rsidRPr="005242B1" w:rsidRDefault="004F38B0" w:rsidP="002D6DC2">
            <w:pPr>
              <w:spacing w:before="120" w:after="120"/>
              <w:jc w:val="center"/>
              <w:rPr>
                <w:b/>
              </w:rPr>
            </w:pPr>
            <w:r w:rsidRPr="005242B1">
              <w:rPr>
                <w:b/>
              </w:rPr>
              <w:t>Total Burden</w:t>
            </w:r>
            <w:r>
              <w:rPr>
                <w:b/>
              </w:rPr>
              <w:t xml:space="preserve"> Hours</w:t>
            </w:r>
          </w:p>
        </w:tc>
      </w:tr>
      <w:tr w:rsidR="004F38B0" w:rsidRPr="005242B1" w14:paraId="3B3FBA9D" w14:textId="77777777" w:rsidTr="002D6DC2">
        <w:trPr>
          <w:trHeight w:val="386"/>
        </w:trPr>
        <w:tc>
          <w:tcPr>
            <w:tcW w:w="1998" w:type="dxa"/>
          </w:tcPr>
          <w:p w14:paraId="0C3CA4C0" w14:textId="77777777" w:rsidR="004F38B0" w:rsidRPr="005242B1" w:rsidRDefault="004F38B0" w:rsidP="002D6DC2">
            <w:pPr>
              <w:spacing w:before="120" w:after="120"/>
            </w:pPr>
            <w:r w:rsidRPr="005242B1">
              <w:t>International Panel Physicians</w:t>
            </w:r>
            <w:r>
              <w:t xml:space="preserve"> (All sites)</w:t>
            </w:r>
          </w:p>
        </w:tc>
        <w:tc>
          <w:tcPr>
            <w:tcW w:w="1890" w:type="dxa"/>
          </w:tcPr>
          <w:p w14:paraId="0D8902E4" w14:textId="77777777" w:rsidR="004F38B0" w:rsidRPr="005242B1" w:rsidRDefault="004F38B0" w:rsidP="002D6DC2">
            <w:pPr>
              <w:spacing w:before="120" w:after="120"/>
            </w:pPr>
            <w:r>
              <w:t>TB Indicators Excel Spreadsheet</w:t>
            </w:r>
          </w:p>
        </w:tc>
        <w:tc>
          <w:tcPr>
            <w:tcW w:w="1530" w:type="dxa"/>
          </w:tcPr>
          <w:p w14:paraId="5C408D96" w14:textId="77777777" w:rsidR="004F38B0" w:rsidRPr="005242B1" w:rsidRDefault="004F38B0" w:rsidP="002D6DC2">
            <w:pPr>
              <w:spacing w:before="120" w:after="120"/>
              <w:jc w:val="center"/>
            </w:pPr>
            <w:r>
              <w:t>353</w:t>
            </w:r>
          </w:p>
        </w:tc>
        <w:tc>
          <w:tcPr>
            <w:tcW w:w="1440" w:type="dxa"/>
          </w:tcPr>
          <w:p w14:paraId="3384AC81" w14:textId="77777777" w:rsidR="004F38B0" w:rsidRPr="005242B1" w:rsidRDefault="004F38B0" w:rsidP="002D6DC2">
            <w:pPr>
              <w:spacing w:before="120" w:after="120"/>
              <w:jc w:val="center"/>
            </w:pPr>
            <w:r>
              <w:t>1</w:t>
            </w:r>
          </w:p>
        </w:tc>
        <w:tc>
          <w:tcPr>
            <w:tcW w:w="1440" w:type="dxa"/>
          </w:tcPr>
          <w:p w14:paraId="03DA91C1" w14:textId="77777777" w:rsidR="004F38B0" w:rsidRPr="005242B1" w:rsidRDefault="004F38B0" w:rsidP="002D6DC2">
            <w:pPr>
              <w:spacing w:before="120" w:after="120"/>
              <w:jc w:val="center"/>
            </w:pPr>
            <w:r>
              <w:t>7.5</w:t>
            </w:r>
          </w:p>
        </w:tc>
        <w:tc>
          <w:tcPr>
            <w:tcW w:w="1278" w:type="dxa"/>
          </w:tcPr>
          <w:p w14:paraId="73165820" w14:textId="77777777" w:rsidR="004F38B0" w:rsidRPr="005242B1" w:rsidRDefault="004F38B0" w:rsidP="002D6DC2">
            <w:pPr>
              <w:spacing w:before="120" w:after="120"/>
              <w:jc w:val="center"/>
            </w:pPr>
            <w:r>
              <w:t>2648</w:t>
            </w:r>
          </w:p>
        </w:tc>
      </w:tr>
      <w:tr w:rsidR="004F38B0" w:rsidRPr="005242B1" w14:paraId="117B25CE" w14:textId="77777777" w:rsidTr="002D6DC2">
        <w:tc>
          <w:tcPr>
            <w:tcW w:w="1998" w:type="dxa"/>
          </w:tcPr>
          <w:p w14:paraId="16E6DD99" w14:textId="77777777" w:rsidR="004F38B0" w:rsidRPr="00AD1604" w:rsidRDefault="004F38B0" w:rsidP="002D6DC2">
            <w:pPr>
              <w:spacing w:before="120" w:after="120"/>
              <w:rPr>
                <w:b/>
              </w:rPr>
            </w:pPr>
            <w:r w:rsidRPr="00AD1604">
              <w:rPr>
                <w:b/>
              </w:rPr>
              <w:t>TOTAL</w:t>
            </w:r>
          </w:p>
        </w:tc>
        <w:tc>
          <w:tcPr>
            <w:tcW w:w="7578" w:type="dxa"/>
            <w:gridSpan w:val="5"/>
          </w:tcPr>
          <w:p w14:paraId="31CFF1C7" w14:textId="77777777" w:rsidR="004F38B0" w:rsidRPr="00267379" w:rsidRDefault="004F38B0" w:rsidP="002D6DC2">
            <w:pPr>
              <w:spacing w:before="120" w:after="120"/>
            </w:pPr>
            <w:r w:rsidRPr="00AD1604">
              <w:rPr>
                <w:b/>
              </w:rPr>
              <w:t xml:space="preserve">                                                                               </w:t>
            </w:r>
            <w:r>
              <w:rPr>
                <w:b/>
              </w:rPr>
              <w:t xml:space="preserve">                             </w:t>
            </w:r>
            <w:r>
              <w:t>2648</w:t>
            </w:r>
          </w:p>
        </w:tc>
      </w:tr>
    </w:tbl>
    <w:p w14:paraId="16D8A4E2" w14:textId="77777777" w:rsidR="004F38B0" w:rsidRPr="000C5EF1" w:rsidRDefault="004F38B0"/>
    <w:sectPr w:rsidR="004F38B0" w:rsidRPr="000C5EF1" w:rsidSect="0065310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403E8" w14:textId="77777777" w:rsidR="00E736A3" w:rsidRDefault="00E736A3" w:rsidP="00620223">
      <w:r>
        <w:separator/>
      </w:r>
    </w:p>
  </w:endnote>
  <w:endnote w:type="continuationSeparator" w:id="0">
    <w:p w14:paraId="5BA838F8" w14:textId="77777777" w:rsidR="00E736A3" w:rsidRDefault="00E736A3" w:rsidP="00620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81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7FA717" w14:textId="0D8AFE17" w:rsidR="00620223" w:rsidRDefault="006202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A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39CC8F" w14:textId="77777777" w:rsidR="00620223" w:rsidRDefault="006202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B198A2" w14:textId="77777777" w:rsidR="00E736A3" w:rsidRDefault="00E736A3" w:rsidP="00620223">
      <w:r>
        <w:separator/>
      </w:r>
    </w:p>
  </w:footnote>
  <w:footnote w:type="continuationSeparator" w:id="0">
    <w:p w14:paraId="016E3717" w14:textId="77777777" w:rsidR="00E736A3" w:rsidRDefault="00E736A3" w:rsidP="00620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F2488"/>
    <w:multiLevelType w:val="hybridMultilevel"/>
    <w:tmpl w:val="3E3E3E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B82E00"/>
    <w:multiLevelType w:val="hybridMultilevel"/>
    <w:tmpl w:val="EFF8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70DEC"/>
    <w:multiLevelType w:val="hybridMultilevel"/>
    <w:tmpl w:val="6CA0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14FD9"/>
    <w:multiLevelType w:val="hybridMultilevel"/>
    <w:tmpl w:val="F626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E210B"/>
    <w:multiLevelType w:val="hybridMultilevel"/>
    <w:tmpl w:val="A68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E2D8F"/>
    <w:multiLevelType w:val="hybridMultilevel"/>
    <w:tmpl w:val="1968F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2391F"/>
    <w:multiLevelType w:val="hybridMultilevel"/>
    <w:tmpl w:val="7A884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472AE"/>
    <w:multiLevelType w:val="hybridMultilevel"/>
    <w:tmpl w:val="85C45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A6AE1"/>
    <w:multiLevelType w:val="hybridMultilevel"/>
    <w:tmpl w:val="3586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A451D"/>
    <w:multiLevelType w:val="hybridMultilevel"/>
    <w:tmpl w:val="78EC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0A"/>
    <w:rsid w:val="000029A5"/>
    <w:rsid w:val="00003A0D"/>
    <w:rsid w:val="00021450"/>
    <w:rsid w:val="00024E00"/>
    <w:rsid w:val="00054BA0"/>
    <w:rsid w:val="00083D63"/>
    <w:rsid w:val="000C030C"/>
    <w:rsid w:val="000C2875"/>
    <w:rsid w:val="000C5EF1"/>
    <w:rsid w:val="00132D2C"/>
    <w:rsid w:val="0015353D"/>
    <w:rsid w:val="00170D8D"/>
    <w:rsid w:val="0017686F"/>
    <w:rsid w:val="001B4FDB"/>
    <w:rsid w:val="001D3846"/>
    <w:rsid w:val="001D5256"/>
    <w:rsid w:val="001D633A"/>
    <w:rsid w:val="001E4973"/>
    <w:rsid w:val="00206F3F"/>
    <w:rsid w:val="00215DEC"/>
    <w:rsid w:val="00222BBB"/>
    <w:rsid w:val="00225FEC"/>
    <w:rsid w:val="002278CB"/>
    <w:rsid w:val="00237C8D"/>
    <w:rsid w:val="00237EF1"/>
    <w:rsid w:val="00242C5B"/>
    <w:rsid w:val="00244AC4"/>
    <w:rsid w:val="0025246A"/>
    <w:rsid w:val="00277D67"/>
    <w:rsid w:val="002A17BA"/>
    <w:rsid w:val="002C1F01"/>
    <w:rsid w:val="002F4297"/>
    <w:rsid w:val="00307ADB"/>
    <w:rsid w:val="00322EFE"/>
    <w:rsid w:val="0036553A"/>
    <w:rsid w:val="00384696"/>
    <w:rsid w:val="00390E3F"/>
    <w:rsid w:val="00394D6D"/>
    <w:rsid w:val="00396256"/>
    <w:rsid w:val="003A52C8"/>
    <w:rsid w:val="003E76A1"/>
    <w:rsid w:val="003F17AA"/>
    <w:rsid w:val="003F2449"/>
    <w:rsid w:val="00441559"/>
    <w:rsid w:val="00443A75"/>
    <w:rsid w:val="00454EAE"/>
    <w:rsid w:val="0045517E"/>
    <w:rsid w:val="00467691"/>
    <w:rsid w:val="00473430"/>
    <w:rsid w:val="00484EB9"/>
    <w:rsid w:val="0049339F"/>
    <w:rsid w:val="00493A7B"/>
    <w:rsid w:val="004A05CA"/>
    <w:rsid w:val="004A4980"/>
    <w:rsid w:val="004E6B21"/>
    <w:rsid w:val="004F38B0"/>
    <w:rsid w:val="005029F7"/>
    <w:rsid w:val="005033B2"/>
    <w:rsid w:val="00520A02"/>
    <w:rsid w:val="00551BA2"/>
    <w:rsid w:val="005617E2"/>
    <w:rsid w:val="005707CF"/>
    <w:rsid w:val="00582BB5"/>
    <w:rsid w:val="00584F91"/>
    <w:rsid w:val="005A3A7E"/>
    <w:rsid w:val="005B59CF"/>
    <w:rsid w:val="005B7D8B"/>
    <w:rsid w:val="005C2F64"/>
    <w:rsid w:val="005E193F"/>
    <w:rsid w:val="005E23B1"/>
    <w:rsid w:val="00620223"/>
    <w:rsid w:val="00641974"/>
    <w:rsid w:val="00647AC6"/>
    <w:rsid w:val="00653102"/>
    <w:rsid w:val="00694C0B"/>
    <w:rsid w:val="006A0D58"/>
    <w:rsid w:val="006B64E9"/>
    <w:rsid w:val="006D27D3"/>
    <w:rsid w:val="006D542F"/>
    <w:rsid w:val="006F0D92"/>
    <w:rsid w:val="006F539D"/>
    <w:rsid w:val="00735EC5"/>
    <w:rsid w:val="00737E98"/>
    <w:rsid w:val="007529D7"/>
    <w:rsid w:val="00782E0A"/>
    <w:rsid w:val="007A0147"/>
    <w:rsid w:val="007A095A"/>
    <w:rsid w:val="007B21D6"/>
    <w:rsid w:val="007E5291"/>
    <w:rsid w:val="00811963"/>
    <w:rsid w:val="008132B5"/>
    <w:rsid w:val="0082019D"/>
    <w:rsid w:val="00860912"/>
    <w:rsid w:val="0086301C"/>
    <w:rsid w:val="00864E81"/>
    <w:rsid w:val="008A52F0"/>
    <w:rsid w:val="008C086A"/>
    <w:rsid w:val="008C6E29"/>
    <w:rsid w:val="008F5EEF"/>
    <w:rsid w:val="009239A9"/>
    <w:rsid w:val="00932450"/>
    <w:rsid w:val="0095101E"/>
    <w:rsid w:val="00952F0D"/>
    <w:rsid w:val="009657DA"/>
    <w:rsid w:val="00987051"/>
    <w:rsid w:val="009B565A"/>
    <w:rsid w:val="009C5D92"/>
    <w:rsid w:val="009F3CD5"/>
    <w:rsid w:val="00A00742"/>
    <w:rsid w:val="00A01572"/>
    <w:rsid w:val="00A1450F"/>
    <w:rsid w:val="00A14D84"/>
    <w:rsid w:val="00A7139F"/>
    <w:rsid w:val="00A90260"/>
    <w:rsid w:val="00A92426"/>
    <w:rsid w:val="00A93B41"/>
    <w:rsid w:val="00AB4445"/>
    <w:rsid w:val="00AD66D6"/>
    <w:rsid w:val="00AF0062"/>
    <w:rsid w:val="00AF5F26"/>
    <w:rsid w:val="00AF6B86"/>
    <w:rsid w:val="00B14EDA"/>
    <w:rsid w:val="00B27555"/>
    <w:rsid w:val="00B2757E"/>
    <w:rsid w:val="00B55735"/>
    <w:rsid w:val="00BB45A1"/>
    <w:rsid w:val="00C101F7"/>
    <w:rsid w:val="00C132E6"/>
    <w:rsid w:val="00C146ED"/>
    <w:rsid w:val="00C82867"/>
    <w:rsid w:val="00CB3C63"/>
    <w:rsid w:val="00D333B7"/>
    <w:rsid w:val="00D34C78"/>
    <w:rsid w:val="00D379EE"/>
    <w:rsid w:val="00D477FD"/>
    <w:rsid w:val="00D540AB"/>
    <w:rsid w:val="00D70948"/>
    <w:rsid w:val="00D70B67"/>
    <w:rsid w:val="00D909A3"/>
    <w:rsid w:val="00DA1DE5"/>
    <w:rsid w:val="00DB7589"/>
    <w:rsid w:val="00DC57CC"/>
    <w:rsid w:val="00DD06CA"/>
    <w:rsid w:val="00DE00FC"/>
    <w:rsid w:val="00E00873"/>
    <w:rsid w:val="00E06889"/>
    <w:rsid w:val="00E30037"/>
    <w:rsid w:val="00E34CF3"/>
    <w:rsid w:val="00E44857"/>
    <w:rsid w:val="00E6785E"/>
    <w:rsid w:val="00E736A3"/>
    <w:rsid w:val="00E93F63"/>
    <w:rsid w:val="00E95DBD"/>
    <w:rsid w:val="00EA14C4"/>
    <w:rsid w:val="00EB1547"/>
    <w:rsid w:val="00EC1019"/>
    <w:rsid w:val="00F33021"/>
    <w:rsid w:val="00F64EB0"/>
    <w:rsid w:val="00F801C2"/>
    <w:rsid w:val="00F92A71"/>
    <w:rsid w:val="00F92D5A"/>
    <w:rsid w:val="00FE68F5"/>
    <w:rsid w:val="00FF0FB9"/>
    <w:rsid w:val="00F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8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A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82E0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B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nhideWhenUsed/>
    <w:rsid w:val="00520A0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20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0A0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A0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20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02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22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F16CE"/>
    <w:pPr>
      <w:spacing w:after="0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379EE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4F38B0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F38B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j3@cdc.gov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JReichard</dc:creator>
  <cp:lastModifiedBy>SYSTEM</cp:lastModifiedBy>
  <cp:revision>2</cp:revision>
  <dcterms:created xsi:type="dcterms:W3CDTF">2018-04-12T17:15:00Z</dcterms:created>
  <dcterms:modified xsi:type="dcterms:W3CDTF">2018-04-12T17:15:00Z</dcterms:modified>
</cp:coreProperties>
</file>