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096B1" w14:textId="6F68F1C2" w:rsidR="00C4215E" w:rsidRPr="00ED1AFD" w:rsidRDefault="003C5767" w:rsidP="003C5767">
      <w:pPr>
        <w:rPr>
          <w:rFonts w:cs="Times New Roman"/>
        </w:rPr>
      </w:pPr>
      <w:bookmarkStart w:id="0" w:name="_GoBack"/>
      <w:bookmarkEnd w:id="0"/>
      <w:r w:rsidRPr="00ED1AFD">
        <w:rPr>
          <w:rFonts w:cs="Times New Roman"/>
          <w:b/>
        </w:rPr>
        <w:t>DATE:</w:t>
      </w:r>
      <w:r w:rsidRPr="00ED1AFD">
        <w:rPr>
          <w:rFonts w:cs="Times New Roman"/>
        </w:rPr>
        <w:tab/>
      </w:r>
      <w:r w:rsidRPr="00ED1AFD">
        <w:rPr>
          <w:rFonts w:cs="Times New Roman"/>
        </w:rPr>
        <w:tab/>
      </w:r>
      <w:r w:rsidRPr="00ED1AFD">
        <w:rPr>
          <w:rFonts w:cs="Times New Roman"/>
        </w:rPr>
        <w:tab/>
      </w:r>
      <w:r w:rsidR="00E0438B" w:rsidRPr="00ED1AFD">
        <w:rPr>
          <w:rFonts w:cs="Times New Roman"/>
        </w:rPr>
        <w:fldChar w:fldCharType="begin"/>
      </w:r>
      <w:r w:rsidR="00E0438B" w:rsidRPr="00ED1AFD">
        <w:rPr>
          <w:rFonts w:cs="Times New Roman"/>
        </w:rPr>
        <w:instrText xml:space="preserve"> DATE \@ "MMMM d, yyyy" </w:instrText>
      </w:r>
      <w:r w:rsidR="00E0438B" w:rsidRPr="00ED1AFD">
        <w:rPr>
          <w:rFonts w:cs="Times New Roman"/>
        </w:rPr>
        <w:fldChar w:fldCharType="separate"/>
      </w:r>
      <w:r w:rsidR="00F87FDB">
        <w:rPr>
          <w:rFonts w:cs="Times New Roman"/>
          <w:noProof/>
        </w:rPr>
        <w:t>April 24, 2018</w:t>
      </w:r>
      <w:r w:rsidR="00E0438B" w:rsidRPr="00ED1AFD">
        <w:rPr>
          <w:rFonts w:cs="Times New Roman"/>
        </w:rPr>
        <w:fldChar w:fldCharType="end"/>
      </w:r>
    </w:p>
    <w:p w14:paraId="0F9A7C8F" w14:textId="037C50F1" w:rsidR="003C5767" w:rsidRPr="00ED1AFD" w:rsidRDefault="003C5767" w:rsidP="003C5767">
      <w:pPr>
        <w:rPr>
          <w:rFonts w:cs="Times New Roman"/>
        </w:rPr>
      </w:pPr>
      <w:r w:rsidRPr="00ED1AFD">
        <w:rPr>
          <w:rFonts w:cs="Times New Roman"/>
          <w:b/>
        </w:rPr>
        <w:t>TO:</w:t>
      </w:r>
      <w:r w:rsidRPr="00ED1AFD">
        <w:rPr>
          <w:rFonts w:cs="Times New Roman"/>
        </w:rPr>
        <w:tab/>
      </w:r>
      <w:r w:rsidRPr="00ED1AFD">
        <w:rPr>
          <w:rFonts w:cs="Times New Roman"/>
        </w:rPr>
        <w:tab/>
      </w:r>
      <w:r w:rsidRPr="00ED1AFD">
        <w:rPr>
          <w:rFonts w:cs="Times New Roman"/>
        </w:rPr>
        <w:tab/>
      </w:r>
      <w:r w:rsidR="00B049C9" w:rsidRPr="00ED1AFD">
        <w:rPr>
          <w:rFonts w:cs="Times New Roman"/>
        </w:rPr>
        <w:t>Julie Wise</w:t>
      </w:r>
      <w:r w:rsidRPr="00ED1AFD">
        <w:rPr>
          <w:rFonts w:cs="Times New Roman"/>
        </w:rPr>
        <w:t>, OMB Desk Officer</w:t>
      </w:r>
    </w:p>
    <w:p w14:paraId="34A93A50" w14:textId="02528C0F" w:rsidR="003C5767" w:rsidRPr="00ED1AFD" w:rsidRDefault="003C5767" w:rsidP="003C5767">
      <w:pPr>
        <w:rPr>
          <w:rFonts w:cs="Times New Roman"/>
        </w:rPr>
      </w:pPr>
      <w:r w:rsidRPr="00ED1AFD">
        <w:rPr>
          <w:rFonts w:cs="Times New Roman"/>
          <w:b/>
        </w:rPr>
        <w:t>FROM:</w:t>
      </w:r>
      <w:r w:rsidRPr="00ED1AFD">
        <w:rPr>
          <w:rFonts w:cs="Times New Roman"/>
        </w:rPr>
        <w:tab/>
      </w:r>
      <w:r w:rsidRPr="00ED1AFD">
        <w:rPr>
          <w:rFonts w:cs="Times New Roman"/>
        </w:rPr>
        <w:tab/>
      </w:r>
      <w:r w:rsidR="00D637B2" w:rsidRPr="00ED1AFD">
        <w:rPr>
          <w:rFonts w:cs="Times New Roman"/>
        </w:rPr>
        <w:tab/>
      </w:r>
      <w:r w:rsidRPr="00ED1AFD">
        <w:rPr>
          <w:rFonts w:cs="Times New Roman"/>
        </w:rPr>
        <w:t>Lisa Wright-Solomon, HRSA Information Collection Clearance Officer</w:t>
      </w:r>
    </w:p>
    <w:p w14:paraId="5B2EEA06" w14:textId="77777777" w:rsidR="003C5767" w:rsidRPr="00ED1AFD" w:rsidRDefault="003C5767" w:rsidP="00501A20">
      <w:pPr>
        <w:ind w:left="2160" w:hanging="2160"/>
        <w:rPr>
          <w:rFonts w:cs="Times New Roman"/>
          <w:b/>
        </w:rPr>
      </w:pPr>
      <w:r w:rsidRPr="00ED1AFD">
        <w:rPr>
          <w:rFonts w:cs="Times New Roman"/>
          <w:b/>
        </w:rPr>
        <w:t>_____________________________________________________</w:t>
      </w:r>
      <w:r w:rsidR="00512B15" w:rsidRPr="00ED1AFD">
        <w:rPr>
          <w:rFonts w:cs="Times New Roman"/>
          <w:b/>
        </w:rPr>
        <w:t>________________________</w:t>
      </w:r>
    </w:p>
    <w:p w14:paraId="31D4D5A7" w14:textId="612E6ECA" w:rsidR="009B1FDC" w:rsidRPr="00ED1AFD" w:rsidRDefault="009271D9" w:rsidP="00501A20">
      <w:pPr>
        <w:ind w:left="2160" w:hanging="2160"/>
        <w:rPr>
          <w:rFonts w:cs="Times New Roman"/>
        </w:rPr>
      </w:pPr>
      <w:r w:rsidRPr="00ED1AFD">
        <w:rPr>
          <w:rFonts w:cs="Times New Roman"/>
          <w:b/>
        </w:rPr>
        <w:t>Request</w:t>
      </w:r>
      <w:r w:rsidRPr="00ED1AFD">
        <w:rPr>
          <w:rFonts w:cs="Times New Roman"/>
        </w:rPr>
        <w:t xml:space="preserve">:  </w:t>
      </w:r>
      <w:r w:rsidR="00B05395" w:rsidRPr="00ED1AFD">
        <w:rPr>
          <w:rFonts w:cs="Times New Roman"/>
        </w:rPr>
        <w:tab/>
      </w:r>
      <w:r w:rsidR="00747E37" w:rsidRPr="00ED1AFD">
        <w:rPr>
          <w:rFonts w:cs="Times New Roman"/>
        </w:rPr>
        <w:t>The Health Resources and Services Administration</w:t>
      </w:r>
      <w:r w:rsidR="00512B15" w:rsidRPr="00ED1AFD">
        <w:rPr>
          <w:rFonts w:cs="Times New Roman"/>
        </w:rPr>
        <w:t>’s</w:t>
      </w:r>
      <w:r w:rsidR="00747E37" w:rsidRPr="00ED1AFD">
        <w:rPr>
          <w:rFonts w:cs="Times New Roman"/>
        </w:rPr>
        <w:t xml:space="preserve"> (HRSA)</w:t>
      </w:r>
      <w:r w:rsidR="0045005E" w:rsidRPr="00ED1AFD">
        <w:rPr>
          <w:rFonts w:cs="Times New Roman"/>
        </w:rPr>
        <w:t xml:space="preserve"> </w:t>
      </w:r>
      <w:r w:rsidR="00E0438B" w:rsidRPr="00ED1AFD">
        <w:rPr>
          <w:rFonts w:cs="Times New Roman"/>
        </w:rPr>
        <w:t>HIV/AIDS Bureau</w:t>
      </w:r>
      <w:r w:rsidR="00512B15" w:rsidRPr="00ED1AFD">
        <w:rPr>
          <w:rFonts w:cs="Times New Roman"/>
        </w:rPr>
        <w:t xml:space="preserve"> </w:t>
      </w:r>
      <w:r w:rsidR="000000AF" w:rsidRPr="00ED1AFD">
        <w:rPr>
          <w:rFonts w:cs="Times New Roman"/>
        </w:rPr>
        <w:t xml:space="preserve">requests </w:t>
      </w:r>
      <w:r w:rsidR="003C5767" w:rsidRPr="00ED1AFD">
        <w:rPr>
          <w:rFonts w:cs="Times New Roman"/>
        </w:rPr>
        <w:t>approval for</w:t>
      </w:r>
      <w:r w:rsidR="004F33C7" w:rsidRPr="00ED1AFD">
        <w:rPr>
          <w:rFonts w:cs="Times New Roman"/>
        </w:rPr>
        <w:t xml:space="preserve"> a</w:t>
      </w:r>
      <w:r w:rsidR="003C5767" w:rsidRPr="00ED1AFD">
        <w:rPr>
          <w:rFonts w:cs="Times New Roman"/>
        </w:rPr>
        <w:t xml:space="preserve"> non-substantive </w:t>
      </w:r>
      <w:r w:rsidR="000000AF" w:rsidRPr="00ED1AFD">
        <w:rPr>
          <w:rFonts w:cs="Times New Roman"/>
        </w:rPr>
        <w:t>change</w:t>
      </w:r>
      <w:r w:rsidR="00B14758" w:rsidRPr="00ED1AFD">
        <w:rPr>
          <w:rFonts w:cs="Times New Roman"/>
        </w:rPr>
        <w:t xml:space="preserve"> to</w:t>
      </w:r>
      <w:r w:rsidR="002525FE" w:rsidRPr="00ED1AFD">
        <w:rPr>
          <w:rFonts w:cs="Times New Roman"/>
        </w:rPr>
        <w:t xml:space="preserve"> the </w:t>
      </w:r>
      <w:r w:rsidR="009F2C25" w:rsidRPr="00ED1AFD">
        <w:rPr>
          <w:rFonts w:cs="Times New Roman"/>
        </w:rPr>
        <w:t xml:space="preserve">Service Provider Report </w:t>
      </w:r>
      <w:r w:rsidR="00942FD4" w:rsidRPr="00ED1AFD">
        <w:rPr>
          <w:rFonts w:cs="Times New Roman"/>
        </w:rPr>
        <w:t>within the Ryan White Services Report (RSR)</w:t>
      </w:r>
      <w:r w:rsidR="002525FE" w:rsidRPr="00ED1AFD">
        <w:rPr>
          <w:rFonts w:cs="Times New Roman"/>
        </w:rPr>
        <w:t xml:space="preserve"> for</w:t>
      </w:r>
      <w:r w:rsidR="00C12596" w:rsidRPr="00ED1AFD">
        <w:rPr>
          <w:rFonts w:cs="Times New Roman"/>
        </w:rPr>
        <w:t xml:space="preserve"> recipients in</w:t>
      </w:r>
      <w:r w:rsidR="002525FE" w:rsidRPr="00ED1AFD">
        <w:rPr>
          <w:rFonts w:cs="Times New Roman"/>
        </w:rPr>
        <w:t xml:space="preserve"> </w:t>
      </w:r>
      <w:r w:rsidR="009F2C25" w:rsidRPr="00ED1AFD">
        <w:rPr>
          <w:rFonts w:cs="Times New Roman"/>
        </w:rPr>
        <w:t xml:space="preserve">Ryan White HIV/AIDS Program </w:t>
      </w:r>
      <w:r w:rsidR="00B9132F" w:rsidRPr="00ED1AFD">
        <w:rPr>
          <w:rFonts w:cs="Times New Roman"/>
        </w:rPr>
        <w:t xml:space="preserve">(RWHAP) </w:t>
      </w:r>
      <w:r w:rsidR="002525FE" w:rsidRPr="00ED1AFD">
        <w:rPr>
          <w:rFonts w:cs="Times New Roman"/>
        </w:rPr>
        <w:t>Parts A, B and B supplemental, C, and D (OMB #0915-03</w:t>
      </w:r>
      <w:r w:rsidR="004F33C7" w:rsidRPr="00ED1AFD">
        <w:rPr>
          <w:rFonts w:cs="Times New Roman"/>
        </w:rPr>
        <w:t>23</w:t>
      </w:r>
      <w:r w:rsidR="002525FE" w:rsidRPr="00ED1AFD">
        <w:rPr>
          <w:rFonts w:cs="Times New Roman"/>
        </w:rPr>
        <w:t xml:space="preserve">, expires 7/31/2020). The data collection instruments consist of three documents: 1) </w:t>
      </w:r>
      <w:r w:rsidR="004F33C7" w:rsidRPr="00ED1AFD">
        <w:rPr>
          <w:rFonts w:cs="Times New Roman"/>
        </w:rPr>
        <w:t>Grantee Report</w:t>
      </w:r>
      <w:r w:rsidR="002525FE" w:rsidRPr="00ED1AFD">
        <w:rPr>
          <w:rFonts w:cs="Times New Roman"/>
        </w:rPr>
        <w:t>, 2)</w:t>
      </w:r>
      <w:r w:rsidR="00E0438B" w:rsidRPr="00ED1AFD">
        <w:rPr>
          <w:rFonts w:cs="Times New Roman"/>
        </w:rPr>
        <w:t xml:space="preserve"> </w:t>
      </w:r>
      <w:r w:rsidR="004F33C7" w:rsidRPr="00ED1AFD">
        <w:rPr>
          <w:rFonts w:cs="Times New Roman"/>
        </w:rPr>
        <w:t>Service Provider Report,</w:t>
      </w:r>
      <w:r w:rsidR="002525FE" w:rsidRPr="00ED1AFD">
        <w:rPr>
          <w:rFonts w:cs="Times New Roman"/>
        </w:rPr>
        <w:t xml:space="preserve"> and the 3) </w:t>
      </w:r>
      <w:r w:rsidR="004F33C7" w:rsidRPr="00ED1AFD">
        <w:rPr>
          <w:rFonts w:cs="Times New Roman"/>
        </w:rPr>
        <w:t>Client Report</w:t>
      </w:r>
      <w:r w:rsidR="002525FE" w:rsidRPr="00ED1AFD">
        <w:rPr>
          <w:rFonts w:cs="Times New Roman"/>
        </w:rPr>
        <w:t>.</w:t>
      </w:r>
      <w:r w:rsidR="00E0438B" w:rsidRPr="00ED1AFD">
        <w:rPr>
          <w:rFonts w:cs="Times New Roman"/>
        </w:rPr>
        <w:t xml:space="preserve"> </w:t>
      </w:r>
      <w:r w:rsidR="00AC559F" w:rsidRPr="00ED1AFD">
        <w:rPr>
          <w:rFonts w:cs="Times New Roman"/>
        </w:rPr>
        <w:t xml:space="preserve">No changes were made to </w:t>
      </w:r>
      <w:r w:rsidR="004F33C7" w:rsidRPr="00ED1AFD">
        <w:rPr>
          <w:rFonts w:cs="Times New Roman"/>
        </w:rPr>
        <w:t>Grantee or Client Report</w:t>
      </w:r>
      <w:r w:rsidR="00AC559F" w:rsidRPr="00ED1AFD">
        <w:rPr>
          <w:rFonts w:cs="Times New Roman"/>
        </w:rPr>
        <w:t xml:space="preserve">. </w:t>
      </w:r>
    </w:p>
    <w:p w14:paraId="4D15299B" w14:textId="3A9618E5" w:rsidR="00B14758" w:rsidRPr="00ED1AFD" w:rsidRDefault="009271D9" w:rsidP="00492747">
      <w:pPr>
        <w:ind w:left="2160" w:hanging="2160"/>
        <w:rPr>
          <w:rFonts w:cs="Times New Roman"/>
        </w:rPr>
      </w:pPr>
      <w:r w:rsidRPr="00ED1AFD">
        <w:rPr>
          <w:rFonts w:cs="Times New Roman"/>
          <w:b/>
        </w:rPr>
        <w:t>Purpose</w:t>
      </w:r>
      <w:r w:rsidRPr="00ED1AFD">
        <w:rPr>
          <w:rFonts w:cs="Times New Roman"/>
        </w:rPr>
        <w:t xml:space="preserve">: </w:t>
      </w:r>
      <w:r w:rsidR="00B05395" w:rsidRPr="00ED1AFD">
        <w:rPr>
          <w:rFonts w:cs="Times New Roman"/>
        </w:rPr>
        <w:tab/>
      </w:r>
      <w:r w:rsidR="00610D4D" w:rsidRPr="00ED1AFD">
        <w:rPr>
          <w:rFonts w:cs="Times New Roman"/>
        </w:rPr>
        <w:t xml:space="preserve">The </w:t>
      </w:r>
      <w:r w:rsidR="00512B15" w:rsidRPr="00ED1AFD">
        <w:t>purpose of th</w:t>
      </w:r>
      <w:r w:rsidR="004F33C7" w:rsidRPr="00ED1AFD">
        <w:t>is</w:t>
      </w:r>
      <w:r w:rsidR="00512B15" w:rsidRPr="00ED1AFD">
        <w:t xml:space="preserve"> </w:t>
      </w:r>
      <w:r w:rsidR="009569A7" w:rsidRPr="00ED1AFD">
        <w:t xml:space="preserve">proposed </w:t>
      </w:r>
      <w:r w:rsidR="00512B15" w:rsidRPr="00ED1AFD">
        <w:t>change is to</w:t>
      </w:r>
      <w:r w:rsidR="004F33C7" w:rsidRPr="00ED1AFD">
        <w:t xml:space="preserve"> address the HIV/AIDS Bureau</w:t>
      </w:r>
      <w:r w:rsidR="009F2C25" w:rsidRPr="00ED1AFD">
        <w:t>’s</w:t>
      </w:r>
      <w:r w:rsidR="004F33C7" w:rsidRPr="00ED1AFD">
        <w:t xml:space="preserve"> and the Ryan White HIV/AIDS Program’s </w:t>
      </w:r>
      <w:r w:rsidR="004F33C7" w:rsidRPr="00ED1AFD">
        <w:rPr>
          <w:rFonts w:cs="Arial"/>
        </w:rPr>
        <w:t xml:space="preserve">response to the growing opioid epidemic by determining the aggregate number of RWHAP direct care providers who are certified to dispense medications for the treatment of substance abuse disorders. </w:t>
      </w:r>
      <w:r w:rsidR="00B9132F" w:rsidRPr="00ED1AFD">
        <w:rPr>
          <w:rFonts w:cs="Arial"/>
        </w:rPr>
        <w:t xml:space="preserve"> </w:t>
      </w:r>
      <w:r w:rsidR="00492747" w:rsidRPr="00ED1AFD">
        <w:t>These data will help HRSA HAB asset map our providers and identify gaps that can be addressed.</w:t>
      </w:r>
    </w:p>
    <w:p w14:paraId="553A0A49" w14:textId="061EAC50" w:rsidR="00492747" w:rsidRPr="00ED1AFD" w:rsidRDefault="00492747" w:rsidP="00492747">
      <w:pPr>
        <w:spacing w:after="160" w:line="259" w:lineRule="auto"/>
        <w:ind w:left="2160"/>
        <w:rPr>
          <w:b/>
        </w:rPr>
      </w:pPr>
      <w:r w:rsidRPr="00ED1AFD">
        <w:rPr>
          <w:b/>
        </w:rPr>
        <w:t xml:space="preserve">What is the intended use of the new elements related to opioid providers/services?  </w:t>
      </w:r>
    </w:p>
    <w:p w14:paraId="4CA3441C" w14:textId="4BE72DC4" w:rsidR="00492747" w:rsidRPr="00ED1AFD" w:rsidRDefault="00492747" w:rsidP="00492747">
      <w:pPr>
        <w:ind w:left="2160"/>
        <w:rPr>
          <w:rFonts w:cs="Times New Roman"/>
        </w:rPr>
      </w:pPr>
      <w:r w:rsidRPr="00ED1AFD">
        <w:rPr>
          <w:rFonts w:cs="Times New Roman"/>
        </w:rPr>
        <w:t>The HHS Secretary seeks to address the substance abuse crisis as one of the key strategic goals for the Department. Two of the four objectives under Strategic Goal 2, “Protect the Health of Americans Where They Live, Learn, Work, and Play”, specifically address the opioid crisis. HAB HRSA has been asked by HHS and HRSA and other Federal agencies to identify how the HRSA HAB Ryan White HIV/AIDS Program has addressed these issues.</w:t>
      </w:r>
    </w:p>
    <w:p w14:paraId="7ED3A2D3" w14:textId="0CC8B420" w:rsidR="00492747" w:rsidRPr="00ED1AFD" w:rsidRDefault="00492747" w:rsidP="00492747">
      <w:pPr>
        <w:ind w:left="2160"/>
        <w:rPr>
          <w:rFonts w:cs="Times New Roman"/>
          <w:b/>
        </w:rPr>
      </w:pPr>
      <w:r w:rsidRPr="00ED1AFD">
        <w:rPr>
          <w:b/>
        </w:rPr>
        <w:t>Are these questions specific to RW clients or use of RW funds?</w:t>
      </w:r>
    </w:p>
    <w:p w14:paraId="7A9D5B48" w14:textId="7C3EA239" w:rsidR="00492747" w:rsidRPr="00ED1AFD" w:rsidRDefault="00492747" w:rsidP="00492747">
      <w:pPr>
        <w:ind w:left="2160"/>
      </w:pPr>
      <w:r w:rsidRPr="00ED1AFD">
        <w:t xml:space="preserve">The questions have been focused on what services and activities are available through the Ryan White HIV/AIDS Program. At this time, we are only able to provide high level service utilization for substance use disorder. From this data, it is difficult to differentiate the type of substance use disorder service that is provided to RWHAP clients. With the addition of these questions, we can identify which RWHAP provider sites provide opioid use treatment services. </w:t>
      </w:r>
    </w:p>
    <w:p w14:paraId="7A21D3C1" w14:textId="77777777" w:rsidR="00492747" w:rsidRPr="00ED1AFD" w:rsidRDefault="00492747" w:rsidP="00492747">
      <w:pPr>
        <w:ind w:left="2160"/>
      </w:pPr>
    </w:p>
    <w:p w14:paraId="745BA2E6" w14:textId="77777777" w:rsidR="00492747" w:rsidRPr="00ED1AFD" w:rsidRDefault="00492747" w:rsidP="00492747">
      <w:pPr>
        <w:ind w:left="2160"/>
        <w:rPr>
          <w:rFonts w:cs="Times New Roman"/>
        </w:rPr>
      </w:pPr>
    </w:p>
    <w:p w14:paraId="36BE407C" w14:textId="5611FB9D" w:rsidR="00492747" w:rsidRPr="00ED1AFD" w:rsidRDefault="00492747" w:rsidP="00492747">
      <w:pPr>
        <w:ind w:left="2160" w:hanging="2160"/>
        <w:rPr>
          <w:rFonts w:cs="Times New Roman"/>
        </w:rPr>
      </w:pPr>
      <w:r w:rsidRPr="00ED1AFD">
        <w:rPr>
          <w:rFonts w:cs="Times New Roman"/>
        </w:rPr>
        <w:lastRenderedPageBreak/>
        <w:tab/>
      </w:r>
      <w:r w:rsidRPr="00ED1AFD">
        <w:rPr>
          <w:rFonts w:cs="Arial"/>
        </w:rPr>
        <w:t xml:space="preserve">This data will be collected across all program Parts. Three minor changes </w:t>
      </w:r>
      <w:r w:rsidRPr="00ED1AFD">
        <w:rPr>
          <w:rFonts w:cs="Times New Roman"/>
        </w:rPr>
        <w:t>were made to the forms.</w:t>
      </w:r>
    </w:p>
    <w:p w14:paraId="057729A8" w14:textId="25C0CABA" w:rsidR="00492747" w:rsidRPr="00ED1AFD" w:rsidRDefault="00492747" w:rsidP="00492747">
      <w:pPr>
        <w:pStyle w:val="ListParagraph"/>
        <w:spacing w:after="160" w:line="259" w:lineRule="auto"/>
        <w:ind w:left="2160"/>
        <w:rPr>
          <w:b/>
        </w:rPr>
      </w:pPr>
      <w:r w:rsidRPr="00ED1AFD">
        <w:rPr>
          <w:b/>
        </w:rPr>
        <w:t>Has HRSA/HAB been asked to provide this information specifically?  If so, by whom and for what purpose?</w:t>
      </w:r>
    </w:p>
    <w:p w14:paraId="702DF62B" w14:textId="128CF935" w:rsidR="00492747" w:rsidRPr="00ED1AFD" w:rsidRDefault="00492747" w:rsidP="00492747">
      <w:pPr>
        <w:pStyle w:val="ListParagraph"/>
        <w:spacing w:after="160" w:line="259" w:lineRule="auto"/>
        <w:ind w:left="2160"/>
        <w:rPr>
          <w:b/>
        </w:rPr>
      </w:pPr>
    </w:p>
    <w:p w14:paraId="7A1B0B90" w14:textId="7E636148" w:rsidR="00492747" w:rsidRPr="00ED1AFD" w:rsidRDefault="00492747" w:rsidP="00B906F2">
      <w:pPr>
        <w:pStyle w:val="ListParagraph"/>
        <w:spacing w:after="160" w:line="259" w:lineRule="auto"/>
        <w:ind w:left="1800" w:firstLine="360"/>
      </w:pPr>
      <w:r w:rsidRPr="00ED1AFD">
        <w:t>HRSA/HAB has received the following types of questions:</w:t>
      </w:r>
    </w:p>
    <w:p w14:paraId="7A979CBA" w14:textId="77777777" w:rsidR="00492747" w:rsidRPr="00ED1AFD" w:rsidRDefault="00492747" w:rsidP="00B906F2">
      <w:pPr>
        <w:pStyle w:val="ListParagraph"/>
        <w:numPr>
          <w:ilvl w:val="0"/>
          <w:numId w:val="6"/>
        </w:numPr>
        <w:spacing w:after="160" w:line="259" w:lineRule="auto"/>
      </w:pPr>
      <w:r w:rsidRPr="00ED1AFD">
        <w:rPr>
          <w:b/>
        </w:rPr>
        <w:t>Majority Staff of the House Energy and Commerce Committee (Rep. Greg Walden, R-OR.</w:t>
      </w:r>
      <w:r w:rsidRPr="00ED1AFD">
        <w:t xml:space="preserve"> </w:t>
      </w:r>
      <w:r w:rsidRPr="00ED1AFD" w:rsidDel="00077FA2">
        <w:t xml:space="preserve"> </w:t>
      </w:r>
      <w:r w:rsidRPr="00ED1AFD">
        <w:t>Information on existing activities (e.g., grant programs, cooperative agreements, contracts, research studies, performance measures, reports/products, partnerships, inter-agency workgroups) within the HIV/AIDS Bureau that relate to addressing mental health and substance abuse, with a particular focus on children’s mental health, suicide prevention, serious mental illness, and opioid abuse. The requests require information for a brief description including the approximate funding investment, if applicable, target audience, and estimated timeframe.</w:t>
      </w:r>
    </w:p>
    <w:p w14:paraId="256490DF" w14:textId="77777777" w:rsidR="00492747" w:rsidRPr="00ED1AFD" w:rsidRDefault="00492747" w:rsidP="00B906F2">
      <w:pPr>
        <w:pStyle w:val="ListParagraph"/>
        <w:numPr>
          <w:ilvl w:val="0"/>
          <w:numId w:val="6"/>
        </w:numPr>
        <w:spacing w:after="160" w:line="259" w:lineRule="auto"/>
      </w:pPr>
      <w:r w:rsidRPr="00ED1AFD">
        <w:rPr>
          <w:b/>
        </w:rPr>
        <w:t xml:space="preserve">HRSA’s Office of Policy, Analysis and Evaluation. </w:t>
      </w:r>
      <w:r w:rsidRPr="00ED1AFD">
        <w:t>Requested information, including the number of providers that can prescribe medication assisted therapies,  to develop a comprehensive collection of all opioid-related data being reported across HRSA grant programs in order to better analyze HRSA-wide data, identify gaps, and provide recommendations on how to better coordinate data collection across the agency and department.</w:t>
      </w:r>
    </w:p>
    <w:p w14:paraId="1E1673E2" w14:textId="77777777" w:rsidR="00492747" w:rsidRPr="00ED1AFD" w:rsidRDefault="00492747" w:rsidP="00B906F2">
      <w:pPr>
        <w:pStyle w:val="ListParagraph"/>
        <w:numPr>
          <w:ilvl w:val="0"/>
          <w:numId w:val="6"/>
        </w:numPr>
        <w:spacing w:after="160" w:line="259" w:lineRule="auto"/>
      </w:pPr>
      <w:r w:rsidRPr="00ED1AFD">
        <w:t>HAB has responded to six data requests regarding clients receiving opioids treatment services, provider sites that provide opioid treatment services and funding allocations for opioid treatment.  As a proxy, we have provided information on substance abuse treatment services.  Information has been provided to HRSA OA, HHS and congressional staff.</w:t>
      </w:r>
    </w:p>
    <w:p w14:paraId="5E6879C5" w14:textId="77777777" w:rsidR="00492747" w:rsidRPr="00ED1AFD" w:rsidRDefault="00492747" w:rsidP="00B906F2">
      <w:pPr>
        <w:pStyle w:val="ListParagraph"/>
        <w:numPr>
          <w:ilvl w:val="0"/>
          <w:numId w:val="6"/>
        </w:numPr>
        <w:spacing w:after="160" w:line="259" w:lineRule="auto"/>
      </w:pPr>
      <w:r w:rsidRPr="00ED1AFD">
        <w:rPr>
          <w:b/>
        </w:rPr>
        <w:t>The Fast-Track Action Committee (FTAC) on Health Science and Technology Response to the Opioid Crisis, operated by the National Science and Technology Council.</w:t>
      </w:r>
      <w:r w:rsidRPr="00ED1AFD">
        <w:t xml:space="preserve"> Sought input from HRSA OpDivs on agency-funded Research &amp; Development (R&amp;D) activities that take place related to opioids, specifically the treatment of opioid addiction. </w:t>
      </w:r>
    </w:p>
    <w:p w14:paraId="454110F7" w14:textId="77777777" w:rsidR="00492747" w:rsidRPr="00ED1AFD" w:rsidRDefault="00492747" w:rsidP="00492747">
      <w:pPr>
        <w:pStyle w:val="ListParagraph"/>
        <w:spacing w:after="160" w:line="259" w:lineRule="auto"/>
        <w:ind w:left="2160"/>
        <w:rPr>
          <w:b/>
        </w:rPr>
      </w:pPr>
    </w:p>
    <w:p w14:paraId="6FD32429" w14:textId="12BC28E6" w:rsidR="00492747" w:rsidRPr="00ED1AFD" w:rsidRDefault="00492747" w:rsidP="001D67D1">
      <w:pPr>
        <w:ind w:left="2160" w:hanging="2160"/>
        <w:rPr>
          <w:rFonts w:cs="Times New Roman"/>
        </w:rPr>
      </w:pPr>
    </w:p>
    <w:p w14:paraId="58B603C7" w14:textId="4FCD0E2D" w:rsidR="00720BFF" w:rsidRPr="00ED1AFD" w:rsidRDefault="009271D9" w:rsidP="00720BFF">
      <w:pPr>
        <w:ind w:left="2160" w:hanging="2160"/>
        <w:rPr>
          <w:rFonts w:cs="Times New Roman"/>
        </w:rPr>
      </w:pPr>
      <w:r w:rsidRPr="00ED1AFD">
        <w:rPr>
          <w:rFonts w:cs="Times New Roman"/>
          <w:b/>
        </w:rPr>
        <w:t>Tim</w:t>
      </w:r>
      <w:r w:rsidR="00747E37" w:rsidRPr="00ED1AFD">
        <w:rPr>
          <w:rFonts w:cs="Times New Roman"/>
          <w:b/>
        </w:rPr>
        <w:t>e S</w:t>
      </w:r>
      <w:r w:rsidRPr="00ED1AFD">
        <w:rPr>
          <w:rFonts w:cs="Times New Roman"/>
          <w:b/>
        </w:rPr>
        <w:t>ensitivity</w:t>
      </w:r>
      <w:r w:rsidRPr="00ED1AFD">
        <w:rPr>
          <w:rFonts w:cs="Times New Roman"/>
        </w:rPr>
        <w:t xml:space="preserve">:  </w:t>
      </w:r>
      <w:r w:rsidR="00B05395" w:rsidRPr="00ED1AFD">
        <w:rPr>
          <w:rFonts w:cs="Times New Roman"/>
        </w:rPr>
        <w:tab/>
      </w:r>
      <w:r w:rsidR="00942FD4" w:rsidRPr="00ED1AFD">
        <w:rPr>
          <w:rFonts w:cs="Times New Roman"/>
        </w:rPr>
        <w:t xml:space="preserve">The U.S. Congress mandated that client-level data be collected under the  </w:t>
      </w:r>
      <w:r w:rsidR="00720BFF" w:rsidRPr="00ED1AFD">
        <w:rPr>
          <w:rFonts w:cs="Times New Roman"/>
        </w:rPr>
        <w:t xml:space="preserve">Ryan White HIV/AIDS Treatment Extension Act (originally passed in 1990 as the Ryan White Care Act, and amended in 1996, 2000, 2006, and 2009), and thus are necessary for HRSA to fulfill its responsibilities. </w:t>
      </w:r>
      <w:r w:rsidR="00B9132F" w:rsidRPr="00ED1AFD">
        <w:rPr>
          <w:rFonts w:cs="Times New Roman"/>
        </w:rPr>
        <w:t xml:space="preserve"> </w:t>
      </w:r>
      <w:r w:rsidR="00677EB4" w:rsidRPr="00ED1AFD">
        <w:rPr>
          <w:rFonts w:cs="Times New Roman"/>
        </w:rPr>
        <w:t xml:space="preserve">These data provide information about the allocation of funds by grant recipients, the number of clients served, services provided, client demographics, clinical data of clients served and costs </w:t>
      </w:r>
      <w:r w:rsidR="00677EB4" w:rsidRPr="00ED1AFD">
        <w:rPr>
          <w:rFonts w:cs="Times New Roman"/>
        </w:rPr>
        <w:lastRenderedPageBreak/>
        <w:t xml:space="preserve">of providing services. </w:t>
      </w:r>
      <w:r w:rsidR="00B9132F" w:rsidRPr="00ED1AFD">
        <w:rPr>
          <w:rFonts w:cs="Times New Roman"/>
        </w:rPr>
        <w:t xml:space="preserve"> </w:t>
      </w:r>
      <w:r w:rsidR="00677EB4" w:rsidRPr="00ED1AFD">
        <w:rPr>
          <w:rFonts w:cs="Times New Roman"/>
        </w:rPr>
        <w:t>These data are collected in the online Grantee Report, the Service Provider Report, and electronic upload of the Client Report</w:t>
      </w:r>
      <w:r w:rsidR="00B9132F" w:rsidRPr="00ED1AFD">
        <w:rPr>
          <w:rFonts w:cs="Times New Roman"/>
        </w:rPr>
        <w:t xml:space="preserve">. </w:t>
      </w:r>
      <w:r w:rsidR="00677EB4" w:rsidRPr="00ED1AFD">
        <w:rPr>
          <w:rFonts w:cs="Times New Roman"/>
        </w:rPr>
        <w:t xml:space="preserve"> </w:t>
      </w:r>
      <w:r w:rsidR="00720BFF" w:rsidRPr="00ED1AFD">
        <w:rPr>
          <w:rFonts w:cs="Times New Roman"/>
        </w:rPr>
        <w:t xml:space="preserve">The primary purposes of these forms are to provide information on the number of grant dollars spent on various services and program components and oversee compliance with the intent of Congressional appropriations in a timely manner. </w:t>
      </w:r>
      <w:r w:rsidR="00B9132F" w:rsidRPr="00ED1AFD">
        <w:rPr>
          <w:rFonts w:cs="Times New Roman"/>
        </w:rPr>
        <w:t xml:space="preserve"> </w:t>
      </w:r>
      <w:r w:rsidR="00720BFF" w:rsidRPr="00ED1AFD">
        <w:rPr>
          <w:rFonts w:cs="Times New Roman"/>
        </w:rPr>
        <w:t xml:space="preserve">In addition to meeting the goal of accountability to the Congress, clients, and the general public, information collected on these reports is critical for HRSA, state and local recipients, and individual </w:t>
      </w:r>
      <w:r w:rsidR="00B9132F" w:rsidRPr="00ED1AFD">
        <w:rPr>
          <w:rFonts w:cs="Times New Roman"/>
        </w:rPr>
        <w:t>providers.</w:t>
      </w:r>
    </w:p>
    <w:p w14:paraId="2AF9A184" w14:textId="08A5A26D" w:rsidR="00481F9D" w:rsidRPr="00ED1AFD" w:rsidRDefault="00720BFF" w:rsidP="0029565D">
      <w:pPr>
        <w:ind w:left="2160"/>
        <w:rPr>
          <w:rFonts w:cs="Times New Roman"/>
        </w:rPr>
      </w:pPr>
      <w:r w:rsidRPr="00ED1AFD">
        <w:rPr>
          <w:rFonts w:cs="Times New Roman"/>
        </w:rPr>
        <w:t>E</w:t>
      </w:r>
      <w:r w:rsidR="00394ECD" w:rsidRPr="00ED1AFD">
        <w:rPr>
          <w:rFonts w:cs="Times New Roman"/>
        </w:rPr>
        <w:t>very year from November through March</w:t>
      </w:r>
      <w:r w:rsidR="006A307C" w:rsidRPr="00ED1AFD">
        <w:rPr>
          <w:rFonts w:cs="Times New Roman"/>
        </w:rPr>
        <w:t>, t</w:t>
      </w:r>
      <w:r w:rsidR="003C5767" w:rsidRPr="00ED1AFD">
        <w:rPr>
          <w:rFonts w:cs="Times New Roman"/>
        </w:rPr>
        <w:t xml:space="preserve">he </w:t>
      </w:r>
      <w:r w:rsidR="000A1FC6" w:rsidRPr="00ED1AFD">
        <w:rPr>
          <w:rFonts w:cs="Times New Roman"/>
        </w:rPr>
        <w:t>electronic data entry system (</w:t>
      </w:r>
      <w:r w:rsidRPr="00ED1AFD">
        <w:rPr>
          <w:rFonts w:cs="Times New Roman"/>
        </w:rPr>
        <w:t>HRSA’s Electronic Handbook</w:t>
      </w:r>
      <w:r w:rsidR="00FF68AA" w:rsidRPr="00ED1AFD">
        <w:rPr>
          <w:rFonts w:cs="Times New Roman"/>
        </w:rPr>
        <w:t>, or EHB</w:t>
      </w:r>
      <w:r w:rsidR="000A1FC6" w:rsidRPr="00ED1AFD">
        <w:rPr>
          <w:rFonts w:cs="Times New Roman"/>
        </w:rPr>
        <w:t xml:space="preserve">) </w:t>
      </w:r>
      <w:r w:rsidR="006A307C" w:rsidRPr="00ED1AFD">
        <w:rPr>
          <w:rFonts w:cs="Times New Roman"/>
        </w:rPr>
        <w:t xml:space="preserve">is opened for </w:t>
      </w:r>
      <w:r w:rsidRPr="00ED1AFD">
        <w:rPr>
          <w:rFonts w:cs="Times New Roman"/>
        </w:rPr>
        <w:t xml:space="preserve">RWHAP </w:t>
      </w:r>
      <w:r w:rsidR="00FF68AA" w:rsidRPr="00ED1AFD">
        <w:rPr>
          <w:rFonts w:cs="Times New Roman"/>
        </w:rPr>
        <w:t>grant recipients</w:t>
      </w:r>
      <w:r w:rsidR="00394ECD" w:rsidRPr="00ED1AFD">
        <w:rPr>
          <w:rFonts w:cs="Times New Roman"/>
        </w:rPr>
        <w:t xml:space="preserve"> to prepare and submit all RWHAP data</w:t>
      </w:r>
      <w:r w:rsidR="00677EB4" w:rsidRPr="00ED1AFD">
        <w:rPr>
          <w:rFonts w:cs="Times New Roman"/>
        </w:rPr>
        <w:t xml:space="preserve"> for the designated reporting period.</w:t>
      </w:r>
      <w:r w:rsidR="00394ECD" w:rsidRPr="00ED1AFD">
        <w:rPr>
          <w:rFonts w:cs="Times New Roman"/>
        </w:rPr>
        <w:t xml:space="preserve">  </w:t>
      </w:r>
      <w:r w:rsidR="00007F90" w:rsidRPr="00ED1AFD">
        <w:rPr>
          <w:rFonts w:cs="Times New Roman"/>
        </w:rPr>
        <w:t xml:space="preserve">Designed to be compatible </w:t>
      </w:r>
      <w:r w:rsidR="00994CA7" w:rsidRPr="00ED1AFD">
        <w:rPr>
          <w:rFonts w:cs="Times New Roman"/>
        </w:rPr>
        <w:t xml:space="preserve">with the narrative and data requirements </w:t>
      </w:r>
      <w:r w:rsidR="003F22C9" w:rsidRPr="00ED1AFD">
        <w:rPr>
          <w:rFonts w:cs="Times New Roman"/>
        </w:rPr>
        <w:t xml:space="preserve">that are </w:t>
      </w:r>
      <w:r w:rsidR="00994CA7" w:rsidRPr="00ED1AFD">
        <w:rPr>
          <w:rFonts w:cs="Times New Roman"/>
        </w:rPr>
        <w:t xml:space="preserve">outlined in the </w:t>
      </w:r>
      <w:r w:rsidR="00677EB4" w:rsidRPr="00ED1AFD">
        <w:rPr>
          <w:rFonts w:cs="Times New Roman"/>
        </w:rPr>
        <w:t>client-level, provider and recipient report guidance</w:t>
      </w:r>
      <w:r w:rsidR="00007F90" w:rsidRPr="00ED1AFD">
        <w:rPr>
          <w:rFonts w:cs="Times New Roman"/>
        </w:rPr>
        <w:t xml:space="preserve">, </w:t>
      </w:r>
      <w:r w:rsidR="00C2225E" w:rsidRPr="00ED1AFD">
        <w:rPr>
          <w:rFonts w:cs="Times New Roman"/>
        </w:rPr>
        <w:t xml:space="preserve">release of the </w:t>
      </w:r>
      <w:r w:rsidR="00994CA7" w:rsidRPr="00ED1AFD">
        <w:rPr>
          <w:rFonts w:cs="Times New Roman"/>
        </w:rPr>
        <w:t xml:space="preserve">data entry system </w:t>
      </w:r>
      <w:r w:rsidR="00C2225E" w:rsidRPr="00ED1AFD">
        <w:rPr>
          <w:rFonts w:cs="Times New Roman"/>
        </w:rPr>
        <w:t xml:space="preserve">to the </w:t>
      </w:r>
      <w:r w:rsidR="00FF68AA" w:rsidRPr="00ED1AFD">
        <w:rPr>
          <w:rFonts w:cs="Times New Roman"/>
        </w:rPr>
        <w:t>grant recipients</w:t>
      </w:r>
      <w:r w:rsidR="00C2225E" w:rsidRPr="00ED1AFD">
        <w:rPr>
          <w:rFonts w:cs="Times New Roman"/>
        </w:rPr>
        <w:t xml:space="preserve"> is contingent on the approval of </w:t>
      </w:r>
      <w:r w:rsidR="00994CA7" w:rsidRPr="00ED1AFD">
        <w:rPr>
          <w:rFonts w:cs="Times New Roman"/>
        </w:rPr>
        <w:t xml:space="preserve">the non-substantive changes </w:t>
      </w:r>
      <w:r w:rsidR="00F21B2B" w:rsidRPr="00ED1AFD">
        <w:rPr>
          <w:rFonts w:cs="Times New Roman"/>
        </w:rPr>
        <w:t>outlined in this memo</w:t>
      </w:r>
      <w:r w:rsidR="00C2225E" w:rsidRPr="00ED1AFD">
        <w:rPr>
          <w:rFonts w:cs="Times New Roman"/>
        </w:rPr>
        <w:t>.  Once the</w:t>
      </w:r>
      <w:r w:rsidR="00307719" w:rsidRPr="00ED1AFD">
        <w:rPr>
          <w:rFonts w:cs="Times New Roman"/>
        </w:rPr>
        <w:t xml:space="preserve"> changes are approved and </w:t>
      </w:r>
      <w:r w:rsidR="00C2225E" w:rsidRPr="00ED1AFD">
        <w:rPr>
          <w:rFonts w:cs="Times New Roman"/>
        </w:rPr>
        <w:t xml:space="preserve">incorporated in the </w:t>
      </w:r>
      <w:r w:rsidR="00677EB4" w:rsidRPr="00ED1AFD">
        <w:rPr>
          <w:rFonts w:cs="Times New Roman"/>
        </w:rPr>
        <w:t>RSR report</w:t>
      </w:r>
      <w:r w:rsidR="00C2225E" w:rsidRPr="00ED1AFD">
        <w:rPr>
          <w:rFonts w:cs="Times New Roman"/>
        </w:rPr>
        <w:t>, a</w:t>
      </w:r>
      <w:r w:rsidR="00994CA7" w:rsidRPr="00ED1AFD">
        <w:rPr>
          <w:rFonts w:cs="Times New Roman"/>
        </w:rPr>
        <w:t xml:space="preserve">dditional quality assurance testing will be required </w:t>
      </w:r>
      <w:r w:rsidR="00307719" w:rsidRPr="00ED1AFD">
        <w:rPr>
          <w:rFonts w:cs="Times New Roman"/>
        </w:rPr>
        <w:t xml:space="preserve">before the </w:t>
      </w:r>
      <w:r w:rsidR="006A307C" w:rsidRPr="00ED1AFD">
        <w:rPr>
          <w:rFonts w:cs="Times New Roman"/>
        </w:rPr>
        <w:t xml:space="preserve">data entry </w:t>
      </w:r>
      <w:r w:rsidR="00307719" w:rsidRPr="00ED1AFD">
        <w:rPr>
          <w:rFonts w:cs="Times New Roman"/>
        </w:rPr>
        <w:t>system can be released.</w:t>
      </w:r>
      <w:r w:rsidR="006F4AFF" w:rsidRPr="00ED1AFD">
        <w:rPr>
          <w:rFonts w:cs="Times New Roman"/>
        </w:rPr>
        <w:t xml:space="preserve">  </w:t>
      </w:r>
    </w:p>
    <w:p w14:paraId="0D2202D3" w14:textId="1E9ED4E2" w:rsidR="003C1B32" w:rsidRPr="00ED1AFD" w:rsidRDefault="00ED1AFD" w:rsidP="0029565D">
      <w:pPr>
        <w:ind w:left="2160"/>
        <w:rPr>
          <w:rFonts w:cs="Times New Roman"/>
        </w:rPr>
      </w:pPr>
      <w:r w:rsidRPr="00ED1AFD">
        <w:rPr>
          <w:rFonts w:cs="Times New Roman"/>
        </w:rPr>
        <w:t xml:space="preserve">The change will go into effect for the next year of data collection (2018 data to be </w:t>
      </w:r>
      <w:r w:rsidR="002E3DBB">
        <w:rPr>
          <w:rFonts w:cs="Times New Roman"/>
        </w:rPr>
        <w:t>collected</w:t>
      </w:r>
      <w:r w:rsidRPr="00ED1AFD">
        <w:rPr>
          <w:rFonts w:cs="Times New Roman"/>
        </w:rPr>
        <w:t xml:space="preserve"> in March 2019). </w:t>
      </w:r>
      <w:r w:rsidR="002E3DBB">
        <w:rPr>
          <w:rFonts w:cs="Times New Roman"/>
        </w:rPr>
        <w:t xml:space="preserve"> </w:t>
      </w:r>
      <w:r w:rsidRPr="00ED1AFD">
        <w:rPr>
          <w:rFonts w:cs="Times New Roman"/>
        </w:rPr>
        <w:t xml:space="preserve">Planning for these questions now will allow HAB to disseminate the information and give providers advanced notice of the changes.  Note that no data system changes are required for either change. </w:t>
      </w:r>
      <w:r w:rsidR="00677EB4" w:rsidRPr="00ED1AFD">
        <w:rPr>
          <w:rFonts w:cs="Times New Roman"/>
        </w:rPr>
        <w:t xml:space="preserve"> </w:t>
      </w:r>
      <w:r w:rsidR="006F4AFF" w:rsidRPr="00ED1AFD">
        <w:rPr>
          <w:rFonts w:cs="Times New Roman"/>
        </w:rPr>
        <w:t xml:space="preserve">     </w:t>
      </w:r>
      <w:r w:rsidR="00CF2305" w:rsidRPr="00ED1AFD">
        <w:rPr>
          <w:rFonts w:cs="Times New Roman"/>
        </w:rPr>
        <w:t xml:space="preserve">   </w:t>
      </w:r>
      <w:r w:rsidR="00007F90" w:rsidRPr="00ED1AFD">
        <w:rPr>
          <w:rFonts w:cs="Times New Roman"/>
        </w:rPr>
        <w:t xml:space="preserve">   </w:t>
      </w:r>
    </w:p>
    <w:p w14:paraId="02364F54" w14:textId="22D22EB9" w:rsidR="00112CAA" w:rsidRPr="00ED1AFD" w:rsidRDefault="00254F0A" w:rsidP="00501A20">
      <w:pPr>
        <w:ind w:left="2160" w:hanging="2160"/>
        <w:rPr>
          <w:rFonts w:cs="Times New Roman"/>
        </w:rPr>
      </w:pPr>
      <w:r w:rsidRPr="00ED1AFD">
        <w:rPr>
          <w:rFonts w:cs="Times New Roman"/>
          <w:b/>
        </w:rPr>
        <w:t>Burden:</w:t>
      </w:r>
      <w:r w:rsidR="00FC7880">
        <w:rPr>
          <w:rFonts w:cs="Times New Roman"/>
          <w:b/>
        </w:rPr>
        <w:tab/>
      </w:r>
      <w:r w:rsidR="00FC7880">
        <w:rPr>
          <w:rFonts w:cs="Times New Roman"/>
        </w:rPr>
        <w:t xml:space="preserve">HRSA HAB has collected estimates on the amount of additional time (in hours) that a RWHAP Part A, B, C, or D recipient would spend responding to these additional questions.  The average additional burden per respondent is 3 hours (ranging from 1 to 7 hours).  The chart below displays total estimates by RWHAP grant recipient by Program Part. </w:t>
      </w:r>
      <w:r w:rsidR="00D76856">
        <w:rPr>
          <w:rFonts w:cs="Times New Roman"/>
        </w:rPr>
        <w:t xml:space="preserve"> HRSA HAB does not anticipate </w:t>
      </w:r>
      <w:r w:rsidR="00D76856" w:rsidRPr="00D76856">
        <w:rPr>
          <w:rFonts w:cs="Times New Roman"/>
        </w:rPr>
        <w:t>that the</w:t>
      </w:r>
      <w:r w:rsidR="00D76856">
        <w:rPr>
          <w:rFonts w:cs="Times New Roman"/>
        </w:rPr>
        <w:t xml:space="preserve"> proposed</w:t>
      </w:r>
      <w:r w:rsidR="00D76856" w:rsidRPr="00D76856">
        <w:rPr>
          <w:rFonts w:cs="Times New Roman"/>
        </w:rPr>
        <w:t xml:space="preserve"> revisions included herein will not </w:t>
      </w:r>
      <w:r w:rsidR="00D76856">
        <w:rPr>
          <w:rFonts w:cs="Times New Roman"/>
        </w:rPr>
        <w:t>greatly impact</w:t>
      </w:r>
      <w:r w:rsidR="00D76856" w:rsidRPr="00D76856">
        <w:rPr>
          <w:rFonts w:cs="Times New Roman"/>
        </w:rPr>
        <w:t xml:space="preserve"> reporting burden on RWHAP grant recipients.</w:t>
      </w:r>
      <w:r w:rsidRPr="00D76856">
        <w:rPr>
          <w:rFonts w:cs="Times New Roman"/>
        </w:rPr>
        <w:tab/>
      </w:r>
    </w:p>
    <w:tbl>
      <w:tblPr>
        <w:tblpPr w:leftFromText="180" w:rightFromText="180" w:bottomFromText="115" w:vertAnchor="text"/>
        <w:tblW w:w="9270" w:type="dxa"/>
        <w:tblCellMar>
          <w:left w:w="0" w:type="dxa"/>
          <w:right w:w="0" w:type="dxa"/>
        </w:tblCellMar>
        <w:tblLook w:val="04A0" w:firstRow="1" w:lastRow="0" w:firstColumn="1" w:lastColumn="0" w:noHBand="0" w:noVBand="1"/>
      </w:tblPr>
      <w:tblGrid>
        <w:gridCol w:w="1780"/>
        <w:gridCol w:w="1491"/>
        <w:gridCol w:w="1790"/>
        <w:gridCol w:w="1436"/>
        <w:gridCol w:w="1346"/>
        <w:gridCol w:w="1427"/>
      </w:tblGrid>
      <w:tr w:rsidR="00112CAA" w14:paraId="0BBC043C" w14:textId="77777777" w:rsidTr="00FC7880">
        <w:tc>
          <w:tcPr>
            <w:tcW w:w="1800" w:type="dxa"/>
            <w:tcBorders>
              <w:top w:val="single" w:sz="8" w:space="0" w:color="auto"/>
              <w:left w:val="single" w:sz="8" w:space="0" w:color="auto"/>
              <w:bottom w:val="single" w:sz="8" w:space="0" w:color="auto"/>
              <w:right w:val="single" w:sz="8" w:space="0" w:color="auto"/>
            </w:tcBorders>
            <w:tcMar>
              <w:top w:w="0" w:type="dxa"/>
              <w:left w:w="97" w:type="dxa"/>
              <w:bottom w:w="0" w:type="dxa"/>
              <w:right w:w="97" w:type="dxa"/>
            </w:tcMar>
            <w:vAlign w:val="center"/>
          </w:tcPr>
          <w:p w14:paraId="788E07B4" w14:textId="77777777" w:rsidR="00112CAA" w:rsidRDefault="00112CAA" w:rsidP="00FC7880">
            <w:pPr>
              <w:pStyle w:val="BodyText"/>
              <w:spacing w:line="252" w:lineRule="auto"/>
              <w:jc w:val="center"/>
              <w:rPr>
                <w:sz w:val="24"/>
                <w:szCs w:val="24"/>
              </w:rPr>
            </w:pPr>
          </w:p>
          <w:p w14:paraId="7BCA7B73" w14:textId="77777777" w:rsidR="00112CAA" w:rsidRDefault="00112CAA" w:rsidP="00FC7880">
            <w:pPr>
              <w:pStyle w:val="BodyText"/>
              <w:spacing w:line="252" w:lineRule="auto"/>
              <w:jc w:val="center"/>
            </w:pPr>
            <w:r>
              <w:t>Provider Report</w:t>
            </w:r>
          </w:p>
        </w:tc>
        <w:tc>
          <w:tcPr>
            <w:tcW w:w="1440" w:type="dxa"/>
            <w:tcBorders>
              <w:top w:val="single" w:sz="8" w:space="0" w:color="auto"/>
              <w:left w:val="nil"/>
              <w:bottom w:val="single" w:sz="8" w:space="0" w:color="auto"/>
              <w:right w:val="single" w:sz="8" w:space="0" w:color="auto"/>
            </w:tcBorders>
            <w:tcMar>
              <w:top w:w="0" w:type="dxa"/>
              <w:left w:w="97" w:type="dxa"/>
              <w:bottom w:w="0" w:type="dxa"/>
              <w:right w:w="97" w:type="dxa"/>
            </w:tcMar>
            <w:vAlign w:val="center"/>
            <w:hideMark/>
          </w:tcPr>
          <w:p w14:paraId="21EEF3AC" w14:textId="77777777" w:rsidR="00112CAA" w:rsidRDefault="00112CAA" w:rsidP="00FC7880">
            <w:pPr>
              <w:pStyle w:val="BodyText"/>
              <w:spacing w:line="252" w:lineRule="auto"/>
              <w:jc w:val="center"/>
            </w:pPr>
            <w:r>
              <w:t>Number of Respondents</w:t>
            </w:r>
          </w:p>
        </w:tc>
        <w:tc>
          <w:tcPr>
            <w:tcW w:w="1800" w:type="dxa"/>
            <w:tcBorders>
              <w:top w:val="single" w:sz="8" w:space="0" w:color="auto"/>
              <w:left w:val="nil"/>
              <w:bottom w:val="single" w:sz="8" w:space="0" w:color="auto"/>
              <w:right w:val="single" w:sz="8" w:space="0" w:color="auto"/>
            </w:tcBorders>
            <w:tcMar>
              <w:top w:w="0" w:type="dxa"/>
              <w:left w:w="97" w:type="dxa"/>
              <w:bottom w:w="0" w:type="dxa"/>
              <w:right w:w="97" w:type="dxa"/>
            </w:tcMar>
            <w:vAlign w:val="center"/>
          </w:tcPr>
          <w:p w14:paraId="0E163624" w14:textId="6C920330" w:rsidR="00112CAA" w:rsidRDefault="00112CAA" w:rsidP="00FC7880">
            <w:pPr>
              <w:pStyle w:val="BodyText"/>
              <w:spacing w:line="252" w:lineRule="auto"/>
              <w:jc w:val="center"/>
            </w:pPr>
            <w:r>
              <w:t>Number of Responses per Respondent</w:t>
            </w:r>
          </w:p>
        </w:tc>
        <w:tc>
          <w:tcPr>
            <w:tcW w:w="1440" w:type="dxa"/>
            <w:tcBorders>
              <w:top w:val="single" w:sz="8" w:space="0" w:color="auto"/>
              <w:left w:val="nil"/>
              <w:bottom w:val="single" w:sz="8" w:space="0" w:color="auto"/>
              <w:right w:val="single" w:sz="8" w:space="0" w:color="auto"/>
            </w:tcBorders>
            <w:tcMar>
              <w:top w:w="0" w:type="dxa"/>
              <w:left w:w="97" w:type="dxa"/>
              <w:bottom w:w="0" w:type="dxa"/>
              <w:right w:w="97" w:type="dxa"/>
            </w:tcMar>
            <w:vAlign w:val="center"/>
          </w:tcPr>
          <w:p w14:paraId="5DFB099F" w14:textId="5256CD41" w:rsidR="00112CAA" w:rsidRDefault="00112CAA" w:rsidP="00FC7880">
            <w:pPr>
              <w:pStyle w:val="BodyText"/>
              <w:spacing w:line="252" w:lineRule="auto"/>
              <w:jc w:val="center"/>
            </w:pPr>
            <w:r>
              <w:t>Total Responses</w:t>
            </w:r>
          </w:p>
        </w:tc>
        <w:tc>
          <w:tcPr>
            <w:tcW w:w="1350" w:type="dxa"/>
            <w:tcBorders>
              <w:top w:val="single" w:sz="8" w:space="0" w:color="auto"/>
              <w:left w:val="nil"/>
              <w:bottom w:val="single" w:sz="8" w:space="0" w:color="auto"/>
              <w:right w:val="single" w:sz="8" w:space="0" w:color="auto"/>
            </w:tcBorders>
            <w:tcMar>
              <w:top w:w="0" w:type="dxa"/>
              <w:left w:w="97" w:type="dxa"/>
              <w:bottom w:w="0" w:type="dxa"/>
              <w:right w:w="97" w:type="dxa"/>
            </w:tcMar>
            <w:vAlign w:val="center"/>
            <w:hideMark/>
          </w:tcPr>
          <w:p w14:paraId="02ACFBE5" w14:textId="09CFCAFF" w:rsidR="00112CAA" w:rsidRDefault="00112CAA" w:rsidP="00FC7880">
            <w:pPr>
              <w:pStyle w:val="BodyText"/>
              <w:spacing w:line="252" w:lineRule="auto"/>
              <w:jc w:val="center"/>
            </w:pPr>
            <w:r>
              <w:t>Average Burden per Response (in hours)</w:t>
            </w:r>
          </w:p>
        </w:tc>
        <w:tc>
          <w:tcPr>
            <w:tcW w:w="1440" w:type="dxa"/>
            <w:tcBorders>
              <w:top w:val="single" w:sz="8" w:space="0" w:color="auto"/>
              <w:left w:val="nil"/>
              <w:bottom w:val="single" w:sz="8" w:space="0" w:color="auto"/>
              <w:right w:val="single" w:sz="8" w:space="0" w:color="auto"/>
            </w:tcBorders>
            <w:tcMar>
              <w:top w:w="0" w:type="dxa"/>
              <w:left w:w="97" w:type="dxa"/>
              <w:bottom w:w="0" w:type="dxa"/>
              <w:right w:w="97" w:type="dxa"/>
            </w:tcMar>
            <w:vAlign w:val="center"/>
            <w:hideMark/>
          </w:tcPr>
          <w:p w14:paraId="41483F95" w14:textId="77777777" w:rsidR="00112CAA" w:rsidRDefault="00112CAA" w:rsidP="00FC7880">
            <w:pPr>
              <w:pStyle w:val="BodyText"/>
              <w:spacing w:line="252" w:lineRule="auto"/>
              <w:jc w:val="center"/>
            </w:pPr>
            <w:r>
              <w:t>Total Burden Hours</w:t>
            </w:r>
          </w:p>
        </w:tc>
      </w:tr>
      <w:tr w:rsidR="00112CAA" w14:paraId="4F13B43D" w14:textId="77777777" w:rsidTr="00FC7880">
        <w:tc>
          <w:tcPr>
            <w:tcW w:w="1800" w:type="dxa"/>
            <w:tcBorders>
              <w:top w:val="nil"/>
              <w:left w:val="single" w:sz="8" w:space="0" w:color="auto"/>
              <w:bottom w:val="single" w:sz="8" w:space="0" w:color="auto"/>
              <w:right w:val="single" w:sz="8" w:space="0" w:color="auto"/>
            </w:tcBorders>
            <w:tcMar>
              <w:top w:w="0" w:type="dxa"/>
              <w:left w:w="97" w:type="dxa"/>
              <w:bottom w:w="0" w:type="dxa"/>
              <w:right w:w="97" w:type="dxa"/>
            </w:tcMar>
            <w:vAlign w:val="center"/>
            <w:hideMark/>
          </w:tcPr>
          <w:p w14:paraId="46FB38C1" w14:textId="77777777" w:rsidR="00112CAA" w:rsidRDefault="00112CAA" w:rsidP="00FC7880">
            <w:pPr>
              <w:spacing w:line="252" w:lineRule="auto"/>
            </w:pPr>
            <w:r>
              <w:t>Part A</w:t>
            </w:r>
          </w:p>
        </w:tc>
        <w:tc>
          <w:tcPr>
            <w:tcW w:w="1440" w:type="dxa"/>
            <w:tcBorders>
              <w:top w:val="nil"/>
              <w:left w:val="nil"/>
              <w:bottom w:val="single" w:sz="8" w:space="0" w:color="auto"/>
              <w:right w:val="single" w:sz="8" w:space="0" w:color="auto"/>
            </w:tcBorders>
            <w:tcMar>
              <w:top w:w="0" w:type="dxa"/>
              <w:left w:w="97" w:type="dxa"/>
              <w:bottom w:w="0" w:type="dxa"/>
              <w:right w:w="97" w:type="dxa"/>
            </w:tcMar>
            <w:vAlign w:val="center"/>
          </w:tcPr>
          <w:p w14:paraId="2EBD1E7A" w14:textId="77777777" w:rsidR="00112CAA" w:rsidRDefault="00112CAA" w:rsidP="00E87B2F">
            <w:pPr>
              <w:spacing w:line="252" w:lineRule="auto"/>
              <w:jc w:val="center"/>
              <w:rPr>
                <w:lang w:val="fr-FR"/>
              </w:rPr>
            </w:pPr>
          </w:p>
        </w:tc>
        <w:tc>
          <w:tcPr>
            <w:tcW w:w="1800" w:type="dxa"/>
            <w:tcBorders>
              <w:top w:val="nil"/>
              <w:left w:val="nil"/>
              <w:bottom w:val="single" w:sz="8" w:space="0" w:color="auto"/>
              <w:right w:val="single" w:sz="8" w:space="0" w:color="auto"/>
            </w:tcBorders>
            <w:tcMar>
              <w:top w:w="0" w:type="dxa"/>
              <w:left w:w="97" w:type="dxa"/>
              <w:bottom w:w="0" w:type="dxa"/>
              <w:right w:w="97" w:type="dxa"/>
            </w:tcMar>
            <w:vAlign w:val="center"/>
            <w:hideMark/>
          </w:tcPr>
          <w:p w14:paraId="28470A69" w14:textId="77777777" w:rsidR="00112CAA" w:rsidRDefault="00112CAA" w:rsidP="00E87B2F">
            <w:pPr>
              <w:spacing w:line="252" w:lineRule="auto"/>
              <w:jc w:val="center"/>
              <w:rPr>
                <w:lang w:val="fr-FR"/>
              </w:rPr>
            </w:pPr>
            <w:r>
              <w:rPr>
                <w:lang w:val="fr-FR"/>
              </w:rPr>
              <w:t>1</w:t>
            </w:r>
          </w:p>
        </w:tc>
        <w:tc>
          <w:tcPr>
            <w:tcW w:w="1440" w:type="dxa"/>
            <w:tcBorders>
              <w:top w:val="nil"/>
              <w:left w:val="nil"/>
              <w:bottom w:val="single" w:sz="8" w:space="0" w:color="auto"/>
              <w:right w:val="single" w:sz="8" w:space="0" w:color="auto"/>
            </w:tcBorders>
            <w:tcMar>
              <w:top w:w="0" w:type="dxa"/>
              <w:left w:w="97" w:type="dxa"/>
              <w:bottom w:w="0" w:type="dxa"/>
              <w:right w:w="97" w:type="dxa"/>
            </w:tcMar>
            <w:vAlign w:val="center"/>
          </w:tcPr>
          <w:p w14:paraId="48671AB0" w14:textId="77777777" w:rsidR="00112CAA" w:rsidRDefault="00112CAA" w:rsidP="00E87B2F">
            <w:pPr>
              <w:spacing w:line="252" w:lineRule="auto"/>
              <w:jc w:val="center"/>
              <w:rPr>
                <w:lang w:val="fr-FR"/>
              </w:rPr>
            </w:pPr>
          </w:p>
        </w:tc>
        <w:tc>
          <w:tcPr>
            <w:tcW w:w="1350" w:type="dxa"/>
            <w:tcBorders>
              <w:top w:val="nil"/>
              <w:left w:val="nil"/>
              <w:bottom w:val="single" w:sz="8" w:space="0" w:color="auto"/>
              <w:right w:val="single" w:sz="8" w:space="0" w:color="auto"/>
            </w:tcBorders>
            <w:tcMar>
              <w:top w:w="0" w:type="dxa"/>
              <w:left w:w="97" w:type="dxa"/>
              <w:bottom w:w="0" w:type="dxa"/>
              <w:right w:w="97" w:type="dxa"/>
            </w:tcMar>
            <w:vAlign w:val="center"/>
            <w:hideMark/>
          </w:tcPr>
          <w:p w14:paraId="3677A2C9" w14:textId="77777777" w:rsidR="00112CAA" w:rsidRDefault="00112CAA" w:rsidP="00E87B2F">
            <w:pPr>
              <w:spacing w:line="252" w:lineRule="auto"/>
              <w:jc w:val="center"/>
              <w:rPr>
                <w:lang w:val="fr-FR"/>
              </w:rPr>
            </w:pPr>
            <w:r>
              <w:rPr>
                <w:lang w:val="fr-FR"/>
              </w:rPr>
              <w:t>1</w:t>
            </w:r>
          </w:p>
        </w:tc>
        <w:tc>
          <w:tcPr>
            <w:tcW w:w="1440" w:type="dxa"/>
            <w:tcBorders>
              <w:top w:val="nil"/>
              <w:left w:val="nil"/>
              <w:bottom w:val="single" w:sz="8" w:space="0" w:color="auto"/>
              <w:right w:val="single" w:sz="8" w:space="0" w:color="auto"/>
            </w:tcBorders>
            <w:tcMar>
              <w:top w:w="0" w:type="dxa"/>
              <w:left w:w="97" w:type="dxa"/>
              <w:bottom w:w="0" w:type="dxa"/>
              <w:right w:w="97" w:type="dxa"/>
            </w:tcMar>
            <w:vAlign w:val="center"/>
          </w:tcPr>
          <w:p w14:paraId="26ACD27C" w14:textId="77777777" w:rsidR="00112CAA" w:rsidRDefault="00112CAA" w:rsidP="00E87B2F">
            <w:pPr>
              <w:spacing w:line="252" w:lineRule="auto"/>
              <w:jc w:val="center"/>
              <w:rPr>
                <w:lang w:val="fr-FR"/>
              </w:rPr>
            </w:pPr>
            <w:r>
              <w:rPr>
                <w:lang w:val="fr-FR"/>
              </w:rPr>
              <w:t>1</w:t>
            </w:r>
          </w:p>
        </w:tc>
      </w:tr>
      <w:tr w:rsidR="00112CAA" w14:paraId="0B5083CC" w14:textId="77777777" w:rsidTr="00FC7880">
        <w:tc>
          <w:tcPr>
            <w:tcW w:w="1800" w:type="dxa"/>
            <w:tcBorders>
              <w:top w:val="nil"/>
              <w:left w:val="single" w:sz="8" w:space="0" w:color="auto"/>
              <w:bottom w:val="single" w:sz="8" w:space="0" w:color="auto"/>
              <w:right w:val="single" w:sz="8" w:space="0" w:color="auto"/>
            </w:tcBorders>
            <w:tcMar>
              <w:top w:w="0" w:type="dxa"/>
              <w:left w:w="97" w:type="dxa"/>
              <w:bottom w:w="0" w:type="dxa"/>
              <w:right w:w="97" w:type="dxa"/>
            </w:tcMar>
            <w:vAlign w:val="center"/>
            <w:hideMark/>
          </w:tcPr>
          <w:p w14:paraId="41F67628" w14:textId="77777777" w:rsidR="00112CAA" w:rsidRDefault="00112CAA" w:rsidP="00FC7880">
            <w:pPr>
              <w:spacing w:line="252" w:lineRule="auto"/>
            </w:pPr>
            <w:r>
              <w:t>Part B</w:t>
            </w:r>
          </w:p>
        </w:tc>
        <w:tc>
          <w:tcPr>
            <w:tcW w:w="1440" w:type="dxa"/>
            <w:tcBorders>
              <w:top w:val="nil"/>
              <w:left w:val="nil"/>
              <w:bottom w:val="single" w:sz="8" w:space="0" w:color="auto"/>
              <w:right w:val="single" w:sz="8" w:space="0" w:color="auto"/>
            </w:tcBorders>
            <w:tcMar>
              <w:top w:w="0" w:type="dxa"/>
              <w:left w:w="97" w:type="dxa"/>
              <w:bottom w:w="0" w:type="dxa"/>
              <w:right w:w="97" w:type="dxa"/>
            </w:tcMar>
            <w:vAlign w:val="center"/>
          </w:tcPr>
          <w:p w14:paraId="271FA8E3" w14:textId="77777777" w:rsidR="00112CAA" w:rsidRDefault="00112CAA" w:rsidP="00E87B2F">
            <w:pPr>
              <w:spacing w:line="252" w:lineRule="auto"/>
              <w:jc w:val="center"/>
              <w:rPr>
                <w:lang w:val="fr-FR"/>
              </w:rPr>
            </w:pPr>
          </w:p>
        </w:tc>
        <w:tc>
          <w:tcPr>
            <w:tcW w:w="1800" w:type="dxa"/>
            <w:tcBorders>
              <w:top w:val="nil"/>
              <w:left w:val="nil"/>
              <w:bottom w:val="single" w:sz="8" w:space="0" w:color="auto"/>
              <w:right w:val="single" w:sz="8" w:space="0" w:color="auto"/>
            </w:tcBorders>
            <w:tcMar>
              <w:top w:w="0" w:type="dxa"/>
              <w:left w:w="97" w:type="dxa"/>
              <w:bottom w:w="0" w:type="dxa"/>
              <w:right w:w="97" w:type="dxa"/>
            </w:tcMar>
            <w:vAlign w:val="center"/>
            <w:hideMark/>
          </w:tcPr>
          <w:p w14:paraId="049EC377" w14:textId="77777777" w:rsidR="00112CAA" w:rsidRDefault="00112CAA" w:rsidP="00E87B2F">
            <w:pPr>
              <w:spacing w:line="252" w:lineRule="auto"/>
              <w:jc w:val="center"/>
              <w:rPr>
                <w:lang w:val="fr-FR"/>
              </w:rPr>
            </w:pPr>
            <w:r>
              <w:rPr>
                <w:lang w:val="fr-FR"/>
              </w:rPr>
              <w:t>1</w:t>
            </w:r>
          </w:p>
        </w:tc>
        <w:tc>
          <w:tcPr>
            <w:tcW w:w="1440" w:type="dxa"/>
            <w:tcBorders>
              <w:top w:val="nil"/>
              <w:left w:val="nil"/>
              <w:bottom w:val="single" w:sz="8" w:space="0" w:color="auto"/>
              <w:right w:val="single" w:sz="8" w:space="0" w:color="auto"/>
            </w:tcBorders>
            <w:tcMar>
              <w:top w:w="0" w:type="dxa"/>
              <w:left w:w="97" w:type="dxa"/>
              <w:bottom w:w="0" w:type="dxa"/>
              <w:right w:w="97" w:type="dxa"/>
            </w:tcMar>
            <w:vAlign w:val="center"/>
          </w:tcPr>
          <w:p w14:paraId="59BD6C25" w14:textId="77777777" w:rsidR="00112CAA" w:rsidRDefault="00112CAA" w:rsidP="00E87B2F">
            <w:pPr>
              <w:spacing w:line="252" w:lineRule="auto"/>
              <w:jc w:val="center"/>
              <w:rPr>
                <w:lang w:val="fr-FR"/>
              </w:rPr>
            </w:pPr>
          </w:p>
        </w:tc>
        <w:tc>
          <w:tcPr>
            <w:tcW w:w="1350" w:type="dxa"/>
            <w:tcBorders>
              <w:top w:val="nil"/>
              <w:left w:val="nil"/>
              <w:bottom w:val="single" w:sz="8" w:space="0" w:color="auto"/>
              <w:right w:val="single" w:sz="8" w:space="0" w:color="auto"/>
            </w:tcBorders>
            <w:tcMar>
              <w:top w:w="0" w:type="dxa"/>
              <w:left w:w="97" w:type="dxa"/>
              <w:bottom w:w="0" w:type="dxa"/>
              <w:right w:w="97" w:type="dxa"/>
            </w:tcMar>
            <w:vAlign w:val="center"/>
            <w:hideMark/>
          </w:tcPr>
          <w:p w14:paraId="52EA9EF5" w14:textId="77777777" w:rsidR="00112CAA" w:rsidRDefault="00112CAA" w:rsidP="00E87B2F">
            <w:pPr>
              <w:spacing w:line="252" w:lineRule="auto"/>
              <w:jc w:val="center"/>
              <w:rPr>
                <w:lang w:val="fr-FR"/>
              </w:rPr>
            </w:pPr>
            <w:r>
              <w:rPr>
                <w:lang w:val="fr-FR"/>
              </w:rPr>
              <w:t>7</w:t>
            </w:r>
          </w:p>
        </w:tc>
        <w:tc>
          <w:tcPr>
            <w:tcW w:w="1440" w:type="dxa"/>
            <w:tcBorders>
              <w:top w:val="nil"/>
              <w:left w:val="nil"/>
              <w:bottom w:val="single" w:sz="8" w:space="0" w:color="auto"/>
              <w:right w:val="single" w:sz="8" w:space="0" w:color="auto"/>
            </w:tcBorders>
            <w:tcMar>
              <w:top w:w="0" w:type="dxa"/>
              <w:left w:w="97" w:type="dxa"/>
              <w:bottom w:w="0" w:type="dxa"/>
              <w:right w:w="97" w:type="dxa"/>
            </w:tcMar>
            <w:vAlign w:val="center"/>
          </w:tcPr>
          <w:p w14:paraId="0DE0FCD7" w14:textId="77777777" w:rsidR="00112CAA" w:rsidRDefault="00112CAA" w:rsidP="00E87B2F">
            <w:pPr>
              <w:spacing w:line="252" w:lineRule="auto"/>
              <w:jc w:val="center"/>
              <w:rPr>
                <w:lang w:val="fr-FR"/>
              </w:rPr>
            </w:pPr>
            <w:r>
              <w:rPr>
                <w:lang w:val="fr-FR"/>
              </w:rPr>
              <w:t>7</w:t>
            </w:r>
          </w:p>
        </w:tc>
      </w:tr>
      <w:tr w:rsidR="00112CAA" w14:paraId="1238624D" w14:textId="77777777" w:rsidTr="00FC7880">
        <w:tc>
          <w:tcPr>
            <w:tcW w:w="1800" w:type="dxa"/>
            <w:tcBorders>
              <w:top w:val="nil"/>
              <w:left w:val="single" w:sz="8" w:space="0" w:color="auto"/>
              <w:bottom w:val="single" w:sz="8" w:space="0" w:color="auto"/>
              <w:right w:val="single" w:sz="8" w:space="0" w:color="auto"/>
            </w:tcBorders>
            <w:tcMar>
              <w:top w:w="0" w:type="dxa"/>
              <w:left w:w="97" w:type="dxa"/>
              <w:bottom w:w="0" w:type="dxa"/>
              <w:right w:w="97" w:type="dxa"/>
            </w:tcMar>
            <w:vAlign w:val="center"/>
            <w:hideMark/>
          </w:tcPr>
          <w:p w14:paraId="2ADCEBB9" w14:textId="77777777" w:rsidR="00112CAA" w:rsidRDefault="00112CAA" w:rsidP="00FC7880">
            <w:pPr>
              <w:spacing w:line="252" w:lineRule="auto"/>
            </w:pPr>
            <w:r>
              <w:t>Part C</w:t>
            </w:r>
          </w:p>
        </w:tc>
        <w:tc>
          <w:tcPr>
            <w:tcW w:w="1440" w:type="dxa"/>
            <w:tcBorders>
              <w:top w:val="nil"/>
              <w:left w:val="nil"/>
              <w:bottom w:val="single" w:sz="8" w:space="0" w:color="auto"/>
              <w:right w:val="single" w:sz="8" w:space="0" w:color="auto"/>
            </w:tcBorders>
            <w:tcMar>
              <w:top w:w="0" w:type="dxa"/>
              <w:left w:w="97" w:type="dxa"/>
              <w:bottom w:w="0" w:type="dxa"/>
              <w:right w:w="97" w:type="dxa"/>
            </w:tcMar>
            <w:vAlign w:val="center"/>
          </w:tcPr>
          <w:p w14:paraId="784BDE09" w14:textId="77777777" w:rsidR="00112CAA" w:rsidRDefault="00112CAA" w:rsidP="00E87B2F">
            <w:pPr>
              <w:spacing w:line="252" w:lineRule="auto"/>
              <w:jc w:val="center"/>
              <w:rPr>
                <w:lang w:val="fr-FR"/>
              </w:rPr>
            </w:pPr>
          </w:p>
        </w:tc>
        <w:tc>
          <w:tcPr>
            <w:tcW w:w="1800" w:type="dxa"/>
            <w:tcBorders>
              <w:top w:val="nil"/>
              <w:left w:val="nil"/>
              <w:bottom w:val="single" w:sz="8" w:space="0" w:color="auto"/>
              <w:right w:val="single" w:sz="8" w:space="0" w:color="auto"/>
            </w:tcBorders>
            <w:tcMar>
              <w:top w:w="0" w:type="dxa"/>
              <w:left w:w="97" w:type="dxa"/>
              <w:bottom w:w="0" w:type="dxa"/>
              <w:right w:w="97" w:type="dxa"/>
            </w:tcMar>
            <w:vAlign w:val="center"/>
            <w:hideMark/>
          </w:tcPr>
          <w:p w14:paraId="11920A90" w14:textId="77777777" w:rsidR="00112CAA" w:rsidRDefault="00112CAA" w:rsidP="00E87B2F">
            <w:pPr>
              <w:spacing w:line="252" w:lineRule="auto"/>
              <w:jc w:val="center"/>
              <w:rPr>
                <w:lang w:val="fr-FR"/>
              </w:rPr>
            </w:pPr>
            <w:r>
              <w:rPr>
                <w:lang w:val="fr-FR"/>
              </w:rPr>
              <w:t>1</w:t>
            </w:r>
          </w:p>
        </w:tc>
        <w:tc>
          <w:tcPr>
            <w:tcW w:w="1440" w:type="dxa"/>
            <w:tcBorders>
              <w:top w:val="nil"/>
              <w:left w:val="nil"/>
              <w:bottom w:val="single" w:sz="8" w:space="0" w:color="auto"/>
              <w:right w:val="single" w:sz="8" w:space="0" w:color="auto"/>
            </w:tcBorders>
            <w:tcMar>
              <w:top w:w="0" w:type="dxa"/>
              <w:left w:w="97" w:type="dxa"/>
              <w:bottom w:w="0" w:type="dxa"/>
              <w:right w:w="97" w:type="dxa"/>
            </w:tcMar>
            <w:vAlign w:val="center"/>
          </w:tcPr>
          <w:p w14:paraId="2AAC0391" w14:textId="77777777" w:rsidR="00112CAA" w:rsidRDefault="00112CAA" w:rsidP="00E87B2F">
            <w:pPr>
              <w:spacing w:line="252" w:lineRule="auto"/>
              <w:jc w:val="center"/>
              <w:rPr>
                <w:lang w:val="fr-FR"/>
              </w:rPr>
            </w:pPr>
          </w:p>
        </w:tc>
        <w:tc>
          <w:tcPr>
            <w:tcW w:w="1350" w:type="dxa"/>
            <w:tcBorders>
              <w:top w:val="nil"/>
              <w:left w:val="nil"/>
              <w:bottom w:val="single" w:sz="8" w:space="0" w:color="auto"/>
              <w:right w:val="single" w:sz="8" w:space="0" w:color="auto"/>
            </w:tcBorders>
            <w:tcMar>
              <w:top w:w="0" w:type="dxa"/>
              <w:left w:w="97" w:type="dxa"/>
              <w:bottom w:w="0" w:type="dxa"/>
              <w:right w:w="97" w:type="dxa"/>
            </w:tcMar>
            <w:vAlign w:val="center"/>
            <w:hideMark/>
          </w:tcPr>
          <w:p w14:paraId="24118F92" w14:textId="77777777" w:rsidR="00112CAA" w:rsidRDefault="00112CAA" w:rsidP="00E87B2F">
            <w:pPr>
              <w:spacing w:line="252" w:lineRule="auto"/>
              <w:jc w:val="center"/>
              <w:rPr>
                <w:lang w:val="fr-FR"/>
              </w:rPr>
            </w:pPr>
            <w:r>
              <w:rPr>
                <w:lang w:val="fr-FR"/>
              </w:rPr>
              <w:t>2</w:t>
            </w:r>
          </w:p>
        </w:tc>
        <w:tc>
          <w:tcPr>
            <w:tcW w:w="1440" w:type="dxa"/>
            <w:tcBorders>
              <w:top w:val="nil"/>
              <w:left w:val="nil"/>
              <w:bottom w:val="single" w:sz="8" w:space="0" w:color="auto"/>
              <w:right w:val="single" w:sz="8" w:space="0" w:color="auto"/>
            </w:tcBorders>
            <w:tcMar>
              <w:top w:w="0" w:type="dxa"/>
              <w:left w:w="97" w:type="dxa"/>
              <w:bottom w:w="0" w:type="dxa"/>
              <w:right w:w="97" w:type="dxa"/>
            </w:tcMar>
            <w:vAlign w:val="center"/>
          </w:tcPr>
          <w:p w14:paraId="50BD88DD" w14:textId="77777777" w:rsidR="00112CAA" w:rsidRDefault="00112CAA" w:rsidP="00E87B2F">
            <w:pPr>
              <w:spacing w:line="252" w:lineRule="auto"/>
              <w:jc w:val="center"/>
              <w:rPr>
                <w:lang w:val="fr-FR"/>
              </w:rPr>
            </w:pPr>
            <w:r>
              <w:rPr>
                <w:lang w:val="fr-FR"/>
              </w:rPr>
              <w:t>2</w:t>
            </w:r>
          </w:p>
        </w:tc>
      </w:tr>
      <w:tr w:rsidR="00112CAA" w14:paraId="6F009DCD" w14:textId="77777777" w:rsidTr="00FC7880">
        <w:tc>
          <w:tcPr>
            <w:tcW w:w="1800" w:type="dxa"/>
            <w:tcBorders>
              <w:top w:val="nil"/>
              <w:left w:val="single" w:sz="8" w:space="0" w:color="auto"/>
              <w:bottom w:val="single" w:sz="8" w:space="0" w:color="auto"/>
              <w:right w:val="single" w:sz="8" w:space="0" w:color="auto"/>
            </w:tcBorders>
            <w:tcMar>
              <w:top w:w="0" w:type="dxa"/>
              <w:left w:w="97" w:type="dxa"/>
              <w:bottom w:w="0" w:type="dxa"/>
              <w:right w:w="97" w:type="dxa"/>
            </w:tcMar>
            <w:vAlign w:val="center"/>
            <w:hideMark/>
          </w:tcPr>
          <w:p w14:paraId="181FD98D" w14:textId="77777777" w:rsidR="00112CAA" w:rsidRDefault="00112CAA" w:rsidP="00FC7880">
            <w:pPr>
              <w:spacing w:line="252" w:lineRule="auto"/>
              <w:rPr>
                <w:lang w:val="fr-FR"/>
              </w:rPr>
            </w:pPr>
            <w:r>
              <w:rPr>
                <w:lang w:val="fr-FR"/>
              </w:rPr>
              <w:t>Total</w:t>
            </w:r>
          </w:p>
        </w:tc>
        <w:tc>
          <w:tcPr>
            <w:tcW w:w="1440" w:type="dxa"/>
            <w:tcBorders>
              <w:top w:val="nil"/>
              <w:left w:val="nil"/>
              <w:bottom w:val="single" w:sz="8" w:space="0" w:color="auto"/>
              <w:right w:val="single" w:sz="8" w:space="0" w:color="auto"/>
            </w:tcBorders>
            <w:tcMar>
              <w:top w:w="0" w:type="dxa"/>
              <w:left w:w="97" w:type="dxa"/>
              <w:bottom w:w="0" w:type="dxa"/>
              <w:right w:w="97" w:type="dxa"/>
            </w:tcMar>
          </w:tcPr>
          <w:p w14:paraId="18E9A4D5" w14:textId="77777777" w:rsidR="00112CAA" w:rsidRDefault="00112CAA" w:rsidP="00E87B2F">
            <w:pPr>
              <w:spacing w:line="252" w:lineRule="auto"/>
              <w:jc w:val="center"/>
              <w:rPr>
                <w:lang w:val="fr-FR"/>
              </w:rPr>
            </w:pPr>
          </w:p>
        </w:tc>
        <w:tc>
          <w:tcPr>
            <w:tcW w:w="1800" w:type="dxa"/>
            <w:tcBorders>
              <w:top w:val="nil"/>
              <w:left w:val="nil"/>
              <w:bottom w:val="single" w:sz="8" w:space="0" w:color="auto"/>
              <w:right w:val="single" w:sz="8" w:space="0" w:color="auto"/>
            </w:tcBorders>
            <w:tcMar>
              <w:top w:w="0" w:type="dxa"/>
              <w:left w:w="97" w:type="dxa"/>
              <w:bottom w:w="0" w:type="dxa"/>
              <w:right w:w="97" w:type="dxa"/>
            </w:tcMar>
          </w:tcPr>
          <w:p w14:paraId="5665321B" w14:textId="77777777" w:rsidR="00112CAA" w:rsidRDefault="00112CAA" w:rsidP="00E87B2F">
            <w:pPr>
              <w:spacing w:line="252" w:lineRule="auto"/>
              <w:jc w:val="center"/>
              <w:rPr>
                <w:lang w:val="fr-FR"/>
              </w:rPr>
            </w:pPr>
          </w:p>
        </w:tc>
        <w:tc>
          <w:tcPr>
            <w:tcW w:w="1440" w:type="dxa"/>
            <w:tcBorders>
              <w:top w:val="nil"/>
              <w:left w:val="nil"/>
              <w:bottom w:val="single" w:sz="8" w:space="0" w:color="auto"/>
              <w:right w:val="single" w:sz="8" w:space="0" w:color="auto"/>
            </w:tcBorders>
            <w:tcMar>
              <w:top w:w="0" w:type="dxa"/>
              <w:left w:w="97" w:type="dxa"/>
              <w:bottom w:w="0" w:type="dxa"/>
              <w:right w:w="97" w:type="dxa"/>
            </w:tcMar>
          </w:tcPr>
          <w:p w14:paraId="03400E87" w14:textId="77777777" w:rsidR="00112CAA" w:rsidRDefault="00112CAA" w:rsidP="00E87B2F">
            <w:pPr>
              <w:spacing w:line="252" w:lineRule="auto"/>
              <w:jc w:val="center"/>
              <w:rPr>
                <w:lang w:val="fr-FR"/>
              </w:rPr>
            </w:pPr>
          </w:p>
        </w:tc>
        <w:tc>
          <w:tcPr>
            <w:tcW w:w="1350" w:type="dxa"/>
            <w:tcBorders>
              <w:top w:val="nil"/>
              <w:left w:val="nil"/>
              <w:bottom w:val="single" w:sz="8" w:space="0" w:color="auto"/>
              <w:right w:val="single" w:sz="8" w:space="0" w:color="auto"/>
            </w:tcBorders>
            <w:tcMar>
              <w:top w:w="0" w:type="dxa"/>
              <w:left w:w="97" w:type="dxa"/>
              <w:bottom w:w="0" w:type="dxa"/>
              <w:right w:w="97" w:type="dxa"/>
            </w:tcMar>
            <w:hideMark/>
          </w:tcPr>
          <w:p w14:paraId="4B7A06EB" w14:textId="77777777" w:rsidR="00112CAA" w:rsidRDefault="00112CAA" w:rsidP="00E87B2F">
            <w:pPr>
              <w:spacing w:line="252" w:lineRule="auto"/>
              <w:jc w:val="center"/>
              <w:rPr>
                <w:lang w:val="fr-FR"/>
              </w:rPr>
            </w:pPr>
            <w:r>
              <w:rPr>
                <w:lang w:val="fr-FR"/>
              </w:rPr>
              <w:t>10</w:t>
            </w:r>
          </w:p>
        </w:tc>
        <w:tc>
          <w:tcPr>
            <w:tcW w:w="1440" w:type="dxa"/>
            <w:tcBorders>
              <w:top w:val="nil"/>
              <w:left w:val="nil"/>
              <w:bottom w:val="single" w:sz="8" w:space="0" w:color="auto"/>
              <w:right w:val="single" w:sz="8" w:space="0" w:color="auto"/>
            </w:tcBorders>
            <w:tcMar>
              <w:top w:w="0" w:type="dxa"/>
              <w:left w:w="97" w:type="dxa"/>
              <w:bottom w:w="0" w:type="dxa"/>
              <w:right w:w="97" w:type="dxa"/>
            </w:tcMar>
          </w:tcPr>
          <w:p w14:paraId="23682FDB" w14:textId="77777777" w:rsidR="00112CAA" w:rsidRDefault="00112CAA" w:rsidP="00E87B2F">
            <w:pPr>
              <w:spacing w:line="252" w:lineRule="auto"/>
              <w:jc w:val="center"/>
            </w:pPr>
            <w:r>
              <w:rPr>
                <w:lang w:val="fr-FR"/>
              </w:rPr>
              <w:t>10</w:t>
            </w:r>
          </w:p>
        </w:tc>
      </w:tr>
      <w:tr w:rsidR="00112CAA" w14:paraId="7584B334" w14:textId="77777777" w:rsidTr="00FC7880">
        <w:tc>
          <w:tcPr>
            <w:tcW w:w="1800" w:type="dxa"/>
            <w:tcBorders>
              <w:top w:val="nil"/>
              <w:left w:val="single" w:sz="8" w:space="0" w:color="auto"/>
              <w:bottom w:val="single" w:sz="8" w:space="0" w:color="auto"/>
              <w:right w:val="single" w:sz="8" w:space="0" w:color="auto"/>
            </w:tcBorders>
            <w:tcMar>
              <w:top w:w="0" w:type="dxa"/>
              <w:left w:w="97" w:type="dxa"/>
              <w:bottom w:w="0" w:type="dxa"/>
              <w:right w:w="97" w:type="dxa"/>
            </w:tcMar>
            <w:vAlign w:val="center"/>
            <w:hideMark/>
          </w:tcPr>
          <w:p w14:paraId="05B2B8FD" w14:textId="77777777" w:rsidR="00112CAA" w:rsidRDefault="00112CAA" w:rsidP="00FC7880">
            <w:pPr>
              <w:spacing w:line="252" w:lineRule="auto"/>
              <w:jc w:val="right"/>
              <w:rPr>
                <w:lang w:val="fr-FR"/>
              </w:rPr>
            </w:pPr>
            <w:r>
              <w:rPr>
                <w:lang w:val="fr-FR"/>
              </w:rPr>
              <w:t>Average</w:t>
            </w:r>
          </w:p>
        </w:tc>
        <w:tc>
          <w:tcPr>
            <w:tcW w:w="1440" w:type="dxa"/>
            <w:tcBorders>
              <w:top w:val="nil"/>
              <w:left w:val="nil"/>
              <w:bottom w:val="single" w:sz="8" w:space="0" w:color="auto"/>
              <w:right w:val="single" w:sz="8" w:space="0" w:color="auto"/>
            </w:tcBorders>
            <w:tcMar>
              <w:top w:w="0" w:type="dxa"/>
              <w:left w:w="97" w:type="dxa"/>
              <w:bottom w:w="0" w:type="dxa"/>
              <w:right w:w="97" w:type="dxa"/>
            </w:tcMar>
          </w:tcPr>
          <w:p w14:paraId="346F6A99" w14:textId="77777777" w:rsidR="00112CAA" w:rsidRDefault="00112CAA" w:rsidP="00E87B2F">
            <w:pPr>
              <w:spacing w:line="252" w:lineRule="auto"/>
              <w:jc w:val="center"/>
              <w:rPr>
                <w:lang w:val="fr-FR"/>
              </w:rPr>
            </w:pPr>
          </w:p>
        </w:tc>
        <w:tc>
          <w:tcPr>
            <w:tcW w:w="1800" w:type="dxa"/>
            <w:tcBorders>
              <w:top w:val="nil"/>
              <w:left w:val="nil"/>
              <w:bottom w:val="single" w:sz="8" w:space="0" w:color="auto"/>
              <w:right w:val="single" w:sz="8" w:space="0" w:color="auto"/>
            </w:tcBorders>
            <w:tcMar>
              <w:top w:w="0" w:type="dxa"/>
              <w:left w:w="97" w:type="dxa"/>
              <w:bottom w:w="0" w:type="dxa"/>
              <w:right w:w="97" w:type="dxa"/>
            </w:tcMar>
          </w:tcPr>
          <w:p w14:paraId="31593B43" w14:textId="77777777" w:rsidR="00112CAA" w:rsidRDefault="00112CAA" w:rsidP="00E87B2F">
            <w:pPr>
              <w:spacing w:line="252" w:lineRule="auto"/>
              <w:jc w:val="center"/>
              <w:rPr>
                <w:lang w:val="fr-FR"/>
              </w:rPr>
            </w:pPr>
          </w:p>
        </w:tc>
        <w:tc>
          <w:tcPr>
            <w:tcW w:w="1440" w:type="dxa"/>
            <w:tcBorders>
              <w:top w:val="nil"/>
              <w:left w:val="nil"/>
              <w:bottom w:val="single" w:sz="8" w:space="0" w:color="auto"/>
              <w:right w:val="single" w:sz="8" w:space="0" w:color="auto"/>
            </w:tcBorders>
            <w:tcMar>
              <w:top w:w="0" w:type="dxa"/>
              <w:left w:w="97" w:type="dxa"/>
              <w:bottom w:w="0" w:type="dxa"/>
              <w:right w:w="97" w:type="dxa"/>
            </w:tcMar>
          </w:tcPr>
          <w:p w14:paraId="47433E59" w14:textId="77777777" w:rsidR="00112CAA" w:rsidRDefault="00112CAA" w:rsidP="00E87B2F">
            <w:pPr>
              <w:spacing w:line="252" w:lineRule="auto"/>
              <w:jc w:val="center"/>
              <w:rPr>
                <w:lang w:val="fr-FR"/>
              </w:rPr>
            </w:pPr>
          </w:p>
        </w:tc>
        <w:tc>
          <w:tcPr>
            <w:tcW w:w="1350" w:type="dxa"/>
            <w:tcBorders>
              <w:top w:val="nil"/>
              <w:left w:val="nil"/>
              <w:bottom w:val="single" w:sz="8" w:space="0" w:color="auto"/>
              <w:right w:val="single" w:sz="8" w:space="0" w:color="auto"/>
            </w:tcBorders>
            <w:tcMar>
              <w:top w:w="0" w:type="dxa"/>
              <w:left w:w="97" w:type="dxa"/>
              <w:bottom w:w="0" w:type="dxa"/>
              <w:right w:w="97" w:type="dxa"/>
            </w:tcMar>
            <w:hideMark/>
          </w:tcPr>
          <w:p w14:paraId="79BBC155" w14:textId="77777777" w:rsidR="00112CAA" w:rsidRDefault="00112CAA" w:rsidP="00E87B2F">
            <w:pPr>
              <w:spacing w:line="252" w:lineRule="auto"/>
              <w:jc w:val="center"/>
              <w:rPr>
                <w:lang w:val="fr-FR"/>
              </w:rPr>
            </w:pPr>
            <w:r>
              <w:rPr>
                <w:lang w:val="fr-FR"/>
              </w:rPr>
              <w:t>3</w:t>
            </w:r>
          </w:p>
        </w:tc>
        <w:tc>
          <w:tcPr>
            <w:tcW w:w="1440" w:type="dxa"/>
            <w:tcBorders>
              <w:top w:val="nil"/>
              <w:left w:val="nil"/>
              <w:bottom w:val="single" w:sz="8" w:space="0" w:color="auto"/>
              <w:right w:val="single" w:sz="8" w:space="0" w:color="auto"/>
            </w:tcBorders>
            <w:tcMar>
              <w:top w:w="0" w:type="dxa"/>
              <w:left w:w="97" w:type="dxa"/>
              <w:bottom w:w="0" w:type="dxa"/>
              <w:right w:w="97" w:type="dxa"/>
            </w:tcMar>
          </w:tcPr>
          <w:p w14:paraId="32F4D463" w14:textId="77777777" w:rsidR="00112CAA" w:rsidRDefault="00112CAA" w:rsidP="00E87B2F">
            <w:pPr>
              <w:spacing w:line="252" w:lineRule="auto"/>
              <w:jc w:val="center"/>
            </w:pPr>
            <w:r>
              <w:rPr>
                <w:lang w:val="fr-FR"/>
              </w:rPr>
              <w:t>3</w:t>
            </w:r>
          </w:p>
        </w:tc>
      </w:tr>
    </w:tbl>
    <w:p w14:paraId="6CD32274" w14:textId="185EA6EB" w:rsidR="00254F0A" w:rsidRPr="00ED1AFD" w:rsidRDefault="0035460E" w:rsidP="00501A20">
      <w:pPr>
        <w:ind w:left="2160" w:hanging="2160"/>
        <w:rPr>
          <w:rFonts w:cs="Times New Roman"/>
        </w:rPr>
      </w:pPr>
      <w:r w:rsidRPr="00ED1AFD">
        <w:rPr>
          <w:rFonts w:cs="Times New Roman"/>
        </w:rPr>
        <w:t xml:space="preserve"> </w:t>
      </w:r>
    </w:p>
    <w:p w14:paraId="7ADDB91E" w14:textId="5929015B" w:rsidR="00B14758" w:rsidRPr="00ED1AFD" w:rsidRDefault="00B14758" w:rsidP="00B14758">
      <w:pPr>
        <w:rPr>
          <w:rFonts w:cs="Times New Roman"/>
          <w:b/>
        </w:rPr>
      </w:pPr>
      <w:r w:rsidRPr="00ED1AFD">
        <w:rPr>
          <w:rFonts w:cs="Times New Roman"/>
          <w:b/>
        </w:rPr>
        <w:t xml:space="preserve">PROPOSED </w:t>
      </w:r>
      <w:r w:rsidR="008E5774" w:rsidRPr="00ED1AFD">
        <w:rPr>
          <w:rFonts w:cs="Times New Roman"/>
          <w:b/>
        </w:rPr>
        <w:t xml:space="preserve">CHANGES </w:t>
      </w:r>
      <w:r w:rsidR="00544BB2" w:rsidRPr="00ED1AFD">
        <w:rPr>
          <w:rFonts w:cs="Times New Roman"/>
          <w:b/>
        </w:rPr>
        <w:t xml:space="preserve">FOR THE </w:t>
      </w:r>
      <w:r w:rsidR="00AD196F" w:rsidRPr="00ED1AFD">
        <w:rPr>
          <w:rFonts w:cs="Times New Roman"/>
          <w:b/>
        </w:rPr>
        <w:t xml:space="preserve">RYAN WHITE HIV/AIDS PROGRAM </w:t>
      </w:r>
      <w:r w:rsidR="0082570C" w:rsidRPr="00ED1AFD">
        <w:rPr>
          <w:rFonts w:cs="Times New Roman"/>
          <w:b/>
        </w:rPr>
        <w:t>CLIENT-LEVEL DATA</w:t>
      </w:r>
      <w:r w:rsidR="00A27168" w:rsidRPr="00ED1AFD">
        <w:rPr>
          <w:rFonts w:cs="Times New Roman"/>
          <w:b/>
        </w:rPr>
        <w:t>:</w:t>
      </w:r>
    </w:p>
    <w:p w14:paraId="6C705209" w14:textId="77777777" w:rsidR="00A41FCA" w:rsidRPr="00ED1AFD" w:rsidRDefault="00A41FCA" w:rsidP="006F5CB7">
      <w:pPr>
        <w:pStyle w:val="ListParagraph"/>
        <w:numPr>
          <w:ilvl w:val="0"/>
          <w:numId w:val="3"/>
        </w:numPr>
        <w:spacing w:after="0" w:line="240" w:lineRule="auto"/>
        <w:contextualSpacing w:val="0"/>
      </w:pPr>
      <w:r w:rsidRPr="00ED1AFD">
        <w:t>C - 2017_Service_Provider_Form_Screenshots_252018_updated.docx  </w:t>
      </w:r>
    </w:p>
    <w:p w14:paraId="5F95495E" w14:textId="77777777" w:rsidR="00A41FCA" w:rsidRPr="00ED1AFD" w:rsidRDefault="00A41FCA" w:rsidP="006F5CB7">
      <w:pPr>
        <w:pStyle w:val="ListParagraph"/>
        <w:numPr>
          <w:ilvl w:val="1"/>
          <w:numId w:val="3"/>
        </w:numPr>
        <w:spacing w:after="0" w:line="240" w:lineRule="auto"/>
        <w:contextualSpacing w:val="0"/>
      </w:pPr>
      <w:r w:rsidRPr="00ED1AFD">
        <w:t>Addition of question 7* on page 4 of 10</w:t>
      </w:r>
    </w:p>
    <w:p w14:paraId="60A0E207" w14:textId="77777777" w:rsidR="00BF4ACF" w:rsidRPr="00ED1AFD" w:rsidRDefault="00BF4ACF" w:rsidP="006F5CB7">
      <w:pPr>
        <w:pStyle w:val="ListParagraph"/>
        <w:numPr>
          <w:ilvl w:val="2"/>
          <w:numId w:val="3"/>
        </w:numPr>
        <w:spacing w:after="0" w:line="240" w:lineRule="auto"/>
        <w:rPr>
          <w:rFonts w:cs="Arial"/>
        </w:rPr>
      </w:pPr>
      <w:r w:rsidRPr="00ED1AFD">
        <w:rPr>
          <w:rFonts w:cs="Arial"/>
        </w:rPr>
        <w:t xml:space="preserve">Within your organization/agency, identify the number of physicians, nurse practitioners, or physician assistants who obtained a Drug Addiction Treatment Act of 2000 (DATA) waiver to treat opioid use disorder with medications (medication assisted treatment [MAT], e.g. buprenorphine) specifically approved by the U.S. Food and Drug Administration (FDA).; </w:t>
      </w:r>
    </w:p>
    <w:p w14:paraId="170C00FC" w14:textId="77777777" w:rsidR="00BF4ACF" w:rsidRPr="00ED1AFD" w:rsidRDefault="00BF4ACF" w:rsidP="006F5CB7">
      <w:pPr>
        <w:pStyle w:val="ListParagraph"/>
        <w:numPr>
          <w:ilvl w:val="2"/>
          <w:numId w:val="3"/>
        </w:numPr>
        <w:spacing w:after="0" w:line="240" w:lineRule="auto"/>
        <w:rPr>
          <w:rFonts w:cs="Arial"/>
        </w:rPr>
      </w:pPr>
      <w:r w:rsidRPr="00ED1AFD">
        <w:rPr>
          <w:rFonts w:cs="Arial"/>
        </w:rPr>
        <w:t>How many of the above physicians, nurse practitioners, or physician assistants prescribed MAT (e.g. buprenorphine, vivitrol) for opioid use disorders in the reporting year?; and</w:t>
      </w:r>
    </w:p>
    <w:p w14:paraId="428E803D" w14:textId="77777777" w:rsidR="00BF4ACF" w:rsidRPr="00ED1AFD" w:rsidRDefault="00BF4ACF" w:rsidP="006F5CB7">
      <w:pPr>
        <w:pStyle w:val="ListParagraph"/>
        <w:numPr>
          <w:ilvl w:val="2"/>
          <w:numId w:val="3"/>
        </w:numPr>
        <w:spacing w:after="0" w:line="240" w:lineRule="auto"/>
        <w:rPr>
          <w:rFonts w:cs="Arial"/>
        </w:rPr>
      </w:pPr>
      <w:r w:rsidRPr="00ED1AFD">
        <w:t>How many clients were treated with MAT during the reporting period?</w:t>
      </w:r>
    </w:p>
    <w:p w14:paraId="28E305B3" w14:textId="77777777" w:rsidR="009A6A10" w:rsidRPr="00ED1AFD" w:rsidRDefault="009A6A10" w:rsidP="009A6A10">
      <w:pPr>
        <w:rPr>
          <w:rFonts w:cs="Times New Roman"/>
          <w:b/>
        </w:rPr>
      </w:pPr>
      <w:r w:rsidRPr="00ED1AFD">
        <w:rPr>
          <w:rFonts w:cs="Times New Roman"/>
          <w:b/>
        </w:rPr>
        <w:t>Attachments:</w:t>
      </w:r>
    </w:p>
    <w:p w14:paraId="0B26E2A7" w14:textId="77777777" w:rsidR="00A41FCA" w:rsidRPr="00ED1AFD" w:rsidRDefault="00A41FCA" w:rsidP="006F5CB7">
      <w:pPr>
        <w:pStyle w:val="ListParagraph"/>
        <w:numPr>
          <w:ilvl w:val="0"/>
          <w:numId w:val="4"/>
        </w:numPr>
        <w:spacing w:after="0" w:line="240" w:lineRule="auto"/>
        <w:contextualSpacing w:val="0"/>
      </w:pPr>
      <w:r w:rsidRPr="00ED1AFD">
        <w:t>C - 2017_Service_Provider_Form_Screenshots_252018_updated.docx  </w:t>
      </w:r>
    </w:p>
    <w:p w14:paraId="5E976BEE" w14:textId="77777777" w:rsidR="00AD196F" w:rsidRPr="00ED1AFD" w:rsidRDefault="00AD196F" w:rsidP="001D67D1">
      <w:pPr>
        <w:rPr>
          <w:rFonts w:cs="Times New Roman"/>
          <w:b/>
        </w:rPr>
      </w:pPr>
    </w:p>
    <w:p w14:paraId="32F30C5E" w14:textId="2FE68C42" w:rsidR="001D67D1" w:rsidRPr="00ED1AFD" w:rsidRDefault="001D67D1" w:rsidP="0029565D">
      <w:pPr>
        <w:rPr>
          <w:rFonts w:ascii="Times New Roman" w:hAnsi="Times New Roman" w:cs="Times New Roman"/>
        </w:rPr>
      </w:pPr>
      <w:r w:rsidRPr="00ED1AFD">
        <w:rPr>
          <w:rFonts w:cs="Times New Roman"/>
          <w:b/>
        </w:rPr>
        <w:t>All proposed changes are indicated with tracked changes in the attached documents.</w:t>
      </w:r>
    </w:p>
    <w:sectPr w:rsidR="001D67D1" w:rsidRPr="00ED1AF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394B2" w14:textId="77777777" w:rsidR="003E540D" w:rsidRDefault="003E540D" w:rsidP="009A6A10">
      <w:pPr>
        <w:spacing w:after="0" w:line="240" w:lineRule="auto"/>
      </w:pPr>
      <w:r>
        <w:separator/>
      </w:r>
    </w:p>
  </w:endnote>
  <w:endnote w:type="continuationSeparator" w:id="0">
    <w:p w14:paraId="7751998C" w14:textId="77777777" w:rsidR="003E540D" w:rsidRDefault="003E540D" w:rsidP="009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21318" w14:textId="699385CE" w:rsidR="00531733" w:rsidRPr="00531733" w:rsidRDefault="00531733" w:rsidP="00531733">
    <w:pPr>
      <w:pStyle w:val="Footer"/>
      <w:jc w:val="right"/>
      <w:rPr>
        <w:color w:val="A6A6A6" w:themeColor="background1" w:themeShade="A6"/>
        <w:sz w:val="20"/>
      </w:rPr>
    </w:pPr>
    <w:r w:rsidRPr="00776233">
      <w:rPr>
        <w:rFonts w:ascii="Times New Roman" w:hAnsi="Times New Roman" w:cs="Times New Roman"/>
        <w:color w:val="A6A6A6" w:themeColor="background1" w:themeShade="A6"/>
        <w:sz w:val="18"/>
        <w:szCs w:val="20"/>
      </w:rPr>
      <w:t xml:space="preserve">Requested Changes to </w:t>
    </w:r>
    <w:r w:rsidR="00AD196F" w:rsidRPr="00AD196F">
      <w:rPr>
        <w:rFonts w:ascii="Times New Roman" w:hAnsi="Times New Roman" w:cs="Times New Roman"/>
        <w:color w:val="A6A6A6" w:themeColor="background1" w:themeShade="A6"/>
        <w:sz w:val="18"/>
        <w:szCs w:val="20"/>
      </w:rPr>
      <w:t xml:space="preserve">Health Resources and Services Administration’s (HRSA’s) Ryan White HIV/AIDS Program </w:t>
    </w:r>
    <w:r w:rsidR="00850EAB">
      <w:rPr>
        <w:rFonts w:ascii="Times New Roman" w:hAnsi="Times New Roman" w:cs="Times New Roman"/>
        <w:color w:val="A6A6A6" w:themeColor="background1" w:themeShade="A6"/>
        <w:sz w:val="18"/>
        <w:szCs w:val="20"/>
      </w:rPr>
      <w:t xml:space="preserve">Ryan White Services Report </w:t>
    </w:r>
    <w:r w:rsidR="00AD196F" w:rsidRPr="00AD196F">
      <w:rPr>
        <w:rFonts w:ascii="Times New Roman" w:hAnsi="Times New Roman" w:cs="Times New Roman"/>
        <w:color w:val="A6A6A6" w:themeColor="background1" w:themeShade="A6"/>
        <w:sz w:val="18"/>
        <w:szCs w:val="20"/>
      </w:rPr>
      <w:t>(</w:t>
    </w:r>
    <w:r w:rsidR="00850EAB">
      <w:rPr>
        <w:rFonts w:ascii="Times New Roman" w:hAnsi="Times New Roman" w:cs="Times New Roman"/>
        <w:color w:val="A6A6A6" w:themeColor="background1" w:themeShade="A6"/>
        <w:sz w:val="18"/>
        <w:szCs w:val="20"/>
      </w:rPr>
      <w:t>RSR</w:t>
    </w:r>
    <w:r w:rsidR="00AD196F" w:rsidRPr="00AD196F">
      <w:rPr>
        <w:rFonts w:ascii="Times New Roman" w:hAnsi="Times New Roman" w:cs="Times New Roman"/>
        <w:color w:val="A6A6A6" w:themeColor="background1" w:themeShade="A6"/>
        <w:sz w:val="18"/>
        <w:szCs w:val="20"/>
      </w:rPr>
      <w:t xml:space="preserve">) </w:t>
    </w:r>
    <w:r w:rsidR="004734A7" w:rsidRPr="00776233">
      <w:rPr>
        <w:rFonts w:ascii="Times New Roman" w:hAnsi="Times New Roman" w:cs="Times New Roman"/>
        <w:color w:val="A6A6A6" w:themeColor="background1" w:themeShade="A6"/>
        <w:sz w:val="18"/>
        <w:szCs w:val="20"/>
      </w:rPr>
      <w:t>(</w:t>
    </w:r>
    <w:r w:rsidR="00AD196F" w:rsidRPr="00AD196F">
      <w:rPr>
        <w:rFonts w:ascii="Times New Roman" w:hAnsi="Times New Roman" w:cs="Times New Roman"/>
        <w:color w:val="A6A6A6" w:themeColor="background1" w:themeShade="A6"/>
        <w:sz w:val="18"/>
        <w:szCs w:val="20"/>
      </w:rPr>
      <w:t>OMB #0915-03</w:t>
    </w:r>
    <w:r w:rsidR="00850EAB">
      <w:rPr>
        <w:rFonts w:ascii="Times New Roman" w:hAnsi="Times New Roman" w:cs="Times New Roman"/>
        <w:color w:val="A6A6A6" w:themeColor="background1" w:themeShade="A6"/>
        <w:sz w:val="18"/>
        <w:szCs w:val="20"/>
      </w:rPr>
      <w:t>23</w:t>
    </w:r>
    <w:r w:rsidR="00AD196F" w:rsidRPr="00AD196F">
      <w:rPr>
        <w:rFonts w:ascii="Times New Roman" w:hAnsi="Times New Roman" w:cs="Times New Roman"/>
        <w:color w:val="A6A6A6" w:themeColor="background1" w:themeShade="A6"/>
        <w:sz w:val="18"/>
        <w:szCs w:val="20"/>
      </w:rPr>
      <w:t>, expires 7/31/2020</w:t>
    </w:r>
    <w:r w:rsidRPr="00776233">
      <w:rPr>
        <w:rFonts w:ascii="Times New Roman" w:hAnsi="Times New Roman" w:cs="Times New Roman"/>
        <w:color w:val="A6A6A6" w:themeColor="background1" w:themeShade="A6"/>
        <w:sz w:val="18"/>
        <w:szCs w:val="20"/>
      </w:rPr>
      <w:t xml:space="preserve">), Page </w:t>
    </w:r>
    <w:r w:rsidRPr="00776233">
      <w:rPr>
        <w:rFonts w:ascii="Times New Roman" w:hAnsi="Times New Roman" w:cs="Times New Roman"/>
        <w:color w:val="A6A6A6" w:themeColor="background1" w:themeShade="A6"/>
        <w:sz w:val="18"/>
        <w:szCs w:val="20"/>
      </w:rPr>
      <w:fldChar w:fldCharType="begin"/>
    </w:r>
    <w:r w:rsidRPr="00776233">
      <w:rPr>
        <w:rFonts w:ascii="Times New Roman" w:hAnsi="Times New Roman" w:cs="Times New Roman"/>
        <w:color w:val="A6A6A6" w:themeColor="background1" w:themeShade="A6"/>
        <w:sz w:val="18"/>
        <w:szCs w:val="20"/>
      </w:rPr>
      <w:instrText xml:space="preserve"> PAGE   \* MERGEFORMAT </w:instrText>
    </w:r>
    <w:r w:rsidRPr="00776233">
      <w:rPr>
        <w:rFonts w:ascii="Times New Roman" w:hAnsi="Times New Roman" w:cs="Times New Roman"/>
        <w:color w:val="A6A6A6" w:themeColor="background1" w:themeShade="A6"/>
        <w:sz w:val="18"/>
        <w:szCs w:val="20"/>
      </w:rPr>
      <w:fldChar w:fldCharType="separate"/>
    </w:r>
    <w:r w:rsidR="00F87FDB">
      <w:rPr>
        <w:rFonts w:ascii="Times New Roman" w:hAnsi="Times New Roman" w:cs="Times New Roman"/>
        <w:noProof/>
        <w:color w:val="A6A6A6" w:themeColor="background1" w:themeShade="A6"/>
        <w:sz w:val="18"/>
        <w:szCs w:val="20"/>
      </w:rPr>
      <w:t>1</w:t>
    </w:r>
    <w:r w:rsidRPr="00776233">
      <w:rPr>
        <w:rFonts w:ascii="Times New Roman" w:hAnsi="Times New Roman" w:cs="Times New Roman"/>
        <w:noProof/>
        <w:color w:val="A6A6A6" w:themeColor="background1" w:themeShade="A6"/>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CD30B" w14:textId="77777777" w:rsidR="003E540D" w:rsidRDefault="003E540D" w:rsidP="009A6A10">
      <w:pPr>
        <w:spacing w:after="0" w:line="240" w:lineRule="auto"/>
      </w:pPr>
      <w:r>
        <w:separator/>
      </w:r>
    </w:p>
  </w:footnote>
  <w:footnote w:type="continuationSeparator" w:id="0">
    <w:p w14:paraId="15C882CE" w14:textId="77777777" w:rsidR="003E540D" w:rsidRDefault="003E540D" w:rsidP="009A6A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6167A"/>
    <w:multiLevelType w:val="hybridMultilevel"/>
    <w:tmpl w:val="FF341FCE"/>
    <w:lvl w:ilvl="0" w:tplc="27D46F02">
      <w:numFmt w:val="bullet"/>
      <w:lvlText w:val="•"/>
      <w:lvlJc w:val="left"/>
      <w:pPr>
        <w:ind w:left="2880" w:hanging="720"/>
      </w:pPr>
      <w:rPr>
        <w:rFonts w:ascii="Calibri" w:eastAsiaTheme="minorHAnsi" w:hAnsi="Calibri" w:cstheme="minorBidi"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915B35"/>
    <w:multiLevelType w:val="hybridMultilevel"/>
    <w:tmpl w:val="2EF24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070493F"/>
    <w:multiLevelType w:val="hybridMultilevel"/>
    <w:tmpl w:val="7DE0859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797002A6"/>
    <w:multiLevelType w:val="hybridMultilevel"/>
    <w:tmpl w:val="2EF24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8"/>
    <w:rsid w:val="000000AF"/>
    <w:rsid w:val="00000625"/>
    <w:rsid w:val="00007F90"/>
    <w:rsid w:val="00010527"/>
    <w:rsid w:val="000209E3"/>
    <w:rsid w:val="00025B1C"/>
    <w:rsid w:val="0003654D"/>
    <w:rsid w:val="00053AD8"/>
    <w:rsid w:val="00057AB8"/>
    <w:rsid w:val="000752EC"/>
    <w:rsid w:val="000920A9"/>
    <w:rsid w:val="0009669E"/>
    <w:rsid w:val="000A1228"/>
    <w:rsid w:val="000A1FC6"/>
    <w:rsid w:val="000B464E"/>
    <w:rsid w:val="000D7FF0"/>
    <w:rsid w:val="000E0494"/>
    <w:rsid w:val="000E2FAB"/>
    <w:rsid w:val="000E46B9"/>
    <w:rsid w:val="000E717A"/>
    <w:rsid w:val="000F41AB"/>
    <w:rsid w:val="00106B2C"/>
    <w:rsid w:val="00112CAA"/>
    <w:rsid w:val="001162E2"/>
    <w:rsid w:val="001269BB"/>
    <w:rsid w:val="001527BF"/>
    <w:rsid w:val="001633F6"/>
    <w:rsid w:val="00190F65"/>
    <w:rsid w:val="00192267"/>
    <w:rsid w:val="001A259E"/>
    <w:rsid w:val="001A3673"/>
    <w:rsid w:val="001A4111"/>
    <w:rsid w:val="001B558E"/>
    <w:rsid w:val="001D2367"/>
    <w:rsid w:val="001D3871"/>
    <w:rsid w:val="001D424C"/>
    <w:rsid w:val="001D67D1"/>
    <w:rsid w:val="001D6E7E"/>
    <w:rsid w:val="001E36D0"/>
    <w:rsid w:val="00211FD1"/>
    <w:rsid w:val="00222C6F"/>
    <w:rsid w:val="00251FB6"/>
    <w:rsid w:val="002525FE"/>
    <w:rsid w:val="00254F0A"/>
    <w:rsid w:val="0026370C"/>
    <w:rsid w:val="00266A42"/>
    <w:rsid w:val="002673E6"/>
    <w:rsid w:val="00267F2E"/>
    <w:rsid w:val="00272C25"/>
    <w:rsid w:val="00280771"/>
    <w:rsid w:val="002831FB"/>
    <w:rsid w:val="002845DE"/>
    <w:rsid w:val="00292665"/>
    <w:rsid w:val="0029565D"/>
    <w:rsid w:val="00296BED"/>
    <w:rsid w:val="002C14D6"/>
    <w:rsid w:val="002C5790"/>
    <w:rsid w:val="002D5313"/>
    <w:rsid w:val="002E3DBB"/>
    <w:rsid w:val="002E491A"/>
    <w:rsid w:val="0030646E"/>
    <w:rsid w:val="00307719"/>
    <w:rsid w:val="00316F23"/>
    <w:rsid w:val="00320CCD"/>
    <w:rsid w:val="00324ADE"/>
    <w:rsid w:val="00326FD1"/>
    <w:rsid w:val="003338EB"/>
    <w:rsid w:val="00347714"/>
    <w:rsid w:val="0035460E"/>
    <w:rsid w:val="003549BD"/>
    <w:rsid w:val="00362608"/>
    <w:rsid w:val="0036777F"/>
    <w:rsid w:val="00370152"/>
    <w:rsid w:val="00371AC3"/>
    <w:rsid w:val="00386658"/>
    <w:rsid w:val="00394ECD"/>
    <w:rsid w:val="00397FAD"/>
    <w:rsid w:val="003A55F5"/>
    <w:rsid w:val="003A7DBF"/>
    <w:rsid w:val="003B5418"/>
    <w:rsid w:val="003C00EA"/>
    <w:rsid w:val="003C1B32"/>
    <w:rsid w:val="003C47AC"/>
    <w:rsid w:val="003C5767"/>
    <w:rsid w:val="003C5EF1"/>
    <w:rsid w:val="003D2DBC"/>
    <w:rsid w:val="003E540D"/>
    <w:rsid w:val="003E7647"/>
    <w:rsid w:val="003F22C9"/>
    <w:rsid w:val="003F3DF0"/>
    <w:rsid w:val="003F4061"/>
    <w:rsid w:val="003F71DF"/>
    <w:rsid w:val="00441171"/>
    <w:rsid w:val="00447240"/>
    <w:rsid w:val="0045005E"/>
    <w:rsid w:val="00462B8A"/>
    <w:rsid w:val="00464D05"/>
    <w:rsid w:val="00464E23"/>
    <w:rsid w:val="004734A7"/>
    <w:rsid w:val="00477D43"/>
    <w:rsid w:val="00481F9D"/>
    <w:rsid w:val="00482991"/>
    <w:rsid w:val="00491E90"/>
    <w:rsid w:val="00492747"/>
    <w:rsid w:val="004A3FCF"/>
    <w:rsid w:val="004A6ED9"/>
    <w:rsid w:val="004B51F4"/>
    <w:rsid w:val="004B6F1D"/>
    <w:rsid w:val="004C6049"/>
    <w:rsid w:val="004D741C"/>
    <w:rsid w:val="004F0A33"/>
    <w:rsid w:val="004F33C7"/>
    <w:rsid w:val="004F3515"/>
    <w:rsid w:val="004F6385"/>
    <w:rsid w:val="00501A20"/>
    <w:rsid w:val="00511628"/>
    <w:rsid w:val="00512B15"/>
    <w:rsid w:val="00517755"/>
    <w:rsid w:val="00526DEF"/>
    <w:rsid w:val="00531733"/>
    <w:rsid w:val="005331FF"/>
    <w:rsid w:val="00544BB2"/>
    <w:rsid w:val="00546152"/>
    <w:rsid w:val="00546DA6"/>
    <w:rsid w:val="005523E2"/>
    <w:rsid w:val="0055795F"/>
    <w:rsid w:val="00557DA4"/>
    <w:rsid w:val="00571A92"/>
    <w:rsid w:val="00573BAC"/>
    <w:rsid w:val="00584853"/>
    <w:rsid w:val="00586673"/>
    <w:rsid w:val="005B2783"/>
    <w:rsid w:val="005B6F11"/>
    <w:rsid w:val="005C43ED"/>
    <w:rsid w:val="005D7268"/>
    <w:rsid w:val="00607D6D"/>
    <w:rsid w:val="00610D4D"/>
    <w:rsid w:val="006164DF"/>
    <w:rsid w:val="0062430C"/>
    <w:rsid w:val="0062523D"/>
    <w:rsid w:val="00626243"/>
    <w:rsid w:val="006300D6"/>
    <w:rsid w:val="00632C02"/>
    <w:rsid w:val="006337F4"/>
    <w:rsid w:val="00643C62"/>
    <w:rsid w:val="00645BD4"/>
    <w:rsid w:val="00645CA0"/>
    <w:rsid w:val="00653515"/>
    <w:rsid w:val="0065667B"/>
    <w:rsid w:val="0066056B"/>
    <w:rsid w:val="006615FA"/>
    <w:rsid w:val="00663AB3"/>
    <w:rsid w:val="00675D0E"/>
    <w:rsid w:val="00676DA3"/>
    <w:rsid w:val="00677EB4"/>
    <w:rsid w:val="00684BB8"/>
    <w:rsid w:val="006904E7"/>
    <w:rsid w:val="00692255"/>
    <w:rsid w:val="00696FC1"/>
    <w:rsid w:val="00697A8A"/>
    <w:rsid w:val="006A307C"/>
    <w:rsid w:val="006B0038"/>
    <w:rsid w:val="006C12B2"/>
    <w:rsid w:val="006C171C"/>
    <w:rsid w:val="006D7903"/>
    <w:rsid w:val="006E7E17"/>
    <w:rsid w:val="006F4AFF"/>
    <w:rsid w:val="006F5CB7"/>
    <w:rsid w:val="00703D1C"/>
    <w:rsid w:val="0070508D"/>
    <w:rsid w:val="00720BFF"/>
    <w:rsid w:val="007304F7"/>
    <w:rsid w:val="007326EF"/>
    <w:rsid w:val="00733FC8"/>
    <w:rsid w:val="007363F3"/>
    <w:rsid w:val="0074003C"/>
    <w:rsid w:val="00742695"/>
    <w:rsid w:val="00747D3E"/>
    <w:rsid w:val="00747E37"/>
    <w:rsid w:val="00754A8E"/>
    <w:rsid w:val="007625ED"/>
    <w:rsid w:val="007641ED"/>
    <w:rsid w:val="00776233"/>
    <w:rsid w:val="00782C68"/>
    <w:rsid w:val="007B1133"/>
    <w:rsid w:val="007E4BB8"/>
    <w:rsid w:val="007E7A24"/>
    <w:rsid w:val="007F357F"/>
    <w:rsid w:val="007F439D"/>
    <w:rsid w:val="007F5D4F"/>
    <w:rsid w:val="00805541"/>
    <w:rsid w:val="00807310"/>
    <w:rsid w:val="0082257D"/>
    <w:rsid w:val="0082570C"/>
    <w:rsid w:val="0083265D"/>
    <w:rsid w:val="00832C24"/>
    <w:rsid w:val="00834555"/>
    <w:rsid w:val="008451BF"/>
    <w:rsid w:val="00850EAB"/>
    <w:rsid w:val="00870806"/>
    <w:rsid w:val="00877D12"/>
    <w:rsid w:val="00885031"/>
    <w:rsid w:val="00890AA9"/>
    <w:rsid w:val="00890C63"/>
    <w:rsid w:val="008A1BBC"/>
    <w:rsid w:val="008A290A"/>
    <w:rsid w:val="008B1261"/>
    <w:rsid w:val="008D6FB9"/>
    <w:rsid w:val="008D70A3"/>
    <w:rsid w:val="008D7843"/>
    <w:rsid w:val="008E5774"/>
    <w:rsid w:val="008F5E87"/>
    <w:rsid w:val="00901714"/>
    <w:rsid w:val="0092061F"/>
    <w:rsid w:val="009271D9"/>
    <w:rsid w:val="009276E9"/>
    <w:rsid w:val="009302F7"/>
    <w:rsid w:val="00932A1E"/>
    <w:rsid w:val="00935C63"/>
    <w:rsid w:val="009403E0"/>
    <w:rsid w:val="00942FD4"/>
    <w:rsid w:val="0095548C"/>
    <w:rsid w:val="009569A7"/>
    <w:rsid w:val="00957BC4"/>
    <w:rsid w:val="00960C79"/>
    <w:rsid w:val="00961B1B"/>
    <w:rsid w:val="00972A65"/>
    <w:rsid w:val="00974DC1"/>
    <w:rsid w:val="009763F5"/>
    <w:rsid w:val="00976DD6"/>
    <w:rsid w:val="009944F5"/>
    <w:rsid w:val="00994CA7"/>
    <w:rsid w:val="009A6A10"/>
    <w:rsid w:val="009B16E2"/>
    <w:rsid w:val="009B1FDC"/>
    <w:rsid w:val="009B370A"/>
    <w:rsid w:val="009B40B2"/>
    <w:rsid w:val="009B751F"/>
    <w:rsid w:val="009B7C93"/>
    <w:rsid w:val="009C0820"/>
    <w:rsid w:val="009D6F79"/>
    <w:rsid w:val="009E7662"/>
    <w:rsid w:val="009F24D1"/>
    <w:rsid w:val="009F2C25"/>
    <w:rsid w:val="009F5CFB"/>
    <w:rsid w:val="009F6872"/>
    <w:rsid w:val="00A06FA8"/>
    <w:rsid w:val="00A130D6"/>
    <w:rsid w:val="00A14AE9"/>
    <w:rsid w:val="00A16B11"/>
    <w:rsid w:val="00A27168"/>
    <w:rsid w:val="00A41DFE"/>
    <w:rsid w:val="00A41FCA"/>
    <w:rsid w:val="00A57917"/>
    <w:rsid w:val="00A66251"/>
    <w:rsid w:val="00A725CE"/>
    <w:rsid w:val="00A77169"/>
    <w:rsid w:val="00A77A13"/>
    <w:rsid w:val="00A800F0"/>
    <w:rsid w:val="00A82B75"/>
    <w:rsid w:val="00A93ADF"/>
    <w:rsid w:val="00A9551C"/>
    <w:rsid w:val="00AA2E80"/>
    <w:rsid w:val="00AC3E6E"/>
    <w:rsid w:val="00AC559F"/>
    <w:rsid w:val="00AD0B5F"/>
    <w:rsid w:val="00AD196F"/>
    <w:rsid w:val="00AD219B"/>
    <w:rsid w:val="00AE11F6"/>
    <w:rsid w:val="00AF2874"/>
    <w:rsid w:val="00B049C9"/>
    <w:rsid w:val="00B05395"/>
    <w:rsid w:val="00B074F0"/>
    <w:rsid w:val="00B1188E"/>
    <w:rsid w:val="00B1302A"/>
    <w:rsid w:val="00B14758"/>
    <w:rsid w:val="00B16396"/>
    <w:rsid w:val="00B2176E"/>
    <w:rsid w:val="00B30E17"/>
    <w:rsid w:val="00B338DC"/>
    <w:rsid w:val="00B636A3"/>
    <w:rsid w:val="00B906F2"/>
    <w:rsid w:val="00B9132F"/>
    <w:rsid w:val="00B913BF"/>
    <w:rsid w:val="00BA145B"/>
    <w:rsid w:val="00BA398C"/>
    <w:rsid w:val="00BA46CA"/>
    <w:rsid w:val="00BB2EAE"/>
    <w:rsid w:val="00BC3316"/>
    <w:rsid w:val="00BD25BC"/>
    <w:rsid w:val="00BE52A0"/>
    <w:rsid w:val="00BF177E"/>
    <w:rsid w:val="00BF4980"/>
    <w:rsid w:val="00BF4ACF"/>
    <w:rsid w:val="00BF7192"/>
    <w:rsid w:val="00C07779"/>
    <w:rsid w:val="00C12596"/>
    <w:rsid w:val="00C1534D"/>
    <w:rsid w:val="00C2225E"/>
    <w:rsid w:val="00C23A37"/>
    <w:rsid w:val="00C276F6"/>
    <w:rsid w:val="00C31A77"/>
    <w:rsid w:val="00C4215E"/>
    <w:rsid w:val="00C45BB5"/>
    <w:rsid w:val="00C64AED"/>
    <w:rsid w:val="00C77DFE"/>
    <w:rsid w:val="00C876CB"/>
    <w:rsid w:val="00CA7C46"/>
    <w:rsid w:val="00CB1CE6"/>
    <w:rsid w:val="00CB5C02"/>
    <w:rsid w:val="00CD23D1"/>
    <w:rsid w:val="00CE05D7"/>
    <w:rsid w:val="00CF2305"/>
    <w:rsid w:val="00CF40E4"/>
    <w:rsid w:val="00D10060"/>
    <w:rsid w:val="00D24085"/>
    <w:rsid w:val="00D32D65"/>
    <w:rsid w:val="00D41FF5"/>
    <w:rsid w:val="00D51BB4"/>
    <w:rsid w:val="00D53934"/>
    <w:rsid w:val="00D637B2"/>
    <w:rsid w:val="00D64543"/>
    <w:rsid w:val="00D65A40"/>
    <w:rsid w:val="00D76856"/>
    <w:rsid w:val="00D91CBE"/>
    <w:rsid w:val="00DA0E88"/>
    <w:rsid w:val="00DA1478"/>
    <w:rsid w:val="00DB2059"/>
    <w:rsid w:val="00DC0AF9"/>
    <w:rsid w:val="00DE1097"/>
    <w:rsid w:val="00DE47A4"/>
    <w:rsid w:val="00DF0F70"/>
    <w:rsid w:val="00DF301C"/>
    <w:rsid w:val="00E0438B"/>
    <w:rsid w:val="00E0583C"/>
    <w:rsid w:val="00E20FB1"/>
    <w:rsid w:val="00E25069"/>
    <w:rsid w:val="00E3172D"/>
    <w:rsid w:val="00E403A5"/>
    <w:rsid w:val="00E43D8D"/>
    <w:rsid w:val="00E501FB"/>
    <w:rsid w:val="00E654D8"/>
    <w:rsid w:val="00E66731"/>
    <w:rsid w:val="00E70842"/>
    <w:rsid w:val="00E72665"/>
    <w:rsid w:val="00E750CD"/>
    <w:rsid w:val="00E759CA"/>
    <w:rsid w:val="00E82E09"/>
    <w:rsid w:val="00E85DE1"/>
    <w:rsid w:val="00E94BEF"/>
    <w:rsid w:val="00E958D4"/>
    <w:rsid w:val="00EA19C9"/>
    <w:rsid w:val="00EA7002"/>
    <w:rsid w:val="00EB0077"/>
    <w:rsid w:val="00EB6414"/>
    <w:rsid w:val="00EB6823"/>
    <w:rsid w:val="00EC7263"/>
    <w:rsid w:val="00ED1AFD"/>
    <w:rsid w:val="00ED2F73"/>
    <w:rsid w:val="00ED398F"/>
    <w:rsid w:val="00EE20C3"/>
    <w:rsid w:val="00EE67EB"/>
    <w:rsid w:val="00EF2257"/>
    <w:rsid w:val="00F06C6D"/>
    <w:rsid w:val="00F10D68"/>
    <w:rsid w:val="00F21B2B"/>
    <w:rsid w:val="00F51A04"/>
    <w:rsid w:val="00F6710C"/>
    <w:rsid w:val="00F70F6F"/>
    <w:rsid w:val="00F83A0D"/>
    <w:rsid w:val="00F85979"/>
    <w:rsid w:val="00F87E00"/>
    <w:rsid w:val="00F87FDB"/>
    <w:rsid w:val="00F92C5E"/>
    <w:rsid w:val="00F979C1"/>
    <w:rsid w:val="00FA348C"/>
    <w:rsid w:val="00FC2D8B"/>
    <w:rsid w:val="00FC7880"/>
    <w:rsid w:val="00FD325D"/>
    <w:rsid w:val="00FD3404"/>
    <w:rsid w:val="00FD59D6"/>
    <w:rsid w:val="00FE7F7C"/>
    <w:rsid w:val="00FF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2"/>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2"/>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475295894">
      <w:bodyDiv w:val="1"/>
      <w:marLeft w:val="0"/>
      <w:marRight w:val="0"/>
      <w:marTop w:val="0"/>
      <w:marBottom w:val="0"/>
      <w:divBdr>
        <w:top w:val="none" w:sz="0" w:space="0" w:color="auto"/>
        <w:left w:val="none" w:sz="0" w:space="0" w:color="auto"/>
        <w:bottom w:val="none" w:sz="0" w:space="0" w:color="auto"/>
        <w:right w:val="none" w:sz="0" w:space="0" w:color="auto"/>
      </w:divBdr>
    </w:div>
    <w:div w:id="587885565">
      <w:bodyDiv w:val="1"/>
      <w:marLeft w:val="0"/>
      <w:marRight w:val="0"/>
      <w:marTop w:val="0"/>
      <w:marBottom w:val="0"/>
      <w:divBdr>
        <w:top w:val="none" w:sz="0" w:space="0" w:color="auto"/>
        <w:left w:val="none" w:sz="0" w:space="0" w:color="auto"/>
        <w:bottom w:val="none" w:sz="0" w:space="0" w:color="auto"/>
        <w:right w:val="none" w:sz="0" w:space="0" w:color="auto"/>
      </w:divBdr>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 w:id="2007395971">
      <w:bodyDiv w:val="1"/>
      <w:marLeft w:val="0"/>
      <w:marRight w:val="0"/>
      <w:marTop w:val="0"/>
      <w:marBottom w:val="0"/>
      <w:divBdr>
        <w:top w:val="none" w:sz="0" w:space="0" w:color="auto"/>
        <w:left w:val="none" w:sz="0" w:space="0" w:color="auto"/>
        <w:bottom w:val="none" w:sz="0" w:space="0" w:color="auto"/>
        <w:right w:val="none" w:sz="0" w:space="0" w:color="auto"/>
      </w:divBdr>
    </w:div>
    <w:div w:id="20532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B4815-4E4D-4B68-8655-8C8640CC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Ngai, Heather</dc:creator>
  <cp:keywords/>
  <dc:description/>
  <cp:lastModifiedBy>SYSTEM</cp:lastModifiedBy>
  <cp:revision>2</cp:revision>
  <cp:lastPrinted>2017-03-30T11:58:00Z</cp:lastPrinted>
  <dcterms:created xsi:type="dcterms:W3CDTF">2018-04-24T14:55:00Z</dcterms:created>
  <dcterms:modified xsi:type="dcterms:W3CDTF">2018-04-24T14:55:00Z</dcterms:modified>
</cp:coreProperties>
</file>