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4E6F" w14:textId="560967AE" w:rsidR="00533918" w:rsidRPr="00A12E52" w:rsidRDefault="00533918">
      <w:pPr>
        <w:pStyle w:val="ColorfulList-Accent11"/>
        <w:ind w:left="0"/>
        <w:jc w:val="center"/>
        <w:outlineLvl w:val="0"/>
        <w:rPr>
          <w:b/>
          <w:sz w:val="28"/>
          <w:szCs w:val="28"/>
        </w:rPr>
      </w:pPr>
      <w:bookmarkStart w:id="0" w:name="_GoBack"/>
      <w:bookmarkEnd w:id="0"/>
      <w:r w:rsidRPr="00A12E52">
        <w:rPr>
          <w:b/>
          <w:sz w:val="28"/>
          <w:szCs w:val="28"/>
        </w:rPr>
        <w:t>Supporting Statement</w:t>
      </w:r>
      <w:r w:rsidR="00A12E52" w:rsidRPr="00A12E52">
        <w:rPr>
          <w:b/>
          <w:sz w:val="28"/>
          <w:szCs w:val="28"/>
        </w:rPr>
        <w:t xml:space="preserve"> </w:t>
      </w:r>
      <w:r w:rsidR="000F6CBD">
        <w:rPr>
          <w:b/>
          <w:sz w:val="28"/>
          <w:szCs w:val="28"/>
        </w:rPr>
        <w:t>A</w:t>
      </w:r>
    </w:p>
    <w:p w14:paraId="69F3A3B5" w14:textId="77777777" w:rsidR="00A12E52" w:rsidRPr="00A12E52" w:rsidRDefault="00A12E52">
      <w:pPr>
        <w:pStyle w:val="ColorfulList-Accent11"/>
        <w:ind w:left="0"/>
        <w:jc w:val="center"/>
        <w:outlineLvl w:val="0"/>
        <w:rPr>
          <w:b/>
          <w:sz w:val="28"/>
          <w:szCs w:val="28"/>
        </w:rPr>
      </w:pPr>
    </w:p>
    <w:p w14:paraId="42DC371D" w14:textId="77777777" w:rsidR="00533918" w:rsidRPr="00A12E52" w:rsidRDefault="00533918">
      <w:pPr>
        <w:pStyle w:val="ColorfulList-Accent11"/>
        <w:ind w:left="0"/>
        <w:jc w:val="center"/>
        <w:outlineLvl w:val="0"/>
        <w:rPr>
          <w:b/>
          <w:sz w:val="28"/>
          <w:szCs w:val="28"/>
        </w:rPr>
      </w:pPr>
      <w:r w:rsidRPr="00A12E52">
        <w:rPr>
          <w:b/>
          <w:sz w:val="28"/>
          <w:szCs w:val="28"/>
        </w:rPr>
        <w:t>Health Resources and Services Administration</w:t>
      </w:r>
    </w:p>
    <w:p w14:paraId="153B1DA4" w14:textId="29CF421C" w:rsidR="00533918" w:rsidRPr="00A12E52" w:rsidRDefault="00533918">
      <w:pPr>
        <w:spacing w:after="60"/>
        <w:jc w:val="center"/>
        <w:rPr>
          <w:b/>
          <w:sz w:val="28"/>
          <w:szCs w:val="28"/>
        </w:rPr>
      </w:pPr>
      <w:r w:rsidRPr="00A12E52">
        <w:rPr>
          <w:b/>
          <w:sz w:val="28"/>
          <w:szCs w:val="28"/>
        </w:rPr>
        <w:t>Client-Level Data Reporting System</w:t>
      </w:r>
    </w:p>
    <w:p w14:paraId="76A83035" w14:textId="091AF56C" w:rsidR="00A12E52" w:rsidRPr="00A12E52" w:rsidRDefault="00A12E52" w:rsidP="005B2C1B">
      <w:pPr>
        <w:spacing w:after="60"/>
        <w:rPr>
          <w:b/>
          <w:sz w:val="28"/>
          <w:szCs w:val="28"/>
        </w:rPr>
      </w:pPr>
    </w:p>
    <w:p w14:paraId="2D4E53E5" w14:textId="2DA964F9" w:rsidR="00A12E52" w:rsidRDefault="00A12E52" w:rsidP="00A12E52">
      <w:pPr>
        <w:spacing w:after="60"/>
        <w:jc w:val="center"/>
        <w:rPr>
          <w:b/>
          <w:sz w:val="28"/>
          <w:szCs w:val="28"/>
        </w:rPr>
      </w:pPr>
      <w:bookmarkStart w:id="1" w:name="_Toc209407051"/>
      <w:r w:rsidRPr="00A12E52">
        <w:rPr>
          <w:b/>
          <w:sz w:val="28"/>
          <w:szCs w:val="28"/>
        </w:rPr>
        <w:t>OMB Control No. 0915-</w:t>
      </w:r>
      <w:r w:rsidR="0082308C">
        <w:rPr>
          <w:b/>
          <w:sz w:val="28"/>
          <w:szCs w:val="28"/>
        </w:rPr>
        <w:t>0323</w:t>
      </w:r>
    </w:p>
    <w:p w14:paraId="028F567F" w14:textId="77777777" w:rsidR="000F6CBD" w:rsidRDefault="000F6CBD" w:rsidP="000F6CBD">
      <w:pPr>
        <w:widowControl/>
        <w:tabs>
          <w:tab w:val="left" w:pos="576"/>
          <w:tab w:val="left" w:pos="1296"/>
          <w:tab w:val="left" w:pos="2016"/>
          <w:tab w:val="left" w:pos="2736"/>
          <w:tab w:val="left" w:pos="3456"/>
          <w:tab w:val="left" w:pos="4176"/>
          <w:tab w:val="left" w:pos="4896"/>
        </w:tabs>
        <w:autoSpaceDE w:val="0"/>
        <w:autoSpaceDN w:val="0"/>
        <w:adjustRightInd w:val="0"/>
        <w:rPr>
          <w:sz w:val="24"/>
          <w:szCs w:val="24"/>
          <w:highlight w:val="yellow"/>
          <w:lang w:eastAsia="en-US"/>
        </w:rPr>
      </w:pPr>
    </w:p>
    <w:p w14:paraId="49320B02" w14:textId="1FDD298A" w:rsidR="000F6CBD" w:rsidRPr="000F6CBD" w:rsidRDefault="000F6CBD" w:rsidP="000F6CBD">
      <w:pPr>
        <w:widowControl/>
        <w:tabs>
          <w:tab w:val="left" w:pos="576"/>
          <w:tab w:val="left" w:pos="1296"/>
          <w:tab w:val="left" w:pos="2016"/>
          <w:tab w:val="left" w:pos="2736"/>
          <w:tab w:val="left" w:pos="3456"/>
          <w:tab w:val="left" w:pos="4176"/>
          <w:tab w:val="left" w:pos="4896"/>
        </w:tabs>
        <w:autoSpaceDE w:val="0"/>
        <w:autoSpaceDN w:val="0"/>
        <w:adjustRightInd w:val="0"/>
        <w:rPr>
          <w:sz w:val="24"/>
          <w:szCs w:val="24"/>
          <w:lang w:eastAsia="en-US"/>
        </w:rPr>
      </w:pPr>
      <w:r w:rsidRPr="000F6CBD">
        <w:rPr>
          <w:sz w:val="24"/>
          <w:szCs w:val="24"/>
          <w:highlight w:val="yellow"/>
          <w:lang w:eastAsia="en-US"/>
        </w:rPr>
        <w:t>Highlighted text is the information changed from the last request.</w:t>
      </w:r>
    </w:p>
    <w:p w14:paraId="30F54EBC" w14:textId="77777777" w:rsidR="00A12E52" w:rsidRDefault="00A12E52" w:rsidP="000F6CBD">
      <w:pPr>
        <w:spacing w:after="60"/>
        <w:rPr>
          <w:b/>
          <w:sz w:val="28"/>
          <w:szCs w:val="28"/>
        </w:rPr>
      </w:pPr>
    </w:p>
    <w:p w14:paraId="4DDA5445" w14:textId="77777777" w:rsidR="00A12E52" w:rsidRPr="00A12E52" w:rsidRDefault="00A12E52" w:rsidP="00A12E52">
      <w:pPr>
        <w:spacing w:after="60"/>
        <w:rPr>
          <w:b/>
          <w:sz w:val="24"/>
          <w:szCs w:val="24"/>
        </w:rPr>
      </w:pPr>
      <w:r w:rsidRPr="00A12E52">
        <w:rPr>
          <w:b/>
          <w:sz w:val="24"/>
          <w:szCs w:val="24"/>
        </w:rPr>
        <w:t xml:space="preserve">Terms of Clearance: </w:t>
      </w:r>
      <w:r w:rsidRPr="00A12E52">
        <w:rPr>
          <w:sz w:val="24"/>
          <w:szCs w:val="24"/>
        </w:rPr>
        <w:t>None</w:t>
      </w:r>
    </w:p>
    <w:p w14:paraId="4BDFA9F7" w14:textId="77777777" w:rsidR="00A12E52" w:rsidRDefault="006A0E1F" w:rsidP="006A0E1F">
      <w:pPr>
        <w:pStyle w:val="ColorfulList-Accent11"/>
        <w:tabs>
          <w:tab w:val="left" w:pos="5940"/>
        </w:tabs>
        <w:ind w:left="0"/>
        <w:outlineLvl w:val="0"/>
        <w:rPr>
          <w:b/>
          <w:smallCaps/>
          <w:sz w:val="28"/>
          <w:szCs w:val="28"/>
        </w:rPr>
      </w:pPr>
      <w:r>
        <w:rPr>
          <w:b/>
          <w:smallCaps/>
          <w:sz w:val="28"/>
          <w:szCs w:val="28"/>
        </w:rPr>
        <w:tab/>
      </w:r>
    </w:p>
    <w:p w14:paraId="5E884CD5" w14:textId="77777777" w:rsidR="00533918" w:rsidRPr="00A12E52" w:rsidRDefault="00533918" w:rsidP="00A12E52">
      <w:pPr>
        <w:pStyle w:val="ColorfulList-Accent11"/>
        <w:numPr>
          <w:ilvl w:val="0"/>
          <w:numId w:val="18"/>
        </w:numPr>
        <w:outlineLvl w:val="0"/>
        <w:rPr>
          <w:rFonts w:ascii="Times New Roman Bold" w:hAnsi="Times New Roman Bold"/>
          <w:b/>
          <w:sz w:val="24"/>
          <w:szCs w:val="24"/>
        </w:rPr>
      </w:pPr>
      <w:r w:rsidRPr="00A12E52">
        <w:rPr>
          <w:rFonts w:ascii="Times New Roman Bold" w:hAnsi="Times New Roman Bold"/>
          <w:b/>
          <w:sz w:val="24"/>
          <w:szCs w:val="24"/>
        </w:rPr>
        <w:t>Justification</w:t>
      </w:r>
      <w:bookmarkEnd w:id="1"/>
    </w:p>
    <w:p w14:paraId="30934687" w14:textId="77777777" w:rsidR="00533918" w:rsidRDefault="00533918">
      <w:pPr>
        <w:rPr>
          <w:sz w:val="24"/>
          <w:szCs w:val="24"/>
        </w:rPr>
      </w:pPr>
    </w:p>
    <w:p w14:paraId="1D05843C" w14:textId="77777777" w:rsidR="00533918" w:rsidRDefault="00533918" w:rsidP="00A12E52">
      <w:pPr>
        <w:pStyle w:val="ColorfulList-Accent11"/>
        <w:tabs>
          <w:tab w:val="left" w:pos="360"/>
        </w:tabs>
        <w:ind w:left="0"/>
        <w:outlineLvl w:val="1"/>
        <w:rPr>
          <w:b/>
          <w:sz w:val="24"/>
          <w:szCs w:val="24"/>
          <w:u w:val="single"/>
        </w:rPr>
      </w:pPr>
      <w:bookmarkStart w:id="2" w:name="_Toc209407052"/>
      <w:r w:rsidRPr="00A12E52">
        <w:rPr>
          <w:b/>
          <w:sz w:val="24"/>
        </w:rPr>
        <w:t xml:space="preserve">1. </w:t>
      </w:r>
      <w:r w:rsidR="00A12E52">
        <w:rPr>
          <w:b/>
          <w:sz w:val="24"/>
        </w:rPr>
        <w:tab/>
      </w:r>
      <w:r>
        <w:rPr>
          <w:b/>
          <w:sz w:val="24"/>
          <w:u w:val="single"/>
        </w:rPr>
        <w:t xml:space="preserve">Circumstances </w:t>
      </w:r>
      <w:r w:rsidR="00A12E52">
        <w:rPr>
          <w:b/>
          <w:sz w:val="24"/>
          <w:u w:val="single"/>
        </w:rPr>
        <w:t xml:space="preserve">Making the Collection of </w:t>
      </w:r>
      <w:r>
        <w:rPr>
          <w:b/>
          <w:sz w:val="24"/>
          <w:u w:val="single"/>
        </w:rPr>
        <w:t xml:space="preserve">Information </w:t>
      </w:r>
      <w:bookmarkEnd w:id="2"/>
      <w:r w:rsidR="00A12E52">
        <w:rPr>
          <w:b/>
          <w:sz w:val="24"/>
          <w:u w:val="single"/>
        </w:rPr>
        <w:t>Necessary</w:t>
      </w:r>
    </w:p>
    <w:p w14:paraId="77AEA771" w14:textId="77777777" w:rsidR="00533918" w:rsidRDefault="00533918">
      <w:pPr>
        <w:rPr>
          <w:sz w:val="24"/>
          <w:szCs w:val="24"/>
        </w:rPr>
      </w:pPr>
    </w:p>
    <w:p w14:paraId="025A9C5B" w14:textId="343AA7A3" w:rsidR="00533918" w:rsidRPr="003D6BAE" w:rsidRDefault="00533918" w:rsidP="003D6BAE">
      <w:pPr>
        <w:widowControl/>
        <w:autoSpaceDE w:val="0"/>
        <w:autoSpaceDN w:val="0"/>
        <w:adjustRightInd w:val="0"/>
        <w:rPr>
          <w:sz w:val="24"/>
          <w:szCs w:val="24"/>
        </w:rPr>
      </w:pPr>
      <w:r w:rsidRPr="003D6BAE">
        <w:rPr>
          <w:rStyle w:val="BodyTextFi"/>
          <w:sz w:val="24"/>
          <w:szCs w:val="24"/>
        </w:rPr>
        <w:t xml:space="preserve">The Health Resources and Services Administration (HRSA) is requesting approval from the Office of Management and Budget (OMB) for </w:t>
      </w:r>
      <w:r w:rsidR="003D2616">
        <w:rPr>
          <w:rStyle w:val="BodyTextFi"/>
          <w:sz w:val="24"/>
          <w:szCs w:val="24"/>
        </w:rPr>
        <w:t>a</w:t>
      </w:r>
      <w:r w:rsidR="0082308C">
        <w:rPr>
          <w:rStyle w:val="BodyTextFi"/>
          <w:sz w:val="24"/>
          <w:szCs w:val="24"/>
        </w:rPr>
        <w:t xml:space="preserve">n extension with </w:t>
      </w:r>
      <w:r w:rsidR="007E4461">
        <w:rPr>
          <w:rStyle w:val="BodyTextFi"/>
          <w:sz w:val="24"/>
          <w:szCs w:val="24"/>
        </w:rPr>
        <w:t xml:space="preserve">minor </w:t>
      </w:r>
      <w:r w:rsidR="0082308C">
        <w:rPr>
          <w:rStyle w:val="BodyTextFi"/>
          <w:sz w:val="24"/>
          <w:szCs w:val="24"/>
        </w:rPr>
        <w:t xml:space="preserve">revisions of </w:t>
      </w:r>
      <w:r w:rsidR="00F822D6">
        <w:rPr>
          <w:rStyle w:val="BodyTextFi"/>
          <w:sz w:val="24"/>
          <w:szCs w:val="24"/>
        </w:rPr>
        <w:t>the</w:t>
      </w:r>
      <w:r w:rsidRPr="003D6BAE">
        <w:rPr>
          <w:rStyle w:val="BodyTextFi"/>
          <w:sz w:val="24"/>
          <w:szCs w:val="24"/>
        </w:rPr>
        <w:t xml:space="preserve"> </w:t>
      </w:r>
      <w:r w:rsidR="0016317F" w:rsidRPr="003D6BAE">
        <w:rPr>
          <w:rStyle w:val="BodyTextFi"/>
          <w:sz w:val="24"/>
          <w:szCs w:val="24"/>
        </w:rPr>
        <w:t>c</w:t>
      </w:r>
      <w:r w:rsidRPr="003D6BAE">
        <w:rPr>
          <w:rStyle w:val="BodyTextFi"/>
          <w:sz w:val="24"/>
          <w:szCs w:val="24"/>
        </w:rPr>
        <w:t>lient-</w:t>
      </w:r>
      <w:r w:rsidR="0016317F" w:rsidRPr="003D6BAE">
        <w:rPr>
          <w:rStyle w:val="BodyTextFi"/>
          <w:sz w:val="24"/>
          <w:szCs w:val="24"/>
        </w:rPr>
        <w:t>l</w:t>
      </w:r>
      <w:r w:rsidRPr="003D6BAE">
        <w:rPr>
          <w:rStyle w:val="BodyTextFi"/>
          <w:sz w:val="24"/>
          <w:szCs w:val="24"/>
        </w:rPr>
        <w:t xml:space="preserve">evel </w:t>
      </w:r>
      <w:r w:rsidR="0016317F" w:rsidRPr="003D6BAE">
        <w:rPr>
          <w:rStyle w:val="BodyTextFi"/>
          <w:sz w:val="24"/>
          <w:szCs w:val="24"/>
        </w:rPr>
        <w:t>d</w:t>
      </w:r>
      <w:r w:rsidRPr="003D6BAE">
        <w:rPr>
          <w:rStyle w:val="BodyTextFi"/>
          <w:sz w:val="24"/>
          <w:szCs w:val="24"/>
        </w:rPr>
        <w:t xml:space="preserve">ata </w:t>
      </w:r>
      <w:r w:rsidR="0016317F" w:rsidRPr="003D6BAE">
        <w:rPr>
          <w:rStyle w:val="BodyTextFi"/>
          <w:sz w:val="24"/>
          <w:szCs w:val="24"/>
        </w:rPr>
        <w:t>r</w:t>
      </w:r>
      <w:r w:rsidRPr="003D6BAE">
        <w:rPr>
          <w:rStyle w:val="BodyTextFi"/>
          <w:sz w:val="24"/>
          <w:szCs w:val="24"/>
        </w:rPr>
        <w:t xml:space="preserve">eporting </w:t>
      </w:r>
      <w:r w:rsidR="0016317F" w:rsidRPr="003D6BAE">
        <w:rPr>
          <w:rStyle w:val="BodyTextFi"/>
          <w:sz w:val="24"/>
          <w:szCs w:val="24"/>
        </w:rPr>
        <w:t>s</w:t>
      </w:r>
      <w:r w:rsidRPr="003D6BAE">
        <w:rPr>
          <w:rStyle w:val="BodyTextFi"/>
          <w:sz w:val="24"/>
          <w:szCs w:val="24"/>
        </w:rPr>
        <w:t>ystem</w:t>
      </w:r>
      <w:r w:rsidR="0016317F" w:rsidRPr="003D6BAE">
        <w:rPr>
          <w:rStyle w:val="BodyTextFi"/>
          <w:sz w:val="24"/>
          <w:szCs w:val="24"/>
        </w:rPr>
        <w:t>, the Ryan White HIV/AIDS Program Services Report</w:t>
      </w:r>
      <w:r w:rsidRPr="003D6BAE">
        <w:rPr>
          <w:rStyle w:val="BodyTextFi"/>
          <w:sz w:val="24"/>
          <w:szCs w:val="24"/>
        </w:rPr>
        <w:t xml:space="preserve"> (</w:t>
      </w:r>
      <w:r w:rsidR="003D6BAE" w:rsidRPr="003D6BAE">
        <w:rPr>
          <w:rStyle w:val="BodyTextFi"/>
          <w:sz w:val="24"/>
          <w:szCs w:val="24"/>
        </w:rPr>
        <w:t>RSR)</w:t>
      </w:r>
      <w:r w:rsidRPr="003D6BAE">
        <w:rPr>
          <w:rStyle w:val="BodyTextFi"/>
          <w:sz w:val="24"/>
          <w:szCs w:val="24"/>
        </w:rPr>
        <w:t xml:space="preserve">. The </w:t>
      </w:r>
      <w:r w:rsidR="0016317F" w:rsidRPr="003D6BAE">
        <w:rPr>
          <w:rStyle w:val="BodyTextFi"/>
          <w:sz w:val="24"/>
          <w:szCs w:val="24"/>
        </w:rPr>
        <w:t>RSR</w:t>
      </w:r>
      <w:r w:rsidR="003D6BAE" w:rsidRPr="003D6BAE">
        <w:rPr>
          <w:rStyle w:val="BodyTextFi"/>
          <w:sz w:val="24"/>
          <w:szCs w:val="24"/>
        </w:rPr>
        <w:t xml:space="preserve">, </w:t>
      </w:r>
      <w:r w:rsidR="00EE56F5" w:rsidRPr="003D6BAE">
        <w:rPr>
          <w:rStyle w:val="BodyTextFi"/>
          <w:sz w:val="24"/>
          <w:szCs w:val="24"/>
        </w:rPr>
        <w:t xml:space="preserve">which expires </w:t>
      </w:r>
      <w:r w:rsidR="0082308C">
        <w:rPr>
          <w:rStyle w:val="BodyTextFi"/>
          <w:sz w:val="24"/>
          <w:szCs w:val="24"/>
        </w:rPr>
        <w:t>June</w:t>
      </w:r>
      <w:r w:rsidR="00077629" w:rsidRPr="003D6BAE">
        <w:rPr>
          <w:rStyle w:val="BodyTextFi"/>
          <w:sz w:val="24"/>
          <w:szCs w:val="24"/>
        </w:rPr>
        <w:t xml:space="preserve"> 3</w:t>
      </w:r>
      <w:r w:rsidR="0082308C">
        <w:rPr>
          <w:rStyle w:val="BodyTextFi"/>
          <w:sz w:val="24"/>
          <w:szCs w:val="24"/>
        </w:rPr>
        <w:t>0</w:t>
      </w:r>
      <w:r w:rsidR="00077629" w:rsidRPr="003D6BAE">
        <w:rPr>
          <w:rStyle w:val="BodyTextFi"/>
          <w:sz w:val="24"/>
          <w:szCs w:val="24"/>
        </w:rPr>
        <w:t>, 201</w:t>
      </w:r>
      <w:r w:rsidR="0082308C">
        <w:rPr>
          <w:rStyle w:val="BodyTextFi"/>
          <w:sz w:val="24"/>
          <w:szCs w:val="24"/>
        </w:rPr>
        <w:t>7</w:t>
      </w:r>
      <w:r w:rsidR="00EE56F5" w:rsidRPr="003D6BAE">
        <w:rPr>
          <w:rStyle w:val="BodyTextFi"/>
          <w:sz w:val="24"/>
          <w:szCs w:val="24"/>
        </w:rPr>
        <w:t xml:space="preserve">, </w:t>
      </w:r>
      <w:r w:rsidR="0016317F" w:rsidRPr="003D6BAE">
        <w:rPr>
          <w:rStyle w:val="BodyTextFi"/>
          <w:sz w:val="24"/>
          <w:szCs w:val="24"/>
        </w:rPr>
        <w:t>is currently</w:t>
      </w:r>
      <w:r w:rsidRPr="003D6BAE">
        <w:rPr>
          <w:rStyle w:val="BodyTextFi"/>
          <w:sz w:val="24"/>
          <w:szCs w:val="24"/>
        </w:rPr>
        <w:t xml:space="preserve"> used to collect information from </w:t>
      </w:r>
      <w:r w:rsidR="00F504C9">
        <w:rPr>
          <w:rStyle w:val="BodyTextFi"/>
          <w:sz w:val="24"/>
          <w:szCs w:val="24"/>
        </w:rPr>
        <w:t>grant recipients</w:t>
      </w:r>
      <w:r w:rsidR="007E4461">
        <w:rPr>
          <w:rStyle w:val="BodyTextFi"/>
          <w:sz w:val="24"/>
          <w:szCs w:val="24"/>
        </w:rPr>
        <w:t xml:space="preserve">, as well as their </w:t>
      </w:r>
      <w:r w:rsidRPr="003D6BAE">
        <w:rPr>
          <w:rStyle w:val="BodyTextFi"/>
          <w:sz w:val="24"/>
          <w:szCs w:val="24"/>
        </w:rPr>
        <w:t xml:space="preserve">subcontracted service providers funded under Parts A, B, C, D, and F of the Ryan White HIV/AIDS </w:t>
      </w:r>
      <w:r w:rsidR="003D6BAE" w:rsidRPr="003D6BAE">
        <w:rPr>
          <w:rStyle w:val="BodyTextFi"/>
          <w:sz w:val="24"/>
          <w:szCs w:val="24"/>
        </w:rPr>
        <w:t xml:space="preserve">Program (RWHAP). </w:t>
      </w:r>
      <w:r w:rsidR="003D6BAE" w:rsidRPr="003D6BAE">
        <w:rPr>
          <w:sz w:val="24"/>
          <w:szCs w:val="24"/>
          <w:lang w:eastAsia="en-US"/>
        </w:rPr>
        <w:t xml:space="preserve">The </w:t>
      </w:r>
      <w:r w:rsidR="003D6BAE" w:rsidRPr="003D6BAE">
        <w:rPr>
          <w:rStyle w:val="BodyTextFi"/>
          <w:sz w:val="24"/>
          <w:szCs w:val="24"/>
        </w:rPr>
        <w:t>RWHAP</w:t>
      </w:r>
      <w:r w:rsidR="007E4461">
        <w:rPr>
          <w:rStyle w:val="BodyTextFi"/>
          <w:sz w:val="24"/>
          <w:szCs w:val="24"/>
        </w:rPr>
        <w:t>,</w:t>
      </w:r>
      <w:r w:rsidR="003D6BAE">
        <w:rPr>
          <w:sz w:val="24"/>
          <w:szCs w:val="24"/>
          <w:lang w:eastAsia="en-US"/>
        </w:rPr>
        <w:t xml:space="preserve"> </w:t>
      </w:r>
      <w:r w:rsidR="003D6BAE" w:rsidRPr="003D6BAE">
        <w:rPr>
          <w:sz w:val="24"/>
          <w:szCs w:val="24"/>
          <w:lang w:eastAsia="en-US"/>
        </w:rPr>
        <w:t>authorized under Title XXVI of the Public Health Service Act, as amended by the R</w:t>
      </w:r>
      <w:r w:rsidR="003D6BAE" w:rsidRPr="000244D4">
        <w:rPr>
          <w:sz w:val="24"/>
          <w:szCs w:val="24"/>
          <w:lang w:eastAsia="en-US"/>
        </w:rPr>
        <w:t>yan White HIV/AIDS Treatment Extension Act of 2009</w:t>
      </w:r>
      <w:r w:rsidR="007E4461">
        <w:rPr>
          <w:sz w:val="24"/>
          <w:szCs w:val="24"/>
          <w:lang w:eastAsia="en-US"/>
        </w:rPr>
        <w:t xml:space="preserve">, provides entities funded </w:t>
      </w:r>
      <w:r w:rsidR="00037163">
        <w:rPr>
          <w:sz w:val="24"/>
          <w:szCs w:val="24"/>
          <w:lang w:eastAsia="en-US"/>
        </w:rPr>
        <w:t>by the program with flexibility to provide efficient and effective direct health care and support service, with an emphasis on providing life-saving and life-extending services for people living with HIV across this country</w:t>
      </w:r>
      <w:r w:rsidR="003D6BAE" w:rsidRPr="000244D4">
        <w:rPr>
          <w:sz w:val="24"/>
          <w:szCs w:val="24"/>
          <w:lang w:eastAsia="en-US"/>
        </w:rPr>
        <w:t xml:space="preserve">. </w:t>
      </w:r>
      <w:r w:rsidR="00077629" w:rsidRPr="000244D4">
        <w:rPr>
          <w:rStyle w:val="BodyTextFi"/>
          <w:sz w:val="24"/>
          <w:szCs w:val="24"/>
        </w:rPr>
        <w:t xml:space="preserve">See Tab A for a copy of the 2009 legislation. </w:t>
      </w:r>
      <w:r w:rsidR="003D6BAE" w:rsidRPr="000244D4">
        <w:rPr>
          <w:rStyle w:val="BodyTextFi"/>
          <w:sz w:val="24"/>
        </w:rPr>
        <w:t>The HI</w:t>
      </w:r>
      <w:r w:rsidR="003D6BAE">
        <w:rPr>
          <w:rStyle w:val="BodyTextFi"/>
          <w:sz w:val="24"/>
        </w:rPr>
        <w:t>V/AIDS Bureau (HAB) within the Health Resources and Services Administration (HRSA) of the United States Department of Health and Human Services (DHHS) administers funds for all Parts of the Ryan White HIV/AIDS Program.</w:t>
      </w:r>
    </w:p>
    <w:p w14:paraId="692CFDBD" w14:textId="77777777" w:rsidR="00533918" w:rsidRDefault="00533918">
      <w:pPr>
        <w:rPr>
          <w:sz w:val="24"/>
        </w:rPr>
      </w:pPr>
    </w:p>
    <w:p w14:paraId="7E0F1BB8" w14:textId="77777777" w:rsidR="003A5209" w:rsidRDefault="0082308C" w:rsidP="003A5209">
      <w:pPr>
        <w:pStyle w:val="BodyText2"/>
      </w:pPr>
      <w:r>
        <w:rPr>
          <w:rStyle w:val="BodyTextFi"/>
        </w:rPr>
        <w:t xml:space="preserve">The </w:t>
      </w:r>
      <w:r w:rsidR="003D6BAE">
        <w:rPr>
          <w:rStyle w:val="BodyTextFi"/>
        </w:rPr>
        <w:t xml:space="preserve">RWHAP </w:t>
      </w:r>
      <w:r w:rsidR="00533918">
        <w:rPr>
          <w:rStyle w:val="BodyTextFi"/>
        </w:rPr>
        <w:t>provide</w:t>
      </w:r>
      <w:r w:rsidR="003D6BAE">
        <w:rPr>
          <w:rStyle w:val="BodyTextFi"/>
        </w:rPr>
        <w:t>s</w:t>
      </w:r>
      <w:r w:rsidR="00533918">
        <w:rPr>
          <w:rStyle w:val="BodyTextFi"/>
        </w:rPr>
        <w:t xml:space="preserve"> emergency assistance to localities that are disproportionately affected by the human immunodeficiency virus (HIV) epidemic. It makes financial assistance available for the development, organization, coordination, and operation of more effective and cost-efficient systems for the delivery of essential core medical and support services to persons with HIV disease.</w:t>
      </w:r>
      <w:r w:rsidR="00533918">
        <w:rPr>
          <w:rFonts w:eastAsia="MS Mincho" w:cs="Arial"/>
        </w:rPr>
        <w:t xml:space="preserve"> </w:t>
      </w:r>
      <w:r w:rsidR="00077629">
        <w:t xml:space="preserve">The </w:t>
      </w:r>
      <w:r w:rsidR="00F822D6">
        <w:t>RWHAP</w:t>
      </w:r>
      <w:r w:rsidR="00533918">
        <w:t xml:space="preserve"> provides Federal HIV/AIDS programs the flexibility to respond effectively to the changing epidemic.</w:t>
      </w:r>
      <w:r w:rsidR="00077629" w:rsidRPr="00077629">
        <w:rPr>
          <w:rStyle w:val="BodyTextFi"/>
        </w:rPr>
        <w:t xml:space="preserve"> </w:t>
      </w:r>
      <w:r w:rsidR="003A5209">
        <w:t xml:space="preserve">The different Parts of the </w:t>
      </w:r>
      <w:r w:rsidR="00F822D6">
        <w:t>RWHAP</w:t>
      </w:r>
      <w:r w:rsidR="003A5209">
        <w:t xml:space="preserve"> awards grants to cities, States and territories, and community-based organizations. Seventy-five percent of Part A, B, and C funds must be used to fund core medical services and 25 percent may fund support services that are needed for individuals with HIV/AIDS to achieve their medical outcomes, such as: respite care for individuals with HIV/AIDS; outreach services; medical transportation; linguistic services; and referrals for health care and support services.</w:t>
      </w:r>
    </w:p>
    <w:p w14:paraId="24A74D71" w14:textId="77777777" w:rsidR="00077629" w:rsidRDefault="00077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4152BB99" w14:textId="6304D9A7" w:rsidR="00F822D6" w:rsidRDefault="00533918" w:rsidP="00F822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743C52">
        <w:rPr>
          <w:sz w:val="24"/>
        </w:rPr>
        <w:t>The U.S. Congress mandated that client-level data be collected under the Ryan White HIV/AIDS Trea</w:t>
      </w:r>
      <w:r w:rsidR="00154129" w:rsidRPr="00743C52">
        <w:rPr>
          <w:sz w:val="24"/>
        </w:rPr>
        <w:t>tment Modernization Act of 2006 and</w:t>
      </w:r>
      <w:r w:rsidR="00154129" w:rsidRPr="00743C52">
        <w:rPr>
          <w:sz w:val="24"/>
          <w:szCs w:val="24"/>
        </w:rPr>
        <w:t xml:space="preserve"> requires the submission of Annual Reports by the Secretary of Health and Human Services to the appropriate committees of Congress. </w:t>
      </w:r>
      <w:r w:rsidRPr="00743C52">
        <w:rPr>
          <w:sz w:val="24"/>
        </w:rPr>
        <w:t xml:space="preserve"> These data </w:t>
      </w:r>
      <w:r w:rsidRPr="00743C52">
        <w:rPr>
          <w:sz w:val="24"/>
        </w:rPr>
        <w:lastRenderedPageBreak/>
        <w:t xml:space="preserve">provide information about the allocation of funds by </w:t>
      </w:r>
      <w:r w:rsidR="00F504C9">
        <w:rPr>
          <w:sz w:val="24"/>
        </w:rPr>
        <w:t>grant recipients</w:t>
      </w:r>
      <w:r w:rsidRPr="00743C52">
        <w:rPr>
          <w:sz w:val="24"/>
          <w:szCs w:val="24"/>
        </w:rPr>
        <w:t>, the number of clients served</w:t>
      </w:r>
      <w:r w:rsidR="00FF037F" w:rsidRPr="00743C52">
        <w:rPr>
          <w:sz w:val="24"/>
          <w:szCs w:val="24"/>
        </w:rPr>
        <w:t xml:space="preserve">, </w:t>
      </w:r>
      <w:r w:rsidRPr="00743C52">
        <w:rPr>
          <w:sz w:val="24"/>
          <w:szCs w:val="24"/>
        </w:rPr>
        <w:t xml:space="preserve">services provided, </w:t>
      </w:r>
      <w:r w:rsidR="00FF037F" w:rsidRPr="00743C52">
        <w:rPr>
          <w:sz w:val="24"/>
          <w:szCs w:val="24"/>
        </w:rPr>
        <w:t xml:space="preserve">client </w:t>
      </w:r>
      <w:r w:rsidRPr="00743C52">
        <w:rPr>
          <w:sz w:val="24"/>
          <w:szCs w:val="24"/>
        </w:rPr>
        <w:t>demographic</w:t>
      </w:r>
      <w:r w:rsidR="00FF037F" w:rsidRPr="00743C52">
        <w:rPr>
          <w:sz w:val="24"/>
          <w:szCs w:val="24"/>
        </w:rPr>
        <w:t>s</w:t>
      </w:r>
      <w:r w:rsidRPr="00743C52">
        <w:rPr>
          <w:sz w:val="24"/>
          <w:szCs w:val="24"/>
        </w:rPr>
        <w:t>,</w:t>
      </w:r>
      <w:r w:rsidR="00154129" w:rsidRPr="00743C52">
        <w:rPr>
          <w:sz w:val="24"/>
          <w:szCs w:val="24"/>
        </w:rPr>
        <w:t xml:space="preserve"> clinical data of clients served</w:t>
      </w:r>
      <w:r w:rsidRPr="00743C52">
        <w:rPr>
          <w:sz w:val="24"/>
          <w:szCs w:val="24"/>
        </w:rPr>
        <w:t xml:space="preserve"> and cost</w:t>
      </w:r>
      <w:r w:rsidR="00FF037F" w:rsidRPr="00743C52">
        <w:rPr>
          <w:sz w:val="24"/>
          <w:szCs w:val="24"/>
        </w:rPr>
        <w:t>s</w:t>
      </w:r>
      <w:r w:rsidRPr="00743C52">
        <w:rPr>
          <w:sz w:val="24"/>
          <w:szCs w:val="24"/>
        </w:rPr>
        <w:t xml:space="preserve"> of providing services.</w:t>
      </w:r>
      <w:r w:rsidR="00154129" w:rsidRPr="00743C52">
        <w:rPr>
          <w:sz w:val="24"/>
          <w:szCs w:val="24"/>
        </w:rPr>
        <w:t xml:space="preserve"> </w:t>
      </w:r>
      <w:r w:rsidR="00F822D6" w:rsidRPr="00743C52">
        <w:rPr>
          <w:sz w:val="24"/>
        </w:rPr>
        <w:t>These data</w:t>
      </w:r>
      <w:r w:rsidR="00044E53">
        <w:rPr>
          <w:sz w:val="24"/>
        </w:rPr>
        <w:t xml:space="preserve"> </w:t>
      </w:r>
      <w:r w:rsidR="00252C5E">
        <w:rPr>
          <w:sz w:val="24"/>
        </w:rPr>
        <w:t xml:space="preserve">are collected in the </w:t>
      </w:r>
      <w:r w:rsidR="00F822D6" w:rsidRPr="00743C52">
        <w:rPr>
          <w:sz w:val="24"/>
        </w:rPr>
        <w:t xml:space="preserve">online Grantee Report, the Service Provider Report, and electronic upload of the Client Report. See Tab B for screenshots of the Grantee Report; Tab C for screenshots of the Provider Report; Tab D for the client-level data elements; and Tab E for the RSR Instruction Manual. </w:t>
      </w:r>
    </w:p>
    <w:p w14:paraId="4C1ECC6F" w14:textId="5495A653" w:rsidR="009C0445" w:rsidRDefault="009C0445" w:rsidP="00F822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A35A9BE" w14:textId="5A49D66B" w:rsidR="00C84C92" w:rsidRPr="00A4238A" w:rsidRDefault="006C73C4" w:rsidP="00461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highlight w:val="yellow"/>
        </w:rPr>
      </w:pPr>
      <w:r w:rsidRPr="00A4238A">
        <w:rPr>
          <w:sz w:val="24"/>
          <w:szCs w:val="24"/>
          <w:highlight w:val="yellow"/>
        </w:rPr>
        <w:t>Revisions to the Ryan White Services Report (RSR) are needed to support</w:t>
      </w:r>
      <w:r w:rsidR="004610D3" w:rsidRPr="00A4238A">
        <w:rPr>
          <w:sz w:val="24"/>
          <w:szCs w:val="24"/>
          <w:highlight w:val="yellow"/>
        </w:rPr>
        <w:t xml:space="preserve"> the</w:t>
      </w:r>
      <w:r w:rsidRPr="00A4238A">
        <w:rPr>
          <w:sz w:val="24"/>
          <w:szCs w:val="24"/>
          <w:highlight w:val="yellow"/>
        </w:rPr>
        <w:t xml:space="preserve"> reduction </w:t>
      </w:r>
      <w:r w:rsidR="004610D3" w:rsidRPr="00A4238A">
        <w:rPr>
          <w:sz w:val="24"/>
          <w:szCs w:val="24"/>
          <w:highlight w:val="yellow"/>
        </w:rPr>
        <w:t>in</w:t>
      </w:r>
      <w:r w:rsidRPr="00A4238A">
        <w:rPr>
          <w:sz w:val="24"/>
          <w:szCs w:val="24"/>
          <w:highlight w:val="yellow"/>
        </w:rPr>
        <w:t xml:space="preserve"> data reporting burden, improvement in data quality, and alignme</w:t>
      </w:r>
      <w:r w:rsidR="00E7077F" w:rsidRPr="00A4238A">
        <w:rPr>
          <w:sz w:val="24"/>
          <w:szCs w:val="24"/>
          <w:highlight w:val="yellow"/>
        </w:rPr>
        <w:t xml:space="preserve">nt in data collection. </w:t>
      </w:r>
      <w:r w:rsidR="004610D3" w:rsidRPr="00A4238A">
        <w:rPr>
          <w:sz w:val="24"/>
          <w:szCs w:val="24"/>
          <w:highlight w:val="yellow"/>
        </w:rPr>
        <w:t>Altogether, seven</w:t>
      </w:r>
      <w:r w:rsidR="00E7077F" w:rsidRPr="00A4238A">
        <w:rPr>
          <w:sz w:val="24"/>
          <w:szCs w:val="24"/>
          <w:highlight w:val="yellow"/>
        </w:rPr>
        <w:t xml:space="preserve"> </w:t>
      </w:r>
      <w:r w:rsidRPr="00A4238A">
        <w:rPr>
          <w:sz w:val="24"/>
          <w:szCs w:val="24"/>
          <w:highlight w:val="yellow"/>
        </w:rPr>
        <w:t>data elements will be modified in the RSR</w:t>
      </w:r>
      <w:r w:rsidR="004610D3" w:rsidRPr="00A4238A">
        <w:rPr>
          <w:sz w:val="24"/>
          <w:szCs w:val="24"/>
          <w:highlight w:val="yellow"/>
        </w:rPr>
        <w:t xml:space="preserve">. </w:t>
      </w:r>
      <w:r w:rsidR="00737652" w:rsidRPr="00A4238A">
        <w:rPr>
          <w:sz w:val="24"/>
          <w:szCs w:val="24"/>
          <w:highlight w:val="yellow"/>
        </w:rPr>
        <w:t xml:space="preserve">Self-Reported Transgender Status will be removed from the RSR. Its response options will be added to the list of </w:t>
      </w:r>
      <w:r w:rsidR="00C84C92" w:rsidRPr="00A4238A">
        <w:rPr>
          <w:sz w:val="24"/>
          <w:szCs w:val="24"/>
          <w:highlight w:val="yellow"/>
        </w:rPr>
        <w:t xml:space="preserve">available </w:t>
      </w:r>
      <w:r w:rsidR="00737652" w:rsidRPr="00A4238A">
        <w:rPr>
          <w:sz w:val="24"/>
          <w:szCs w:val="24"/>
          <w:highlight w:val="yellow"/>
        </w:rPr>
        <w:t>response options for Self-Reported Gender. The final</w:t>
      </w:r>
      <w:r w:rsidR="00C84C92" w:rsidRPr="00A4238A">
        <w:rPr>
          <w:sz w:val="24"/>
          <w:szCs w:val="24"/>
          <w:highlight w:val="yellow"/>
        </w:rPr>
        <w:t xml:space="preserve"> list of available </w:t>
      </w:r>
      <w:r w:rsidR="00737652" w:rsidRPr="00A4238A">
        <w:rPr>
          <w:sz w:val="24"/>
          <w:szCs w:val="24"/>
          <w:highlight w:val="yellow"/>
        </w:rPr>
        <w:t xml:space="preserve">response options will be: Male, Female, Transgender Male to Female, Transgender Female to Male, Transgender </w:t>
      </w:r>
      <w:r w:rsidR="000F5EF9">
        <w:rPr>
          <w:sz w:val="24"/>
          <w:szCs w:val="24"/>
          <w:highlight w:val="yellow"/>
        </w:rPr>
        <w:t>Other</w:t>
      </w:r>
      <w:r w:rsidR="00737652" w:rsidRPr="00A4238A">
        <w:rPr>
          <w:sz w:val="24"/>
          <w:szCs w:val="24"/>
          <w:highlight w:val="yellow"/>
        </w:rPr>
        <w:t xml:space="preserve">, and Unknown. </w:t>
      </w:r>
      <w:r w:rsidRPr="00A4238A">
        <w:rPr>
          <w:sz w:val="24"/>
          <w:szCs w:val="24"/>
          <w:highlight w:val="yellow"/>
        </w:rPr>
        <w:t xml:space="preserve">These </w:t>
      </w:r>
      <w:r w:rsidR="00737652" w:rsidRPr="00A4238A">
        <w:rPr>
          <w:sz w:val="24"/>
          <w:szCs w:val="24"/>
          <w:highlight w:val="yellow"/>
        </w:rPr>
        <w:t xml:space="preserve">modifications will remove duplication </w:t>
      </w:r>
      <w:r w:rsidR="00C10380" w:rsidRPr="00A4238A">
        <w:rPr>
          <w:sz w:val="24"/>
          <w:szCs w:val="24"/>
          <w:highlight w:val="yellow"/>
        </w:rPr>
        <w:t>in client</w:t>
      </w:r>
      <w:r w:rsidR="004610D3" w:rsidRPr="00A4238A">
        <w:rPr>
          <w:sz w:val="24"/>
          <w:szCs w:val="24"/>
          <w:highlight w:val="yellow"/>
        </w:rPr>
        <w:t xml:space="preserve"> level</w:t>
      </w:r>
      <w:r w:rsidR="00C10380" w:rsidRPr="00A4238A">
        <w:rPr>
          <w:sz w:val="24"/>
          <w:szCs w:val="24"/>
          <w:highlight w:val="yellow"/>
        </w:rPr>
        <w:t xml:space="preserve"> data. </w:t>
      </w:r>
    </w:p>
    <w:p w14:paraId="032F7760" w14:textId="77777777" w:rsidR="00C84C92" w:rsidRPr="00A4238A" w:rsidRDefault="00C84C92" w:rsidP="00461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highlight w:val="yellow"/>
        </w:rPr>
      </w:pPr>
    </w:p>
    <w:p w14:paraId="3EB3B8C3" w14:textId="1163E53B" w:rsidR="00C84C92" w:rsidRPr="00A4238A" w:rsidRDefault="004610D3" w:rsidP="00461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highlight w:val="yellow"/>
        </w:rPr>
      </w:pPr>
      <w:r w:rsidRPr="00A4238A">
        <w:rPr>
          <w:sz w:val="24"/>
          <w:szCs w:val="24"/>
          <w:highlight w:val="yellow"/>
        </w:rPr>
        <w:t>The second set of modifications will result in the changes in the</w:t>
      </w:r>
      <w:r w:rsidR="00C84C92" w:rsidRPr="00A4238A">
        <w:rPr>
          <w:sz w:val="24"/>
          <w:szCs w:val="24"/>
          <w:highlight w:val="yellow"/>
        </w:rPr>
        <w:t xml:space="preserve"> list of available</w:t>
      </w:r>
      <w:r w:rsidRPr="00A4238A">
        <w:rPr>
          <w:sz w:val="24"/>
          <w:szCs w:val="24"/>
          <w:highlight w:val="yellow"/>
        </w:rPr>
        <w:t xml:space="preserve"> response options </w:t>
      </w:r>
      <w:r w:rsidR="00C84C92" w:rsidRPr="00A4238A">
        <w:rPr>
          <w:sz w:val="24"/>
          <w:szCs w:val="24"/>
          <w:highlight w:val="yellow"/>
        </w:rPr>
        <w:t>under</w:t>
      </w:r>
      <w:r w:rsidRPr="00A4238A">
        <w:rPr>
          <w:sz w:val="24"/>
          <w:szCs w:val="24"/>
          <w:highlight w:val="yellow"/>
        </w:rPr>
        <w:t xml:space="preserve"> </w:t>
      </w:r>
      <w:r w:rsidR="00C10380" w:rsidRPr="00A4238A">
        <w:rPr>
          <w:sz w:val="24"/>
          <w:szCs w:val="24"/>
          <w:highlight w:val="yellow"/>
        </w:rPr>
        <w:t>Core Medical Services</w:t>
      </w:r>
      <w:r w:rsidR="00C84C92" w:rsidRPr="00A4238A">
        <w:rPr>
          <w:sz w:val="24"/>
          <w:szCs w:val="24"/>
          <w:highlight w:val="yellow"/>
        </w:rPr>
        <w:t xml:space="preserve">. </w:t>
      </w:r>
      <w:r w:rsidR="00C10380" w:rsidRPr="00A4238A">
        <w:rPr>
          <w:sz w:val="24"/>
          <w:szCs w:val="24"/>
          <w:highlight w:val="yellow"/>
        </w:rPr>
        <w:t>Early Intervention Services (Part A and B) will be simplified to Early Intervention Services</w:t>
      </w:r>
      <w:r w:rsidR="000F5EF9">
        <w:rPr>
          <w:sz w:val="24"/>
          <w:szCs w:val="24"/>
          <w:highlight w:val="yellow"/>
        </w:rPr>
        <w:t xml:space="preserve">.  </w:t>
      </w:r>
      <w:r w:rsidR="00C10380" w:rsidRPr="00A4238A">
        <w:rPr>
          <w:sz w:val="24"/>
          <w:szCs w:val="24"/>
          <w:highlight w:val="yellow"/>
        </w:rPr>
        <w:t xml:space="preserve">Similar changes will be made </w:t>
      </w:r>
      <w:r w:rsidR="00C84C92" w:rsidRPr="00A4238A">
        <w:rPr>
          <w:sz w:val="24"/>
          <w:szCs w:val="24"/>
          <w:highlight w:val="yellow"/>
        </w:rPr>
        <w:t>under</w:t>
      </w:r>
      <w:r w:rsidR="00C10380" w:rsidRPr="00A4238A">
        <w:rPr>
          <w:sz w:val="24"/>
          <w:szCs w:val="24"/>
          <w:highlight w:val="yellow"/>
        </w:rPr>
        <w:t xml:space="preserve"> Support Services</w:t>
      </w:r>
      <w:r w:rsidR="00C84C92" w:rsidRPr="00A4238A">
        <w:rPr>
          <w:sz w:val="24"/>
          <w:szCs w:val="24"/>
          <w:highlight w:val="yellow"/>
        </w:rPr>
        <w:t xml:space="preserve">. </w:t>
      </w:r>
      <w:r w:rsidRPr="00A4238A">
        <w:rPr>
          <w:sz w:val="24"/>
          <w:szCs w:val="24"/>
          <w:highlight w:val="yellow"/>
        </w:rPr>
        <w:t xml:space="preserve">Legal Services and Permanency Planning will both be removed from the </w:t>
      </w:r>
      <w:r w:rsidR="00C84C92" w:rsidRPr="00A4238A">
        <w:rPr>
          <w:sz w:val="24"/>
          <w:szCs w:val="24"/>
          <w:highlight w:val="yellow"/>
        </w:rPr>
        <w:t>list</w:t>
      </w:r>
      <w:r w:rsidRPr="00A4238A">
        <w:rPr>
          <w:sz w:val="24"/>
          <w:szCs w:val="24"/>
          <w:highlight w:val="yellow"/>
        </w:rPr>
        <w:t xml:space="preserve"> of available response options</w:t>
      </w:r>
      <w:r w:rsidR="00C84C92" w:rsidRPr="00A4238A">
        <w:rPr>
          <w:sz w:val="24"/>
          <w:szCs w:val="24"/>
          <w:highlight w:val="yellow"/>
        </w:rPr>
        <w:t>,</w:t>
      </w:r>
      <w:r w:rsidRPr="00A4238A">
        <w:rPr>
          <w:sz w:val="24"/>
          <w:szCs w:val="24"/>
          <w:highlight w:val="yellow"/>
        </w:rPr>
        <w:t xml:space="preserve"> and Other Professional Services will be added as a response option. </w:t>
      </w:r>
    </w:p>
    <w:p w14:paraId="6B49A8C2" w14:textId="77777777" w:rsidR="00C84C92" w:rsidRPr="00A4238A" w:rsidRDefault="00C84C92" w:rsidP="00461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highlight w:val="yellow"/>
        </w:rPr>
      </w:pPr>
    </w:p>
    <w:p w14:paraId="36BE0F6A" w14:textId="6D243BAE" w:rsidR="006C73C4" w:rsidRPr="006C73C4" w:rsidRDefault="004610D3" w:rsidP="00461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A4238A">
        <w:rPr>
          <w:sz w:val="24"/>
          <w:szCs w:val="24"/>
          <w:highlight w:val="yellow"/>
        </w:rPr>
        <w:t>Lastly, three variable names will be changed in the clinical information data: Date First HIV Outpatient/Ambulatory Care Visit will be changed to Date of First HIV Outpatient/Ambulatory Health Services Visit; Dates of all Outpatient Ambulatory Care Visits will be changed to Dates of All Outpatient/Ambulatory Health Services Visits; and OAMC Link Date will be changed to OAHS Link Date.</w:t>
      </w:r>
      <w:r>
        <w:rPr>
          <w:sz w:val="24"/>
          <w:szCs w:val="24"/>
        </w:rPr>
        <w:t xml:space="preserve">  </w:t>
      </w:r>
      <w:r w:rsidR="006C73C4" w:rsidRPr="006C73C4">
        <w:rPr>
          <w:sz w:val="24"/>
          <w:szCs w:val="24"/>
        </w:rPr>
        <w:t xml:space="preserve"> </w:t>
      </w:r>
    </w:p>
    <w:p w14:paraId="3462381D" w14:textId="77777777" w:rsidR="006C73C4" w:rsidRPr="006C73C4" w:rsidRDefault="006C73C4" w:rsidP="006C7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6534911"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42708D5" w14:textId="77777777" w:rsidR="00533918" w:rsidRDefault="00533918" w:rsidP="00A12E52">
      <w:pPr>
        <w:pStyle w:val="Heading2"/>
        <w:pBdr>
          <w:bottom w:val="none" w:sz="0" w:space="0" w:color="auto"/>
        </w:pBdr>
        <w:spacing w:before="0" w:after="0"/>
        <w:ind w:left="360" w:hanging="360"/>
        <w:rPr>
          <w:b/>
          <w:color w:val="auto"/>
          <w:u w:val="single"/>
        </w:rPr>
      </w:pPr>
      <w:bookmarkStart w:id="3" w:name="_Toc209407053"/>
      <w:r w:rsidRPr="00A12E52">
        <w:rPr>
          <w:b/>
          <w:color w:val="auto"/>
        </w:rPr>
        <w:t xml:space="preserve">2. </w:t>
      </w:r>
      <w:r w:rsidR="00A12E52" w:rsidRPr="00A12E52">
        <w:rPr>
          <w:b/>
          <w:color w:val="auto"/>
        </w:rPr>
        <w:tab/>
      </w:r>
      <w:r>
        <w:rPr>
          <w:b/>
          <w:color w:val="auto"/>
          <w:u w:val="single"/>
        </w:rPr>
        <w:t>Purpose and Use of Information</w:t>
      </w:r>
      <w:bookmarkEnd w:id="3"/>
      <w:r w:rsidR="00A12E52">
        <w:rPr>
          <w:b/>
          <w:color w:val="auto"/>
          <w:u w:val="single"/>
        </w:rPr>
        <w:t xml:space="preserve"> Collection</w:t>
      </w:r>
    </w:p>
    <w:p w14:paraId="188AD6BB"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15C8772"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The purpose of collecting these data is to compile and analyze client-level data to address performance measures including the Government Performance Results Act (GPRA), Program Assessment Rating Tool (PART), and HRSA core clinical performance measures (see attachments for the client-level data elements and rationale for inclusion of each element in the </w:t>
      </w:r>
      <w:r w:rsidR="0016317F">
        <w:rPr>
          <w:rStyle w:val="BodyTextFi"/>
          <w:sz w:val="24"/>
        </w:rPr>
        <w:t>RSR</w:t>
      </w:r>
      <w:r>
        <w:rPr>
          <w:rStyle w:val="BodyTextFi"/>
          <w:sz w:val="24"/>
        </w:rPr>
        <w:t xml:space="preserve">). </w:t>
      </w:r>
    </w:p>
    <w:p w14:paraId="75C4ED23"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1ECA57EB" w14:textId="190A8F7D"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rStyle w:val="BodyTextFi"/>
          <w:sz w:val="24"/>
        </w:rPr>
        <w:t xml:space="preserve">In the </w:t>
      </w:r>
      <w:r w:rsidR="002D42DD">
        <w:rPr>
          <w:rStyle w:val="BodyTextFi"/>
          <w:sz w:val="24"/>
        </w:rPr>
        <w:t>RSR</w:t>
      </w:r>
      <w:r>
        <w:rPr>
          <w:rStyle w:val="BodyTextFi"/>
          <w:sz w:val="24"/>
        </w:rPr>
        <w:t>, agencies only report data on funded services and selected clinical data associated with those services. This allow</w:t>
      </w:r>
      <w:r w:rsidR="00D31E08">
        <w:rPr>
          <w:rStyle w:val="BodyTextFi"/>
          <w:sz w:val="24"/>
        </w:rPr>
        <w:t>s</w:t>
      </w:r>
      <w:r>
        <w:rPr>
          <w:rStyle w:val="BodyTextFi"/>
          <w:sz w:val="24"/>
        </w:rPr>
        <w:t xml:space="preserve"> HRSA to obtain </w:t>
      </w:r>
      <w:r>
        <w:rPr>
          <w:sz w:val="24"/>
          <w:szCs w:val="24"/>
        </w:rPr>
        <w:t xml:space="preserve">accurate counts of the number of clients served by the </w:t>
      </w:r>
      <w:r>
        <w:rPr>
          <w:rStyle w:val="Strong"/>
          <w:b w:val="0"/>
          <w:sz w:val="24"/>
          <w:szCs w:val="24"/>
        </w:rPr>
        <w:t>Ryan</w:t>
      </w:r>
      <w:r>
        <w:rPr>
          <w:b/>
          <w:sz w:val="24"/>
          <w:szCs w:val="24"/>
        </w:rPr>
        <w:t xml:space="preserve"> </w:t>
      </w:r>
      <w:r>
        <w:rPr>
          <w:rStyle w:val="Strong"/>
          <w:b w:val="0"/>
          <w:sz w:val="24"/>
          <w:szCs w:val="24"/>
        </w:rPr>
        <w:t>White</w:t>
      </w:r>
      <w:r>
        <w:rPr>
          <w:sz w:val="24"/>
          <w:szCs w:val="24"/>
        </w:rPr>
        <w:t xml:space="preserve"> HIV/AIDS Program.</w:t>
      </w:r>
      <w:r>
        <w:rPr>
          <w:rStyle w:val="BodyTextFi"/>
          <w:sz w:val="24"/>
        </w:rPr>
        <w:t xml:space="preserve"> In addition, </w:t>
      </w:r>
      <w:r>
        <w:rPr>
          <w:sz w:val="24"/>
        </w:rPr>
        <w:t xml:space="preserve">the data submitted to HRSA/HAB </w:t>
      </w:r>
      <w:r w:rsidR="00B9137A">
        <w:rPr>
          <w:sz w:val="24"/>
        </w:rPr>
        <w:t>are</w:t>
      </w:r>
      <w:r>
        <w:rPr>
          <w:sz w:val="24"/>
        </w:rPr>
        <w:t xml:space="preserve"> used for monitoring the outcomes achieved on behalf of HIV/AIDS clients and their impacted families receiving care and treatment through </w:t>
      </w:r>
      <w:r>
        <w:rPr>
          <w:sz w:val="24"/>
          <w:szCs w:val="24"/>
        </w:rPr>
        <w:t>RWHAP</w:t>
      </w:r>
      <w:r>
        <w:rPr>
          <w:sz w:val="24"/>
        </w:rPr>
        <w:t xml:space="preserve"> </w:t>
      </w:r>
      <w:r w:rsidR="00F504C9">
        <w:rPr>
          <w:sz w:val="24"/>
        </w:rPr>
        <w:t>grant recipients</w:t>
      </w:r>
      <w:r>
        <w:rPr>
          <w:sz w:val="24"/>
        </w:rPr>
        <w:t xml:space="preserve"> and/or providers; monitoring the use of </w:t>
      </w:r>
      <w:r>
        <w:rPr>
          <w:sz w:val="24"/>
          <w:szCs w:val="24"/>
        </w:rPr>
        <w:t>RWHAP</w:t>
      </w:r>
      <w:r>
        <w:rPr>
          <w:sz w:val="24"/>
        </w:rPr>
        <w:t xml:space="preserve"> funds for the appropriate use to address the HIV/AIDS epidemic in the United States; and addressing the needs and concerns of U.S. Congress and the DHHS Secretary concerning the HIV/AIDS epidemic and the </w:t>
      </w:r>
      <w:r>
        <w:rPr>
          <w:sz w:val="24"/>
          <w:szCs w:val="24"/>
        </w:rPr>
        <w:t>RWHAP</w:t>
      </w:r>
      <w:r>
        <w:rPr>
          <w:sz w:val="24"/>
        </w:rPr>
        <w:t>.</w:t>
      </w:r>
    </w:p>
    <w:p w14:paraId="539BA41E" w14:textId="77777777" w:rsidR="00B9137A" w:rsidRDefault="00B913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14F3F342" w14:textId="452F7A2A" w:rsidR="00533918" w:rsidRDefault="00F504C9" w:rsidP="005A1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rPr>
      </w:pPr>
      <w:r>
        <w:rPr>
          <w:rStyle w:val="BodyTextFi"/>
          <w:sz w:val="24"/>
        </w:rPr>
        <w:t>Grant recipients</w:t>
      </w:r>
      <w:r w:rsidR="00533918">
        <w:rPr>
          <w:rStyle w:val="BodyTextFi"/>
          <w:sz w:val="24"/>
        </w:rPr>
        <w:t xml:space="preserve"> and service providers collect information on the </w:t>
      </w:r>
      <w:r w:rsidR="0016317F">
        <w:rPr>
          <w:rStyle w:val="BodyTextFi"/>
          <w:sz w:val="24"/>
        </w:rPr>
        <w:t>RSR</w:t>
      </w:r>
      <w:r w:rsidR="00533918">
        <w:rPr>
          <w:rStyle w:val="BodyTextFi"/>
          <w:sz w:val="24"/>
        </w:rPr>
        <w:t xml:space="preserve"> and submit the data </w:t>
      </w:r>
      <w:r w:rsidR="000D6B11">
        <w:rPr>
          <w:rStyle w:val="BodyTextFi"/>
          <w:sz w:val="24"/>
        </w:rPr>
        <w:t xml:space="preserve">once </w:t>
      </w:r>
      <w:r w:rsidR="000A3D39">
        <w:rPr>
          <w:rStyle w:val="BodyTextFi"/>
          <w:sz w:val="24"/>
        </w:rPr>
        <w:lastRenderedPageBreak/>
        <w:t>a</w:t>
      </w:r>
      <w:r w:rsidR="005A123F">
        <w:rPr>
          <w:rStyle w:val="BodyTextFi"/>
          <w:sz w:val="24"/>
        </w:rPr>
        <w:t>nnually.</w:t>
      </w:r>
      <w:r w:rsidR="00533918">
        <w:rPr>
          <w:rStyle w:val="BodyTextFi"/>
          <w:sz w:val="24"/>
        </w:rPr>
        <w:t xml:space="preserve"> </w:t>
      </w:r>
      <w:r w:rsidR="00533918">
        <w:rPr>
          <w:rStyle w:val="BulletInden"/>
          <w:sz w:val="24"/>
        </w:rPr>
        <w:t>HRSA generates descriptive reports about the uses of funds and the types of providers receiving them, and conducts detailed analyses of national and regional information about clients and services.</w:t>
      </w:r>
    </w:p>
    <w:p w14:paraId="6DC7F514"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2B11F2C2"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6A9AC4EE" w14:textId="77777777" w:rsidR="00533918" w:rsidRDefault="00533918">
      <w:pPr>
        <w:pStyle w:val="ColorfulList-Accent11"/>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sz w:val="24"/>
          <w:u w:val="single"/>
        </w:rPr>
      </w:pPr>
      <w:bookmarkStart w:id="4" w:name="_Toc209407054"/>
      <w:r w:rsidRPr="00A12E52">
        <w:rPr>
          <w:b/>
          <w:sz w:val="24"/>
        </w:rPr>
        <w:t xml:space="preserve">3. </w:t>
      </w:r>
      <w:r w:rsidR="00A12E52" w:rsidRPr="00A12E52">
        <w:rPr>
          <w:b/>
          <w:sz w:val="24"/>
        </w:rPr>
        <w:tab/>
      </w:r>
      <w:r>
        <w:rPr>
          <w:b/>
          <w:sz w:val="24"/>
          <w:u w:val="single"/>
        </w:rPr>
        <w:t>Use of Improved Information Technology</w:t>
      </w:r>
      <w:bookmarkEnd w:id="4"/>
      <w:r w:rsidR="00A12E52">
        <w:rPr>
          <w:b/>
          <w:sz w:val="24"/>
          <w:u w:val="single"/>
        </w:rPr>
        <w:t xml:space="preserve"> and Burden Reduction</w:t>
      </w:r>
    </w:p>
    <w:p w14:paraId="4E81D11A"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53FA8D6" w14:textId="3341FEBB"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sz w:val="24"/>
        </w:rPr>
        <w:t xml:space="preserve">This collection of information is fully electronic. </w:t>
      </w:r>
      <w:r>
        <w:rPr>
          <w:sz w:val="24"/>
        </w:rPr>
        <w:fldChar w:fldCharType="begin"/>
      </w:r>
      <w:r>
        <w:rPr>
          <w:sz w:val="24"/>
        </w:rPr>
        <w:instrText>tc "</w:instrText>
      </w:r>
      <w:bookmarkStart w:id="5" w:name="_Toc205262985"/>
      <w:r>
        <w:rPr>
          <w:sz w:val="24"/>
        </w:rPr>
        <w:instrText>3.</w:instrText>
      </w:r>
      <w:r>
        <w:rPr>
          <w:sz w:val="24"/>
        </w:rPr>
        <w:tab/>
        <w:instrText>Use of Improved Information Technology</w:instrText>
      </w:r>
      <w:bookmarkEnd w:id="5"/>
      <w:r>
        <w:rPr>
          <w:sz w:val="24"/>
        </w:rPr>
        <w:instrText xml:space="preserve"> " \l 2</w:instrText>
      </w:r>
      <w:r>
        <w:rPr>
          <w:sz w:val="24"/>
        </w:rPr>
        <w:fldChar w:fldCharType="end"/>
      </w:r>
      <w:r>
        <w:rPr>
          <w:rStyle w:val="BodyTextFi"/>
          <w:sz w:val="24"/>
        </w:rPr>
        <w:t xml:space="preserve">Use of information technology varies greatly among </w:t>
      </w:r>
      <w:r w:rsidR="00F504C9">
        <w:rPr>
          <w:rStyle w:val="BodyTextFi"/>
          <w:sz w:val="24"/>
        </w:rPr>
        <w:t>grant recipients</w:t>
      </w:r>
      <w:r w:rsidR="00DF7413">
        <w:rPr>
          <w:rStyle w:val="BodyTextFi"/>
          <w:sz w:val="24"/>
        </w:rPr>
        <w:t xml:space="preserve">, though most </w:t>
      </w:r>
      <w:r w:rsidR="00F504C9">
        <w:rPr>
          <w:rStyle w:val="BodyTextFi"/>
          <w:sz w:val="24"/>
        </w:rPr>
        <w:t>grant recipients</w:t>
      </w:r>
      <w:r w:rsidR="00DF7413" w:rsidRPr="00DF7413">
        <w:rPr>
          <w:rStyle w:val="BodyTextFi"/>
          <w:sz w:val="24"/>
        </w:rPr>
        <w:t xml:space="preserve"> have now </w:t>
      </w:r>
      <w:r w:rsidRPr="00DF7413">
        <w:rPr>
          <w:rStyle w:val="BodyTextFi"/>
          <w:sz w:val="24"/>
        </w:rPr>
        <w:t>established data systems that are capable of producing the required reports with minimal effort.</w:t>
      </w:r>
      <w:r>
        <w:rPr>
          <w:rStyle w:val="BodyTextFi"/>
          <w:sz w:val="24"/>
        </w:rPr>
        <w:t xml:space="preserve"> </w:t>
      </w:r>
      <w:r w:rsidR="00F504C9">
        <w:rPr>
          <w:rStyle w:val="BodyTextFi"/>
          <w:sz w:val="24"/>
        </w:rPr>
        <w:t>Grant recipients</w:t>
      </w:r>
      <w:r>
        <w:rPr>
          <w:rStyle w:val="BodyTextFi"/>
          <w:sz w:val="24"/>
        </w:rPr>
        <w:t xml:space="preserve"> can improve data quality, reporting efficiency, and responsiveness to the public by having their providers use an automated system that determines the number of clients served, the services provided to them, and the health status of these clients. </w:t>
      </w:r>
    </w:p>
    <w:p w14:paraId="563D0424"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DD4B037" w14:textId="05D62195"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In order to report client-level data, </w:t>
      </w:r>
      <w:r w:rsidR="00F504C9">
        <w:rPr>
          <w:sz w:val="24"/>
        </w:rPr>
        <w:t>grant recipients</w:t>
      </w:r>
      <w:r>
        <w:rPr>
          <w:sz w:val="24"/>
        </w:rPr>
        <w:t xml:space="preserve"> and providers will need access to the Internet. The </w:t>
      </w:r>
      <w:r w:rsidR="00F63203">
        <w:rPr>
          <w:sz w:val="24"/>
        </w:rPr>
        <w:t>G</w:t>
      </w:r>
      <w:r>
        <w:rPr>
          <w:sz w:val="24"/>
        </w:rPr>
        <w:t xml:space="preserve">rantee and </w:t>
      </w:r>
      <w:r w:rsidR="00F63203">
        <w:rPr>
          <w:sz w:val="24"/>
        </w:rPr>
        <w:t>Service P</w:t>
      </w:r>
      <w:r>
        <w:rPr>
          <w:sz w:val="24"/>
        </w:rPr>
        <w:t xml:space="preserve">rovider </w:t>
      </w:r>
      <w:r w:rsidR="00F63203">
        <w:rPr>
          <w:sz w:val="24"/>
        </w:rPr>
        <w:t>R</w:t>
      </w:r>
      <w:r>
        <w:rPr>
          <w:sz w:val="24"/>
        </w:rPr>
        <w:t xml:space="preserve">eports </w:t>
      </w:r>
      <w:r w:rsidR="00F63203">
        <w:rPr>
          <w:sz w:val="24"/>
        </w:rPr>
        <w:t>are</w:t>
      </w:r>
      <w:r>
        <w:rPr>
          <w:sz w:val="24"/>
        </w:rPr>
        <w:t xml:space="preserve"> completed online through a secure Web-based data entry system developed by HRSA. Many of the items on the Grantee Report and Service Provider Report </w:t>
      </w:r>
      <w:r w:rsidR="00F63203">
        <w:rPr>
          <w:sz w:val="24"/>
        </w:rPr>
        <w:t>are</w:t>
      </w:r>
      <w:r>
        <w:rPr>
          <w:sz w:val="24"/>
        </w:rPr>
        <w:t xml:space="preserve"> pre-populated based on information already existing in the system.</w:t>
      </w:r>
      <w:r>
        <w:rPr>
          <w:rStyle w:val="BodyTextFi"/>
          <w:sz w:val="24"/>
        </w:rPr>
        <w:t xml:space="preserve"> </w:t>
      </w:r>
      <w:r>
        <w:rPr>
          <w:sz w:val="24"/>
        </w:rPr>
        <w:t>The client-</w:t>
      </w:r>
      <w:r>
        <w:rPr>
          <w:sz w:val="24"/>
          <w:szCs w:val="24"/>
        </w:rPr>
        <w:t xml:space="preserve">level data set </w:t>
      </w:r>
      <w:r w:rsidR="00F63203">
        <w:rPr>
          <w:sz w:val="24"/>
          <w:szCs w:val="24"/>
        </w:rPr>
        <w:t>is</w:t>
      </w:r>
      <w:r>
        <w:rPr>
          <w:sz w:val="24"/>
          <w:szCs w:val="24"/>
        </w:rPr>
        <w:t xml:space="preserve"> uploaded to the system in the required </w:t>
      </w:r>
      <w:r>
        <w:rPr>
          <w:bCs/>
          <w:sz w:val="24"/>
          <w:szCs w:val="24"/>
          <w:lang w:val="en"/>
        </w:rPr>
        <w:t>Extensible Markup Language</w:t>
      </w:r>
      <w:r>
        <w:rPr>
          <w:sz w:val="24"/>
          <w:szCs w:val="24"/>
          <w:lang w:val="en"/>
        </w:rPr>
        <w:t xml:space="preserve"> (</w:t>
      </w:r>
      <w:r>
        <w:rPr>
          <w:sz w:val="24"/>
          <w:szCs w:val="24"/>
        </w:rPr>
        <w:t>XML)</w:t>
      </w:r>
      <w:r>
        <w:rPr>
          <w:sz w:val="24"/>
        </w:rPr>
        <w:t xml:space="preserve"> format. </w:t>
      </w:r>
    </w:p>
    <w:p w14:paraId="637937B2"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3C5AA279" w14:textId="7396BF36" w:rsidR="00533918" w:rsidRDefault="000234B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HRSA has made several options available to </w:t>
      </w:r>
      <w:r w:rsidR="00F504C9">
        <w:rPr>
          <w:rStyle w:val="BodyTextFi"/>
          <w:sz w:val="24"/>
        </w:rPr>
        <w:t>grant recipients</w:t>
      </w:r>
      <w:r>
        <w:rPr>
          <w:rStyle w:val="BodyTextFi"/>
          <w:sz w:val="24"/>
        </w:rPr>
        <w:t xml:space="preserve"> to complete the RSR.  </w:t>
      </w:r>
      <w:r w:rsidR="00533918">
        <w:rPr>
          <w:rStyle w:val="BodyTextFi"/>
          <w:sz w:val="24"/>
        </w:rPr>
        <w:t xml:space="preserve">HRSA has developed its own database system, </w:t>
      </w:r>
      <w:r w:rsidR="00CE746F">
        <w:rPr>
          <w:rStyle w:val="BodyTextFi"/>
          <w:sz w:val="24"/>
        </w:rPr>
        <w:t>CAREWare, which is</w:t>
      </w:r>
      <w:r w:rsidR="00533918">
        <w:rPr>
          <w:rStyle w:val="BodyTextFi"/>
          <w:sz w:val="24"/>
        </w:rPr>
        <w:t xml:space="preserve"> available at no cost to all Ryan White HIV/AIDS Programs</w:t>
      </w:r>
      <w:r w:rsidR="009C0445">
        <w:rPr>
          <w:rStyle w:val="BodyTextFi"/>
          <w:sz w:val="24"/>
        </w:rPr>
        <w:t xml:space="preserve">. </w:t>
      </w:r>
      <w:r w:rsidR="00533918">
        <w:rPr>
          <w:rStyle w:val="BodyTextFi"/>
          <w:sz w:val="24"/>
        </w:rPr>
        <w:t>In addition</w:t>
      </w:r>
      <w:r>
        <w:rPr>
          <w:rStyle w:val="BodyTextFi"/>
          <w:sz w:val="24"/>
        </w:rPr>
        <w:t xml:space="preserve"> to CAREWare</w:t>
      </w:r>
      <w:r w:rsidR="00533918">
        <w:rPr>
          <w:rStyle w:val="BodyTextFi"/>
          <w:sz w:val="24"/>
        </w:rPr>
        <w:t>, HRSA</w:t>
      </w:r>
      <w:r>
        <w:rPr>
          <w:rStyle w:val="BodyTextFi"/>
          <w:sz w:val="24"/>
        </w:rPr>
        <w:t xml:space="preserve"> continues</w:t>
      </w:r>
      <w:r w:rsidR="00533918">
        <w:rPr>
          <w:rStyle w:val="BodyTextFi"/>
          <w:sz w:val="24"/>
        </w:rPr>
        <w:t xml:space="preserve"> </w:t>
      </w:r>
      <w:r>
        <w:rPr>
          <w:rStyle w:val="BodyTextFi"/>
          <w:sz w:val="24"/>
        </w:rPr>
        <w:t xml:space="preserve">to work </w:t>
      </w:r>
      <w:r w:rsidR="00533918">
        <w:rPr>
          <w:rStyle w:val="BodyTextFi"/>
          <w:sz w:val="24"/>
        </w:rPr>
        <w:t xml:space="preserve">with a number of vendors of proprietary, HIV-care database systems to ensure that the systems are compatible with the </w:t>
      </w:r>
      <w:r w:rsidR="0016317F">
        <w:rPr>
          <w:rStyle w:val="BodyTextFi"/>
          <w:sz w:val="24"/>
        </w:rPr>
        <w:t>RSR</w:t>
      </w:r>
      <w:r w:rsidR="005A123F">
        <w:rPr>
          <w:rStyle w:val="BodyTextFi"/>
          <w:sz w:val="24"/>
        </w:rPr>
        <w:t xml:space="preserve"> data collection</w:t>
      </w:r>
      <w:r w:rsidR="00533918">
        <w:rPr>
          <w:sz w:val="24"/>
        </w:rPr>
        <w:t xml:space="preserve">. </w:t>
      </w:r>
    </w:p>
    <w:p w14:paraId="7C17CAA1"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7C5780D" w14:textId="28050ACB"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Agencies that use a custom-built system will need to use the XML schema provided by H</w:t>
      </w:r>
      <w:r>
        <w:rPr>
          <w:rStyle w:val="BodyTextFi"/>
          <w:sz w:val="24"/>
        </w:rPr>
        <w:t>RSA</w:t>
      </w:r>
      <w:r>
        <w:rPr>
          <w:sz w:val="24"/>
        </w:rPr>
        <w:t xml:space="preserve"> to write a program that will extract data from the system and create the XML file. </w:t>
      </w:r>
      <w:r w:rsidR="000234B0">
        <w:rPr>
          <w:sz w:val="24"/>
        </w:rPr>
        <w:t xml:space="preserve">HRSA developed a tool, Tool for RSR Export (T-REX), and user guides to </w:t>
      </w:r>
      <w:r w:rsidR="009F2A88">
        <w:rPr>
          <w:sz w:val="24"/>
        </w:rPr>
        <w:t>help</w:t>
      </w:r>
      <w:r w:rsidR="000234B0">
        <w:rPr>
          <w:sz w:val="24"/>
        </w:rPr>
        <w:t xml:space="preserve"> </w:t>
      </w:r>
      <w:r w:rsidR="00F504C9">
        <w:rPr>
          <w:sz w:val="24"/>
        </w:rPr>
        <w:t>grant recipients</w:t>
      </w:r>
      <w:r w:rsidR="000234B0">
        <w:rPr>
          <w:sz w:val="24"/>
        </w:rPr>
        <w:t xml:space="preserve"> </w:t>
      </w:r>
      <w:r w:rsidR="009F2A88">
        <w:rPr>
          <w:sz w:val="24"/>
        </w:rPr>
        <w:t>convert their client-level data into the required format</w:t>
      </w:r>
      <w:r w:rsidR="000234B0">
        <w:rPr>
          <w:sz w:val="24"/>
        </w:rPr>
        <w:t xml:space="preserve">.  </w:t>
      </w:r>
      <w:r>
        <w:rPr>
          <w:sz w:val="24"/>
        </w:rPr>
        <w:t xml:space="preserve">Technical support </w:t>
      </w:r>
      <w:r w:rsidR="000234B0">
        <w:rPr>
          <w:sz w:val="24"/>
        </w:rPr>
        <w:t>is</w:t>
      </w:r>
      <w:r>
        <w:rPr>
          <w:sz w:val="24"/>
        </w:rPr>
        <w:t xml:space="preserve"> </w:t>
      </w:r>
      <w:r w:rsidR="009F2A88">
        <w:rPr>
          <w:sz w:val="24"/>
        </w:rPr>
        <w:t xml:space="preserve">also </w:t>
      </w:r>
      <w:r>
        <w:rPr>
          <w:sz w:val="24"/>
        </w:rPr>
        <w:t xml:space="preserve">available </w:t>
      </w:r>
      <w:r w:rsidR="009F2A88">
        <w:rPr>
          <w:sz w:val="24"/>
        </w:rPr>
        <w:t xml:space="preserve">to assist </w:t>
      </w:r>
      <w:r w:rsidR="00F504C9">
        <w:rPr>
          <w:sz w:val="24"/>
        </w:rPr>
        <w:t>grant recipients</w:t>
      </w:r>
      <w:r w:rsidR="009F2A88">
        <w:rPr>
          <w:sz w:val="24"/>
        </w:rPr>
        <w:t xml:space="preserve"> in this effort.  </w:t>
      </w:r>
    </w:p>
    <w:p w14:paraId="2D9B646A"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D67FA3E"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F7FE27" w14:textId="77777777" w:rsidR="00533918" w:rsidRDefault="00533918" w:rsidP="00A12E52">
      <w:pPr>
        <w:pStyle w:val="Heading2"/>
        <w:pBdr>
          <w:bottom w:val="none" w:sz="0" w:space="0" w:color="auto"/>
        </w:pBdr>
        <w:tabs>
          <w:tab w:val="left" w:pos="360"/>
        </w:tabs>
        <w:spacing w:before="0" w:after="0"/>
        <w:rPr>
          <w:b/>
          <w:color w:val="auto"/>
          <w:u w:val="single"/>
        </w:rPr>
      </w:pPr>
      <w:bookmarkStart w:id="6" w:name="_Toc209407055"/>
      <w:r w:rsidRPr="00A12E52">
        <w:rPr>
          <w:b/>
          <w:color w:val="auto"/>
        </w:rPr>
        <w:t>4.</w:t>
      </w:r>
      <w:r w:rsidR="00A12E52" w:rsidRPr="00A12E52">
        <w:rPr>
          <w:b/>
          <w:color w:val="auto"/>
        </w:rPr>
        <w:tab/>
      </w:r>
      <w:r w:rsidRPr="00A12E52">
        <w:rPr>
          <w:b/>
          <w:color w:val="auto"/>
        </w:rPr>
        <w:t xml:space="preserve"> </w:t>
      </w:r>
      <w:r>
        <w:rPr>
          <w:b/>
          <w:color w:val="auto"/>
          <w:u w:val="single"/>
        </w:rPr>
        <w:t>Efforts to Identify Duplication</w:t>
      </w:r>
      <w:bookmarkEnd w:id="6"/>
      <w:r w:rsidR="00A12E52">
        <w:rPr>
          <w:b/>
          <w:color w:val="auto"/>
          <w:u w:val="single"/>
        </w:rPr>
        <w:t xml:space="preserve"> and Use of Similar Information</w:t>
      </w:r>
    </w:p>
    <w:p w14:paraId="3CDE1202" w14:textId="77777777" w:rsidR="00533918" w:rsidRDefault="00533918">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720"/>
        <w:outlineLvl w:val="0"/>
        <w:rPr>
          <w:sz w:val="24"/>
        </w:rPr>
      </w:pPr>
      <w:r>
        <w:rPr>
          <w:sz w:val="24"/>
        </w:rPr>
        <w:fldChar w:fldCharType="begin"/>
      </w:r>
      <w:r>
        <w:rPr>
          <w:sz w:val="24"/>
        </w:rPr>
        <w:instrText>tc "</w:instrText>
      </w:r>
      <w:bookmarkStart w:id="7" w:name="_Toc205262986"/>
      <w:r>
        <w:rPr>
          <w:sz w:val="24"/>
        </w:rPr>
        <w:instrText>4.</w:instrText>
      </w:r>
      <w:r>
        <w:rPr>
          <w:sz w:val="24"/>
        </w:rPr>
        <w:tab/>
        <w:instrText>Efforts to Identify Duplication</w:instrText>
      </w:r>
      <w:bookmarkEnd w:id="7"/>
      <w:r>
        <w:rPr>
          <w:sz w:val="24"/>
        </w:rPr>
        <w:instrText xml:space="preserve"> " \l 2</w:instrText>
      </w:r>
      <w:r>
        <w:rPr>
          <w:sz w:val="24"/>
        </w:rPr>
        <w:fldChar w:fldCharType="end"/>
      </w:r>
    </w:p>
    <w:p w14:paraId="2E65A986" w14:textId="647BD620"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Data of the type required to evaluate or monitor each of the Ryan White HIV/AIDS Program Parts are not available elsewhere. No known studies of people living with HIV or sample studies of people in defined demographic or risk groups provide comprehensive, overall program information specifically about </w:t>
      </w:r>
      <w:r w:rsidR="00F504C9">
        <w:rPr>
          <w:rStyle w:val="BodyTextFi"/>
          <w:sz w:val="24"/>
        </w:rPr>
        <w:t>grant recipients</w:t>
      </w:r>
      <w:r>
        <w:rPr>
          <w:rStyle w:val="BodyTextFi"/>
          <w:sz w:val="24"/>
        </w:rPr>
        <w:t xml:space="preserve">, providers, and beneficiaries of the </w:t>
      </w:r>
      <w:r>
        <w:rPr>
          <w:sz w:val="24"/>
          <w:szCs w:val="24"/>
        </w:rPr>
        <w:t>RWHAP</w:t>
      </w:r>
      <w:r>
        <w:rPr>
          <w:rStyle w:val="BodyTextFi"/>
          <w:sz w:val="24"/>
        </w:rPr>
        <w:t xml:space="preserve">. The </w:t>
      </w:r>
      <w:r w:rsidR="0016317F">
        <w:rPr>
          <w:rStyle w:val="BodyTextFi"/>
          <w:sz w:val="24"/>
        </w:rPr>
        <w:t>RSR</w:t>
      </w:r>
      <w:r>
        <w:rPr>
          <w:rStyle w:val="BodyTextFi"/>
          <w:sz w:val="24"/>
        </w:rPr>
        <w:t xml:space="preserve"> is the only comprehensive source of grantee, provider, and </w:t>
      </w:r>
      <w:r w:rsidR="00B9137A">
        <w:rPr>
          <w:rStyle w:val="BodyTextFi"/>
          <w:sz w:val="24"/>
        </w:rPr>
        <w:t>client-level</w:t>
      </w:r>
      <w:r>
        <w:rPr>
          <w:rStyle w:val="BodyTextFi"/>
          <w:sz w:val="24"/>
        </w:rPr>
        <w:t xml:space="preserve"> information that will adequately address and meet HAB’s data collection needs and objectives.</w:t>
      </w:r>
    </w:p>
    <w:p w14:paraId="0D254882"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6A5B59FF"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4D98835F" w14:textId="77777777" w:rsidR="00533918" w:rsidRDefault="00533918" w:rsidP="00A12E52">
      <w:pPr>
        <w:pStyle w:val="Heading2"/>
        <w:pBdr>
          <w:bottom w:val="none" w:sz="0" w:space="0" w:color="auto"/>
        </w:pBdr>
        <w:tabs>
          <w:tab w:val="left" w:pos="360"/>
        </w:tabs>
        <w:spacing w:before="0" w:after="0"/>
        <w:rPr>
          <w:b/>
          <w:color w:val="auto"/>
          <w:u w:val="single"/>
        </w:rPr>
      </w:pPr>
      <w:bookmarkStart w:id="8" w:name="_Toc209407056"/>
      <w:r w:rsidRPr="00A12E52">
        <w:rPr>
          <w:b/>
          <w:color w:val="auto"/>
        </w:rPr>
        <w:t xml:space="preserve">5. </w:t>
      </w:r>
      <w:r w:rsidR="00A12E52" w:rsidRPr="00A12E52">
        <w:rPr>
          <w:b/>
          <w:color w:val="auto"/>
        </w:rPr>
        <w:tab/>
      </w:r>
      <w:bookmarkEnd w:id="8"/>
      <w:r w:rsidR="00A12E52">
        <w:rPr>
          <w:b/>
          <w:color w:val="auto"/>
          <w:u w:val="single"/>
        </w:rPr>
        <w:t>Impact on Small Businesses or Other Small Entities</w:t>
      </w:r>
    </w:p>
    <w:p w14:paraId="6EF4B763"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D2C560A" w14:textId="7831EEC4" w:rsidR="00533918" w:rsidRDefault="00B86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863C6">
        <w:rPr>
          <w:sz w:val="24"/>
        </w:rPr>
        <w:t>No small entities will be involved in this information collection</w:t>
      </w:r>
      <w:r w:rsidR="00533918">
        <w:rPr>
          <w:sz w:val="24"/>
        </w:rPr>
        <w:t>.</w:t>
      </w:r>
    </w:p>
    <w:p w14:paraId="68ED87E2"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82E986"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45C69E" w14:textId="77777777" w:rsidR="00533918" w:rsidRDefault="00533918" w:rsidP="00A12E52">
      <w:pPr>
        <w:pStyle w:val="Heading2"/>
        <w:pBdr>
          <w:bottom w:val="none" w:sz="0" w:space="0" w:color="auto"/>
        </w:pBdr>
        <w:tabs>
          <w:tab w:val="left" w:pos="360"/>
        </w:tabs>
        <w:spacing w:before="0" w:after="0"/>
        <w:rPr>
          <w:b/>
          <w:color w:val="auto"/>
          <w:u w:val="single"/>
        </w:rPr>
      </w:pPr>
      <w:bookmarkStart w:id="9" w:name="_Toc209407057"/>
      <w:r w:rsidRPr="00A12E52">
        <w:rPr>
          <w:b/>
          <w:color w:val="auto"/>
        </w:rPr>
        <w:t>6.</w:t>
      </w:r>
      <w:r w:rsidR="00A12E52" w:rsidRPr="00A12E52">
        <w:rPr>
          <w:b/>
          <w:color w:val="auto"/>
        </w:rPr>
        <w:tab/>
      </w:r>
      <w:r w:rsidRPr="00A12E52">
        <w:rPr>
          <w:b/>
          <w:color w:val="auto"/>
        </w:rPr>
        <w:t xml:space="preserve"> </w:t>
      </w:r>
      <w:r>
        <w:rPr>
          <w:b/>
          <w:color w:val="auto"/>
          <w:u w:val="single"/>
        </w:rPr>
        <w:t xml:space="preserve">Consequences </w:t>
      </w:r>
      <w:r w:rsidR="00A12E52">
        <w:rPr>
          <w:b/>
          <w:color w:val="auto"/>
          <w:u w:val="single"/>
        </w:rPr>
        <w:t>of Collecting the Information</w:t>
      </w:r>
      <w:r>
        <w:rPr>
          <w:b/>
          <w:color w:val="auto"/>
          <w:u w:val="single"/>
        </w:rPr>
        <w:t xml:space="preserve"> Less Frequently</w:t>
      </w:r>
      <w:bookmarkEnd w:id="9"/>
    </w:p>
    <w:p w14:paraId="57E18EDD" w14:textId="77777777" w:rsidR="00533918" w:rsidRDefault="00533918"/>
    <w:p w14:paraId="03328A9B"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Without annual reporting on the use of grant funds, HRSA would not be able to carry out its responsibility to oversee compliance with the intent of congressional appropriations in a timely manner. Because the epidemiology of HIV/AIDS is changing constantly, annual reporting of the characteristics of individual beneficiaries of the Ryan White HIV/AIDS Program grants is necessary to determine whether the administration of funds is responding to changes in the affected population. </w:t>
      </w:r>
    </w:p>
    <w:p w14:paraId="44FC1960"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16665325"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If the information is not collected at all, HRSA will not know, and will not be able to report:</w:t>
      </w:r>
    </w:p>
    <w:p w14:paraId="6E905FB2"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3B424C7" w14:textId="77777777" w:rsidR="00533918" w:rsidRDefault="00533918">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Whether program funds are being spent for their intended purposes;</w:t>
      </w:r>
    </w:p>
    <w:p w14:paraId="20F3BC8A" w14:textId="7DD2754B" w:rsidR="00533918" w:rsidRDefault="00533918">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 xml:space="preserve">How program funds are being distributed among several discretionary categories by State and local </w:t>
      </w:r>
      <w:r w:rsidR="00F504C9">
        <w:rPr>
          <w:rStyle w:val="BulletInden"/>
          <w:sz w:val="24"/>
          <w:szCs w:val="24"/>
        </w:rPr>
        <w:t>grant recipients</w:t>
      </w:r>
      <w:r>
        <w:rPr>
          <w:rStyle w:val="BulletInden"/>
          <w:sz w:val="24"/>
          <w:szCs w:val="24"/>
        </w:rPr>
        <w:t>;</w:t>
      </w:r>
    </w:p>
    <w:p w14:paraId="4194B03B" w14:textId="77777777" w:rsidR="00533918" w:rsidRDefault="00533918">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How many and what types of individuals are receiving services, and how various services are distributed across various types of individuals;</w:t>
      </w:r>
      <w:r w:rsidR="00FE5224">
        <w:rPr>
          <w:rStyle w:val="BulletInden"/>
          <w:sz w:val="24"/>
          <w:szCs w:val="24"/>
        </w:rPr>
        <w:t xml:space="preserve"> and</w:t>
      </w:r>
    </w:p>
    <w:p w14:paraId="0039A6D2" w14:textId="77777777" w:rsidR="00533918" w:rsidRDefault="00533918">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How the distribution of program funds, the distribution of services, and the characteristics of individual beneficiaries are changing from one year to the next.</w:t>
      </w:r>
    </w:p>
    <w:p w14:paraId="3EC18288"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0B976BF"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60D4F5D" w14:textId="77777777" w:rsidR="00533918" w:rsidRDefault="00533918">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sz w:val="24"/>
          <w:u w:val="single"/>
        </w:rPr>
      </w:pPr>
      <w:bookmarkStart w:id="10" w:name="_Toc209407058"/>
      <w:r w:rsidRPr="00A12E52">
        <w:rPr>
          <w:b/>
          <w:sz w:val="24"/>
        </w:rPr>
        <w:t>7.</w:t>
      </w:r>
      <w:r w:rsidR="00A12E52" w:rsidRPr="00A12E52">
        <w:rPr>
          <w:b/>
          <w:sz w:val="24"/>
        </w:rPr>
        <w:tab/>
      </w:r>
      <w:r w:rsidRPr="00A12E52">
        <w:rPr>
          <w:b/>
          <w:sz w:val="24"/>
        </w:rPr>
        <w:t xml:space="preserve"> </w:t>
      </w:r>
      <w:r w:rsidR="00A12E52">
        <w:rPr>
          <w:b/>
          <w:sz w:val="24"/>
          <w:u w:val="single"/>
        </w:rPr>
        <w:t xml:space="preserve">Special Circumstances Relating to the </w:t>
      </w:r>
      <w:r>
        <w:rPr>
          <w:b/>
          <w:sz w:val="24"/>
          <w:u w:val="single"/>
        </w:rPr>
        <w:t>Guidelines in 5 CFR 1320.5</w:t>
      </w:r>
      <w:bookmarkEnd w:id="10"/>
    </w:p>
    <w:p w14:paraId="47AA4B52"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B186CE4"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The data will be collected in a manner fully consistent with the guidelines in 5 CFR 1320.</w:t>
      </w:r>
      <w:r w:rsidR="00A12E52">
        <w:rPr>
          <w:rStyle w:val="BodyTextFi"/>
          <w:sz w:val="24"/>
        </w:rPr>
        <w:t>5</w:t>
      </w:r>
      <w:r>
        <w:rPr>
          <w:rStyle w:val="BodyTextFi"/>
          <w:sz w:val="24"/>
        </w:rPr>
        <w:t>.</w:t>
      </w:r>
    </w:p>
    <w:p w14:paraId="23165A72"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B988562"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41BC66" w14:textId="77777777" w:rsidR="00533918" w:rsidRDefault="00533918">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sz w:val="24"/>
          <w:u w:val="single"/>
        </w:rPr>
      </w:pPr>
      <w:bookmarkStart w:id="11" w:name="_Toc209407059"/>
      <w:r w:rsidRPr="00A12E52">
        <w:rPr>
          <w:b/>
          <w:sz w:val="24"/>
        </w:rPr>
        <w:t xml:space="preserve">8. </w:t>
      </w:r>
      <w:r w:rsidR="00A12E52" w:rsidRPr="00A12E52">
        <w:rPr>
          <w:b/>
          <w:sz w:val="24"/>
        </w:rPr>
        <w:tab/>
      </w:r>
      <w:r>
        <w:rPr>
          <w:b/>
          <w:sz w:val="24"/>
          <w:u w:val="single"/>
        </w:rPr>
        <w:t>C</w:t>
      </w:r>
      <w:r w:rsidR="00A12E52">
        <w:rPr>
          <w:b/>
          <w:sz w:val="24"/>
          <w:u w:val="single"/>
        </w:rPr>
        <w:t>omments in Response to the Federal Register Notice/Outside C</w:t>
      </w:r>
      <w:r>
        <w:rPr>
          <w:b/>
          <w:sz w:val="24"/>
          <w:u w:val="single"/>
        </w:rPr>
        <w:t>onsultation</w:t>
      </w:r>
      <w:bookmarkEnd w:id="11"/>
    </w:p>
    <w:p w14:paraId="15E54696"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7D19E71" w14:textId="77777777" w:rsidR="00A12E52" w:rsidRPr="00A12E52" w:rsidRDefault="00A12E5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sz w:val="24"/>
        </w:rPr>
      </w:pPr>
      <w:r w:rsidRPr="00A12E52">
        <w:rPr>
          <w:rStyle w:val="BodyTextFi"/>
          <w:b/>
          <w:sz w:val="24"/>
        </w:rPr>
        <w:t>Section 8A:</w:t>
      </w:r>
    </w:p>
    <w:p w14:paraId="5FB8267F" w14:textId="77777777" w:rsidR="00A12E52" w:rsidRDefault="00A12E5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36A9C0FC" w14:textId="2211A74E" w:rsidR="00533918" w:rsidRDefault="00AC07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A 60-day Federal Register Notice </w:t>
      </w:r>
      <w:r w:rsidR="00533918">
        <w:rPr>
          <w:rStyle w:val="BodyTextFi"/>
          <w:sz w:val="24"/>
        </w:rPr>
        <w:t xml:space="preserve">was published in the </w:t>
      </w:r>
      <w:r w:rsidR="00533918" w:rsidRPr="00AC07E2">
        <w:rPr>
          <w:rStyle w:val="BodyTextFi"/>
          <w:i/>
          <w:sz w:val="24"/>
        </w:rPr>
        <w:t>Federal Register</w:t>
      </w:r>
      <w:r w:rsidR="00533918" w:rsidRPr="00DF7413">
        <w:rPr>
          <w:rStyle w:val="BodyTextFi"/>
          <w:sz w:val="24"/>
        </w:rPr>
        <w:t xml:space="preserve"> on </w:t>
      </w:r>
      <w:r w:rsidR="00F504C9">
        <w:rPr>
          <w:rStyle w:val="BodyTextFi"/>
          <w:sz w:val="24"/>
        </w:rPr>
        <w:t>March</w:t>
      </w:r>
      <w:r>
        <w:rPr>
          <w:rStyle w:val="BodyTextFi"/>
          <w:sz w:val="24"/>
        </w:rPr>
        <w:t xml:space="preserve"> </w:t>
      </w:r>
      <w:r w:rsidR="00F504C9">
        <w:rPr>
          <w:rStyle w:val="BodyTextFi"/>
          <w:sz w:val="24"/>
        </w:rPr>
        <w:t>27</w:t>
      </w:r>
      <w:r w:rsidR="00DF7413" w:rsidRPr="00DF7413">
        <w:rPr>
          <w:rStyle w:val="BodyTextFi"/>
          <w:sz w:val="24"/>
        </w:rPr>
        <w:t>, 201</w:t>
      </w:r>
      <w:r w:rsidR="00F504C9">
        <w:rPr>
          <w:rStyle w:val="BodyTextFi"/>
          <w:sz w:val="24"/>
        </w:rPr>
        <w:t>7</w:t>
      </w:r>
      <w:r w:rsidR="00533918" w:rsidRPr="00DF7413">
        <w:rPr>
          <w:rStyle w:val="BodyTextFi"/>
          <w:sz w:val="24"/>
        </w:rPr>
        <w:t xml:space="preserve"> (Vol. </w:t>
      </w:r>
      <w:r w:rsidR="00F504C9">
        <w:rPr>
          <w:rStyle w:val="BodyTextFi"/>
          <w:sz w:val="24"/>
        </w:rPr>
        <w:t>82</w:t>
      </w:r>
      <w:r w:rsidR="00533918" w:rsidRPr="00DF7413">
        <w:rPr>
          <w:rStyle w:val="BodyTextFi"/>
          <w:sz w:val="24"/>
        </w:rPr>
        <w:t xml:space="preserve">, No. </w:t>
      </w:r>
      <w:r w:rsidR="00F504C9">
        <w:rPr>
          <w:rStyle w:val="BodyTextFi"/>
          <w:sz w:val="24"/>
        </w:rPr>
        <w:t>57</w:t>
      </w:r>
      <w:r w:rsidR="00533918" w:rsidRPr="00DF7413">
        <w:rPr>
          <w:rStyle w:val="BodyTextFi"/>
          <w:sz w:val="24"/>
        </w:rPr>
        <w:t xml:space="preserve">, </w:t>
      </w:r>
      <w:r w:rsidR="00533918" w:rsidRPr="000244D4">
        <w:rPr>
          <w:rStyle w:val="BodyTextFi"/>
          <w:sz w:val="24"/>
        </w:rPr>
        <w:t xml:space="preserve">pp. </w:t>
      </w:r>
      <w:r w:rsidR="00F504C9">
        <w:rPr>
          <w:rStyle w:val="BodyTextFi"/>
          <w:sz w:val="24"/>
        </w:rPr>
        <w:t>15226–15227</w:t>
      </w:r>
      <w:r w:rsidR="00533918" w:rsidRPr="000244D4">
        <w:rPr>
          <w:rStyle w:val="BodyTextFi"/>
          <w:sz w:val="24"/>
        </w:rPr>
        <w:t xml:space="preserve">). </w:t>
      </w:r>
      <w:r w:rsidR="00F11BEA" w:rsidRPr="000244D4">
        <w:rPr>
          <w:rStyle w:val="BodyTextFi"/>
          <w:sz w:val="24"/>
        </w:rPr>
        <w:t xml:space="preserve">See Tab F for a copy of the notice.  </w:t>
      </w:r>
      <w:r w:rsidRPr="000244D4">
        <w:rPr>
          <w:rStyle w:val="BodyTextFi"/>
          <w:sz w:val="24"/>
        </w:rPr>
        <w:t>Ther</w:t>
      </w:r>
      <w:r>
        <w:rPr>
          <w:rStyle w:val="BodyTextFi"/>
          <w:sz w:val="24"/>
        </w:rPr>
        <w:t>e were n</w:t>
      </w:r>
      <w:r w:rsidR="00DF7413" w:rsidRPr="00DF7413">
        <w:rPr>
          <w:rStyle w:val="BodyTextFi"/>
          <w:sz w:val="24"/>
        </w:rPr>
        <w:t xml:space="preserve">o </w:t>
      </w:r>
      <w:r>
        <w:rPr>
          <w:rStyle w:val="BodyTextFi"/>
          <w:sz w:val="24"/>
        </w:rPr>
        <w:t>public comments.</w:t>
      </w:r>
      <w:r w:rsidR="00533918">
        <w:rPr>
          <w:rStyle w:val="BodyTextFi"/>
          <w:sz w:val="24"/>
        </w:rPr>
        <w:t xml:space="preserve"> </w:t>
      </w:r>
    </w:p>
    <w:p w14:paraId="295D5E23" w14:textId="77777777" w:rsidR="00B7445E" w:rsidRDefault="00B744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7DF12F57" w14:textId="77777777" w:rsidR="00A12E52" w:rsidRPr="00051659" w:rsidRDefault="00A12E5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sz w:val="24"/>
        </w:rPr>
      </w:pPr>
      <w:r w:rsidRPr="00051659">
        <w:rPr>
          <w:rStyle w:val="BodyTextFi"/>
          <w:b/>
          <w:sz w:val="24"/>
        </w:rPr>
        <w:t>Section 8B:</w:t>
      </w:r>
    </w:p>
    <w:p w14:paraId="28B21983" w14:textId="77777777" w:rsidR="00A12E52" w:rsidRPr="00051659" w:rsidRDefault="00A12E5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538988A3" w14:textId="65C88840" w:rsidR="00533918" w:rsidRPr="00A4238A" w:rsidRDefault="00FC2A9E" w:rsidP="00FC2A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color w:val="000000"/>
          <w:highlight w:val="yellow"/>
        </w:rPr>
      </w:pPr>
      <w:r w:rsidRPr="00A4238A">
        <w:rPr>
          <w:rStyle w:val="BodyTextFi"/>
          <w:sz w:val="24"/>
          <w:highlight w:val="yellow"/>
        </w:rPr>
        <w:t>In 201</w:t>
      </w:r>
      <w:r w:rsidR="00F504C9" w:rsidRPr="00A4238A">
        <w:rPr>
          <w:rStyle w:val="BodyTextFi"/>
          <w:sz w:val="24"/>
          <w:highlight w:val="yellow"/>
        </w:rPr>
        <w:t>7</w:t>
      </w:r>
      <w:r w:rsidRPr="00A4238A">
        <w:rPr>
          <w:rStyle w:val="BodyTextFi"/>
          <w:sz w:val="24"/>
          <w:highlight w:val="yellow"/>
        </w:rPr>
        <w:t>, i</w:t>
      </w:r>
      <w:r w:rsidR="00BA71EB" w:rsidRPr="00A4238A">
        <w:rPr>
          <w:rStyle w:val="BodyTextFi"/>
          <w:sz w:val="24"/>
          <w:highlight w:val="yellow"/>
        </w:rPr>
        <w:t>nput on the</w:t>
      </w:r>
      <w:r w:rsidR="00D25F89" w:rsidRPr="00A4238A">
        <w:rPr>
          <w:rStyle w:val="BodyTextFi"/>
          <w:sz w:val="24"/>
          <w:highlight w:val="yellow"/>
        </w:rPr>
        <w:t xml:space="preserve"> burden </w:t>
      </w:r>
      <w:r w:rsidR="00F33553" w:rsidRPr="00A4238A">
        <w:rPr>
          <w:rStyle w:val="BodyTextFi"/>
          <w:sz w:val="24"/>
          <w:highlight w:val="yellow"/>
        </w:rPr>
        <w:t>and</w:t>
      </w:r>
      <w:r w:rsidRPr="00A4238A">
        <w:rPr>
          <w:rStyle w:val="BodyTextFi"/>
          <w:sz w:val="24"/>
          <w:highlight w:val="yellow"/>
        </w:rPr>
        <w:t xml:space="preserve"> the</w:t>
      </w:r>
      <w:r w:rsidR="00F33553" w:rsidRPr="00A4238A">
        <w:rPr>
          <w:rStyle w:val="BodyTextFi"/>
          <w:sz w:val="24"/>
          <w:highlight w:val="yellow"/>
        </w:rPr>
        <w:t xml:space="preserve"> impact on the new changes </w:t>
      </w:r>
      <w:r w:rsidRPr="00A4238A">
        <w:rPr>
          <w:rStyle w:val="BodyTextFi"/>
          <w:sz w:val="24"/>
          <w:highlight w:val="yellow"/>
        </w:rPr>
        <w:t>in</w:t>
      </w:r>
      <w:r w:rsidR="00F33553" w:rsidRPr="00A4238A">
        <w:rPr>
          <w:rStyle w:val="BodyTextFi"/>
          <w:sz w:val="24"/>
          <w:highlight w:val="yellow"/>
        </w:rPr>
        <w:t xml:space="preserve"> the </w:t>
      </w:r>
      <w:r w:rsidRPr="00A4238A">
        <w:rPr>
          <w:rStyle w:val="BodyTextFi"/>
          <w:sz w:val="24"/>
          <w:highlight w:val="yellow"/>
        </w:rPr>
        <w:t xml:space="preserve">Client </w:t>
      </w:r>
      <w:r w:rsidR="00F33553" w:rsidRPr="00A4238A">
        <w:rPr>
          <w:rStyle w:val="BodyTextFi"/>
          <w:sz w:val="24"/>
          <w:highlight w:val="yellow"/>
        </w:rPr>
        <w:t xml:space="preserve">Report </w:t>
      </w:r>
      <w:r w:rsidRPr="00A4238A">
        <w:rPr>
          <w:rStyle w:val="BodyTextFi"/>
          <w:sz w:val="24"/>
          <w:highlight w:val="yellow"/>
        </w:rPr>
        <w:t xml:space="preserve">on the burden </w:t>
      </w:r>
      <w:r w:rsidR="00D25F89" w:rsidRPr="00A4238A">
        <w:rPr>
          <w:rStyle w:val="BodyTextFi"/>
          <w:sz w:val="24"/>
          <w:highlight w:val="yellow"/>
        </w:rPr>
        <w:t>was</w:t>
      </w:r>
      <w:r w:rsidR="00BA71EB" w:rsidRPr="00A4238A">
        <w:rPr>
          <w:rStyle w:val="BodyTextFi"/>
          <w:sz w:val="24"/>
          <w:highlight w:val="yellow"/>
        </w:rPr>
        <w:t xml:space="preserve"> provided by the following</w:t>
      </w:r>
      <w:r w:rsidRPr="00A4238A">
        <w:rPr>
          <w:rStyle w:val="BodyTextFi"/>
          <w:sz w:val="24"/>
          <w:highlight w:val="yellow"/>
        </w:rPr>
        <w:t xml:space="preserve"> </w:t>
      </w:r>
      <w:r w:rsidR="00AA65DB" w:rsidRPr="00A4238A">
        <w:rPr>
          <w:rStyle w:val="BodyTextFi"/>
          <w:sz w:val="24"/>
          <w:highlight w:val="yellow"/>
        </w:rPr>
        <w:t>five</w:t>
      </w:r>
      <w:r w:rsidR="00BA71EB" w:rsidRPr="00A4238A">
        <w:rPr>
          <w:rStyle w:val="BodyTextFi"/>
          <w:sz w:val="24"/>
          <w:highlight w:val="yellow"/>
        </w:rPr>
        <w:t xml:space="preserve"> grantee </w:t>
      </w:r>
      <w:r w:rsidR="00B7445E" w:rsidRPr="00A4238A">
        <w:rPr>
          <w:rStyle w:val="BodyTextFi"/>
          <w:sz w:val="24"/>
          <w:highlight w:val="yellow"/>
        </w:rPr>
        <w:t>repres</w:t>
      </w:r>
      <w:r w:rsidRPr="00A4238A">
        <w:rPr>
          <w:rStyle w:val="BodyTextFi"/>
          <w:sz w:val="24"/>
          <w:highlight w:val="yellow"/>
        </w:rPr>
        <w:t xml:space="preserve">entatives outside of the agency. There were </w:t>
      </w:r>
      <w:r w:rsidR="00AA65DB" w:rsidRPr="00A4238A">
        <w:rPr>
          <w:rStyle w:val="BodyTextFi"/>
          <w:sz w:val="24"/>
          <w:highlight w:val="yellow"/>
        </w:rPr>
        <w:t>three</w:t>
      </w:r>
      <w:r w:rsidRPr="00A4238A">
        <w:rPr>
          <w:rStyle w:val="BodyTextFi"/>
          <w:sz w:val="24"/>
          <w:highlight w:val="yellow"/>
        </w:rPr>
        <w:t xml:space="preserve"> </w:t>
      </w:r>
      <w:r w:rsidR="00F504C9" w:rsidRPr="00A4238A">
        <w:rPr>
          <w:rStyle w:val="BodyTextFi"/>
          <w:sz w:val="24"/>
          <w:highlight w:val="yellow"/>
        </w:rPr>
        <w:t>grant recipients</w:t>
      </w:r>
      <w:r w:rsidR="000A5DEC" w:rsidRPr="00A4238A">
        <w:rPr>
          <w:rStyle w:val="BodyTextFi"/>
          <w:sz w:val="24"/>
          <w:highlight w:val="yellow"/>
        </w:rPr>
        <w:t xml:space="preserve"> repr</w:t>
      </w:r>
      <w:r w:rsidR="00AA65DB" w:rsidRPr="00A4238A">
        <w:rPr>
          <w:rStyle w:val="BodyTextFi"/>
          <w:sz w:val="24"/>
          <w:highlight w:val="yellow"/>
        </w:rPr>
        <w:t>esenting Parts A and B and two</w:t>
      </w:r>
      <w:r w:rsidR="000A5DEC" w:rsidRPr="00A4238A">
        <w:rPr>
          <w:rStyle w:val="BodyTextFi"/>
          <w:sz w:val="24"/>
          <w:highlight w:val="yellow"/>
        </w:rPr>
        <w:t xml:space="preserve"> </w:t>
      </w:r>
      <w:r w:rsidR="00F504C9" w:rsidRPr="00A4238A">
        <w:rPr>
          <w:rStyle w:val="BodyTextFi"/>
          <w:sz w:val="24"/>
          <w:highlight w:val="yellow"/>
        </w:rPr>
        <w:t>grant recipients</w:t>
      </w:r>
      <w:r w:rsidR="000A5DEC" w:rsidRPr="00A4238A">
        <w:rPr>
          <w:rStyle w:val="BodyTextFi"/>
          <w:sz w:val="24"/>
          <w:highlight w:val="yellow"/>
        </w:rPr>
        <w:t xml:space="preserve"> representing Part </w:t>
      </w:r>
      <w:r w:rsidRPr="00A4238A">
        <w:rPr>
          <w:rStyle w:val="BodyTextFi"/>
          <w:sz w:val="24"/>
          <w:highlight w:val="yellow"/>
        </w:rPr>
        <w:t xml:space="preserve">C. We were unable to obtain burden estimates from Part D </w:t>
      </w:r>
      <w:r w:rsidR="00F504C9" w:rsidRPr="00A4238A">
        <w:rPr>
          <w:rStyle w:val="BodyTextFi"/>
          <w:sz w:val="24"/>
          <w:highlight w:val="yellow"/>
        </w:rPr>
        <w:t>grant recipients</w:t>
      </w:r>
      <w:r w:rsidRPr="00A4238A">
        <w:rPr>
          <w:rStyle w:val="BodyTextFi"/>
          <w:sz w:val="24"/>
          <w:highlight w:val="yellow"/>
        </w:rPr>
        <w:t>.</w:t>
      </w:r>
    </w:p>
    <w:p w14:paraId="5E4BAB15" w14:textId="77777777" w:rsidR="00533918" w:rsidRPr="00A4238A"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highlight w:val="yellow"/>
        </w:rPr>
      </w:pPr>
    </w:p>
    <w:p w14:paraId="399B7BB0" w14:textId="77777777" w:rsidR="00AA65DB" w:rsidRPr="00A4238A" w:rsidRDefault="00921A0D" w:rsidP="00AA65DB">
      <w:pPr>
        <w:pStyle w:val="ListParagraph"/>
        <w:numPr>
          <w:ilvl w:val="0"/>
          <w:numId w:val="20"/>
        </w:numPr>
        <w:shd w:val="clear" w:color="auto" w:fill="FFFFFF" w:themeFill="background1"/>
        <w:ind w:left="360" w:firstLine="0"/>
        <w:rPr>
          <w:rFonts w:ascii="Times New Roman" w:hAnsi="Times New Roman" w:cs="Times New Roman"/>
          <w:sz w:val="24"/>
          <w:szCs w:val="24"/>
          <w:highlight w:val="yellow"/>
        </w:rPr>
      </w:pPr>
      <w:hyperlink r:id="rId8" w:history="1">
        <w:r w:rsidR="00AA65DB" w:rsidRPr="00A4238A">
          <w:rPr>
            <w:rStyle w:val="Hyperlink"/>
            <w:rFonts w:ascii="Times New Roman" w:hAnsi="Times New Roman" w:cs="Times New Roman"/>
            <w:color w:val="000000"/>
            <w:sz w:val="24"/>
            <w:szCs w:val="24"/>
            <w:highlight w:val="yellow"/>
            <w:u w:val="none"/>
            <w:shd w:val="clear" w:color="auto" w:fill="FFFFFF"/>
          </w:rPr>
          <w:t>Margaret (Margy) Robinson</w:t>
        </w:r>
      </w:hyperlink>
      <w:r w:rsidR="00AA65DB" w:rsidRPr="00A4238A">
        <w:rPr>
          <w:rFonts w:ascii="Times New Roman" w:hAnsi="Times New Roman" w:cs="Times New Roman"/>
          <w:sz w:val="24"/>
          <w:szCs w:val="24"/>
          <w:highlight w:val="yellow"/>
        </w:rPr>
        <w:t xml:space="preserve"> – Part A</w:t>
      </w:r>
    </w:p>
    <w:p w14:paraId="1CE4D96B" w14:textId="280F4A2A" w:rsidR="00AA65DB" w:rsidRPr="00A4238A" w:rsidRDefault="00AA65DB" w:rsidP="00C7029E">
      <w:pPr>
        <w:shd w:val="clear" w:color="auto" w:fill="FFFFFF" w:themeFill="background1"/>
        <w:ind w:left="360"/>
        <w:rPr>
          <w:sz w:val="24"/>
          <w:szCs w:val="24"/>
          <w:highlight w:val="yellow"/>
        </w:rPr>
      </w:pPr>
      <w:r w:rsidRPr="00A4238A">
        <w:rPr>
          <w:sz w:val="24"/>
          <w:szCs w:val="24"/>
          <w:highlight w:val="yellow"/>
        </w:rPr>
        <w:t>MULTNOMAH</w:t>
      </w:r>
      <w:r w:rsidR="00C7029E" w:rsidRPr="00A4238A">
        <w:rPr>
          <w:sz w:val="24"/>
          <w:szCs w:val="24"/>
          <w:highlight w:val="yellow"/>
        </w:rPr>
        <w:t>, COUNTY OF</w:t>
      </w:r>
    </w:p>
    <w:p w14:paraId="3C4E59F2" w14:textId="77777777" w:rsidR="00C7029E" w:rsidRPr="00A4238A" w:rsidRDefault="00921A0D" w:rsidP="00AA65DB">
      <w:pPr>
        <w:shd w:val="clear" w:color="auto" w:fill="FFFFFF" w:themeFill="background1"/>
        <w:ind w:left="360"/>
        <w:rPr>
          <w:sz w:val="24"/>
          <w:szCs w:val="24"/>
          <w:highlight w:val="yellow"/>
        </w:rPr>
      </w:pPr>
      <w:hyperlink r:id="rId9" w:history="1">
        <w:r w:rsidR="00AA65DB" w:rsidRPr="00A4238A">
          <w:rPr>
            <w:rStyle w:val="Hyperlink"/>
            <w:color w:val="015BA7"/>
            <w:highlight w:val="yellow"/>
            <w:shd w:val="clear" w:color="auto" w:fill="FFFFFF"/>
          </w:rPr>
          <w:t>margy.robinson@multco.us</w:t>
        </w:r>
      </w:hyperlink>
      <w:r w:rsidR="00AA65DB" w:rsidRPr="00A4238A" w:rsidDel="000731CF">
        <w:rPr>
          <w:sz w:val="24"/>
          <w:szCs w:val="24"/>
          <w:highlight w:val="yellow"/>
        </w:rPr>
        <w:t xml:space="preserve"> </w:t>
      </w:r>
    </w:p>
    <w:p w14:paraId="1275A67B" w14:textId="6D9D0825" w:rsidR="00AA65DB" w:rsidRPr="00A4238A" w:rsidRDefault="00AA65DB" w:rsidP="00AA65DB">
      <w:pPr>
        <w:shd w:val="clear" w:color="auto" w:fill="FFFFFF" w:themeFill="background1"/>
        <w:ind w:left="360"/>
        <w:rPr>
          <w:color w:val="000000"/>
          <w:sz w:val="24"/>
          <w:szCs w:val="24"/>
          <w:highlight w:val="yellow"/>
          <w:shd w:val="clear" w:color="auto" w:fill="FFFFFF"/>
        </w:rPr>
      </w:pPr>
      <w:r w:rsidRPr="00A4238A">
        <w:rPr>
          <w:color w:val="000000"/>
          <w:sz w:val="24"/>
          <w:szCs w:val="24"/>
          <w:highlight w:val="yellow"/>
          <w:shd w:val="clear" w:color="auto" w:fill="FFFFFF"/>
        </w:rPr>
        <w:t xml:space="preserve">(503) 988-3030 </w:t>
      </w:r>
    </w:p>
    <w:p w14:paraId="4A5372ED" w14:textId="77777777" w:rsidR="00FC2A9E" w:rsidRPr="00A4238A" w:rsidRDefault="00FC2A9E" w:rsidP="00FC2A9E">
      <w:pPr>
        <w:ind w:left="360"/>
        <w:rPr>
          <w:color w:val="000000"/>
          <w:sz w:val="24"/>
          <w:szCs w:val="24"/>
          <w:highlight w:val="yellow"/>
        </w:rPr>
      </w:pPr>
    </w:p>
    <w:p w14:paraId="7E6CB86C" w14:textId="2D4BB81E" w:rsidR="00FC2A9E" w:rsidRPr="00A4238A" w:rsidRDefault="008976FE" w:rsidP="00FC2A9E">
      <w:pPr>
        <w:pStyle w:val="ColorfulList-Accent11"/>
        <w:widowControl/>
        <w:numPr>
          <w:ilvl w:val="0"/>
          <w:numId w:val="20"/>
        </w:numPr>
        <w:ind w:left="360" w:firstLine="0"/>
        <w:rPr>
          <w:color w:val="000000"/>
          <w:sz w:val="24"/>
          <w:szCs w:val="24"/>
          <w:highlight w:val="yellow"/>
        </w:rPr>
      </w:pPr>
      <w:r w:rsidRPr="00A4238A">
        <w:rPr>
          <w:color w:val="000000"/>
          <w:sz w:val="24"/>
          <w:szCs w:val="24"/>
          <w:highlight w:val="yellow"/>
        </w:rPr>
        <w:t>Antonio Fernandez</w:t>
      </w:r>
      <w:r w:rsidR="00FC2A9E" w:rsidRPr="00A4238A">
        <w:rPr>
          <w:color w:val="000000"/>
          <w:sz w:val="24"/>
          <w:szCs w:val="24"/>
          <w:highlight w:val="yellow"/>
        </w:rPr>
        <w:t xml:space="preserve"> – Part A</w:t>
      </w:r>
    </w:p>
    <w:p w14:paraId="2BEC0EA2" w14:textId="77777777" w:rsidR="00FC2A9E" w:rsidRPr="00A4238A" w:rsidRDefault="00FC2A9E" w:rsidP="00FC2A9E">
      <w:pPr>
        <w:ind w:left="360"/>
        <w:rPr>
          <w:color w:val="000000"/>
          <w:sz w:val="24"/>
          <w:szCs w:val="24"/>
          <w:highlight w:val="yellow"/>
        </w:rPr>
      </w:pPr>
      <w:r w:rsidRPr="00A4238A">
        <w:rPr>
          <w:color w:val="000000"/>
          <w:sz w:val="24"/>
          <w:szCs w:val="24"/>
          <w:highlight w:val="yellow"/>
        </w:rPr>
        <w:t>MIAMI-DADE, COUNTY OF</w:t>
      </w:r>
    </w:p>
    <w:p w14:paraId="19FA1906" w14:textId="4CE32E90" w:rsidR="00FC2A9E" w:rsidRPr="00A4238A" w:rsidRDefault="00921A0D" w:rsidP="00FC2A9E">
      <w:pPr>
        <w:ind w:left="360"/>
        <w:rPr>
          <w:color w:val="000000"/>
          <w:sz w:val="24"/>
          <w:szCs w:val="24"/>
          <w:highlight w:val="yellow"/>
        </w:rPr>
      </w:pPr>
      <w:hyperlink r:id="rId10" w:history="1"/>
      <w:r w:rsidR="008976FE" w:rsidRPr="00A4238A">
        <w:rPr>
          <w:rStyle w:val="Hyperlink"/>
          <w:sz w:val="24"/>
          <w:szCs w:val="24"/>
          <w:highlight w:val="yellow"/>
        </w:rPr>
        <w:t>antoer@miamidade.gov</w:t>
      </w:r>
    </w:p>
    <w:p w14:paraId="2A9EA930" w14:textId="427E3815" w:rsidR="00FC2A9E" w:rsidRPr="00A4238A" w:rsidRDefault="00FC2A9E" w:rsidP="00FC2A9E">
      <w:pPr>
        <w:ind w:left="360"/>
        <w:rPr>
          <w:color w:val="000000"/>
          <w:sz w:val="24"/>
          <w:szCs w:val="24"/>
          <w:highlight w:val="yellow"/>
        </w:rPr>
      </w:pPr>
      <w:r w:rsidRPr="00A4238A">
        <w:rPr>
          <w:color w:val="000000"/>
          <w:sz w:val="24"/>
          <w:szCs w:val="24"/>
          <w:highlight w:val="yellow"/>
        </w:rPr>
        <w:t>(305) 375-</w:t>
      </w:r>
      <w:r w:rsidR="008976FE" w:rsidRPr="00A4238A">
        <w:rPr>
          <w:color w:val="000000"/>
          <w:sz w:val="24"/>
          <w:szCs w:val="24"/>
          <w:highlight w:val="yellow"/>
        </w:rPr>
        <w:t>3753</w:t>
      </w:r>
    </w:p>
    <w:p w14:paraId="23CD5E25" w14:textId="77777777" w:rsidR="00FC2A9E" w:rsidRPr="00A4238A" w:rsidRDefault="00FC2A9E" w:rsidP="00FC2A9E">
      <w:pPr>
        <w:ind w:left="360"/>
        <w:rPr>
          <w:color w:val="000000"/>
          <w:sz w:val="24"/>
          <w:szCs w:val="24"/>
          <w:highlight w:val="yellow"/>
        </w:rPr>
      </w:pPr>
    </w:p>
    <w:p w14:paraId="3D1ED4D7" w14:textId="4D5E2BA3" w:rsidR="000A5DEC" w:rsidRPr="00A4238A" w:rsidRDefault="008976FE" w:rsidP="000A5DEC">
      <w:pPr>
        <w:pStyle w:val="ColorfulList-Accent11"/>
        <w:widowControl/>
        <w:numPr>
          <w:ilvl w:val="0"/>
          <w:numId w:val="20"/>
        </w:numPr>
        <w:ind w:left="360" w:firstLine="0"/>
        <w:rPr>
          <w:sz w:val="24"/>
          <w:szCs w:val="24"/>
          <w:highlight w:val="yellow"/>
        </w:rPr>
      </w:pPr>
      <w:r w:rsidRPr="00A4238A">
        <w:rPr>
          <w:sz w:val="24"/>
          <w:szCs w:val="24"/>
          <w:highlight w:val="yellow"/>
        </w:rPr>
        <w:t>Charles Bedell</w:t>
      </w:r>
      <w:r w:rsidR="000A5DEC" w:rsidRPr="00A4238A">
        <w:rPr>
          <w:sz w:val="24"/>
          <w:szCs w:val="24"/>
          <w:highlight w:val="yellow"/>
        </w:rPr>
        <w:t xml:space="preserve"> – Part B</w:t>
      </w:r>
    </w:p>
    <w:p w14:paraId="62D80E00" w14:textId="77777777" w:rsidR="000A5DEC" w:rsidRPr="00A4238A" w:rsidRDefault="000A5DEC" w:rsidP="000A5DEC">
      <w:pPr>
        <w:ind w:left="360"/>
        <w:rPr>
          <w:sz w:val="24"/>
          <w:szCs w:val="24"/>
          <w:highlight w:val="yellow"/>
        </w:rPr>
      </w:pPr>
      <w:r w:rsidRPr="00A4238A">
        <w:rPr>
          <w:sz w:val="24"/>
          <w:szCs w:val="24"/>
          <w:highlight w:val="yellow"/>
        </w:rPr>
        <w:t>ARKANSAS DEPARTMENT OF HEALTH</w:t>
      </w:r>
    </w:p>
    <w:p w14:paraId="159E044C" w14:textId="30BCDFFC" w:rsidR="000A5DEC" w:rsidRPr="00A4238A" w:rsidRDefault="00921A0D" w:rsidP="000A5DEC">
      <w:pPr>
        <w:ind w:left="360"/>
        <w:rPr>
          <w:sz w:val="24"/>
          <w:szCs w:val="24"/>
          <w:highlight w:val="yellow"/>
        </w:rPr>
      </w:pPr>
      <w:hyperlink r:id="rId11" w:history="1"/>
      <w:r w:rsidR="008976FE" w:rsidRPr="00A4238A">
        <w:rPr>
          <w:rStyle w:val="Hyperlink"/>
          <w:sz w:val="24"/>
          <w:szCs w:val="24"/>
          <w:highlight w:val="yellow"/>
        </w:rPr>
        <w:t>charles.bedell@arkansas.gov</w:t>
      </w:r>
    </w:p>
    <w:p w14:paraId="6A179978" w14:textId="58E9A33B" w:rsidR="000A5DEC" w:rsidRPr="00A4238A" w:rsidRDefault="000A5DEC" w:rsidP="000A5DEC">
      <w:pPr>
        <w:ind w:left="360"/>
        <w:rPr>
          <w:sz w:val="24"/>
          <w:szCs w:val="24"/>
          <w:highlight w:val="yellow"/>
        </w:rPr>
      </w:pPr>
      <w:r w:rsidRPr="00A4238A">
        <w:rPr>
          <w:sz w:val="24"/>
          <w:szCs w:val="24"/>
          <w:highlight w:val="yellow"/>
        </w:rPr>
        <w:t>(501) 661-24</w:t>
      </w:r>
      <w:r w:rsidR="008976FE" w:rsidRPr="00A4238A">
        <w:rPr>
          <w:sz w:val="24"/>
          <w:szCs w:val="24"/>
          <w:highlight w:val="yellow"/>
        </w:rPr>
        <w:t>33</w:t>
      </w:r>
    </w:p>
    <w:p w14:paraId="6C396A27" w14:textId="77777777" w:rsidR="00FC2A9E" w:rsidRPr="00A4238A" w:rsidRDefault="00FC2A9E" w:rsidP="00A4238A">
      <w:pPr>
        <w:rPr>
          <w:sz w:val="24"/>
          <w:szCs w:val="24"/>
          <w:highlight w:val="yellow"/>
        </w:rPr>
      </w:pPr>
    </w:p>
    <w:p w14:paraId="51D276A5" w14:textId="297A87A8" w:rsidR="00FC2A9E" w:rsidRPr="00A4238A" w:rsidRDefault="008976FE" w:rsidP="00FC2A9E">
      <w:pPr>
        <w:pStyle w:val="ColorfulList-Accent11"/>
        <w:widowControl/>
        <w:numPr>
          <w:ilvl w:val="0"/>
          <w:numId w:val="20"/>
        </w:numPr>
        <w:ind w:left="360" w:firstLine="0"/>
        <w:rPr>
          <w:sz w:val="24"/>
          <w:szCs w:val="24"/>
          <w:highlight w:val="yellow"/>
        </w:rPr>
      </w:pPr>
      <w:r w:rsidRPr="00A4238A">
        <w:rPr>
          <w:sz w:val="24"/>
          <w:szCs w:val="24"/>
          <w:highlight w:val="yellow"/>
        </w:rPr>
        <w:t>David Miller Martini</w:t>
      </w:r>
      <w:r w:rsidR="00FC2A9E" w:rsidRPr="00A4238A">
        <w:rPr>
          <w:sz w:val="24"/>
          <w:szCs w:val="24"/>
          <w:highlight w:val="yellow"/>
        </w:rPr>
        <w:t xml:space="preserve"> – Part C</w:t>
      </w:r>
    </w:p>
    <w:p w14:paraId="121E8112" w14:textId="58CD9734" w:rsidR="00FC2A9E" w:rsidRPr="00A4238A" w:rsidRDefault="008976FE" w:rsidP="00FC2A9E">
      <w:pPr>
        <w:ind w:left="360"/>
        <w:rPr>
          <w:sz w:val="24"/>
          <w:szCs w:val="24"/>
          <w:highlight w:val="yellow"/>
        </w:rPr>
      </w:pPr>
      <w:r w:rsidRPr="00A4238A">
        <w:rPr>
          <w:sz w:val="24"/>
          <w:szCs w:val="24"/>
          <w:highlight w:val="yellow"/>
        </w:rPr>
        <w:t>CLARION UNIVERSITY OF PENNSYLVANIA</w:t>
      </w:r>
    </w:p>
    <w:p w14:paraId="374A3CF2" w14:textId="2256E160" w:rsidR="00FC2A9E" w:rsidRPr="00A4238A" w:rsidRDefault="00921A0D" w:rsidP="00FC2A9E">
      <w:pPr>
        <w:ind w:left="360"/>
        <w:rPr>
          <w:sz w:val="24"/>
          <w:szCs w:val="24"/>
          <w:highlight w:val="yellow"/>
        </w:rPr>
      </w:pPr>
      <w:hyperlink r:id="rId12" w:history="1">
        <w:r w:rsidR="008976FE" w:rsidRPr="00A4238A">
          <w:rPr>
            <w:rStyle w:val="Hyperlink"/>
            <w:sz w:val="24"/>
            <w:szCs w:val="24"/>
            <w:highlight w:val="yellow"/>
          </w:rPr>
          <w:t>dmartini@clarion.edu</w:t>
        </w:r>
      </w:hyperlink>
    </w:p>
    <w:p w14:paraId="3610EC9A" w14:textId="671B871B" w:rsidR="00FC2A9E" w:rsidRPr="00A4238A" w:rsidRDefault="008976FE" w:rsidP="00FC2A9E">
      <w:pPr>
        <w:ind w:left="360"/>
        <w:rPr>
          <w:sz w:val="24"/>
          <w:szCs w:val="24"/>
          <w:highlight w:val="yellow"/>
        </w:rPr>
      </w:pPr>
      <w:r w:rsidRPr="00A4238A">
        <w:rPr>
          <w:sz w:val="24"/>
          <w:szCs w:val="24"/>
          <w:highlight w:val="yellow"/>
        </w:rPr>
        <w:t>(814) 297-8220</w:t>
      </w:r>
    </w:p>
    <w:p w14:paraId="42519DDF" w14:textId="77777777" w:rsidR="00FC2A9E" w:rsidRPr="00A4238A" w:rsidRDefault="00FC2A9E" w:rsidP="00FC2A9E">
      <w:pPr>
        <w:ind w:left="360"/>
        <w:rPr>
          <w:sz w:val="24"/>
          <w:szCs w:val="24"/>
          <w:highlight w:val="yellow"/>
        </w:rPr>
      </w:pPr>
    </w:p>
    <w:p w14:paraId="50224A41" w14:textId="3DFCF891" w:rsidR="000A5DEC" w:rsidRPr="00A4238A" w:rsidRDefault="008976FE" w:rsidP="000A5DEC">
      <w:pPr>
        <w:pStyle w:val="ColorfulList-Accent11"/>
        <w:widowControl/>
        <w:numPr>
          <w:ilvl w:val="0"/>
          <w:numId w:val="20"/>
        </w:numPr>
        <w:ind w:left="360" w:firstLine="0"/>
        <w:rPr>
          <w:sz w:val="24"/>
          <w:szCs w:val="24"/>
          <w:highlight w:val="yellow"/>
        </w:rPr>
      </w:pPr>
      <w:r w:rsidRPr="00A4238A">
        <w:rPr>
          <w:sz w:val="24"/>
          <w:szCs w:val="24"/>
          <w:highlight w:val="yellow"/>
        </w:rPr>
        <w:t>Stuart Fisk, CRNP</w:t>
      </w:r>
      <w:r w:rsidR="000A5DEC" w:rsidRPr="00A4238A">
        <w:rPr>
          <w:sz w:val="24"/>
          <w:szCs w:val="24"/>
          <w:highlight w:val="yellow"/>
        </w:rPr>
        <w:t xml:space="preserve"> – Part C</w:t>
      </w:r>
    </w:p>
    <w:p w14:paraId="4E877C13" w14:textId="2CD899DC" w:rsidR="000A5DEC" w:rsidRPr="00A4238A" w:rsidRDefault="008976FE" w:rsidP="000A5DEC">
      <w:pPr>
        <w:ind w:left="360"/>
        <w:rPr>
          <w:sz w:val="24"/>
          <w:szCs w:val="24"/>
          <w:highlight w:val="yellow"/>
        </w:rPr>
      </w:pPr>
      <w:r w:rsidRPr="00A4238A">
        <w:rPr>
          <w:sz w:val="24"/>
          <w:szCs w:val="24"/>
          <w:highlight w:val="yellow"/>
        </w:rPr>
        <w:t>ALLEGHENY-SINGER RESEARCH INSTITUTE</w:t>
      </w:r>
    </w:p>
    <w:p w14:paraId="3EAFC449" w14:textId="40422E4D" w:rsidR="000A5DEC" w:rsidRPr="00A4238A" w:rsidRDefault="00921A0D" w:rsidP="000A5DEC">
      <w:pPr>
        <w:ind w:left="360"/>
        <w:rPr>
          <w:sz w:val="24"/>
          <w:szCs w:val="24"/>
          <w:highlight w:val="yellow"/>
        </w:rPr>
      </w:pPr>
      <w:hyperlink r:id="rId13" w:history="1"/>
      <w:hyperlink r:id="rId14" w:history="1">
        <w:r w:rsidR="009C0445" w:rsidRPr="00A4238A">
          <w:rPr>
            <w:rStyle w:val="Hyperlink"/>
            <w:sz w:val="24"/>
            <w:szCs w:val="24"/>
            <w:highlight w:val="yellow"/>
          </w:rPr>
          <w:t>sfisk@wpahs.org</w:t>
        </w:r>
      </w:hyperlink>
    </w:p>
    <w:p w14:paraId="780A071F" w14:textId="2AB0C796" w:rsidR="000A5DEC" w:rsidRDefault="008976FE" w:rsidP="000A5DEC">
      <w:pPr>
        <w:ind w:left="360"/>
        <w:rPr>
          <w:sz w:val="24"/>
          <w:szCs w:val="24"/>
        </w:rPr>
      </w:pPr>
      <w:r w:rsidRPr="00A4238A">
        <w:rPr>
          <w:sz w:val="24"/>
          <w:szCs w:val="24"/>
          <w:highlight w:val="yellow"/>
        </w:rPr>
        <w:t>(412) 359-4973</w:t>
      </w:r>
    </w:p>
    <w:p w14:paraId="33C031F7" w14:textId="77777777" w:rsidR="000A5DEC" w:rsidRDefault="000A5DEC" w:rsidP="000A5DEC">
      <w:pPr>
        <w:ind w:left="360"/>
        <w:rPr>
          <w:sz w:val="24"/>
          <w:szCs w:val="24"/>
        </w:rPr>
      </w:pPr>
    </w:p>
    <w:p w14:paraId="6F499463" w14:textId="77777777" w:rsidR="00FC2A9E" w:rsidRDefault="00FC2A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4CE9AFD" w14:textId="77777777" w:rsidR="00533918" w:rsidRDefault="00533918">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sz w:val="24"/>
          <w:u w:val="single"/>
        </w:rPr>
      </w:pPr>
      <w:bookmarkStart w:id="12" w:name="_Toc209407060"/>
      <w:r w:rsidRPr="00A12E52">
        <w:rPr>
          <w:b/>
          <w:sz w:val="24"/>
        </w:rPr>
        <w:t>9.</w:t>
      </w:r>
      <w:r w:rsidR="00A12E52" w:rsidRPr="00A12E52">
        <w:rPr>
          <w:b/>
          <w:sz w:val="24"/>
        </w:rPr>
        <w:tab/>
      </w:r>
      <w:r w:rsidR="00A12E52">
        <w:rPr>
          <w:b/>
          <w:sz w:val="24"/>
          <w:u w:val="single"/>
        </w:rPr>
        <w:t xml:space="preserve">Explanation of any Payment/Gift to </w:t>
      </w:r>
      <w:r>
        <w:rPr>
          <w:b/>
          <w:sz w:val="24"/>
          <w:u w:val="single"/>
        </w:rPr>
        <w:t>Respondents</w:t>
      </w:r>
      <w:bookmarkEnd w:id="12"/>
    </w:p>
    <w:p w14:paraId="351CD405"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DFEA440"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The proposed collection of information does not involve any remuneration </w:t>
      </w:r>
      <w:r w:rsidR="00AC07E2">
        <w:rPr>
          <w:rStyle w:val="BodyTextFi"/>
          <w:sz w:val="24"/>
        </w:rPr>
        <w:t>to respondents.</w:t>
      </w:r>
    </w:p>
    <w:p w14:paraId="1CEFFC53" w14:textId="77777777" w:rsidR="00533918" w:rsidRDefault="00533918">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bookmarkStart w:id="13" w:name="_Toc209407061"/>
    </w:p>
    <w:p w14:paraId="1B0521BA" w14:textId="77777777" w:rsidR="00533918" w:rsidRDefault="00533918" w:rsidP="00974BA6">
      <w:pPr>
        <w:pStyle w:val="ColorfulList-Accent1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sz w:val="24"/>
          <w:u w:val="single"/>
        </w:rPr>
      </w:pPr>
      <w:r w:rsidRPr="00974BA6">
        <w:rPr>
          <w:b/>
          <w:sz w:val="24"/>
        </w:rPr>
        <w:t>1</w:t>
      </w:r>
      <w:r w:rsidR="00974BA6" w:rsidRPr="00974BA6">
        <w:rPr>
          <w:b/>
          <w:sz w:val="24"/>
        </w:rPr>
        <w:t>0.</w:t>
      </w:r>
      <w:r w:rsidR="00974BA6" w:rsidRPr="00974BA6">
        <w:rPr>
          <w:b/>
          <w:sz w:val="24"/>
        </w:rPr>
        <w:tab/>
      </w:r>
      <w:r>
        <w:rPr>
          <w:b/>
          <w:sz w:val="24"/>
          <w:u w:val="single"/>
        </w:rPr>
        <w:t>Assurance of Confidentiality</w:t>
      </w:r>
      <w:bookmarkEnd w:id="13"/>
      <w:r w:rsidR="00974BA6">
        <w:rPr>
          <w:b/>
          <w:sz w:val="24"/>
          <w:u w:val="single"/>
        </w:rPr>
        <w:t xml:space="preserve"> Provided to Respondents</w:t>
      </w:r>
    </w:p>
    <w:p w14:paraId="2EEBA554"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132494E" w14:textId="77777777" w:rsidR="00533918" w:rsidRDefault="00BA2B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Pr>
          <w:rStyle w:val="BodyTextFi"/>
          <w:sz w:val="24"/>
          <w:szCs w:val="24"/>
        </w:rPr>
        <w:t>M</w:t>
      </w:r>
      <w:r w:rsidR="00533918">
        <w:rPr>
          <w:rStyle w:val="BodyTextFi"/>
          <w:sz w:val="24"/>
          <w:szCs w:val="24"/>
        </w:rPr>
        <w:t xml:space="preserve">easures have been incorporated into the </w:t>
      </w:r>
      <w:r w:rsidR="0016317F">
        <w:rPr>
          <w:rStyle w:val="BodyTextFi"/>
          <w:sz w:val="24"/>
          <w:szCs w:val="24"/>
        </w:rPr>
        <w:t>RSR</w:t>
      </w:r>
      <w:r w:rsidR="00533918">
        <w:rPr>
          <w:rStyle w:val="BodyTextFi"/>
          <w:sz w:val="24"/>
          <w:szCs w:val="24"/>
        </w:rPr>
        <w:t xml:space="preserve"> to protect the confidentiality of clients receiving services. The following precautions have been instituted in the collection and analysis of data:</w:t>
      </w:r>
    </w:p>
    <w:p w14:paraId="2132FB3F" w14:textId="77777777" w:rsidR="00533918" w:rsidRDefault="005339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14:paraId="3BDD656C" w14:textId="254637AE" w:rsidR="00533918" w:rsidRDefault="00533918">
      <w:pPr>
        <w:pStyle w:val="ColorfulList-Accent11"/>
        <w:keepLines/>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Style w:val="BulletInden"/>
          <w:sz w:val="24"/>
          <w:szCs w:val="24"/>
        </w:rPr>
      </w:pPr>
      <w:r>
        <w:rPr>
          <w:rStyle w:val="BulletInden"/>
          <w:sz w:val="24"/>
          <w:szCs w:val="24"/>
        </w:rPr>
        <w:t xml:space="preserve">All </w:t>
      </w:r>
      <w:r>
        <w:rPr>
          <w:sz w:val="24"/>
          <w:szCs w:val="24"/>
        </w:rPr>
        <w:t>RWHAP</w:t>
      </w:r>
      <w:r>
        <w:rPr>
          <w:rStyle w:val="BulletInden"/>
          <w:sz w:val="24"/>
          <w:szCs w:val="24"/>
        </w:rPr>
        <w:t xml:space="preserve"> clients </w:t>
      </w:r>
      <w:r w:rsidR="00B9137A">
        <w:rPr>
          <w:rStyle w:val="BulletInden"/>
          <w:sz w:val="24"/>
          <w:szCs w:val="24"/>
        </w:rPr>
        <w:t>are</w:t>
      </w:r>
      <w:r>
        <w:rPr>
          <w:rStyle w:val="BulletInden"/>
          <w:sz w:val="24"/>
          <w:szCs w:val="24"/>
        </w:rPr>
        <w:t xml:space="preserve"> assigned a Unique Client ID (UCI), which </w:t>
      </w:r>
      <w:r w:rsidR="00B9137A">
        <w:rPr>
          <w:rStyle w:val="BulletInden"/>
          <w:sz w:val="24"/>
          <w:szCs w:val="24"/>
        </w:rPr>
        <w:t>is</w:t>
      </w:r>
      <w:r>
        <w:rPr>
          <w:rStyle w:val="BulletInden"/>
          <w:sz w:val="24"/>
          <w:szCs w:val="24"/>
        </w:rPr>
        <w:t xml:space="preserve"> encoded</w:t>
      </w:r>
      <w:r>
        <w:rPr>
          <w:sz w:val="24"/>
          <w:szCs w:val="24"/>
        </w:rPr>
        <w:t xml:space="preserve"> through a hashing algorithm embedded within the data management system</w:t>
      </w:r>
      <w:r>
        <w:rPr>
          <w:rStyle w:val="FootnoteReference"/>
          <w:sz w:val="24"/>
          <w:szCs w:val="24"/>
        </w:rPr>
        <w:t xml:space="preserve"> </w:t>
      </w:r>
      <w:r>
        <w:rPr>
          <w:rStyle w:val="BulletInden"/>
          <w:sz w:val="24"/>
          <w:szCs w:val="24"/>
        </w:rPr>
        <w:t xml:space="preserve">at the service provider site </w:t>
      </w:r>
      <w:r>
        <w:rPr>
          <w:rStyle w:val="BulletInden"/>
          <w:sz w:val="24"/>
          <w:szCs w:val="24"/>
          <w:u w:val="single"/>
        </w:rPr>
        <w:t>before</w:t>
      </w:r>
      <w:r>
        <w:rPr>
          <w:rStyle w:val="BulletInden"/>
          <w:sz w:val="24"/>
          <w:szCs w:val="24"/>
        </w:rPr>
        <w:t xml:space="preserve"> the data set is submitted to HRSA</w:t>
      </w:r>
      <w:r w:rsidR="000F6CBD">
        <w:rPr>
          <w:rStyle w:val="BulletInden"/>
          <w:sz w:val="24"/>
          <w:szCs w:val="24"/>
        </w:rPr>
        <w:t>.</w:t>
      </w:r>
    </w:p>
    <w:p w14:paraId="3788A94A" w14:textId="5AE58781" w:rsidR="00BA2B5B" w:rsidRPr="00BA2B5B" w:rsidRDefault="00F504C9" w:rsidP="00BA2B5B">
      <w:pPr>
        <w:pStyle w:val="ColorfulList-Accent11"/>
        <w:keepLines/>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pPr>
      <w:r>
        <w:rPr>
          <w:sz w:val="24"/>
        </w:rPr>
        <w:t>Grant recipients</w:t>
      </w:r>
      <w:r w:rsidR="00533918" w:rsidRPr="00BA2B5B">
        <w:rPr>
          <w:sz w:val="24"/>
        </w:rPr>
        <w:t xml:space="preserve"> </w:t>
      </w:r>
      <w:r w:rsidR="00B9137A" w:rsidRPr="00BA2B5B">
        <w:rPr>
          <w:sz w:val="24"/>
        </w:rPr>
        <w:t xml:space="preserve">do </w:t>
      </w:r>
      <w:r w:rsidR="00533918" w:rsidRPr="00BA2B5B">
        <w:rPr>
          <w:sz w:val="24"/>
        </w:rPr>
        <w:t xml:space="preserve">not provide HRSA with any information that could identify individual clients. </w:t>
      </w:r>
    </w:p>
    <w:p w14:paraId="10D3598C" w14:textId="77777777" w:rsidR="00533918" w:rsidRDefault="00533918" w:rsidP="00BA2B5B">
      <w:pPr>
        <w:pStyle w:val="ColorfulList-Accent11"/>
        <w:keepLines/>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pPr>
      <w:r w:rsidRPr="00BA2B5B">
        <w:rPr>
          <w:rStyle w:val="BulletInden"/>
          <w:sz w:val="24"/>
        </w:rPr>
        <w:t xml:space="preserve">All </w:t>
      </w:r>
      <w:r w:rsidR="0016317F" w:rsidRPr="00BA2B5B">
        <w:rPr>
          <w:rStyle w:val="BulletInden"/>
          <w:sz w:val="24"/>
        </w:rPr>
        <w:t>RSR</w:t>
      </w:r>
      <w:r w:rsidRPr="00BA2B5B">
        <w:rPr>
          <w:rStyle w:val="BulletInden"/>
          <w:sz w:val="24"/>
        </w:rPr>
        <w:t xml:space="preserve"> reports and tabulated data that are released to the general public will be summarized across providers to eliminate confidentiality threats posed by cells containing data from providers that see a small number of clients.</w:t>
      </w:r>
    </w:p>
    <w:p w14:paraId="171F0549" w14:textId="77777777" w:rsidR="00533918" w:rsidRDefault="00533918">
      <w:pPr>
        <w:rPr>
          <w:sz w:val="24"/>
          <w:szCs w:val="24"/>
        </w:rPr>
      </w:pPr>
    </w:p>
    <w:p w14:paraId="40F56A8E" w14:textId="77777777" w:rsidR="00533918" w:rsidRPr="00D93AE0" w:rsidRDefault="00974BA6" w:rsidP="00974BA6">
      <w:pPr>
        <w:pStyle w:val="Heading2"/>
        <w:pBdr>
          <w:bottom w:val="none" w:sz="0" w:space="0" w:color="auto"/>
        </w:pBdr>
        <w:tabs>
          <w:tab w:val="left" w:pos="360"/>
        </w:tabs>
        <w:spacing w:before="0" w:after="0"/>
        <w:rPr>
          <w:b/>
          <w:color w:val="auto"/>
          <w:u w:val="single"/>
        </w:rPr>
      </w:pPr>
      <w:bookmarkStart w:id="14" w:name="_Toc209407062"/>
      <w:r w:rsidRPr="00D93AE0">
        <w:rPr>
          <w:b/>
          <w:color w:val="auto"/>
        </w:rPr>
        <w:t>11.</w:t>
      </w:r>
      <w:r w:rsidRPr="00D93AE0">
        <w:rPr>
          <w:b/>
          <w:color w:val="auto"/>
        </w:rPr>
        <w:tab/>
      </w:r>
      <w:r w:rsidRPr="00D93AE0">
        <w:rPr>
          <w:b/>
          <w:color w:val="auto"/>
          <w:u w:val="single"/>
        </w:rPr>
        <w:t xml:space="preserve">Justification for </w:t>
      </w:r>
      <w:r w:rsidR="00533918" w:rsidRPr="00D93AE0">
        <w:rPr>
          <w:b/>
          <w:color w:val="auto"/>
          <w:u w:val="single"/>
        </w:rPr>
        <w:t xml:space="preserve">Sensitive </w:t>
      </w:r>
      <w:bookmarkEnd w:id="14"/>
      <w:r w:rsidRPr="00D93AE0">
        <w:rPr>
          <w:b/>
          <w:color w:val="auto"/>
          <w:u w:val="single"/>
        </w:rPr>
        <w:t>Questions</w:t>
      </w:r>
    </w:p>
    <w:p w14:paraId="2205A18E" w14:textId="77777777" w:rsidR="00533918" w:rsidRPr="00D93AE0" w:rsidRDefault="00533918">
      <w:pPr>
        <w:rPr>
          <w:sz w:val="24"/>
          <w:szCs w:val="24"/>
        </w:rPr>
      </w:pPr>
    </w:p>
    <w:p w14:paraId="4D138181" w14:textId="77777777" w:rsidR="00533918" w:rsidRDefault="00CC459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D93AE0">
        <w:rPr>
          <w:rStyle w:val="BodyTextFi"/>
          <w:sz w:val="24"/>
        </w:rPr>
        <w:t xml:space="preserve">The U.S. Congress mandated that client-level data be collected under the Ryan White HIV/AIDS Treatment Modernization Act of 2006, including demographic information on clients served, services provided, and their clinical data. These data are needed to show the distribution of funds used to serve diverse population groups, identify gaps in service delivery and ensure quality care. Clinical data also allows HRSA to monitor clinical outcomes achieved by clients served by RWHAP. These data provides information to the U.S. Congress on the role of the RWHAP </w:t>
      </w:r>
      <w:r w:rsidR="00051659">
        <w:rPr>
          <w:rStyle w:val="BodyTextFi"/>
          <w:sz w:val="24"/>
        </w:rPr>
        <w:t xml:space="preserve">in addressing </w:t>
      </w:r>
      <w:r w:rsidRPr="00D93AE0">
        <w:rPr>
          <w:rStyle w:val="BodyTextFi"/>
          <w:sz w:val="24"/>
        </w:rPr>
        <w:t>the HIV/AIDS epidemic.</w:t>
      </w:r>
    </w:p>
    <w:p w14:paraId="005BFF32" w14:textId="77777777" w:rsidR="00533918" w:rsidRDefault="005339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21A8D76" w14:textId="77777777" w:rsidR="00533918" w:rsidRPr="00FF037F" w:rsidRDefault="00533918" w:rsidP="00974BA6">
      <w:pPr>
        <w:pStyle w:val="Heading2"/>
        <w:pBdr>
          <w:bottom w:val="none" w:sz="0" w:space="0" w:color="auto"/>
        </w:pBdr>
        <w:tabs>
          <w:tab w:val="left" w:pos="360"/>
        </w:tabs>
        <w:spacing w:before="0" w:after="0"/>
        <w:rPr>
          <w:b/>
          <w:color w:val="auto"/>
          <w:u w:val="single"/>
        </w:rPr>
      </w:pPr>
      <w:bookmarkStart w:id="15" w:name="_Toc209407063"/>
      <w:r w:rsidRPr="00FF037F">
        <w:rPr>
          <w:b/>
          <w:color w:val="auto"/>
        </w:rPr>
        <w:t>12.</w:t>
      </w:r>
      <w:r w:rsidR="00974BA6" w:rsidRPr="00FF037F">
        <w:rPr>
          <w:b/>
          <w:color w:val="auto"/>
        </w:rPr>
        <w:tab/>
      </w:r>
      <w:r w:rsidRPr="00FF037F">
        <w:rPr>
          <w:b/>
          <w:color w:val="auto"/>
        </w:rPr>
        <w:t xml:space="preserve"> </w:t>
      </w:r>
      <w:r w:rsidRPr="00FF037F">
        <w:rPr>
          <w:b/>
          <w:color w:val="auto"/>
          <w:u w:val="single"/>
        </w:rPr>
        <w:t xml:space="preserve">Estimates of Annualized Hour </w:t>
      </w:r>
      <w:r w:rsidR="00974BA6" w:rsidRPr="00FF037F">
        <w:rPr>
          <w:b/>
          <w:color w:val="auto"/>
          <w:u w:val="single"/>
        </w:rPr>
        <w:t xml:space="preserve">and Cost </w:t>
      </w:r>
      <w:r w:rsidRPr="00FF037F">
        <w:rPr>
          <w:b/>
          <w:color w:val="auto"/>
          <w:u w:val="single"/>
        </w:rPr>
        <w:t>Burden</w:t>
      </w:r>
      <w:bookmarkEnd w:id="15"/>
    </w:p>
    <w:p w14:paraId="2FB1D2A4" w14:textId="77777777" w:rsidR="00533918" w:rsidRPr="005A123F" w:rsidRDefault="00533918">
      <w:pPr>
        <w:rPr>
          <w:b/>
          <w:sz w:val="24"/>
          <w:szCs w:val="24"/>
          <w:highlight w:val="yellow"/>
        </w:rPr>
      </w:pPr>
    </w:p>
    <w:p w14:paraId="53EAB132" w14:textId="11D2E7C1" w:rsidR="00533918" w:rsidRPr="00FF037F" w:rsidRDefault="00533918">
      <w:pPr>
        <w:rPr>
          <w:rStyle w:val="BodyTextFi"/>
          <w:sz w:val="24"/>
          <w:szCs w:val="24"/>
        </w:rPr>
      </w:pPr>
      <w:r w:rsidRPr="00FF0C5D">
        <w:rPr>
          <w:rStyle w:val="BodyTextFi"/>
          <w:sz w:val="24"/>
          <w:szCs w:val="24"/>
        </w:rPr>
        <w:t xml:space="preserve">The estimated average annualized hour burden is </w:t>
      </w:r>
      <w:r w:rsidR="000F6CBD">
        <w:rPr>
          <w:rFonts w:eastAsia="Calibri" w:cs="Calibri"/>
          <w:sz w:val="24"/>
          <w:szCs w:val="22"/>
          <w:lang w:eastAsia="en-US"/>
        </w:rPr>
        <w:t>122,550</w:t>
      </w:r>
      <w:r w:rsidR="00AA65DB" w:rsidRPr="00FF0C5D">
        <w:rPr>
          <w:rFonts w:eastAsia="Calibri" w:cs="Calibri"/>
          <w:sz w:val="24"/>
          <w:szCs w:val="22"/>
          <w:lang w:eastAsia="en-US"/>
        </w:rPr>
        <w:t xml:space="preserve"> </w:t>
      </w:r>
      <w:r w:rsidRPr="00FF0C5D">
        <w:rPr>
          <w:rStyle w:val="BodyTextFi"/>
          <w:sz w:val="24"/>
          <w:szCs w:val="24"/>
        </w:rPr>
        <w:t xml:space="preserve">hours per year.  </w:t>
      </w:r>
      <w:r w:rsidRPr="00FF0C5D">
        <w:rPr>
          <w:sz w:val="24"/>
          <w:szCs w:val="24"/>
        </w:rPr>
        <w:t xml:space="preserve">Burden estimates are broken out by burden to grantee respondents and burden to service provider respondents, as seen </w:t>
      </w:r>
      <w:r w:rsidRPr="00FF0C5D">
        <w:rPr>
          <w:rStyle w:val="BodyTextFi"/>
          <w:sz w:val="24"/>
          <w:szCs w:val="24"/>
        </w:rPr>
        <w:t>in Table 1 (</w:t>
      </w:r>
      <w:r w:rsidRPr="00FF0C5D">
        <w:rPr>
          <w:sz w:val="24"/>
          <w:szCs w:val="24"/>
        </w:rPr>
        <w:t>Estimates of Average Annualized Hour Burden to Respondents)</w:t>
      </w:r>
      <w:r w:rsidRPr="00FF0C5D">
        <w:rPr>
          <w:rStyle w:val="BodyTextFi"/>
          <w:sz w:val="24"/>
          <w:szCs w:val="24"/>
        </w:rPr>
        <w:t xml:space="preserve">. Estimates for </w:t>
      </w:r>
      <w:r w:rsidR="00F504C9" w:rsidRPr="00FF0C5D">
        <w:rPr>
          <w:rStyle w:val="BodyTextFi"/>
          <w:sz w:val="24"/>
          <w:szCs w:val="24"/>
        </w:rPr>
        <w:t>grant recipients</w:t>
      </w:r>
      <w:r w:rsidRPr="00FF0C5D">
        <w:rPr>
          <w:rStyle w:val="BodyTextFi"/>
          <w:sz w:val="24"/>
          <w:szCs w:val="24"/>
        </w:rPr>
        <w:t xml:space="preserve"> and service providers are further divided by </w:t>
      </w:r>
      <w:r w:rsidR="0016317F" w:rsidRPr="00FF0C5D">
        <w:rPr>
          <w:rStyle w:val="BodyTextFi"/>
          <w:sz w:val="24"/>
          <w:szCs w:val="24"/>
        </w:rPr>
        <w:t>RSR</w:t>
      </w:r>
      <w:r w:rsidRPr="00FF0C5D">
        <w:rPr>
          <w:rStyle w:val="BodyTextFi"/>
          <w:sz w:val="24"/>
          <w:szCs w:val="24"/>
        </w:rPr>
        <w:t xml:space="preserve"> component.  Estimates for </w:t>
      </w:r>
      <w:r w:rsidR="00F504C9" w:rsidRPr="00FF0C5D">
        <w:rPr>
          <w:rStyle w:val="BodyTextFi"/>
          <w:sz w:val="24"/>
          <w:szCs w:val="24"/>
        </w:rPr>
        <w:t>grant recipients</w:t>
      </w:r>
      <w:r w:rsidRPr="00FF0C5D">
        <w:rPr>
          <w:rStyle w:val="BodyTextFi"/>
          <w:sz w:val="24"/>
          <w:szCs w:val="24"/>
        </w:rPr>
        <w:t xml:space="preserve"> and providers are based on prior experience in collecting, maintaining, and reporting data using the </w:t>
      </w:r>
      <w:r w:rsidR="000C11AA" w:rsidRPr="00FF0C5D">
        <w:rPr>
          <w:rStyle w:val="BodyTextFi"/>
          <w:sz w:val="24"/>
          <w:szCs w:val="24"/>
        </w:rPr>
        <w:t xml:space="preserve">RSR and </w:t>
      </w:r>
      <w:r w:rsidRPr="00FF0C5D">
        <w:rPr>
          <w:rStyle w:val="BodyTextFi"/>
          <w:sz w:val="24"/>
          <w:szCs w:val="24"/>
        </w:rPr>
        <w:t>interviews with volunteers from grantee agencies.</w:t>
      </w:r>
    </w:p>
    <w:p w14:paraId="6D9CC046" w14:textId="77777777" w:rsidR="00533918" w:rsidRPr="005A123F" w:rsidRDefault="00533918">
      <w:pPr>
        <w:rPr>
          <w:rStyle w:val="BodyTextFi"/>
          <w:sz w:val="24"/>
          <w:szCs w:val="24"/>
          <w:highlight w:val="yellow"/>
        </w:rPr>
      </w:pPr>
    </w:p>
    <w:p w14:paraId="318939F6" w14:textId="77777777" w:rsidR="00974BA6" w:rsidRPr="00793E02" w:rsidRDefault="00974BA6">
      <w:pPr>
        <w:rPr>
          <w:rStyle w:val="BodyTextFi"/>
          <w:b/>
          <w:bCs/>
          <w:sz w:val="24"/>
          <w:szCs w:val="24"/>
        </w:rPr>
      </w:pPr>
      <w:r w:rsidRPr="00793E02">
        <w:rPr>
          <w:rStyle w:val="BodyTextFi"/>
          <w:b/>
          <w:bCs/>
          <w:sz w:val="24"/>
          <w:szCs w:val="24"/>
        </w:rPr>
        <w:t>12A. Estimated Annualized Burden Hours</w:t>
      </w:r>
    </w:p>
    <w:p w14:paraId="78816802" w14:textId="77777777" w:rsidR="00974BA6" w:rsidRPr="00793E02" w:rsidRDefault="00974BA6">
      <w:pPr>
        <w:rPr>
          <w:rStyle w:val="BodyTextFi"/>
          <w:b/>
          <w:bCs/>
          <w:sz w:val="24"/>
          <w:szCs w:val="24"/>
        </w:rPr>
      </w:pPr>
    </w:p>
    <w:p w14:paraId="1780062C" w14:textId="77777777" w:rsidR="00533918" w:rsidRPr="00793E02" w:rsidRDefault="00533918">
      <w:pPr>
        <w:rPr>
          <w:rStyle w:val="BodyTextFi"/>
          <w:b/>
          <w:bCs/>
          <w:sz w:val="24"/>
          <w:szCs w:val="24"/>
        </w:rPr>
      </w:pPr>
      <w:r w:rsidRPr="00793E02">
        <w:rPr>
          <w:rStyle w:val="BodyTextFi"/>
          <w:b/>
          <w:bCs/>
          <w:sz w:val="24"/>
          <w:szCs w:val="24"/>
        </w:rPr>
        <w:t>Grantee Report</w:t>
      </w:r>
    </w:p>
    <w:p w14:paraId="257979C3" w14:textId="77777777" w:rsidR="00533918" w:rsidRPr="00793E02" w:rsidRDefault="00533918">
      <w:pPr>
        <w:rPr>
          <w:rStyle w:val="BodyTextFi"/>
          <w:b/>
          <w:bCs/>
          <w:sz w:val="24"/>
          <w:szCs w:val="24"/>
        </w:rPr>
      </w:pPr>
    </w:p>
    <w:p w14:paraId="4040F506" w14:textId="2443496B" w:rsidR="00533918" w:rsidRPr="00793E02" w:rsidRDefault="00533918">
      <w:pPr>
        <w:rPr>
          <w:rStyle w:val="BodyTextFi"/>
          <w:sz w:val="24"/>
          <w:szCs w:val="24"/>
        </w:rPr>
      </w:pPr>
      <w:r w:rsidRPr="00691432">
        <w:rPr>
          <w:rStyle w:val="BodyTextFi"/>
          <w:sz w:val="24"/>
          <w:szCs w:val="24"/>
        </w:rPr>
        <w:t xml:space="preserve">The Grantee Report will have </w:t>
      </w:r>
      <w:r w:rsidR="000F6CBD">
        <w:rPr>
          <w:rStyle w:val="BodyTextFi"/>
          <w:sz w:val="24"/>
          <w:szCs w:val="24"/>
        </w:rPr>
        <w:t>59</w:t>
      </w:r>
      <w:r w:rsidR="00691432" w:rsidRPr="00691432">
        <w:rPr>
          <w:rStyle w:val="BodyTextFi"/>
          <w:sz w:val="24"/>
          <w:szCs w:val="24"/>
        </w:rPr>
        <w:t>5</w:t>
      </w:r>
      <w:r w:rsidR="00831DC2" w:rsidRPr="00691432">
        <w:rPr>
          <w:rStyle w:val="BodyTextFi"/>
          <w:sz w:val="24"/>
          <w:szCs w:val="24"/>
        </w:rPr>
        <w:t xml:space="preserve"> </w:t>
      </w:r>
      <w:r w:rsidRPr="00691432">
        <w:rPr>
          <w:rStyle w:val="BodyTextFi"/>
          <w:sz w:val="24"/>
          <w:szCs w:val="24"/>
        </w:rPr>
        <w:t xml:space="preserve">respondents.  Each grantee will submit one Grantee Report for each of its grants per reporting period.  </w:t>
      </w:r>
      <w:r w:rsidR="00831DC2" w:rsidRPr="00691432">
        <w:rPr>
          <w:rStyle w:val="BodyTextFi"/>
          <w:sz w:val="24"/>
          <w:szCs w:val="24"/>
        </w:rPr>
        <w:t xml:space="preserve">We </w:t>
      </w:r>
      <w:r w:rsidRPr="00691432">
        <w:rPr>
          <w:rStyle w:val="BodyTextFi"/>
          <w:sz w:val="24"/>
          <w:szCs w:val="24"/>
        </w:rPr>
        <w:t>multiplied the average response time by the total number of grants</w:t>
      </w:r>
      <w:r w:rsidR="00831DC2" w:rsidRPr="00691432">
        <w:rPr>
          <w:rStyle w:val="BodyTextFi"/>
          <w:sz w:val="24"/>
          <w:szCs w:val="24"/>
        </w:rPr>
        <w:t xml:space="preserve">. </w:t>
      </w:r>
      <w:r w:rsidR="000C11AA" w:rsidRPr="00691432">
        <w:rPr>
          <w:rStyle w:val="BodyTextFi"/>
          <w:sz w:val="24"/>
          <w:szCs w:val="24"/>
        </w:rPr>
        <w:t xml:space="preserve">The total annual hour burden </w:t>
      </w:r>
      <w:r w:rsidR="00831DC2" w:rsidRPr="00691432">
        <w:rPr>
          <w:rStyle w:val="BodyTextFi"/>
          <w:sz w:val="24"/>
          <w:szCs w:val="24"/>
        </w:rPr>
        <w:t xml:space="preserve">to gather, maintain, and complete </w:t>
      </w:r>
      <w:r w:rsidR="000C11AA" w:rsidRPr="00691432">
        <w:rPr>
          <w:rStyle w:val="BodyTextFi"/>
          <w:sz w:val="24"/>
          <w:szCs w:val="24"/>
        </w:rPr>
        <w:t xml:space="preserve">the Grantee Report is </w:t>
      </w:r>
      <w:r w:rsidR="000F6CBD">
        <w:rPr>
          <w:rStyle w:val="BodyTextFi"/>
          <w:sz w:val="24"/>
          <w:szCs w:val="24"/>
        </w:rPr>
        <w:t>4,165</w:t>
      </w:r>
      <w:r w:rsidR="00831DC2" w:rsidRPr="00691432">
        <w:rPr>
          <w:rStyle w:val="BodyTextFi"/>
          <w:sz w:val="24"/>
          <w:szCs w:val="24"/>
        </w:rPr>
        <w:t xml:space="preserve"> hours with an average of </w:t>
      </w:r>
      <w:r w:rsidR="00691432">
        <w:rPr>
          <w:rStyle w:val="BodyTextFi"/>
          <w:sz w:val="24"/>
          <w:szCs w:val="24"/>
        </w:rPr>
        <w:t>eleven</w:t>
      </w:r>
      <w:r w:rsidR="00831DC2" w:rsidRPr="00691432">
        <w:rPr>
          <w:rStyle w:val="BodyTextFi"/>
          <w:sz w:val="24"/>
          <w:szCs w:val="24"/>
        </w:rPr>
        <w:t xml:space="preserve"> </w:t>
      </w:r>
      <w:r w:rsidR="000C11AA" w:rsidRPr="00691432">
        <w:rPr>
          <w:rStyle w:val="BodyTextFi"/>
          <w:sz w:val="24"/>
          <w:szCs w:val="24"/>
        </w:rPr>
        <w:t>hours</w:t>
      </w:r>
      <w:r w:rsidRPr="00691432">
        <w:rPr>
          <w:rStyle w:val="BodyTextFi"/>
          <w:sz w:val="24"/>
          <w:szCs w:val="24"/>
        </w:rPr>
        <w:t>.</w:t>
      </w:r>
    </w:p>
    <w:p w14:paraId="1704B016" w14:textId="77777777" w:rsidR="00533918" w:rsidRPr="00793E02" w:rsidRDefault="00533918">
      <w:pPr>
        <w:rPr>
          <w:rStyle w:val="BodyTextFi"/>
          <w:sz w:val="24"/>
          <w:szCs w:val="24"/>
        </w:rPr>
      </w:pPr>
    </w:p>
    <w:p w14:paraId="29E40BB8" w14:textId="77777777" w:rsidR="00533918" w:rsidRPr="00793E02" w:rsidRDefault="000C11AA">
      <w:pPr>
        <w:rPr>
          <w:rStyle w:val="BodyTextFi"/>
          <w:b/>
          <w:bCs/>
          <w:sz w:val="24"/>
          <w:szCs w:val="24"/>
        </w:rPr>
      </w:pPr>
      <w:r w:rsidRPr="00793E02">
        <w:rPr>
          <w:rStyle w:val="BodyTextFi"/>
          <w:b/>
          <w:bCs/>
          <w:sz w:val="24"/>
          <w:szCs w:val="24"/>
        </w:rPr>
        <w:t xml:space="preserve">Service </w:t>
      </w:r>
      <w:r w:rsidR="00533918" w:rsidRPr="00793E02">
        <w:rPr>
          <w:rStyle w:val="BodyTextFi"/>
          <w:b/>
          <w:bCs/>
          <w:sz w:val="24"/>
          <w:szCs w:val="24"/>
        </w:rPr>
        <w:t>Provider Report</w:t>
      </w:r>
    </w:p>
    <w:p w14:paraId="2CA24F83" w14:textId="77777777" w:rsidR="00533918" w:rsidRPr="00793E02" w:rsidRDefault="00533918">
      <w:pPr>
        <w:rPr>
          <w:rStyle w:val="BodyTextFi"/>
          <w:b/>
          <w:bCs/>
          <w:sz w:val="24"/>
          <w:szCs w:val="24"/>
        </w:rPr>
      </w:pPr>
    </w:p>
    <w:p w14:paraId="69D11ADF" w14:textId="54536B4B" w:rsidR="00533918" w:rsidRPr="00793E02" w:rsidRDefault="00533918">
      <w:pPr>
        <w:rPr>
          <w:rStyle w:val="BodyTextFi"/>
          <w:sz w:val="24"/>
          <w:szCs w:val="24"/>
        </w:rPr>
      </w:pPr>
      <w:r w:rsidRPr="00691432">
        <w:rPr>
          <w:rStyle w:val="BodyTextFi"/>
          <w:sz w:val="24"/>
          <w:szCs w:val="24"/>
        </w:rPr>
        <w:t xml:space="preserve">The </w:t>
      </w:r>
      <w:r w:rsidR="000C11AA" w:rsidRPr="00691432">
        <w:rPr>
          <w:rStyle w:val="BodyTextFi"/>
          <w:sz w:val="24"/>
          <w:szCs w:val="24"/>
        </w:rPr>
        <w:t xml:space="preserve">Service </w:t>
      </w:r>
      <w:r w:rsidRPr="00691432">
        <w:rPr>
          <w:rStyle w:val="BodyTextFi"/>
          <w:sz w:val="24"/>
          <w:szCs w:val="24"/>
        </w:rPr>
        <w:t xml:space="preserve">Provider Report will have </w:t>
      </w:r>
      <w:r w:rsidR="000F6CBD">
        <w:rPr>
          <w:rStyle w:val="BodyTextFi"/>
          <w:sz w:val="24"/>
          <w:szCs w:val="24"/>
        </w:rPr>
        <w:t>1,793</w:t>
      </w:r>
      <w:r w:rsidRPr="00691432">
        <w:rPr>
          <w:rStyle w:val="BodyTextFi"/>
          <w:sz w:val="24"/>
          <w:szCs w:val="24"/>
        </w:rPr>
        <w:t xml:space="preserve"> respondents.  Each provider agency will submit one Provider Report per reporting period.  This includes agencies that provide services directly to </w:t>
      </w:r>
      <w:r w:rsidR="000C11AA" w:rsidRPr="00691432">
        <w:rPr>
          <w:rStyle w:val="BodyTextFi"/>
          <w:sz w:val="24"/>
          <w:szCs w:val="24"/>
        </w:rPr>
        <w:t xml:space="preserve">clients </w:t>
      </w:r>
      <w:r w:rsidRPr="00691432">
        <w:rPr>
          <w:rStyle w:val="BodyTextFi"/>
          <w:sz w:val="24"/>
          <w:szCs w:val="24"/>
        </w:rPr>
        <w:t xml:space="preserve">as well as providers of administrative support services.  Based on discussions with grantee representatives, many of whom are also direct service providers, we determined that it will take each provider agency an average of </w:t>
      </w:r>
      <w:r w:rsidR="00691432">
        <w:rPr>
          <w:rStyle w:val="BodyTextFi"/>
          <w:sz w:val="24"/>
          <w:szCs w:val="24"/>
        </w:rPr>
        <w:t>1</w:t>
      </w:r>
      <w:r w:rsidR="000F6CBD">
        <w:rPr>
          <w:rStyle w:val="BodyTextFi"/>
          <w:sz w:val="24"/>
          <w:szCs w:val="24"/>
        </w:rPr>
        <w:t>7</w:t>
      </w:r>
      <w:r w:rsidRPr="00691432">
        <w:rPr>
          <w:rStyle w:val="BodyTextFi"/>
          <w:sz w:val="24"/>
          <w:szCs w:val="24"/>
        </w:rPr>
        <w:t xml:space="preserve"> hours to </w:t>
      </w:r>
      <w:r w:rsidR="00831DC2" w:rsidRPr="00691432">
        <w:rPr>
          <w:rStyle w:val="BodyTextFi"/>
          <w:sz w:val="24"/>
          <w:szCs w:val="24"/>
        </w:rPr>
        <w:t xml:space="preserve">gather and maintain data and complete </w:t>
      </w:r>
      <w:r w:rsidRPr="00691432">
        <w:rPr>
          <w:rStyle w:val="BodyTextFi"/>
          <w:sz w:val="24"/>
          <w:szCs w:val="24"/>
        </w:rPr>
        <w:t xml:space="preserve">the </w:t>
      </w:r>
      <w:r w:rsidR="000C11AA" w:rsidRPr="00691432">
        <w:rPr>
          <w:rStyle w:val="BodyTextFi"/>
          <w:sz w:val="24"/>
          <w:szCs w:val="24"/>
        </w:rPr>
        <w:t xml:space="preserve">Service </w:t>
      </w:r>
      <w:r w:rsidRPr="00691432">
        <w:rPr>
          <w:rStyle w:val="BodyTextFi"/>
          <w:sz w:val="24"/>
          <w:szCs w:val="24"/>
        </w:rPr>
        <w:t>Provider Report</w:t>
      </w:r>
      <w:r w:rsidR="000C11AA" w:rsidRPr="00691432">
        <w:rPr>
          <w:rStyle w:val="BodyTextFi"/>
          <w:sz w:val="24"/>
          <w:szCs w:val="24"/>
        </w:rPr>
        <w:t xml:space="preserve">, </w:t>
      </w:r>
      <w:r w:rsidRPr="00691432">
        <w:rPr>
          <w:rStyle w:val="BodyTextFi"/>
          <w:sz w:val="24"/>
          <w:szCs w:val="24"/>
        </w:rPr>
        <w:t>for a total hour burden of</w:t>
      </w:r>
      <w:r w:rsidR="00691432">
        <w:rPr>
          <w:rStyle w:val="BodyTextFi"/>
          <w:sz w:val="24"/>
          <w:szCs w:val="24"/>
        </w:rPr>
        <w:t xml:space="preserve"> </w:t>
      </w:r>
      <w:r w:rsidR="000F6CBD">
        <w:rPr>
          <w:rStyle w:val="BodyTextFi"/>
          <w:sz w:val="24"/>
          <w:szCs w:val="24"/>
        </w:rPr>
        <w:t>30,481</w:t>
      </w:r>
      <w:r w:rsidRPr="00691432">
        <w:rPr>
          <w:rStyle w:val="BodyTextFi"/>
          <w:sz w:val="24"/>
          <w:szCs w:val="24"/>
        </w:rPr>
        <w:t>.</w:t>
      </w:r>
    </w:p>
    <w:p w14:paraId="1600C564" w14:textId="77777777" w:rsidR="00533918" w:rsidRPr="00793E02" w:rsidRDefault="00533918">
      <w:pPr>
        <w:rPr>
          <w:rStyle w:val="BodyTextFi"/>
          <w:sz w:val="24"/>
          <w:szCs w:val="24"/>
        </w:rPr>
      </w:pPr>
    </w:p>
    <w:p w14:paraId="36A141C7" w14:textId="77777777" w:rsidR="00533918" w:rsidRPr="00793E02" w:rsidRDefault="00533918">
      <w:pPr>
        <w:rPr>
          <w:rStyle w:val="BodyTextFi"/>
          <w:b/>
          <w:bCs/>
          <w:sz w:val="24"/>
          <w:szCs w:val="24"/>
        </w:rPr>
      </w:pPr>
      <w:r w:rsidRPr="00793E02">
        <w:rPr>
          <w:rStyle w:val="BodyTextFi"/>
          <w:b/>
          <w:bCs/>
          <w:sz w:val="24"/>
          <w:szCs w:val="24"/>
        </w:rPr>
        <w:t>Client Report</w:t>
      </w:r>
    </w:p>
    <w:p w14:paraId="63654ED3" w14:textId="77777777" w:rsidR="00533918" w:rsidRPr="00793E02" w:rsidRDefault="00533918">
      <w:pPr>
        <w:rPr>
          <w:rStyle w:val="BodyTextFi"/>
          <w:b/>
          <w:bCs/>
          <w:sz w:val="24"/>
          <w:szCs w:val="24"/>
        </w:rPr>
      </w:pPr>
    </w:p>
    <w:p w14:paraId="408DE532" w14:textId="52FD4085" w:rsidR="00533918" w:rsidRPr="00793E02" w:rsidRDefault="00533918" w:rsidP="008647F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mallCaps/>
          <w:sz w:val="24"/>
          <w:szCs w:val="24"/>
        </w:rPr>
      </w:pPr>
      <w:r w:rsidRPr="00691432">
        <w:rPr>
          <w:rStyle w:val="BodyTextFi"/>
          <w:sz w:val="24"/>
          <w:szCs w:val="24"/>
        </w:rPr>
        <w:t xml:space="preserve">The Client Report will have </w:t>
      </w:r>
      <w:r w:rsidR="000F6CBD">
        <w:rPr>
          <w:rStyle w:val="BodyTextFi"/>
          <w:sz w:val="24"/>
          <w:szCs w:val="24"/>
        </w:rPr>
        <w:t>1,312</w:t>
      </w:r>
      <w:r w:rsidRPr="00691432">
        <w:rPr>
          <w:rStyle w:val="BodyTextFi"/>
          <w:sz w:val="24"/>
          <w:szCs w:val="24"/>
        </w:rPr>
        <w:t xml:space="preserve"> respondents</w:t>
      </w:r>
      <w:r w:rsidR="000C11AA" w:rsidRPr="00691432">
        <w:rPr>
          <w:rStyle w:val="BodyTextFi"/>
          <w:sz w:val="24"/>
          <w:szCs w:val="24"/>
        </w:rPr>
        <w:t>.</w:t>
      </w:r>
      <w:r w:rsidRPr="00691432">
        <w:rPr>
          <w:rStyle w:val="BodyTextFi"/>
          <w:sz w:val="24"/>
          <w:szCs w:val="24"/>
        </w:rPr>
        <w:t xml:space="preserve"> </w:t>
      </w:r>
      <w:r w:rsidR="000C11AA" w:rsidRPr="00691432">
        <w:rPr>
          <w:rStyle w:val="BodyTextFi"/>
          <w:sz w:val="24"/>
          <w:szCs w:val="24"/>
        </w:rPr>
        <w:t xml:space="preserve">Each provider agency will submit one Client Report per reporting period.  </w:t>
      </w:r>
      <w:r w:rsidR="00BA4255" w:rsidRPr="00691432">
        <w:rPr>
          <w:rStyle w:val="BodyTextFi"/>
          <w:sz w:val="24"/>
          <w:szCs w:val="24"/>
        </w:rPr>
        <w:t xml:space="preserve">This includes agencies that provide services directly to clients. </w:t>
      </w:r>
      <w:r w:rsidRPr="00691432">
        <w:rPr>
          <w:sz w:val="24"/>
          <w:szCs w:val="24"/>
        </w:rPr>
        <w:t>The amount of time the service provider takes to collect and process a Client Report takes into consideration the amount of time to enter client-level data into data collection systems (accounting for the fact that it will take longer to enter a new client record than to update a continuing client’s record)</w:t>
      </w:r>
      <w:r w:rsidR="008647FE" w:rsidRPr="00691432">
        <w:rPr>
          <w:sz w:val="24"/>
          <w:szCs w:val="24"/>
        </w:rPr>
        <w:t>;</w:t>
      </w:r>
      <w:r w:rsidRPr="00691432">
        <w:rPr>
          <w:sz w:val="24"/>
          <w:szCs w:val="24"/>
        </w:rPr>
        <w:t xml:space="preserve"> to compile and report the data</w:t>
      </w:r>
      <w:r w:rsidR="008647FE" w:rsidRPr="00691432">
        <w:rPr>
          <w:sz w:val="24"/>
          <w:szCs w:val="24"/>
        </w:rPr>
        <w:t xml:space="preserve">; </w:t>
      </w:r>
      <w:r w:rsidR="00FF037F" w:rsidRPr="00691432">
        <w:rPr>
          <w:sz w:val="24"/>
          <w:szCs w:val="24"/>
        </w:rPr>
        <w:t xml:space="preserve">and to correct any errors. </w:t>
      </w:r>
      <w:r w:rsidRPr="00691432">
        <w:rPr>
          <w:sz w:val="24"/>
          <w:szCs w:val="24"/>
        </w:rPr>
        <w:t xml:space="preserve">We estimate </w:t>
      </w:r>
      <w:r w:rsidR="000F6CBD">
        <w:rPr>
          <w:sz w:val="24"/>
          <w:szCs w:val="24"/>
        </w:rPr>
        <w:t>87,904</w:t>
      </w:r>
      <w:r w:rsidR="00831DC2" w:rsidRPr="00691432">
        <w:rPr>
          <w:sz w:val="24"/>
          <w:szCs w:val="24"/>
        </w:rPr>
        <w:t xml:space="preserve"> hours</w:t>
      </w:r>
      <w:r w:rsidRPr="00691432">
        <w:rPr>
          <w:sz w:val="24"/>
          <w:szCs w:val="24"/>
        </w:rPr>
        <w:t xml:space="preserve"> </w:t>
      </w:r>
      <w:r w:rsidR="00831DC2" w:rsidRPr="00691432">
        <w:rPr>
          <w:sz w:val="24"/>
          <w:szCs w:val="24"/>
        </w:rPr>
        <w:t xml:space="preserve">total </w:t>
      </w:r>
      <w:r w:rsidRPr="00691432">
        <w:rPr>
          <w:sz w:val="24"/>
          <w:szCs w:val="24"/>
        </w:rPr>
        <w:t>burden hours</w:t>
      </w:r>
      <w:r w:rsidR="00831DC2" w:rsidRPr="00691432">
        <w:rPr>
          <w:sz w:val="24"/>
          <w:szCs w:val="24"/>
        </w:rPr>
        <w:t xml:space="preserve"> per year with an average of 67 hours per provider agency</w:t>
      </w:r>
      <w:r w:rsidRPr="00691432">
        <w:rPr>
          <w:sz w:val="24"/>
          <w:szCs w:val="24"/>
        </w:rPr>
        <w:t xml:space="preserve"> to complete the Client Report.</w:t>
      </w:r>
      <w:bookmarkStart w:id="16" w:name="OLE_LINK2"/>
    </w:p>
    <w:p w14:paraId="1E9E8243" w14:textId="45F70881" w:rsidR="008647FE" w:rsidRPr="005A123F" w:rsidRDefault="008647FE">
      <w:pPr>
        <w:widowControl/>
        <w:jc w:val="center"/>
        <w:rPr>
          <w:b/>
          <w:smallCaps/>
          <w:sz w:val="24"/>
          <w:szCs w:val="24"/>
          <w:highlight w:val="yellow"/>
        </w:rPr>
      </w:pPr>
    </w:p>
    <w:p w14:paraId="41F808AD" w14:textId="77777777" w:rsidR="004B4FAE" w:rsidRPr="00C40614" w:rsidRDefault="004B4FAE">
      <w:pPr>
        <w:pStyle w:val="BodyText"/>
        <w:spacing w:after="0"/>
        <w:rPr>
          <w:b/>
          <w:sz w:val="24"/>
          <w:szCs w:val="24"/>
          <w:highlight w:val="yellow"/>
        </w:rPr>
      </w:pPr>
    </w:p>
    <w:p w14:paraId="6371A17F" w14:textId="3A91C850" w:rsidR="004B4FAE" w:rsidRDefault="00C40614" w:rsidP="004B4FAE">
      <w:pPr>
        <w:pStyle w:val="BodyText"/>
        <w:spacing w:after="0"/>
        <w:rPr>
          <w:rFonts w:eastAsia="MS Mincho"/>
          <w:b/>
          <w:sz w:val="24"/>
          <w:szCs w:val="24"/>
        </w:rPr>
      </w:pPr>
      <w:r w:rsidRPr="00793E02">
        <w:rPr>
          <w:rFonts w:eastAsia="MS Mincho"/>
          <w:b/>
          <w:sz w:val="24"/>
          <w:szCs w:val="24"/>
        </w:rPr>
        <w:t>12A. Estimated Annualized Burden Hours</w:t>
      </w:r>
    </w:p>
    <w:p w14:paraId="73811605" w14:textId="77777777" w:rsidR="000F6CBD" w:rsidRDefault="000F6CBD" w:rsidP="004B4FAE">
      <w:pPr>
        <w:pStyle w:val="BodyText"/>
        <w:spacing w:after="0"/>
        <w:rPr>
          <w:rFonts w:eastAsia="MS Mincho"/>
          <w:b/>
          <w:sz w:val="24"/>
          <w:szCs w:val="24"/>
        </w:rPr>
      </w:pPr>
    </w:p>
    <w:p w14:paraId="05BE71B8" w14:textId="5B44A52A" w:rsidR="00AA65DB" w:rsidRDefault="000F6CBD" w:rsidP="004B4FAE">
      <w:pPr>
        <w:pStyle w:val="BodyText"/>
        <w:spacing w:after="0"/>
        <w:rPr>
          <w:rFonts w:eastAsia="MS Mincho"/>
          <w:b/>
          <w:sz w:val="24"/>
          <w:szCs w:val="24"/>
        </w:rPr>
      </w:pPr>
      <w:r>
        <w:rPr>
          <w:rFonts w:eastAsia="MS Mincho"/>
          <w:b/>
          <w:sz w:val="24"/>
          <w:szCs w:val="24"/>
        </w:rPr>
        <w:t>Table 1</w:t>
      </w:r>
    </w:p>
    <w:tbl>
      <w:tblPr>
        <w:tblW w:w="10890" w:type="dxa"/>
        <w:tblInd w:w="-768" w:type="dxa"/>
        <w:tblLayout w:type="fixed"/>
        <w:tblCellMar>
          <w:left w:w="97" w:type="dxa"/>
          <w:right w:w="97" w:type="dxa"/>
        </w:tblCellMar>
        <w:tblLook w:val="04A0" w:firstRow="1" w:lastRow="0" w:firstColumn="1" w:lastColumn="0" w:noHBand="0" w:noVBand="1"/>
      </w:tblPr>
      <w:tblGrid>
        <w:gridCol w:w="1845"/>
        <w:gridCol w:w="2070"/>
        <w:gridCol w:w="1440"/>
        <w:gridCol w:w="1620"/>
        <w:gridCol w:w="1395"/>
        <w:gridCol w:w="1260"/>
        <w:gridCol w:w="1260"/>
      </w:tblGrid>
      <w:tr w:rsidR="000F6CBD" w:rsidRPr="00AA65DB" w14:paraId="4782488C" w14:textId="77777777" w:rsidTr="00A4238A">
        <w:tc>
          <w:tcPr>
            <w:tcW w:w="1845" w:type="dxa"/>
            <w:tcBorders>
              <w:top w:val="single" w:sz="2" w:space="0" w:color="auto"/>
              <w:left w:val="single" w:sz="2" w:space="0" w:color="auto"/>
              <w:bottom w:val="single" w:sz="2" w:space="0" w:color="auto"/>
              <w:right w:val="single" w:sz="2" w:space="0" w:color="auto"/>
            </w:tcBorders>
            <w:vAlign w:val="center"/>
          </w:tcPr>
          <w:p w14:paraId="09791261" w14:textId="4FF75592"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z w:val="24"/>
                <w:szCs w:val="24"/>
                <w:lang w:eastAsia="en-US"/>
              </w:rPr>
            </w:pPr>
            <w:r w:rsidRPr="009C0445">
              <w:rPr>
                <w:rFonts w:eastAsia="MS Mincho"/>
                <w:sz w:val="24"/>
                <w:szCs w:val="24"/>
              </w:rPr>
              <w:t>Type of Respondents</w:t>
            </w:r>
          </w:p>
        </w:tc>
        <w:tc>
          <w:tcPr>
            <w:tcW w:w="2070" w:type="dxa"/>
            <w:tcBorders>
              <w:top w:val="single" w:sz="2" w:space="0" w:color="auto"/>
              <w:left w:val="single" w:sz="2" w:space="0" w:color="auto"/>
              <w:bottom w:val="single" w:sz="2" w:space="0" w:color="auto"/>
              <w:right w:val="single" w:sz="2" w:space="0" w:color="auto"/>
            </w:tcBorders>
            <w:vAlign w:val="center"/>
          </w:tcPr>
          <w:p w14:paraId="5172BFF8" w14:textId="7242D883"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z w:val="24"/>
                <w:szCs w:val="24"/>
                <w:lang w:eastAsia="en-US"/>
              </w:rPr>
            </w:pPr>
          </w:p>
          <w:p w14:paraId="3A3B5E64" w14:textId="77777777"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z w:val="24"/>
                <w:szCs w:val="24"/>
                <w:lang w:eastAsia="en-US"/>
              </w:rPr>
            </w:pPr>
            <w:r w:rsidRPr="00AA65DB">
              <w:rPr>
                <w:sz w:val="24"/>
                <w:szCs w:val="24"/>
                <w:lang w:eastAsia="en-US"/>
              </w:rPr>
              <w:t>Form Name</w:t>
            </w:r>
          </w:p>
        </w:tc>
        <w:tc>
          <w:tcPr>
            <w:tcW w:w="1440" w:type="dxa"/>
            <w:tcBorders>
              <w:top w:val="single" w:sz="2" w:space="0" w:color="auto"/>
              <w:left w:val="single" w:sz="2" w:space="0" w:color="auto"/>
              <w:bottom w:val="single" w:sz="2" w:space="0" w:color="auto"/>
              <w:right w:val="single" w:sz="2" w:space="0" w:color="auto"/>
            </w:tcBorders>
            <w:vAlign w:val="center"/>
            <w:hideMark/>
          </w:tcPr>
          <w:p w14:paraId="12A0FF3E" w14:textId="6780BCE2"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AA65DB">
              <w:rPr>
                <w:sz w:val="24"/>
                <w:szCs w:val="24"/>
                <w:lang w:eastAsia="en-US"/>
              </w:rPr>
              <w:t>N</w:t>
            </w:r>
            <w:r>
              <w:rPr>
                <w:sz w:val="24"/>
                <w:szCs w:val="24"/>
                <w:lang w:eastAsia="en-US"/>
              </w:rPr>
              <w:t>o.</w:t>
            </w:r>
            <w:r w:rsidRPr="00AA65DB">
              <w:rPr>
                <w:sz w:val="24"/>
                <w:szCs w:val="24"/>
                <w:lang w:eastAsia="en-US"/>
              </w:rPr>
              <w:t xml:space="preserve"> of Respondents</w:t>
            </w:r>
          </w:p>
        </w:tc>
        <w:tc>
          <w:tcPr>
            <w:tcW w:w="1620" w:type="dxa"/>
            <w:tcBorders>
              <w:top w:val="single" w:sz="2" w:space="0" w:color="auto"/>
              <w:left w:val="single" w:sz="2" w:space="0" w:color="auto"/>
              <w:bottom w:val="single" w:sz="2" w:space="0" w:color="auto"/>
              <w:right w:val="single" w:sz="2" w:space="0" w:color="auto"/>
            </w:tcBorders>
            <w:vAlign w:val="center"/>
          </w:tcPr>
          <w:p w14:paraId="456CA9FE" w14:textId="77777777"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p>
          <w:p w14:paraId="74C23F26" w14:textId="480625DC"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AA65DB">
              <w:rPr>
                <w:sz w:val="24"/>
                <w:szCs w:val="24"/>
                <w:lang w:eastAsia="en-US"/>
              </w:rPr>
              <w:t>N</w:t>
            </w:r>
            <w:r>
              <w:rPr>
                <w:sz w:val="24"/>
                <w:szCs w:val="24"/>
                <w:lang w:eastAsia="en-US"/>
              </w:rPr>
              <w:t>o.</w:t>
            </w:r>
            <w:r w:rsidRPr="00AA65DB">
              <w:rPr>
                <w:sz w:val="24"/>
                <w:szCs w:val="24"/>
                <w:lang w:eastAsia="en-US"/>
              </w:rPr>
              <w:t xml:space="preserve"> of Responses per Respondent</w:t>
            </w:r>
          </w:p>
        </w:tc>
        <w:tc>
          <w:tcPr>
            <w:tcW w:w="1395" w:type="dxa"/>
            <w:tcBorders>
              <w:top w:val="single" w:sz="2" w:space="0" w:color="auto"/>
              <w:left w:val="single" w:sz="2" w:space="0" w:color="auto"/>
              <w:bottom w:val="single" w:sz="2" w:space="0" w:color="auto"/>
              <w:right w:val="single" w:sz="2" w:space="0" w:color="auto"/>
            </w:tcBorders>
            <w:vAlign w:val="center"/>
          </w:tcPr>
          <w:p w14:paraId="020A45CE" w14:textId="712DAE69" w:rsidR="000F6CBD"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Pr>
                <w:sz w:val="24"/>
                <w:szCs w:val="24"/>
                <w:lang w:eastAsia="en-US"/>
              </w:rPr>
              <w:t>Total Responses</w:t>
            </w:r>
          </w:p>
        </w:tc>
        <w:tc>
          <w:tcPr>
            <w:tcW w:w="1260" w:type="dxa"/>
            <w:tcBorders>
              <w:top w:val="single" w:sz="2" w:space="0" w:color="auto"/>
              <w:left w:val="single" w:sz="2" w:space="0" w:color="auto"/>
              <w:bottom w:val="single" w:sz="2" w:space="0" w:color="auto"/>
              <w:right w:val="single" w:sz="2" w:space="0" w:color="auto"/>
            </w:tcBorders>
            <w:vAlign w:val="center"/>
          </w:tcPr>
          <w:p w14:paraId="3E3293D9" w14:textId="66E1DDE3"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p>
          <w:p w14:paraId="355EC8AB" w14:textId="77777777"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AA65DB">
              <w:rPr>
                <w:sz w:val="24"/>
                <w:szCs w:val="24"/>
                <w:lang w:eastAsia="en-US"/>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center"/>
            <w:hideMark/>
          </w:tcPr>
          <w:p w14:paraId="104523FD" w14:textId="77777777" w:rsidR="000F6CBD" w:rsidRPr="00AA65DB" w:rsidRDefault="000F6CBD" w:rsidP="00FF0C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AA65DB">
              <w:rPr>
                <w:sz w:val="24"/>
                <w:szCs w:val="24"/>
                <w:lang w:eastAsia="en-US"/>
              </w:rPr>
              <w:t>Total Burden Hours</w:t>
            </w:r>
          </w:p>
        </w:tc>
      </w:tr>
      <w:tr w:rsidR="008410BB" w:rsidRPr="00AA65DB" w14:paraId="2F1FC40C" w14:textId="77777777" w:rsidTr="00A4238A">
        <w:trPr>
          <w:trHeight w:val="832"/>
        </w:trPr>
        <w:tc>
          <w:tcPr>
            <w:tcW w:w="1845" w:type="dxa"/>
            <w:vMerge w:val="restart"/>
            <w:tcBorders>
              <w:top w:val="single" w:sz="2" w:space="0" w:color="auto"/>
              <w:left w:val="single" w:sz="2" w:space="0" w:color="auto"/>
              <w:right w:val="single" w:sz="2" w:space="0" w:color="auto"/>
            </w:tcBorders>
            <w:vAlign w:val="center"/>
          </w:tcPr>
          <w:p w14:paraId="5E9A8FE3" w14:textId="77777777" w:rsidR="008410BB" w:rsidRPr="00C40614" w:rsidRDefault="008410BB" w:rsidP="008410BB">
            <w:pPr>
              <w:jc w:val="center"/>
              <w:rPr>
                <w:rFonts w:eastAsia="MS Mincho"/>
                <w:sz w:val="24"/>
                <w:szCs w:val="24"/>
              </w:rPr>
            </w:pPr>
            <w:r w:rsidRPr="00C40614">
              <w:rPr>
                <w:rFonts w:eastAsia="MS Mincho"/>
                <w:sz w:val="24"/>
                <w:szCs w:val="24"/>
              </w:rPr>
              <w:t>Part</w:t>
            </w:r>
            <w:r>
              <w:rPr>
                <w:rFonts w:eastAsia="MS Mincho"/>
                <w:sz w:val="24"/>
                <w:szCs w:val="24"/>
              </w:rPr>
              <w:t>s</w:t>
            </w:r>
            <w:r w:rsidRPr="00C40614">
              <w:rPr>
                <w:rFonts w:eastAsia="MS Mincho"/>
                <w:sz w:val="24"/>
                <w:szCs w:val="24"/>
              </w:rPr>
              <w:t xml:space="preserve"> A</w:t>
            </w:r>
            <w:r>
              <w:rPr>
                <w:rFonts w:eastAsia="MS Mincho"/>
                <w:sz w:val="24"/>
                <w:szCs w:val="24"/>
              </w:rPr>
              <w:t>, B, C Grant recipients</w:t>
            </w:r>
          </w:p>
          <w:p w14:paraId="3E2EB916"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p>
        </w:tc>
        <w:tc>
          <w:tcPr>
            <w:tcW w:w="2070" w:type="dxa"/>
            <w:tcBorders>
              <w:top w:val="single" w:sz="2" w:space="0" w:color="auto"/>
              <w:left w:val="single" w:sz="2" w:space="0" w:color="auto"/>
              <w:bottom w:val="single" w:sz="2" w:space="0" w:color="auto"/>
              <w:right w:val="single" w:sz="2" w:space="0" w:color="auto"/>
            </w:tcBorders>
            <w:vAlign w:val="center"/>
            <w:hideMark/>
          </w:tcPr>
          <w:p w14:paraId="6C260011" w14:textId="04C2BF3A"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r w:rsidRPr="00AA65DB">
              <w:rPr>
                <w:rFonts w:eastAsia="Calibri" w:cs="Calibri"/>
                <w:sz w:val="24"/>
                <w:szCs w:val="22"/>
                <w:lang w:eastAsia="en-US"/>
              </w:rPr>
              <w:t>Grantee Report</w:t>
            </w:r>
          </w:p>
        </w:tc>
        <w:tc>
          <w:tcPr>
            <w:tcW w:w="1440" w:type="dxa"/>
            <w:tcBorders>
              <w:top w:val="single" w:sz="2" w:space="0" w:color="auto"/>
              <w:left w:val="single" w:sz="2" w:space="0" w:color="auto"/>
              <w:bottom w:val="single" w:sz="2" w:space="0" w:color="auto"/>
              <w:right w:val="single" w:sz="2" w:space="0" w:color="auto"/>
            </w:tcBorders>
            <w:vAlign w:val="center"/>
          </w:tcPr>
          <w:p w14:paraId="08DD8AE2" w14:textId="58A10276"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595</w:t>
            </w:r>
          </w:p>
        </w:tc>
        <w:tc>
          <w:tcPr>
            <w:tcW w:w="1620" w:type="dxa"/>
            <w:tcBorders>
              <w:top w:val="single" w:sz="2" w:space="0" w:color="auto"/>
              <w:left w:val="single" w:sz="2" w:space="0" w:color="auto"/>
              <w:bottom w:val="single" w:sz="2" w:space="0" w:color="auto"/>
              <w:right w:val="single" w:sz="2" w:space="0" w:color="auto"/>
            </w:tcBorders>
            <w:vAlign w:val="center"/>
            <w:hideMark/>
          </w:tcPr>
          <w:p w14:paraId="3625B993"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sidRPr="00AA65DB">
              <w:rPr>
                <w:rFonts w:eastAsia="Calibri" w:cs="Calibri"/>
                <w:sz w:val="24"/>
                <w:szCs w:val="22"/>
                <w:lang w:val="fr-FR" w:eastAsia="en-US"/>
              </w:rPr>
              <w:t>1</w:t>
            </w:r>
          </w:p>
        </w:tc>
        <w:tc>
          <w:tcPr>
            <w:tcW w:w="1395" w:type="dxa"/>
            <w:tcBorders>
              <w:top w:val="single" w:sz="2" w:space="0" w:color="auto"/>
              <w:left w:val="single" w:sz="2" w:space="0" w:color="auto"/>
              <w:bottom w:val="single" w:sz="2" w:space="0" w:color="auto"/>
              <w:right w:val="single" w:sz="2" w:space="0" w:color="auto"/>
            </w:tcBorders>
            <w:vAlign w:val="center"/>
          </w:tcPr>
          <w:p w14:paraId="19F6589F" w14:textId="33582D75" w:rsidR="008410BB" w:rsidRPr="008410B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val="fr-FR" w:eastAsia="en-US"/>
              </w:rPr>
            </w:pPr>
            <w:r w:rsidRPr="00A4238A">
              <w:rPr>
                <w:sz w:val="24"/>
                <w:szCs w:val="24"/>
              </w:rPr>
              <w:t>595</w:t>
            </w:r>
          </w:p>
        </w:tc>
        <w:tc>
          <w:tcPr>
            <w:tcW w:w="1260" w:type="dxa"/>
            <w:tcBorders>
              <w:top w:val="single" w:sz="2" w:space="0" w:color="auto"/>
              <w:left w:val="single" w:sz="2" w:space="0" w:color="auto"/>
              <w:bottom w:val="single" w:sz="2" w:space="0" w:color="auto"/>
              <w:right w:val="single" w:sz="2" w:space="0" w:color="auto"/>
            </w:tcBorders>
            <w:vAlign w:val="center"/>
          </w:tcPr>
          <w:p w14:paraId="046FE755" w14:textId="33E84208"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7</w:t>
            </w:r>
          </w:p>
        </w:tc>
        <w:tc>
          <w:tcPr>
            <w:tcW w:w="1260" w:type="dxa"/>
            <w:tcBorders>
              <w:top w:val="single" w:sz="2" w:space="0" w:color="auto"/>
              <w:left w:val="single" w:sz="2" w:space="0" w:color="auto"/>
              <w:bottom w:val="single" w:sz="2" w:space="0" w:color="auto"/>
              <w:right w:val="single" w:sz="2" w:space="0" w:color="auto"/>
            </w:tcBorders>
            <w:vAlign w:val="center"/>
          </w:tcPr>
          <w:p w14:paraId="540A6DB6" w14:textId="703A0C96"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4,165</w:t>
            </w:r>
          </w:p>
        </w:tc>
      </w:tr>
      <w:tr w:rsidR="008410BB" w:rsidRPr="00AA65DB" w14:paraId="24CEC4A5" w14:textId="77777777" w:rsidTr="00A4238A">
        <w:trPr>
          <w:trHeight w:val="913"/>
        </w:trPr>
        <w:tc>
          <w:tcPr>
            <w:tcW w:w="1845" w:type="dxa"/>
            <w:vMerge/>
            <w:tcBorders>
              <w:left w:val="single" w:sz="2" w:space="0" w:color="auto"/>
              <w:right w:val="single" w:sz="2" w:space="0" w:color="auto"/>
            </w:tcBorders>
            <w:vAlign w:val="center"/>
          </w:tcPr>
          <w:p w14:paraId="2C3FC0E6"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p>
        </w:tc>
        <w:tc>
          <w:tcPr>
            <w:tcW w:w="2070" w:type="dxa"/>
            <w:tcBorders>
              <w:top w:val="single" w:sz="2" w:space="0" w:color="auto"/>
              <w:left w:val="single" w:sz="2" w:space="0" w:color="auto"/>
              <w:bottom w:val="single" w:sz="2" w:space="0" w:color="auto"/>
              <w:right w:val="single" w:sz="2" w:space="0" w:color="auto"/>
            </w:tcBorders>
            <w:vAlign w:val="center"/>
            <w:hideMark/>
          </w:tcPr>
          <w:p w14:paraId="70B0CD88" w14:textId="0C17EB4A"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r>
              <w:rPr>
                <w:rFonts w:eastAsia="Calibri" w:cs="Calibri"/>
                <w:sz w:val="24"/>
                <w:szCs w:val="22"/>
                <w:lang w:eastAsia="en-US"/>
              </w:rPr>
              <w:t xml:space="preserve">Service </w:t>
            </w:r>
            <w:r w:rsidRPr="00AA65DB">
              <w:rPr>
                <w:rFonts w:eastAsia="Calibri" w:cs="Calibri"/>
                <w:sz w:val="24"/>
                <w:szCs w:val="22"/>
                <w:lang w:eastAsia="en-US"/>
              </w:rPr>
              <w:t>Provider Report</w:t>
            </w:r>
          </w:p>
        </w:tc>
        <w:tc>
          <w:tcPr>
            <w:tcW w:w="1440" w:type="dxa"/>
            <w:tcBorders>
              <w:top w:val="single" w:sz="2" w:space="0" w:color="auto"/>
              <w:left w:val="single" w:sz="2" w:space="0" w:color="auto"/>
              <w:bottom w:val="single" w:sz="2" w:space="0" w:color="auto"/>
              <w:right w:val="single" w:sz="2" w:space="0" w:color="auto"/>
            </w:tcBorders>
            <w:vAlign w:val="center"/>
          </w:tcPr>
          <w:p w14:paraId="49C9DE0E" w14:textId="7E01D4F8"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1,793</w:t>
            </w:r>
          </w:p>
        </w:tc>
        <w:tc>
          <w:tcPr>
            <w:tcW w:w="1620" w:type="dxa"/>
            <w:tcBorders>
              <w:top w:val="single" w:sz="2" w:space="0" w:color="auto"/>
              <w:left w:val="single" w:sz="2" w:space="0" w:color="auto"/>
              <w:bottom w:val="single" w:sz="2" w:space="0" w:color="auto"/>
              <w:right w:val="single" w:sz="2" w:space="0" w:color="auto"/>
            </w:tcBorders>
            <w:vAlign w:val="center"/>
            <w:hideMark/>
          </w:tcPr>
          <w:p w14:paraId="60589E78"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sidRPr="00AA65DB">
              <w:rPr>
                <w:rFonts w:eastAsia="Calibri" w:cs="Calibri"/>
                <w:sz w:val="24"/>
                <w:szCs w:val="22"/>
                <w:lang w:val="fr-FR" w:eastAsia="en-US"/>
              </w:rPr>
              <w:t>1</w:t>
            </w:r>
          </w:p>
        </w:tc>
        <w:tc>
          <w:tcPr>
            <w:tcW w:w="1395" w:type="dxa"/>
            <w:tcBorders>
              <w:top w:val="single" w:sz="2" w:space="0" w:color="auto"/>
              <w:left w:val="single" w:sz="2" w:space="0" w:color="auto"/>
              <w:bottom w:val="single" w:sz="2" w:space="0" w:color="auto"/>
              <w:right w:val="single" w:sz="2" w:space="0" w:color="auto"/>
            </w:tcBorders>
            <w:vAlign w:val="center"/>
          </w:tcPr>
          <w:p w14:paraId="4E57A6DB" w14:textId="58D4B14D" w:rsidR="008410BB" w:rsidRPr="008410B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val="fr-FR" w:eastAsia="en-US"/>
              </w:rPr>
            </w:pPr>
            <w:r w:rsidRPr="00A4238A">
              <w:rPr>
                <w:sz w:val="24"/>
                <w:szCs w:val="24"/>
              </w:rPr>
              <w:t>1,793</w:t>
            </w:r>
          </w:p>
        </w:tc>
        <w:tc>
          <w:tcPr>
            <w:tcW w:w="1260" w:type="dxa"/>
            <w:tcBorders>
              <w:top w:val="single" w:sz="2" w:space="0" w:color="auto"/>
              <w:left w:val="single" w:sz="2" w:space="0" w:color="auto"/>
              <w:bottom w:val="single" w:sz="2" w:space="0" w:color="auto"/>
              <w:right w:val="single" w:sz="2" w:space="0" w:color="auto"/>
            </w:tcBorders>
            <w:vAlign w:val="center"/>
          </w:tcPr>
          <w:p w14:paraId="7E7933DD" w14:textId="27541F50"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17</w:t>
            </w:r>
          </w:p>
        </w:tc>
        <w:tc>
          <w:tcPr>
            <w:tcW w:w="1260" w:type="dxa"/>
            <w:tcBorders>
              <w:top w:val="single" w:sz="2" w:space="0" w:color="auto"/>
              <w:left w:val="single" w:sz="2" w:space="0" w:color="auto"/>
              <w:bottom w:val="single" w:sz="2" w:space="0" w:color="auto"/>
              <w:right w:val="single" w:sz="2" w:space="0" w:color="auto"/>
            </w:tcBorders>
            <w:vAlign w:val="center"/>
          </w:tcPr>
          <w:p w14:paraId="0AC78F3D" w14:textId="61420538"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30,481</w:t>
            </w:r>
          </w:p>
        </w:tc>
      </w:tr>
      <w:tr w:rsidR="008410BB" w:rsidRPr="00AA65DB" w14:paraId="27090FEE" w14:textId="77777777" w:rsidTr="00A4238A">
        <w:trPr>
          <w:trHeight w:val="895"/>
        </w:trPr>
        <w:tc>
          <w:tcPr>
            <w:tcW w:w="1845" w:type="dxa"/>
            <w:vMerge/>
            <w:tcBorders>
              <w:left w:val="single" w:sz="2" w:space="0" w:color="auto"/>
              <w:bottom w:val="single" w:sz="2" w:space="0" w:color="auto"/>
              <w:right w:val="single" w:sz="2" w:space="0" w:color="auto"/>
            </w:tcBorders>
            <w:vAlign w:val="center"/>
          </w:tcPr>
          <w:p w14:paraId="0F0C2DC8"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p>
        </w:tc>
        <w:tc>
          <w:tcPr>
            <w:tcW w:w="2070" w:type="dxa"/>
            <w:tcBorders>
              <w:top w:val="single" w:sz="2" w:space="0" w:color="auto"/>
              <w:left w:val="single" w:sz="2" w:space="0" w:color="auto"/>
              <w:bottom w:val="single" w:sz="2" w:space="0" w:color="auto"/>
              <w:right w:val="single" w:sz="2" w:space="0" w:color="auto"/>
            </w:tcBorders>
            <w:vAlign w:val="center"/>
            <w:hideMark/>
          </w:tcPr>
          <w:p w14:paraId="2B5AAB3C" w14:textId="24D80A34"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r w:rsidRPr="00AA65DB">
              <w:rPr>
                <w:rFonts w:eastAsia="Calibri" w:cs="Calibri"/>
                <w:sz w:val="24"/>
                <w:szCs w:val="22"/>
                <w:lang w:eastAsia="en-US"/>
              </w:rPr>
              <w:t>Client Report</w:t>
            </w:r>
          </w:p>
        </w:tc>
        <w:tc>
          <w:tcPr>
            <w:tcW w:w="1440" w:type="dxa"/>
            <w:tcBorders>
              <w:top w:val="single" w:sz="2" w:space="0" w:color="auto"/>
              <w:left w:val="single" w:sz="2" w:space="0" w:color="auto"/>
              <w:bottom w:val="single" w:sz="2" w:space="0" w:color="auto"/>
              <w:right w:val="single" w:sz="2" w:space="0" w:color="auto"/>
            </w:tcBorders>
            <w:vAlign w:val="center"/>
          </w:tcPr>
          <w:p w14:paraId="5067E69A" w14:textId="3CCF2849"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1,312</w:t>
            </w:r>
          </w:p>
        </w:tc>
        <w:tc>
          <w:tcPr>
            <w:tcW w:w="1620" w:type="dxa"/>
            <w:tcBorders>
              <w:top w:val="single" w:sz="2" w:space="0" w:color="auto"/>
              <w:left w:val="single" w:sz="2" w:space="0" w:color="auto"/>
              <w:bottom w:val="single" w:sz="2" w:space="0" w:color="auto"/>
              <w:right w:val="single" w:sz="2" w:space="0" w:color="auto"/>
            </w:tcBorders>
            <w:vAlign w:val="center"/>
            <w:hideMark/>
          </w:tcPr>
          <w:p w14:paraId="3D067890"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sidRPr="00AA65DB">
              <w:rPr>
                <w:rFonts w:eastAsia="Calibri" w:cs="Calibri"/>
                <w:sz w:val="24"/>
                <w:szCs w:val="22"/>
                <w:lang w:val="fr-FR" w:eastAsia="en-US"/>
              </w:rPr>
              <w:t>1</w:t>
            </w:r>
          </w:p>
        </w:tc>
        <w:tc>
          <w:tcPr>
            <w:tcW w:w="1395" w:type="dxa"/>
            <w:tcBorders>
              <w:top w:val="single" w:sz="2" w:space="0" w:color="auto"/>
              <w:left w:val="single" w:sz="2" w:space="0" w:color="auto"/>
              <w:bottom w:val="single" w:sz="2" w:space="0" w:color="auto"/>
              <w:right w:val="single" w:sz="2" w:space="0" w:color="auto"/>
            </w:tcBorders>
            <w:vAlign w:val="center"/>
          </w:tcPr>
          <w:p w14:paraId="54C7EBFA" w14:textId="72A2C1F8" w:rsidR="008410BB" w:rsidRPr="008410B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val="fr-FR" w:eastAsia="en-US"/>
              </w:rPr>
            </w:pPr>
            <w:r w:rsidRPr="00A4238A">
              <w:rPr>
                <w:sz w:val="24"/>
                <w:szCs w:val="24"/>
              </w:rPr>
              <w:t>1,312</w:t>
            </w:r>
          </w:p>
        </w:tc>
        <w:tc>
          <w:tcPr>
            <w:tcW w:w="1260" w:type="dxa"/>
            <w:tcBorders>
              <w:top w:val="single" w:sz="2" w:space="0" w:color="auto"/>
              <w:left w:val="single" w:sz="2" w:space="0" w:color="auto"/>
              <w:bottom w:val="single" w:sz="2" w:space="0" w:color="auto"/>
              <w:right w:val="single" w:sz="2" w:space="0" w:color="auto"/>
            </w:tcBorders>
            <w:vAlign w:val="center"/>
            <w:hideMark/>
          </w:tcPr>
          <w:p w14:paraId="4B725964" w14:textId="13A8FB93"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sidRPr="00AA65DB">
              <w:rPr>
                <w:rFonts w:eastAsia="Calibri" w:cs="Calibri"/>
                <w:sz w:val="24"/>
                <w:szCs w:val="22"/>
                <w:lang w:val="fr-FR" w:eastAsia="en-US"/>
              </w:rPr>
              <w:t>67</w:t>
            </w:r>
          </w:p>
        </w:tc>
        <w:tc>
          <w:tcPr>
            <w:tcW w:w="1260" w:type="dxa"/>
            <w:tcBorders>
              <w:top w:val="single" w:sz="2" w:space="0" w:color="auto"/>
              <w:left w:val="single" w:sz="2" w:space="0" w:color="auto"/>
              <w:bottom w:val="single" w:sz="2" w:space="0" w:color="auto"/>
              <w:right w:val="single" w:sz="2" w:space="0" w:color="auto"/>
            </w:tcBorders>
            <w:vAlign w:val="center"/>
            <w:hideMark/>
          </w:tcPr>
          <w:p w14:paraId="7CDC35CE" w14:textId="7249446B"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87,904</w:t>
            </w:r>
          </w:p>
        </w:tc>
      </w:tr>
      <w:tr w:rsidR="008410BB" w:rsidRPr="00AA65DB" w14:paraId="7368A9C2" w14:textId="77777777" w:rsidTr="00A4238A">
        <w:trPr>
          <w:trHeight w:val="607"/>
        </w:trPr>
        <w:tc>
          <w:tcPr>
            <w:tcW w:w="1845" w:type="dxa"/>
            <w:tcBorders>
              <w:top w:val="single" w:sz="2" w:space="0" w:color="auto"/>
              <w:left w:val="single" w:sz="2" w:space="0" w:color="auto"/>
              <w:bottom w:val="single" w:sz="2" w:space="0" w:color="auto"/>
              <w:right w:val="single" w:sz="2" w:space="0" w:color="auto"/>
            </w:tcBorders>
            <w:vAlign w:val="center"/>
          </w:tcPr>
          <w:p w14:paraId="319D671C"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p>
        </w:tc>
        <w:tc>
          <w:tcPr>
            <w:tcW w:w="2070" w:type="dxa"/>
            <w:tcBorders>
              <w:top w:val="single" w:sz="2" w:space="0" w:color="auto"/>
              <w:left w:val="single" w:sz="2" w:space="0" w:color="auto"/>
              <w:bottom w:val="single" w:sz="2" w:space="0" w:color="auto"/>
              <w:right w:val="single" w:sz="2" w:space="0" w:color="auto"/>
            </w:tcBorders>
            <w:vAlign w:val="center"/>
            <w:hideMark/>
          </w:tcPr>
          <w:p w14:paraId="21B4ED1D" w14:textId="614510AB"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sidRPr="00AA65DB">
              <w:rPr>
                <w:rFonts w:eastAsia="Calibri" w:cs="Calibri"/>
                <w:sz w:val="24"/>
                <w:szCs w:val="22"/>
                <w:lang w:val="fr-FR" w:eastAsia="en-US"/>
              </w:rPr>
              <w:t>Total</w:t>
            </w:r>
          </w:p>
        </w:tc>
        <w:tc>
          <w:tcPr>
            <w:tcW w:w="1440" w:type="dxa"/>
            <w:tcBorders>
              <w:top w:val="single" w:sz="2" w:space="0" w:color="auto"/>
              <w:left w:val="single" w:sz="2" w:space="0" w:color="auto"/>
              <w:bottom w:val="single" w:sz="2" w:space="0" w:color="auto"/>
              <w:right w:val="single" w:sz="2" w:space="0" w:color="auto"/>
            </w:tcBorders>
            <w:vAlign w:val="center"/>
          </w:tcPr>
          <w:p w14:paraId="34F9283C" w14:textId="7FD2BD25"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r>
              <w:rPr>
                <w:rFonts w:eastAsia="Calibri" w:cs="Calibri"/>
                <w:sz w:val="24"/>
                <w:szCs w:val="22"/>
                <w:lang w:val="fr-FR" w:eastAsia="en-US"/>
              </w:rPr>
              <w:t>3,700</w:t>
            </w:r>
          </w:p>
        </w:tc>
        <w:tc>
          <w:tcPr>
            <w:tcW w:w="1620" w:type="dxa"/>
            <w:tcBorders>
              <w:top w:val="single" w:sz="2" w:space="0" w:color="auto"/>
              <w:left w:val="single" w:sz="2" w:space="0" w:color="auto"/>
              <w:bottom w:val="single" w:sz="2" w:space="0" w:color="auto"/>
              <w:right w:val="single" w:sz="2" w:space="0" w:color="auto"/>
            </w:tcBorders>
            <w:vAlign w:val="center"/>
          </w:tcPr>
          <w:p w14:paraId="55895033" w14:textId="77777777"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p>
        </w:tc>
        <w:tc>
          <w:tcPr>
            <w:tcW w:w="1395" w:type="dxa"/>
            <w:tcBorders>
              <w:top w:val="single" w:sz="2" w:space="0" w:color="auto"/>
              <w:left w:val="single" w:sz="2" w:space="0" w:color="auto"/>
              <w:bottom w:val="single" w:sz="2" w:space="0" w:color="auto"/>
              <w:right w:val="single" w:sz="2" w:space="0" w:color="auto"/>
            </w:tcBorders>
            <w:vAlign w:val="center"/>
          </w:tcPr>
          <w:p w14:paraId="7208E078" w14:textId="68F82F9E" w:rsidR="008410BB" w:rsidRPr="008410B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val="fr-FR" w:eastAsia="en-US"/>
              </w:rPr>
            </w:pPr>
            <w:r w:rsidRPr="00A4238A">
              <w:rPr>
                <w:sz w:val="24"/>
                <w:szCs w:val="24"/>
              </w:rPr>
              <w:t>3,700</w:t>
            </w:r>
          </w:p>
        </w:tc>
        <w:tc>
          <w:tcPr>
            <w:tcW w:w="1260" w:type="dxa"/>
            <w:tcBorders>
              <w:top w:val="single" w:sz="2" w:space="0" w:color="auto"/>
              <w:left w:val="single" w:sz="2" w:space="0" w:color="auto"/>
              <w:bottom w:val="single" w:sz="2" w:space="0" w:color="auto"/>
              <w:right w:val="single" w:sz="2" w:space="0" w:color="auto"/>
            </w:tcBorders>
            <w:vAlign w:val="center"/>
          </w:tcPr>
          <w:p w14:paraId="373FC561" w14:textId="14B4AACB"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p>
        </w:tc>
        <w:tc>
          <w:tcPr>
            <w:tcW w:w="1260" w:type="dxa"/>
            <w:tcBorders>
              <w:top w:val="single" w:sz="2" w:space="0" w:color="auto"/>
              <w:left w:val="single" w:sz="2" w:space="0" w:color="auto"/>
              <w:bottom w:val="single" w:sz="2" w:space="0" w:color="auto"/>
              <w:right w:val="single" w:sz="2" w:space="0" w:color="auto"/>
            </w:tcBorders>
            <w:vAlign w:val="center"/>
            <w:hideMark/>
          </w:tcPr>
          <w:p w14:paraId="2483E804" w14:textId="52AF3372" w:rsidR="008410BB" w:rsidRPr="00AA65DB" w:rsidRDefault="008410BB" w:rsidP="008410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r>
              <w:rPr>
                <w:rFonts w:eastAsia="Calibri" w:cs="Calibri"/>
                <w:sz w:val="24"/>
                <w:szCs w:val="22"/>
                <w:lang w:eastAsia="en-US"/>
              </w:rPr>
              <w:t>122,550</w:t>
            </w:r>
          </w:p>
        </w:tc>
      </w:tr>
    </w:tbl>
    <w:p w14:paraId="5D06EE7D" w14:textId="77777777" w:rsidR="00AA65DB" w:rsidRPr="00793E02" w:rsidRDefault="00AA65DB" w:rsidP="00FF0C5D">
      <w:pPr>
        <w:pStyle w:val="BodyText"/>
        <w:spacing w:after="0"/>
        <w:jc w:val="center"/>
        <w:rPr>
          <w:rFonts w:eastAsia="MS Mincho"/>
          <w:b/>
          <w:sz w:val="24"/>
          <w:szCs w:val="24"/>
        </w:rPr>
      </w:pPr>
    </w:p>
    <w:p w14:paraId="2D073D3D" w14:textId="73FAFB31" w:rsidR="004B4FAE" w:rsidRDefault="004B4FAE">
      <w:pPr>
        <w:widowControl/>
        <w:jc w:val="center"/>
        <w:rPr>
          <w:b/>
          <w:smallCaps/>
          <w:sz w:val="24"/>
          <w:szCs w:val="24"/>
          <w:highlight w:val="yellow"/>
        </w:rPr>
      </w:pPr>
    </w:p>
    <w:p w14:paraId="09C515EB" w14:textId="77777777" w:rsidR="00C40614" w:rsidRDefault="00C40614" w:rsidP="00C40614">
      <w:pPr>
        <w:widowControl/>
        <w:rPr>
          <w:rFonts w:eastAsia="MS Mincho"/>
          <w:b/>
          <w:sz w:val="24"/>
          <w:szCs w:val="24"/>
          <w:highlight w:val="yellow"/>
        </w:rPr>
      </w:pPr>
    </w:p>
    <w:p w14:paraId="68E69A28" w14:textId="77777777" w:rsidR="00C40614" w:rsidRPr="00793E02" w:rsidRDefault="00C40614" w:rsidP="00C40614">
      <w:pPr>
        <w:widowControl/>
        <w:rPr>
          <w:rFonts w:eastAsia="MS Mincho"/>
          <w:sz w:val="24"/>
          <w:szCs w:val="24"/>
        </w:rPr>
      </w:pPr>
      <w:r w:rsidRPr="00793E02">
        <w:rPr>
          <w:rFonts w:eastAsia="MS Mincho"/>
          <w:b/>
          <w:sz w:val="24"/>
          <w:szCs w:val="24"/>
        </w:rPr>
        <w:t>12B</w:t>
      </w:r>
      <w:r w:rsidRPr="00793E02">
        <w:rPr>
          <w:rFonts w:eastAsia="MS Mincho"/>
          <w:sz w:val="24"/>
          <w:szCs w:val="24"/>
        </w:rPr>
        <w:t xml:space="preserve">. </w:t>
      </w:r>
      <w:r w:rsidRPr="009C0445">
        <w:rPr>
          <w:rFonts w:eastAsia="MS Mincho"/>
          <w:b/>
          <w:sz w:val="24"/>
          <w:szCs w:val="24"/>
        </w:rPr>
        <w:t>Estimated Annualized Burden Costs</w:t>
      </w:r>
    </w:p>
    <w:p w14:paraId="71B4DCCD" w14:textId="77777777" w:rsidR="004B4FAE" w:rsidRPr="005A123F" w:rsidRDefault="004B4FAE" w:rsidP="004B4FAE">
      <w:pPr>
        <w:widowControl/>
        <w:rPr>
          <w:b/>
          <w:smallCaps/>
          <w:sz w:val="24"/>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627"/>
        <w:gridCol w:w="1864"/>
        <w:gridCol w:w="1848"/>
        <w:gridCol w:w="1778"/>
      </w:tblGrid>
      <w:tr w:rsidR="007064AC" w:rsidRPr="0072532C" w14:paraId="4833A185" w14:textId="77777777" w:rsidTr="00470743">
        <w:tc>
          <w:tcPr>
            <w:tcW w:w="2418" w:type="dxa"/>
            <w:vAlign w:val="center"/>
          </w:tcPr>
          <w:p w14:paraId="4287905F" w14:textId="77777777" w:rsidR="007064AC" w:rsidRPr="009C0445" w:rsidRDefault="007064AC" w:rsidP="007064AC">
            <w:pPr>
              <w:jc w:val="center"/>
              <w:rPr>
                <w:sz w:val="24"/>
              </w:rPr>
            </w:pPr>
            <w:bookmarkStart w:id="17" w:name="_Toc209407064"/>
            <w:bookmarkEnd w:id="16"/>
            <w:r w:rsidRPr="009C0445">
              <w:rPr>
                <w:sz w:val="24"/>
              </w:rPr>
              <w:t>Type of Respondent</w:t>
            </w:r>
          </w:p>
        </w:tc>
        <w:tc>
          <w:tcPr>
            <w:tcW w:w="1627" w:type="dxa"/>
            <w:vAlign w:val="center"/>
          </w:tcPr>
          <w:p w14:paraId="65BA5591" w14:textId="77777777" w:rsidR="007064AC" w:rsidRPr="009C0445" w:rsidRDefault="007064AC" w:rsidP="007064AC">
            <w:pPr>
              <w:jc w:val="center"/>
              <w:rPr>
                <w:sz w:val="24"/>
              </w:rPr>
            </w:pPr>
            <w:r w:rsidRPr="009C0445">
              <w:rPr>
                <w:sz w:val="24"/>
              </w:rPr>
              <w:t>Form Name</w:t>
            </w:r>
          </w:p>
        </w:tc>
        <w:tc>
          <w:tcPr>
            <w:tcW w:w="1864" w:type="dxa"/>
            <w:vAlign w:val="center"/>
          </w:tcPr>
          <w:p w14:paraId="38717956" w14:textId="77777777" w:rsidR="007064AC" w:rsidRPr="009C0445" w:rsidRDefault="007064AC" w:rsidP="007064AC">
            <w:pPr>
              <w:jc w:val="center"/>
              <w:rPr>
                <w:sz w:val="24"/>
              </w:rPr>
            </w:pPr>
            <w:r w:rsidRPr="009C0445">
              <w:rPr>
                <w:sz w:val="24"/>
              </w:rPr>
              <w:t>Total Burden Hours</w:t>
            </w:r>
          </w:p>
        </w:tc>
        <w:tc>
          <w:tcPr>
            <w:tcW w:w="1848" w:type="dxa"/>
            <w:vAlign w:val="center"/>
          </w:tcPr>
          <w:p w14:paraId="7448B407" w14:textId="77777777" w:rsidR="007064AC" w:rsidRPr="009C0445" w:rsidRDefault="007064AC" w:rsidP="007064AC">
            <w:pPr>
              <w:jc w:val="center"/>
              <w:rPr>
                <w:sz w:val="24"/>
              </w:rPr>
            </w:pPr>
            <w:r w:rsidRPr="009C0445">
              <w:rPr>
                <w:sz w:val="24"/>
              </w:rPr>
              <w:t>Hourly Wage Rate</w:t>
            </w:r>
          </w:p>
        </w:tc>
        <w:tc>
          <w:tcPr>
            <w:tcW w:w="1778" w:type="dxa"/>
            <w:vAlign w:val="center"/>
          </w:tcPr>
          <w:p w14:paraId="242F5DF1" w14:textId="77777777" w:rsidR="007064AC" w:rsidRPr="009C0445" w:rsidRDefault="007064AC" w:rsidP="007064AC">
            <w:pPr>
              <w:jc w:val="center"/>
              <w:rPr>
                <w:sz w:val="24"/>
              </w:rPr>
            </w:pPr>
            <w:r w:rsidRPr="009C0445">
              <w:rPr>
                <w:sz w:val="24"/>
              </w:rPr>
              <w:t>Total Respondents Costs</w:t>
            </w:r>
          </w:p>
        </w:tc>
      </w:tr>
      <w:tr w:rsidR="00691432" w:rsidRPr="0072532C" w14:paraId="2DF45CA9" w14:textId="77777777" w:rsidTr="00691432">
        <w:trPr>
          <w:trHeight w:val="1134"/>
        </w:trPr>
        <w:tc>
          <w:tcPr>
            <w:tcW w:w="2418" w:type="dxa"/>
            <w:vMerge w:val="restart"/>
            <w:vAlign w:val="center"/>
          </w:tcPr>
          <w:p w14:paraId="7FC84347" w14:textId="0A3B0EC1" w:rsidR="00691432" w:rsidRPr="00C40614" w:rsidRDefault="00691432" w:rsidP="00691432">
            <w:pPr>
              <w:jc w:val="center"/>
              <w:rPr>
                <w:rFonts w:eastAsia="MS Mincho"/>
                <w:sz w:val="24"/>
                <w:szCs w:val="24"/>
              </w:rPr>
            </w:pPr>
            <w:r w:rsidRPr="00C40614">
              <w:rPr>
                <w:rFonts w:eastAsia="MS Mincho"/>
                <w:sz w:val="24"/>
                <w:szCs w:val="24"/>
              </w:rPr>
              <w:t>Part</w:t>
            </w:r>
            <w:r>
              <w:rPr>
                <w:rFonts w:eastAsia="MS Mincho"/>
                <w:sz w:val="24"/>
                <w:szCs w:val="24"/>
              </w:rPr>
              <w:t>s</w:t>
            </w:r>
            <w:r w:rsidRPr="00C40614">
              <w:rPr>
                <w:rFonts w:eastAsia="MS Mincho"/>
                <w:sz w:val="24"/>
                <w:szCs w:val="24"/>
              </w:rPr>
              <w:t xml:space="preserve"> A</w:t>
            </w:r>
            <w:r>
              <w:rPr>
                <w:rFonts w:eastAsia="MS Mincho"/>
                <w:sz w:val="24"/>
                <w:szCs w:val="24"/>
              </w:rPr>
              <w:t>, B, C Grant recipients</w:t>
            </w:r>
          </w:p>
          <w:p w14:paraId="40CA0470" w14:textId="77777777" w:rsidR="00691432" w:rsidRPr="007064AC" w:rsidRDefault="00691432" w:rsidP="00691432">
            <w:pPr>
              <w:jc w:val="center"/>
              <w:rPr>
                <w:sz w:val="24"/>
              </w:rPr>
            </w:pPr>
          </w:p>
        </w:tc>
        <w:tc>
          <w:tcPr>
            <w:tcW w:w="1627" w:type="dxa"/>
            <w:vAlign w:val="center"/>
          </w:tcPr>
          <w:p w14:paraId="21190A17" w14:textId="77777777" w:rsidR="00691432" w:rsidRPr="007064AC" w:rsidRDefault="00691432" w:rsidP="00691432">
            <w:pPr>
              <w:jc w:val="center"/>
              <w:rPr>
                <w:sz w:val="24"/>
              </w:rPr>
            </w:pPr>
            <w:r w:rsidRPr="007064AC">
              <w:rPr>
                <w:sz w:val="24"/>
              </w:rPr>
              <w:t>Grantee Report</w:t>
            </w:r>
          </w:p>
        </w:tc>
        <w:tc>
          <w:tcPr>
            <w:tcW w:w="1864" w:type="dxa"/>
            <w:vAlign w:val="center"/>
          </w:tcPr>
          <w:p w14:paraId="58A4E02F" w14:textId="265571C2" w:rsidR="00691432" w:rsidRPr="009C0445" w:rsidRDefault="008410BB" w:rsidP="00691432">
            <w:pPr>
              <w:jc w:val="center"/>
              <w:rPr>
                <w:sz w:val="24"/>
              </w:rPr>
            </w:pPr>
            <w:r>
              <w:rPr>
                <w:rFonts w:eastAsia="Calibri" w:cs="Calibri"/>
                <w:sz w:val="24"/>
                <w:szCs w:val="22"/>
                <w:lang w:val="fr-FR" w:eastAsia="en-US"/>
              </w:rPr>
              <w:t>4,165</w:t>
            </w:r>
          </w:p>
        </w:tc>
        <w:tc>
          <w:tcPr>
            <w:tcW w:w="1848" w:type="dxa"/>
            <w:vAlign w:val="center"/>
          </w:tcPr>
          <w:p w14:paraId="48393E05" w14:textId="323F83F3" w:rsidR="00691432" w:rsidRPr="00EA16A9" w:rsidRDefault="008410BB" w:rsidP="00691432">
            <w:pPr>
              <w:jc w:val="center"/>
              <w:rPr>
                <w:sz w:val="24"/>
              </w:rPr>
            </w:pPr>
            <w:r>
              <w:rPr>
                <w:sz w:val="24"/>
              </w:rPr>
              <w:t>$</w:t>
            </w:r>
            <w:r w:rsidR="00691432">
              <w:rPr>
                <w:sz w:val="24"/>
              </w:rPr>
              <w:t>30.33</w:t>
            </w:r>
          </w:p>
        </w:tc>
        <w:tc>
          <w:tcPr>
            <w:tcW w:w="1778" w:type="dxa"/>
            <w:vAlign w:val="center"/>
          </w:tcPr>
          <w:p w14:paraId="570D2294" w14:textId="36F9F50C" w:rsidR="00691432" w:rsidRPr="00691432" w:rsidRDefault="008410BB" w:rsidP="00691432">
            <w:pPr>
              <w:jc w:val="center"/>
              <w:rPr>
                <w:sz w:val="24"/>
              </w:rPr>
            </w:pPr>
            <w:r>
              <w:rPr>
                <w:color w:val="000000"/>
                <w:sz w:val="24"/>
              </w:rPr>
              <w:t>$126,324.45</w:t>
            </w:r>
          </w:p>
        </w:tc>
      </w:tr>
      <w:tr w:rsidR="00691432" w:rsidRPr="0072532C" w14:paraId="362BF630" w14:textId="77777777" w:rsidTr="00691432">
        <w:trPr>
          <w:trHeight w:val="1134"/>
        </w:trPr>
        <w:tc>
          <w:tcPr>
            <w:tcW w:w="2418" w:type="dxa"/>
            <w:vMerge/>
          </w:tcPr>
          <w:p w14:paraId="12939185" w14:textId="77777777" w:rsidR="00691432" w:rsidRPr="007064AC" w:rsidRDefault="00691432" w:rsidP="00691432">
            <w:pPr>
              <w:rPr>
                <w:sz w:val="24"/>
              </w:rPr>
            </w:pPr>
          </w:p>
        </w:tc>
        <w:tc>
          <w:tcPr>
            <w:tcW w:w="1627" w:type="dxa"/>
            <w:vAlign w:val="center"/>
          </w:tcPr>
          <w:p w14:paraId="424251CA" w14:textId="77777777" w:rsidR="00691432" w:rsidRPr="007064AC" w:rsidRDefault="00691432" w:rsidP="00691432">
            <w:pPr>
              <w:jc w:val="center"/>
              <w:rPr>
                <w:sz w:val="24"/>
              </w:rPr>
            </w:pPr>
            <w:r w:rsidRPr="007064AC">
              <w:rPr>
                <w:sz w:val="24"/>
              </w:rPr>
              <w:t>Provider Report</w:t>
            </w:r>
          </w:p>
        </w:tc>
        <w:tc>
          <w:tcPr>
            <w:tcW w:w="1864" w:type="dxa"/>
            <w:vAlign w:val="center"/>
          </w:tcPr>
          <w:p w14:paraId="05488E40" w14:textId="2E3A9178" w:rsidR="00691432" w:rsidRPr="009C0445" w:rsidRDefault="008410BB" w:rsidP="00691432">
            <w:pPr>
              <w:jc w:val="center"/>
              <w:rPr>
                <w:sz w:val="24"/>
              </w:rPr>
            </w:pPr>
            <w:r>
              <w:rPr>
                <w:rFonts w:eastAsia="Calibri" w:cs="Calibri"/>
                <w:sz w:val="24"/>
                <w:szCs w:val="22"/>
                <w:lang w:val="fr-FR" w:eastAsia="en-US"/>
              </w:rPr>
              <w:t>30,481</w:t>
            </w:r>
          </w:p>
        </w:tc>
        <w:tc>
          <w:tcPr>
            <w:tcW w:w="1848" w:type="dxa"/>
            <w:vAlign w:val="center"/>
          </w:tcPr>
          <w:p w14:paraId="4B85D4E3" w14:textId="14832A5B" w:rsidR="00691432" w:rsidRPr="00EA16A9" w:rsidRDefault="008410BB" w:rsidP="00691432">
            <w:pPr>
              <w:jc w:val="center"/>
              <w:rPr>
                <w:sz w:val="24"/>
              </w:rPr>
            </w:pPr>
            <w:r>
              <w:rPr>
                <w:sz w:val="24"/>
              </w:rPr>
              <w:t>$</w:t>
            </w:r>
            <w:r w:rsidR="00691432">
              <w:rPr>
                <w:sz w:val="24"/>
              </w:rPr>
              <w:t>30.33</w:t>
            </w:r>
          </w:p>
        </w:tc>
        <w:tc>
          <w:tcPr>
            <w:tcW w:w="1778" w:type="dxa"/>
            <w:vAlign w:val="center"/>
          </w:tcPr>
          <w:p w14:paraId="6844E5AC" w14:textId="17EB86B5" w:rsidR="00691432" w:rsidRPr="00691432" w:rsidRDefault="008410BB" w:rsidP="00691432">
            <w:pPr>
              <w:jc w:val="center"/>
              <w:rPr>
                <w:sz w:val="24"/>
              </w:rPr>
            </w:pPr>
            <w:r>
              <w:rPr>
                <w:color w:val="000000"/>
                <w:sz w:val="24"/>
              </w:rPr>
              <w:t>$924,488.73</w:t>
            </w:r>
          </w:p>
        </w:tc>
      </w:tr>
      <w:tr w:rsidR="00691432" w:rsidRPr="0072532C" w14:paraId="002E3559" w14:textId="77777777" w:rsidTr="00691432">
        <w:trPr>
          <w:trHeight w:val="1134"/>
        </w:trPr>
        <w:tc>
          <w:tcPr>
            <w:tcW w:w="2418" w:type="dxa"/>
            <w:vMerge/>
          </w:tcPr>
          <w:p w14:paraId="4F906F32" w14:textId="77777777" w:rsidR="00691432" w:rsidRPr="007064AC" w:rsidRDefault="00691432" w:rsidP="00691432">
            <w:pPr>
              <w:rPr>
                <w:sz w:val="24"/>
              </w:rPr>
            </w:pPr>
          </w:p>
        </w:tc>
        <w:tc>
          <w:tcPr>
            <w:tcW w:w="1627" w:type="dxa"/>
            <w:vAlign w:val="center"/>
          </w:tcPr>
          <w:p w14:paraId="7306B03F" w14:textId="77777777" w:rsidR="00691432" w:rsidRPr="007064AC" w:rsidRDefault="00691432" w:rsidP="00691432">
            <w:pPr>
              <w:jc w:val="center"/>
              <w:rPr>
                <w:sz w:val="24"/>
              </w:rPr>
            </w:pPr>
            <w:r w:rsidRPr="007064AC">
              <w:rPr>
                <w:sz w:val="24"/>
              </w:rPr>
              <w:t>Client Report</w:t>
            </w:r>
          </w:p>
        </w:tc>
        <w:tc>
          <w:tcPr>
            <w:tcW w:w="1864" w:type="dxa"/>
            <w:vAlign w:val="center"/>
          </w:tcPr>
          <w:p w14:paraId="62A44DFB" w14:textId="419B86A0" w:rsidR="00691432" w:rsidRPr="009C0445" w:rsidRDefault="008410BB" w:rsidP="00691432">
            <w:pPr>
              <w:jc w:val="center"/>
              <w:rPr>
                <w:sz w:val="24"/>
              </w:rPr>
            </w:pPr>
            <w:r>
              <w:rPr>
                <w:rFonts w:eastAsia="Calibri" w:cs="Calibri"/>
                <w:sz w:val="24"/>
                <w:szCs w:val="22"/>
                <w:lang w:val="fr-FR" w:eastAsia="en-US"/>
              </w:rPr>
              <w:t>87,904</w:t>
            </w:r>
          </w:p>
        </w:tc>
        <w:tc>
          <w:tcPr>
            <w:tcW w:w="1848" w:type="dxa"/>
            <w:vAlign w:val="center"/>
          </w:tcPr>
          <w:p w14:paraId="54508201" w14:textId="02920B6A" w:rsidR="00691432" w:rsidRPr="00EA16A9" w:rsidRDefault="008410BB" w:rsidP="00691432">
            <w:pPr>
              <w:jc w:val="center"/>
              <w:rPr>
                <w:sz w:val="24"/>
              </w:rPr>
            </w:pPr>
            <w:r>
              <w:rPr>
                <w:sz w:val="24"/>
              </w:rPr>
              <w:t>$</w:t>
            </w:r>
            <w:r w:rsidR="00691432">
              <w:rPr>
                <w:sz w:val="24"/>
              </w:rPr>
              <w:t>30.33</w:t>
            </w:r>
          </w:p>
        </w:tc>
        <w:tc>
          <w:tcPr>
            <w:tcW w:w="1778" w:type="dxa"/>
            <w:vAlign w:val="center"/>
          </w:tcPr>
          <w:p w14:paraId="2F9848D1" w14:textId="06887CCC" w:rsidR="00691432" w:rsidRPr="00691432" w:rsidRDefault="008410BB" w:rsidP="00691432">
            <w:pPr>
              <w:jc w:val="center"/>
              <w:rPr>
                <w:sz w:val="24"/>
              </w:rPr>
            </w:pPr>
            <w:r>
              <w:rPr>
                <w:color w:val="000000"/>
                <w:sz w:val="24"/>
              </w:rPr>
              <w:t>$2,666,128.30</w:t>
            </w:r>
          </w:p>
        </w:tc>
      </w:tr>
      <w:tr w:rsidR="00691432" w:rsidRPr="0072532C" w14:paraId="0CEF21D2" w14:textId="77777777" w:rsidTr="00C7029E">
        <w:trPr>
          <w:trHeight w:val="458"/>
        </w:trPr>
        <w:tc>
          <w:tcPr>
            <w:tcW w:w="2418" w:type="dxa"/>
            <w:vAlign w:val="center"/>
          </w:tcPr>
          <w:p w14:paraId="07C14C63" w14:textId="295DCCC6" w:rsidR="00691432" w:rsidRPr="00C7029E" w:rsidRDefault="00691432" w:rsidP="00C7029E">
            <w:pPr>
              <w:jc w:val="center"/>
              <w:rPr>
                <w:sz w:val="24"/>
              </w:rPr>
            </w:pPr>
          </w:p>
        </w:tc>
        <w:tc>
          <w:tcPr>
            <w:tcW w:w="1627" w:type="dxa"/>
            <w:vAlign w:val="center"/>
          </w:tcPr>
          <w:p w14:paraId="1D9C1629" w14:textId="0E85994E" w:rsidR="00691432" w:rsidRPr="0072532C" w:rsidRDefault="00C7029E" w:rsidP="00C7029E">
            <w:pPr>
              <w:jc w:val="center"/>
              <w:rPr>
                <w:b/>
                <w:sz w:val="24"/>
              </w:rPr>
            </w:pPr>
            <w:r w:rsidRPr="00C7029E">
              <w:rPr>
                <w:sz w:val="24"/>
              </w:rPr>
              <w:t>Total</w:t>
            </w:r>
          </w:p>
        </w:tc>
        <w:tc>
          <w:tcPr>
            <w:tcW w:w="1864" w:type="dxa"/>
            <w:vAlign w:val="center"/>
          </w:tcPr>
          <w:p w14:paraId="080ADA7C" w14:textId="3D285B54" w:rsidR="00691432" w:rsidRPr="009C0445" w:rsidRDefault="008410BB" w:rsidP="00691432">
            <w:pPr>
              <w:jc w:val="center"/>
              <w:rPr>
                <w:sz w:val="24"/>
              </w:rPr>
            </w:pPr>
            <w:r>
              <w:rPr>
                <w:rFonts w:eastAsia="Calibri" w:cs="Calibri"/>
                <w:sz w:val="24"/>
                <w:szCs w:val="22"/>
                <w:lang w:eastAsia="en-US"/>
              </w:rPr>
              <w:t>122,550</w:t>
            </w:r>
          </w:p>
        </w:tc>
        <w:tc>
          <w:tcPr>
            <w:tcW w:w="1848" w:type="dxa"/>
            <w:vAlign w:val="center"/>
          </w:tcPr>
          <w:p w14:paraId="236C8919" w14:textId="77777777" w:rsidR="00691432" w:rsidRPr="00EA16A9" w:rsidRDefault="00691432" w:rsidP="00691432">
            <w:pPr>
              <w:jc w:val="center"/>
              <w:rPr>
                <w:sz w:val="24"/>
              </w:rPr>
            </w:pPr>
          </w:p>
        </w:tc>
        <w:tc>
          <w:tcPr>
            <w:tcW w:w="1778" w:type="dxa"/>
            <w:vAlign w:val="center"/>
          </w:tcPr>
          <w:p w14:paraId="15D44F33" w14:textId="5044685A" w:rsidR="00691432" w:rsidRPr="00691432" w:rsidRDefault="008410BB" w:rsidP="00691432">
            <w:pPr>
              <w:jc w:val="center"/>
              <w:rPr>
                <w:sz w:val="24"/>
              </w:rPr>
            </w:pPr>
            <w:r>
              <w:rPr>
                <w:color w:val="000000"/>
                <w:sz w:val="24"/>
              </w:rPr>
              <w:t>$3,716,941.40</w:t>
            </w:r>
          </w:p>
        </w:tc>
      </w:tr>
    </w:tbl>
    <w:p w14:paraId="4CF13FA8" w14:textId="77777777" w:rsidR="00495746" w:rsidRDefault="00495746" w:rsidP="008647FE">
      <w:pPr>
        <w:rPr>
          <w:b/>
          <w:sz w:val="24"/>
          <w:u w:val="single"/>
        </w:rPr>
      </w:pPr>
    </w:p>
    <w:p w14:paraId="5E23E15D" w14:textId="45EB863E" w:rsidR="00D17563" w:rsidRDefault="00533918" w:rsidP="00D17563">
      <w:pPr>
        <w:tabs>
          <w:tab w:val="left" w:pos="360"/>
        </w:tabs>
        <w:autoSpaceDE w:val="0"/>
        <w:autoSpaceDN w:val="0"/>
        <w:adjustRightInd w:val="0"/>
        <w:spacing w:before="240"/>
        <w:rPr>
          <w:b/>
          <w:sz w:val="24"/>
        </w:rPr>
      </w:pPr>
      <w:r w:rsidRPr="00D17563">
        <w:rPr>
          <w:b/>
          <w:sz w:val="24"/>
        </w:rPr>
        <w:t>13.</w:t>
      </w:r>
      <w:bookmarkEnd w:id="17"/>
      <w:r w:rsidR="00D17563" w:rsidRPr="00D17563">
        <w:rPr>
          <w:b/>
          <w:sz w:val="24"/>
        </w:rPr>
        <w:tab/>
      </w:r>
      <w:r w:rsidR="00D17563">
        <w:rPr>
          <w:b/>
          <w:sz w:val="24"/>
          <w:u w:val="single"/>
        </w:rPr>
        <w:t>Estimates of other Total Annual Cost Burden to Respondents or Recordkeepers/Capital Costs</w:t>
      </w:r>
    </w:p>
    <w:p w14:paraId="2189A054" w14:textId="77777777" w:rsidR="00533918" w:rsidRDefault="00533918" w:rsidP="008647FE">
      <w:pPr>
        <w:rPr>
          <w:b/>
          <w:sz w:val="24"/>
          <w:szCs w:val="24"/>
          <w:u w:val="single"/>
        </w:rPr>
      </w:pPr>
    </w:p>
    <w:p w14:paraId="37D86D70" w14:textId="16B1C673" w:rsidR="00533918" w:rsidRDefault="00F504C9">
      <w:pPr>
        <w:widowControl/>
        <w:rPr>
          <w:rStyle w:val="BodyTextFi"/>
          <w:sz w:val="24"/>
        </w:rPr>
      </w:pPr>
      <w:r>
        <w:rPr>
          <w:rStyle w:val="BodyTextFi"/>
          <w:sz w:val="24"/>
        </w:rPr>
        <w:t>Grant recipients</w:t>
      </w:r>
      <w:r w:rsidR="00533918">
        <w:rPr>
          <w:rStyle w:val="BodyTextFi"/>
          <w:sz w:val="24"/>
        </w:rPr>
        <w:t xml:space="preserve"> are responsible for maintaining their own data system or using the </w:t>
      </w:r>
      <w:r w:rsidR="0016317F">
        <w:rPr>
          <w:rStyle w:val="BodyTextFi"/>
          <w:sz w:val="24"/>
        </w:rPr>
        <w:t>RSR</w:t>
      </w:r>
      <w:r w:rsidR="00533918">
        <w:rPr>
          <w:rStyle w:val="BodyTextFi"/>
          <w:sz w:val="24"/>
        </w:rPr>
        <w:t xml:space="preserve"> module of CAREWare, the system provided without cost by HRSA to collect </w:t>
      </w:r>
      <w:r w:rsidR="0016317F">
        <w:rPr>
          <w:rStyle w:val="BodyTextFi"/>
          <w:sz w:val="24"/>
        </w:rPr>
        <w:t>RSR</w:t>
      </w:r>
      <w:r w:rsidR="00533918">
        <w:rPr>
          <w:rStyle w:val="BodyTextFi"/>
          <w:sz w:val="24"/>
        </w:rPr>
        <w:t xml:space="preserve"> data. There are no direct costs to respondents other than their time in participating in the data collection and quality assurance.</w:t>
      </w:r>
    </w:p>
    <w:p w14:paraId="04EB4100" w14:textId="77777777" w:rsidR="00FE24BC" w:rsidRDefault="00FE24BC">
      <w:pPr>
        <w:widowControl/>
        <w:rPr>
          <w:rStyle w:val="BodyTextFi"/>
          <w:sz w:val="24"/>
        </w:rPr>
      </w:pPr>
    </w:p>
    <w:p w14:paraId="5C4626E3" w14:textId="77777777" w:rsidR="00533918" w:rsidRDefault="00D17563" w:rsidP="00D17563">
      <w:pPr>
        <w:pStyle w:val="ColorfulList-Accent11"/>
        <w:widowControl/>
        <w:tabs>
          <w:tab w:val="left" w:pos="360"/>
        </w:tabs>
        <w:ind w:left="0"/>
        <w:outlineLvl w:val="1"/>
        <w:rPr>
          <w:b/>
          <w:sz w:val="24"/>
          <w:szCs w:val="24"/>
          <w:u w:val="single"/>
        </w:rPr>
      </w:pPr>
      <w:bookmarkStart w:id="18" w:name="_Toc209407065"/>
      <w:r w:rsidRPr="00D17563">
        <w:rPr>
          <w:b/>
          <w:sz w:val="24"/>
        </w:rPr>
        <w:t>14.</w:t>
      </w:r>
      <w:r w:rsidRPr="00D17563">
        <w:rPr>
          <w:b/>
          <w:sz w:val="24"/>
        </w:rPr>
        <w:tab/>
      </w:r>
      <w:r w:rsidR="00533918">
        <w:rPr>
          <w:b/>
          <w:sz w:val="24"/>
          <w:u w:val="single"/>
        </w:rPr>
        <w:t>Annualized Cost to the Federal Government</w:t>
      </w:r>
      <w:bookmarkEnd w:id="18"/>
    </w:p>
    <w:p w14:paraId="0A4EBC0B" w14:textId="77777777" w:rsidR="00533918" w:rsidRDefault="00533918">
      <w:pPr>
        <w:widowControl/>
        <w:rPr>
          <w:sz w:val="24"/>
          <w:szCs w:val="24"/>
        </w:rPr>
      </w:pPr>
    </w:p>
    <w:p w14:paraId="51695E67" w14:textId="5F43DE8E" w:rsidR="003F14B3" w:rsidRDefault="003F1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 xml:space="preserve">HRSA has maintained a contract to provide technical assistance, the distribution of OMB-approved Ryan White HIV/AIDS Services Report forms, data entry and analysis. For 2017, this contract will be </w:t>
      </w:r>
      <w:r w:rsidR="00EA16A9">
        <w:rPr>
          <w:rStyle w:val="BodyTextFi"/>
          <w:sz w:val="24"/>
        </w:rPr>
        <w:t>$1,291,473.24. In addition, government personnel require 10% time of 1 FTE at a GS-12 level</w:t>
      </w:r>
      <w:r w:rsidR="008410BB">
        <w:rPr>
          <w:rStyle w:val="BodyTextFi"/>
          <w:sz w:val="24"/>
        </w:rPr>
        <w:t xml:space="preserve">, Step </w:t>
      </w:r>
      <w:r w:rsidR="00A2246C">
        <w:rPr>
          <w:rStyle w:val="BodyTextFi"/>
          <w:sz w:val="24"/>
        </w:rPr>
        <w:t>1</w:t>
      </w:r>
      <w:r w:rsidR="00EA16A9">
        <w:rPr>
          <w:rStyle w:val="BodyTextFi"/>
          <w:sz w:val="24"/>
        </w:rPr>
        <w:t xml:space="preserve"> ($7</w:t>
      </w:r>
      <w:r w:rsidR="00A2246C">
        <w:rPr>
          <w:rStyle w:val="BodyTextFi"/>
          <w:sz w:val="24"/>
        </w:rPr>
        <w:t>,</w:t>
      </w:r>
      <w:r w:rsidR="00EA16A9">
        <w:rPr>
          <w:rStyle w:val="BodyTextFi"/>
          <w:sz w:val="24"/>
        </w:rPr>
        <w:t>972) to review and prepare award notices.</w:t>
      </w:r>
      <w:r w:rsidR="00A2246C">
        <w:rPr>
          <w:rStyle w:val="BodyTextFi"/>
          <w:sz w:val="24"/>
        </w:rPr>
        <w:t xml:space="preserve">  The total annualized cost to the Federal government is $1,299,445.24.</w:t>
      </w:r>
      <w:r w:rsidR="00EA16A9">
        <w:rPr>
          <w:rStyle w:val="BodyTextFi"/>
          <w:sz w:val="24"/>
        </w:rPr>
        <w:t xml:space="preserve"> </w:t>
      </w:r>
    </w:p>
    <w:p w14:paraId="124E887C" w14:textId="6C5278A6" w:rsidR="00533918" w:rsidRDefault="00533918">
      <w:pPr>
        <w:pStyle w:val="ColorfulList-Accent11"/>
        <w:widowControl/>
        <w:ind w:left="0"/>
        <w:outlineLvl w:val="1"/>
        <w:rPr>
          <w:b/>
          <w:sz w:val="24"/>
          <w:u w:val="single"/>
        </w:rPr>
      </w:pPr>
      <w:bookmarkStart w:id="19" w:name="_Toc209407066"/>
    </w:p>
    <w:p w14:paraId="69D6B8EA" w14:textId="77777777" w:rsidR="00533918" w:rsidRPr="00743C52" w:rsidRDefault="00D17563" w:rsidP="00D17563">
      <w:pPr>
        <w:pStyle w:val="ColorfulList-Accent11"/>
        <w:widowControl/>
        <w:tabs>
          <w:tab w:val="left" w:pos="360"/>
        </w:tabs>
        <w:ind w:left="0"/>
        <w:outlineLvl w:val="1"/>
        <w:rPr>
          <w:b/>
          <w:sz w:val="24"/>
          <w:szCs w:val="24"/>
          <w:u w:val="single"/>
        </w:rPr>
      </w:pPr>
      <w:r w:rsidRPr="00D17563">
        <w:rPr>
          <w:b/>
          <w:sz w:val="24"/>
        </w:rPr>
        <w:t>15.</w:t>
      </w:r>
      <w:r w:rsidRPr="00D17563">
        <w:rPr>
          <w:b/>
          <w:sz w:val="24"/>
        </w:rPr>
        <w:tab/>
      </w:r>
      <w:r w:rsidRPr="00743C52">
        <w:rPr>
          <w:b/>
          <w:sz w:val="24"/>
          <w:u w:val="single"/>
        </w:rPr>
        <w:t xml:space="preserve">Explanation for Program Changes or Adjustments </w:t>
      </w:r>
      <w:bookmarkEnd w:id="19"/>
    </w:p>
    <w:p w14:paraId="6D80C7DD" w14:textId="77777777" w:rsidR="00533918" w:rsidRPr="00743C52" w:rsidRDefault="00533918">
      <w:pPr>
        <w:widowControl/>
        <w:rPr>
          <w:sz w:val="24"/>
          <w:szCs w:val="24"/>
        </w:rPr>
      </w:pPr>
    </w:p>
    <w:p w14:paraId="260ACE50" w14:textId="31E8D99A" w:rsidR="00A2246C" w:rsidRPr="00A4238A" w:rsidRDefault="00A22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highlight w:val="yellow"/>
        </w:rPr>
      </w:pPr>
      <w:r w:rsidRPr="00A4238A">
        <w:rPr>
          <w:sz w:val="24"/>
          <w:highlight w:val="yellow"/>
        </w:rPr>
        <w:t xml:space="preserve">As highlighted above (please see section 1), several minor revisions are proposed for the RSR form.  These revisions include changing, removing, or adding response options, and changing variable names to improve clarification.  All proposed revisions are needed to support minimal burden requirements, enhance data quality, and improve alignment in data collection.  </w:t>
      </w:r>
    </w:p>
    <w:p w14:paraId="364FAB38" w14:textId="77777777" w:rsidR="00A2246C" w:rsidRPr="00A4238A" w:rsidRDefault="00A22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highlight w:val="yellow"/>
        </w:rPr>
      </w:pPr>
    </w:p>
    <w:p w14:paraId="7AE5D1C0" w14:textId="5D0910B9" w:rsidR="00A2246C" w:rsidRDefault="00A22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A4238A">
        <w:rPr>
          <w:sz w:val="24"/>
          <w:highlight w:val="yellow"/>
        </w:rPr>
        <w:t>The proposed revisions do not affect the</w:t>
      </w:r>
      <w:r w:rsidR="00574AAE">
        <w:rPr>
          <w:sz w:val="24"/>
          <w:highlight w:val="yellow"/>
        </w:rPr>
        <w:t xml:space="preserve"> estimated</w:t>
      </w:r>
      <w:r w:rsidRPr="00A4238A">
        <w:rPr>
          <w:sz w:val="24"/>
          <w:highlight w:val="yellow"/>
        </w:rPr>
        <w:t xml:space="preserve"> annualized burden for this collection, which will remain the same at 122,550.</w:t>
      </w:r>
      <w:r>
        <w:rPr>
          <w:sz w:val="24"/>
        </w:rPr>
        <w:t xml:space="preserve"> </w:t>
      </w:r>
    </w:p>
    <w:p w14:paraId="1478B5AF" w14:textId="77777777" w:rsidR="00533918" w:rsidRDefault="00533918" w:rsidP="00A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5DEBC82" w14:textId="77777777" w:rsidR="00533918" w:rsidRDefault="00D17563" w:rsidP="00D17563">
      <w:pPr>
        <w:pStyle w:val="ColorfulList-Accent11"/>
        <w:widowControl/>
        <w:tabs>
          <w:tab w:val="left" w:pos="360"/>
        </w:tabs>
        <w:ind w:left="0"/>
        <w:outlineLvl w:val="1"/>
        <w:rPr>
          <w:b/>
          <w:sz w:val="24"/>
          <w:szCs w:val="24"/>
          <w:u w:val="single"/>
        </w:rPr>
      </w:pPr>
      <w:bookmarkStart w:id="20" w:name="_Toc209407067"/>
      <w:r w:rsidRPr="00D17563">
        <w:rPr>
          <w:b/>
          <w:sz w:val="24"/>
        </w:rPr>
        <w:t>16.</w:t>
      </w:r>
      <w:r w:rsidRPr="00D17563">
        <w:rPr>
          <w:b/>
          <w:sz w:val="24"/>
        </w:rPr>
        <w:tab/>
      </w:r>
      <w:r>
        <w:rPr>
          <w:b/>
          <w:sz w:val="24"/>
          <w:u w:val="single"/>
        </w:rPr>
        <w:t xml:space="preserve">Plans for Tabulation, Publication, and Project Time Schedule </w:t>
      </w:r>
      <w:bookmarkEnd w:id="20"/>
    </w:p>
    <w:p w14:paraId="7CF2C16E" w14:textId="77777777" w:rsidR="00533918" w:rsidRDefault="00533918">
      <w:pPr>
        <w:widowControl/>
        <w:rPr>
          <w:sz w:val="24"/>
          <w:szCs w:val="24"/>
        </w:rPr>
      </w:pPr>
    </w:p>
    <w:p w14:paraId="07F3A30F" w14:textId="1DAA863E" w:rsidR="00533918" w:rsidRDefault="004C06A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rStyle w:val="BodyTextFi"/>
          <w:sz w:val="24"/>
        </w:rPr>
        <w:t>The reporting period is the calendar year, i.e., January 1 – December 30. A</w:t>
      </w:r>
      <w:r w:rsidR="00533918">
        <w:rPr>
          <w:rStyle w:val="BodyTextFi"/>
          <w:sz w:val="24"/>
        </w:rPr>
        <w:t>nnual reports</w:t>
      </w:r>
      <w:r>
        <w:rPr>
          <w:rStyle w:val="BodyTextFi"/>
          <w:sz w:val="24"/>
        </w:rPr>
        <w:t xml:space="preserve"> </w:t>
      </w:r>
      <w:r w:rsidR="00533918">
        <w:rPr>
          <w:rStyle w:val="BodyTextFi"/>
          <w:sz w:val="24"/>
        </w:rPr>
        <w:t xml:space="preserve">from the </w:t>
      </w:r>
      <w:r w:rsidR="00F504C9">
        <w:rPr>
          <w:rStyle w:val="BodyTextFi"/>
          <w:sz w:val="24"/>
        </w:rPr>
        <w:t>grant recipients</w:t>
      </w:r>
      <w:r w:rsidR="00533918">
        <w:rPr>
          <w:rStyle w:val="BodyTextFi"/>
          <w:sz w:val="24"/>
        </w:rPr>
        <w:t xml:space="preserve"> should be submitted to HRSA approximately </w:t>
      </w:r>
      <w:r w:rsidR="00F70409">
        <w:rPr>
          <w:rStyle w:val="BodyTextFi"/>
          <w:sz w:val="24"/>
        </w:rPr>
        <w:t>two</w:t>
      </w:r>
      <w:r w:rsidR="00533918">
        <w:rPr>
          <w:rStyle w:val="BodyTextFi"/>
          <w:sz w:val="24"/>
        </w:rPr>
        <w:t xml:space="preserve"> months following the end of each reporting period. HRSA compiles the data received from the </w:t>
      </w:r>
      <w:r w:rsidR="00F504C9">
        <w:rPr>
          <w:rStyle w:val="BodyTextFi"/>
          <w:sz w:val="24"/>
        </w:rPr>
        <w:t>grant recipients</w:t>
      </w:r>
      <w:r w:rsidR="00533918">
        <w:rPr>
          <w:rStyle w:val="BodyTextFi"/>
          <w:sz w:val="24"/>
        </w:rPr>
        <w:t xml:space="preserve"> and produces an annual report for the Secretary of DHHS and Congress. In addition, HRSA staff produces national summaries that are distributed to constituency and advocacy groups and are uploaded to the HIV/AIDS Bureau Web site.  Summaries consist of aggregate</w:t>
      </w:r>
      <w:r>
        <w:rPr>
          <w:rStyle w:val="BodyTextFi"/>
          <w:sz w:val="24"/>
        </w:rPr>
        <w:t>-</w:t>
      </w:r>
      <w:r w:rsidR="00533918">
        <w:rPr>
          <w:rStyle w:val="BodyTextFi"/>
          <w:sz w:val="24"/>
        </w:rPr>
        <w:t>level data only.</w:t>
      </w:r>
    </w:p>
    <w:p w14:paraId="28C320EF" w14:textId="77777777" w:rsidR="00533918" w:rsidRDefault="00533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14:paraId="60D34A49" w14:textId="00D4A77F" w:rsidR="00533918" w:rsidRDefault="00533918">
      <w:pPr>
        <w:widowControl/>
        <w:rPr>
          <w:rStyle w:val="BodyTextFi"/>
          <w:sz w:val="24"/>
        </w:rPr>
      </w:pPr>
      <w:r>
        <w:rPr>
          <w:rStyle w:val="BodyTextFi"/>
          <w:sz w:val="24"/>
        </w:rPr>
        <w:t xml:space="preserve">Upon approval by OMB, the </w:t>
      </w:r>
      <w:r w:rsidR="0016317F">
        <w:rPr>
          <w:rStyle w:val="BodyTextFi"/>
          <w:sz w:val="24"/>
        </w:rPr>
        <w:t>RSR</w:t>
      </w:r>
      <w:r>
        <w:rPr>
          <w:rStyle w:val="BodyTextFi"/>
          <w:sz w:val="24"/>
        </w:rPr>
        <w:t xml:space="preserve"> forms and instructions will be made available to </w:t>
      </w:r>
      <w:r w:rsidR="00F504C9">
        <w:rPr>
          <w:rStyle w:val="BodyTextFi"/>
          <w:sz w:val="24"/>
        </w:rPr>
        <w:t>grant recipients</w:t>
      </w:r>
      <w:r>
        <w:rPr>
          <w:rStyle w:val="BodyTextFi"/>
          <w:sz w:val="24"/>
        </w:rPr>
        <w:t xml:space="preserve"> to allow them as much time as possible to modify their data collection systems to conform to the </w:t>
      </w:r>
      <w:r w:rsidR="004C06A9">
        <w:rPr>
          <w:rStyle w:val="BodyTextFi"/>
          <w:sz w:val="24"/>
        </w:rPr>
        <w:t xml:space="preserve">revised </w:t>
      </w:r>
      <w:r>
        <w:rPr>
          <w:rStyle w:val="BodyTextFi"/>
          <w:sz w:val="24"/>
        </w:rPr>
        <w:t>report.</w:t>
      </w:r>
    </w:p>
    <w:p w14:paraId="24D5CE14" w14:textId="77777777" w:rsidR="00533918" w:rsidRDefault="00533918">
      <w:pPr>
        <w:widowControl/>
        <w:rPr>
          <w:rStyle w:val="BodyTextFi"/>
          <w:sz w:val="24"/>
        </w:rPr>
      </w:pPr>
    </w:p>
    <w:p w14:paraId="3E42EFE8" w14:textId="77777777" w:rsidR="00533918" w:rsidRDefault="00D17563" w:rsidP="00D17563">
      <w:pPr>
        <w:pStyle w:val="ColorfulList-Accent11"/>
        <w:widowControl/>
        <w:tabs>
          <w:tab w:val="left" w:pos="360"/>
        </w:tabs>
        <w:ind w:left="0"/>
        <w:outlineLvl w:val="1"/>
        <w:rPr>
          <w:b/>
          <w:sz w:val="24"/>
          <w:u w:val="single"/>
        </w:rPr>
      </w:pPr>
      <w:bookmarkStart w:id="21" w:name="_Toc209407068"/>
      <w:r w:rsidRPr="00D17563">
        <w:rPr>
          <w:b/>
          <w:sz w:val="24"/>
        </w:rPr>
        <w:t>17.</w:t>
      </w:r>
      <w:r w:rsidRPr="00D17563">
        <w:rPr>
          <w:b/>
          <w:sz w:val="24"/>
        </w:rPr>
        <w:tab/>
      </w:r>
      <w:r>
        <w:rPr>
          <w:b/>
          <w:sz w:val="24"/>
          <w:u w:val="single"/>
        </w:rPr>
        <w:t>Reason(s) Display of OMB E</w:t>
      </w:r>
      <w:r w:rsidR="00533918">
        <w:rPr>
          <w:b/>
          <w:sz w:val="24"/>
          <w:u w:val="single"/>
        </w:rPr>
        <w:t>xpiration Date</w:t>
      </w:r>
      <w:bookmarkEnd w:id="21"/>
      <w:r>
        <w:rPr>
          <w:b/>
          <w:sz w:val="24"/>
          <w:u w:val="single"/>
        </w:rPr>
        <w:t xml:space="preserve"> is Inappropriate</w:t>
      </w:r>
    </w:p>
    <w:p w14:paraId="28FA74A5" w14:textId="77777777" w:rsidR="00533918" w:rsidRDefault="00533918">
      <w:pPr>
        <w:widowControl/>
        <w:rPr>
          <w:sz w:val="24"/>
        </w:rPr>
      </w:pPr>
    </w:p>
    <w:p w14:paraId="2B599DDB" w14:textId="77777777" w:rsidR="005A123F" w:rsidRPr="005A123F" w:rsidRDefault="005A123F" w:rsidP="005A123F">
      <w:pPr>
        <w:rPr>
          <w:sz w:val="24"/>
          <w:szCs w:val="24"/>
        </w:rPr>
      </w:pPr>
      <w:r w:rsidRPr="005A123F">
        <w:rPr>
          <w:sz w:val="24"/>
          <w:szCs w:val="24"/>
        </w:rPr>
        <w:t>The expiration date will be displayed</w:t>
      </w:r>
      <w:r>
        <w:rPr>
          <w:sz w:val="24"/>
          <w:szCs w:val="24"/>
        </w:rPr>
        <w:t xml:space="preserve"> appropriately</w:t>
      </w:r>
      <w:r w:rsidRPr="005A123F">
        <w:rPr>
          <w:sz w:val="24"/>
          <w:szCs w:val="24"/>
        </w:rPr>
        <w:t>.</w:t>
      </w:r>
    </w:p>
    <w:p w14:paraId="2809B214" w14:textId="77777777" w:rsidR="00533918" w:rsidRDefault="00533918">
      <w:pPr>
        <w:widowControl/>
        <w:rPr>
          <w:rStyle w:val="BodyTextFi"/>
          <w:sz w:val="24"/>
        </w:rPr>
      </w:pPr>
    </w:p>
    <w:p w14:paraId="170162BD" w14:textId="77777777" w:rsidR="00533918" w:rsidRDefault="00533918">
      <w:pPr>
        <w:widowControl/>
        <w:rPr>
          <w:rStyle w:val="BodyTextFi"/>
          <w:sz w:val="24"/>
        </w:rPr>
      </w:pPr>
    </w:p>
    <w:p w14:paraId="2B35AC5A" w14:textId="77777777" w:rsidR="00533918" w:rsidRDefault="00D17563" w:rsidP="00D17563">
      <w:pPr>
        <w:pStyle w:val="ColorfulList-Accent11"/>
        <w:widowControl/>
        <w:tabs>
          <w:tab w:val="left" w:pos="360"/>
        </w:tabs>
        <w:ind w:left="0"/>
        <w:outlineLvl w:val="1"/>
        <w:rPr>
          <w:b/>
          <w:sz w:val="24"/>
          <w:u w:val="single"/>
        </w:rPr>
      </w:pPr>
      <w:bookmarkStart w:id="22" w:name="_Toc209407069"/>
      <w:r w:rsidRPr="00D17563">
        <w:rPr>
          <w:b/>
          <w:bCs/>
          <w:sz w:val="24"/>
          <w:szCs w:val="24"/>
        </w:rPr>
        <w:t>18.</w:t>
      </w:r>
      <w:r w:rsidRPr="00D17563">
        <w:rPr>
          <w:b/>
          <w:bCs/>
          <w:sz w:val="24"/>
          <w:szCs w:val="24"/>
        </w:rPr>
        <w:tab/>
      </w:r>
      <w:r w:rsidR="00533918">
        <w:rPr>
          <w:b/>
          <w:bCs/>
          <w:sz w:val="24"/>
          <w:szCs w:val="24"/>
          <w:u w:val="single"/>
        </w:rPr>
        <w:t>Exceptions to Certifications for P</w:t>
      </w:r>
      <w:r>
        <w:rPr>
          <w:b/>
          <w:bCs/>
          <w:sz w:val="24"/>
          <w:szCs w:val="24"/>
          <w:u w:val="single"/>
        </w:rPr>
        <w:t xml:space="preserve">aperwork </w:t>
      </w:r>
      <w:r w:rsidR="00533918">
        <w:rPr>
          <w:b/>
          <w:bCs/>
          <w:sz w:val="24"/>
          <w:szCs w:val="24"/>
          <w:u w:val="single"/>
        </w:rPr>
        <w:t>R</w:t>
      </w:r>
      <w:r>
        <w:rPr>
          <w:b/>
          <w:bCs/>
          <w:sz w:val="24"/>
          <w:szCs w:val="24"/>
          <w:u w:val="single"/>
        </w:rPr>
        <w:t xml:space="preserve">eduction </w:t>
      </w:r>
      <w:r w:rsidR="00533918">
        <w:rPr>
          <w:b/>
          <w:bCs/>
          <w:sz w:val="24"/>
          <w:szCs w:val="24"/>
          <w:u w:val="single"/>
        </w:rPr>
        <w:t>A</w:t>
      </w:r>
      <w:r>
        <w:rPr>
          <w:b/>
          <w:bCs/>
          <w:sz w:val="24"/>
          <w:szCs w:val="24"/>
          <w:u w:val="single"/>
        </w:rPr>
        <w:t>ct</w:t>
      </w:r>
      <w:r w:rsidR="00533918">
        <w:rPr>
          <w:b/>
          <w:bCs/>
          <w:sz w:val="24"/>
          <w:szCs w:val="24"/>
          <w:u w:val="single"/>
        </w:rPr>
        <w:t xml:space="preserve"> Submissions</w:t>
      </w:r>
      <w:bookmarkEnd w:id="22"/>
    </w:p>
    <w:p w14:paraId="4521BB4E" w14:textId="77777777" w:rsidR="00533918" w:rsidRDefault="00533918">
      <w:pPr>
        <w:widowControl/>
        <w:rPr>
          <w:sz w:val="24"/>
        </w:rPr>
      </w:pPr>
    </w:p>
    <w:p w14:paraId="3A1B8B88" w14:textId="77777777" w:rsidR="00C22AC5" w:rsidRDefault="00533918" w:rsidP="00C22AC5">
      <w:pPr>
        <w:pStyle w:val="ColorfulList-Accent11"/>
        <w:ind w:left="0"/>
        <w:outlineLvl w:val="0"/>
        <w:rPr>
          <w:b/>
          <w:bCs/>
          <w:sz w:val="24"/>
        </w:rPr>
      </w:pPr>
      <w:r>
        <w:rPr>
          <w:rStyle w:val="BodyTextFi"/>
          <w:sz w:val="24"/>
        </w:rPr>
        <w:t xml:space="preserve">This information collection fully complies with the guidelines in 5 CFR 1320.9. The necessary certifications are included in the package. </w:t>
      </w:r>
      <w:bookmarkStart w:id="23" w:name="_Toc209407070"/>
    </w:p>
    <w:p w14:paraId="5C58B4A5" w14:textId="77777777" w:rsidR="00A4238A" w:rsidRDefault="00A4238A" w:rsidP="00A4238A">
      <w:pPr>
        <w:pStyle w:val="ColorfulList-Accent11"/>
        <w:ind w:left="0"/>
        <w:outlineLvl w:val="0"/>
        <w:rPr>
          <w:b/>
          <w:bCs/>
          <w:sz w:val="24"/>
        </w:rPr>
      </w:pPr>
    </w:p>
    <w:p w14:paraId="7EA6FF86" w14:textId="77777777" w:rsidR="00A4238A" w:rsidRDefault="00A4238A" w:rsidP="00A4238A">
      <w:pPr>
        <w:pStyle w:val="ColorfulList-Accent11"/>
        <w:ind w:left="0"/>
        <w:outlineLvl w:val="0"/>
        <w:rPr>
          <w:b/>
          <w:bCs/>
          <w:sz w:val="24"/>
        </w:rPr>
      </w:pPr>
    </w:p>
    <w:p w14:paraId="5BE46D8A" w14:textId="77777777" w:rsidR="00A4238A" w:rsidRDefault="00A4238A" w:rsidP="00A4238A">
      <w:pPr>
        <w:pStyle w:val="ColorfulList-Accent11"/>
        <w:ind w:left="0"/>
        <w:outlineLvl w:val="0"/>
        <w:rPr>
          <w:b/>
          <w:bCs/>
          <w:sz w:val="24"/>
        </w:rPr>
      </w:pPr>
    </w:p>
    <w:p w14:paraId="2FCD66EB" w14:textId="77777777" w:rsidR="00A4238A" w:rsidRDefault="00A4238A" w:rsidP="00A4238A">
      <w:pPr>
        <w:pStyle w:val="ColorfulList-Accent11"/>
        <w:ind w:left="0"/>
        <w:outlineLvl w:val="0"/>
        <w:rPr>
          <w:b/>
          <w:bCs/>
          <w:sz w:val="24"/>
        </w:rPr>
      </w:pPr>
    </w:p>
    <w:p w14:paraId="2877E896" w14:textId="77777777" w:rsidR="00A4238A" w:rsidRDefault="00A4238A" w:rsidP="00A4238A">
      <w:pPr>
        <w:pStyle w:val="ColorfulList-Accent11"/>
        <w:ind w:left="0"/>
        <w:outlineLvl w:val="0"/>
        <w:rPr>
          <w:b/>
          <w:bCs/>
          <w:sz w:val="24"/>
        </w:rPr>
      </w:pPr>
    </w:p>
    <w:p w14:paraId="10D3416C" w14:textId="14414EC7" w:rsidR="00F342B3" w:rsidRPr="00F342B3" w:rsidRDefault="00A4238A" w:rsidP="00A4238A">
      <w:pPr>
        <w:pStyle w:val="ColorfulList-Accent11"/>
        <w:ind w:left="0"/>
        <w:jc w:val="center"/>
        <w:outlineLvl w:val="0"/>
        <w:rPr>
          <w:b/>
          <w:bCs/>
          <w:sz w:val="24"/>
        </w:rPr>
      </w:pPr>
      <w:r>
        <w:rPr>
          <w:b/>
          <w:bCs/>
          <w:sz w:val="24"/>
        </w:rPr>
        <w:t>L</w:t>
      </w:r>
      <w:r w:rsidR="00F342B3" w:rsidRPr="00F342B3">
        <w:rPr>
          <w:b/>
          <w:bCs/>
          <w:sz w:val="24"/>
        </w:rPr>
        <w:t>ist of Attachments</w:t>
      </w:r>
    </w:p>
    <w:p w14:paraId="13818329" w14:textId="77777777" w:rsidR="00F342B3" w:rsidRDefault="00F342B3" w:rsidP="00F342B3">
      <w:pPr>
        <w:pStyle w:val="ColorfulList-Accent11"/>
        <w:outlineLvl w:val="0"/>
        <w:rPr>
          <w:sz w:val="24"/>
        </w:rPr>
      </w:pPr>
    </w:p>
    <w:p w14:paraId="6A9174D6" w14:textId="77777777" w:rsidR="00F342B3" w:rsidRPr="00F342B3" w:rsidRDefault="00C22AC5" w:rsidP="00C22AC5">
      <w:pPr>
        <w:pStyle w:val="ColorfulList-Accent11"/>
        <w:ind w:left="0"/>
        <w:outlineLvl w:val="0"/>
        <w:rPr>
          <w:sz w:val="24"/>
        </w:rPr>
      </w:pPr>
      <w:r>
        <w:rPr>
          <w:sz w:val="24"/>
        </w:rPr>
        <w:t>T</w:t>
      </w:r>
      <w:r w:rsidR="00F342B3" w:rsidRPr="00F342B3">
        <w:rPr>
          <w:sz w:val="24"/>
        </w:rPr>
        <w:t>ab A: Authorizing Legislation</w:t>
      </w:r>
    </w:p>
    <w:p w14:paraId="693C37BE" w14:textId="77777777" w:rsidR="00F342B3" w:rsidRDefault="00F342B3" w:rsidP="00F342B3">
      <w:pPr>
        <w:pStyle w:val="ColorfulList-Accent11"/>
        <w:outlineLvl w:val="0"/>
        <w:rPr>
          <w:sz w:val="24"/>
        </w:rPr>
      </w:pPr>
    </w:p>
    <w:p w14:paraId="4633537B" w14:textId="77777777" w:rsidR="00F342B3" w:rsidRPr="00F342B3" w:rsidRDefault="00F342B3" w:rsidP="00C22AC5">
      <w:pPr>
        <w:pStyle w:val="ColorfulList-Accent11"/>
        <w:ind w:left="0"/>
        <w:outlineLvl w:val="0"/>
        <w:rPr>
          <w:sz w:val="24"/>
        </w:rPr>
      </w:pPr>
      <w:r w:rsidRPr="00F342B3">
        <w:rPr>
          <w:sz w:val="24"/>
        </w:rPr>
        <w:t xml:space="preserve">Tab B: </w:t>
      </w:r>
      <w:r w:rsidR="00C22AC5">
        <w:rPr>
          <w:sz w:val="24"/>
        </w:rPr>
        <w:t>RSR</w:t>
      </w:r>
      <w:r>
        <w:rPr>
          <w:sz w:val="24"/>
        </w:rPr>
        <w:t xml:space="preserve"> Grantee Report Screenshots</w:t>
      </w:r>
    </w:p>
    <w:p w14:paraId="3A167F42" w14:textId="77777777" w:rsidR="00F342B3" w:rsidRDefault="00F342B3" w:rsidP="00F342B3">
      <w:pPr>
        <w:pStyle w:val="ColorfulList-Accent11"/>
        <w:outlineLvl w:val="0"/>
        <w:rPr>
          <w:sz w:val="24"/>
        </w:rPr>
      </w:pPr>
    </w:p>
    <w:p w14:paraId="0C1CDE32" w14:textId="77777777" w:rsidR="00F342B3" w:rsidRPr="00F342B3" w:rsidRDefault="00F342B3" w:rsidP="00C22AC5">
      <w:pPr>
        <w:pStyle w:val="ColorfulList-Accent11"/>
        <w:ind w:left="0"/>
        <w:outlineLvl w:val="0"/>
        <w:rPr>
          <w:sz w:val="24"/>
        </w:rPr>
      </w:pPr>
      <w:r w:rsidRPr="00F342B3">
        <w:rPr>
          <w:sz w:val="24"/>
        </w:rPr>
        <w:t xml:space="preserve">Tab C: </w:t>
      </w:r>
      <w:r w:rsidR="00C22AC5">
        <w:rPr>
          <w:sz w:val="24"/>
        </w:rPr>
        <w:t>RSR</w:t>
      </w:r>
      <w:r>
        <w:rPr>
          <w:sz w:val="24"/>
        </w:rPr>
        <w:t xml:space="preserve"> Provider Report Screenshots</w:t>
      </w:r>
    </w:p>
    <w:p w14:paraId="4A84E820" w14:textId="77777777" w:rsidR="00F342B3" w:rsidRDefault="00F342B3" w:rsidP="00F342B3">
      <w:pPr>
        <w:pStyle w:val="ColorfulList-Accent11"/>
        <w:outlineLvl w:val="0"/>
        <w:rPr>
          <w:sz w:val="24"/>
        </w:rPr>
      </w:pPr>
    </w:p>
    <w:p w14:paraId="67C9E3CC" w14:textId="77777777" w:rsidR="00F342B3" w:rsidRPr="00F342B3" w:rsidRDefault="00F342B3" w:rsidP="00C22AC5">
      <w:pPr>
        <w:pStyle w:val="ColorfulList-Accent11"/>
        <w:ind w:left="0"/>
        <w:outlineLvl w:val="0"/>
        <w:rPr>
          <w:sz w:val="24"/>
        </w:rPr>
      </w:pPr>
      <w:r w:rsidRPr="00F342B3">
        <w:rPr>
          <w:sz w:val="24"/>
        </w:rPr>
        <w:t xml:space="preserve">Tab D: </w:t>
      </w:r>
      <w:r w:rsidR="00C22AC5">
        <w:rPr>
          <w:sz w:val="24"/>
        </w:rPr>
        <w:t>RSR</w:t>
      </w:r>
      <w:r>
        <w:rPr>
          <w:sz w:val="24"/>
        </w:rPr>
        <w:t xml:space="preserve"> Client-level Data Elements</w:t>
      </w:r>
    </w:p>
    <w:p w14:paraId="4734F096" w14:textId="77777777" w:rsidR="00F342B3" w:rsidRDefault="00F342B3" w:rsidP="00F342B3">
      <w:pPr>
        <w:pStyle w:val="ColorfulList-Accent11"/>
        <w:outlineLvl w:val="0"/>
        <w:rPr>
          <w:sz w:val="24"/>
        </w:rPr>
      </w:pPr>
    </w:p>
    <w:p w14:paraId="54FE7E69" w14:textId="77777777" w:rsidR="00F342B3" w:rsidRDefault="00F342B3" w:rsidP="00C22AC5">
      <w:pPr>
        <w:pStyle w:val="ColorfulList-Accent11"/>
        <w:ind w:left="0"/>
        <w:outlineLvl w:val="0"/>
        <w:rPr>
          <w:sz w:val="24"/>
        </w:rPr>
      </w:pPr>
      <w:r w:rsidRPr="00F342B3">
        <w:rPr>
          <w:sz w:val="24"/>
        </w:rPr>
        <w:t xml:space="preserve">Tab E: </w:t>
      </w:r>
      <w:r w:rsidR="00C22AC5">
        <w:rPr>
          <w:sz w:val="24"/>
        </w:rPr>
        <w:t>RSR</w:t>
      </w:r>
      <w:r>
        <w:rPr>
          <w:sz w:val="24"/>
        </w:rPr>
        <w:t xml:space="preserve"> Instruction Manual</w:t>
      </w:r>
    </w:p>
    <w:p w14:paraId="42446CC5" w14:textId="77777777" w:rsidR="00F342B3" w:rsidRDefault="00F342B3" w:rsidP="00F342B3">
      <w:pPr>
        <w:pStyle w:val="ColorfulList-Accent11"/>
        <w:outlineLvl w:val="0"/>
        <w:rPr>
          <w:sz w:val="24"/>
        </w:rPr>
      </w:pPr>
    </w:p>
    <w:p w14:paraId="560D8740" w14:textId="77777777" w:rsidR="00F342B3" w:rsidRPr="00F342B3" w:rsidRDefault="00F342B3" w:rsidP="00C22AC5">
      <w:pPr>
        <w:pStyle w:val="ColorfulList-Accent11"/>
        <w:ind w:left="0"/>
        <w:outlineLvl w:val="0"/>
        <w:rPr>
          <w:sz w:val="24"/>
        </w:rPr>
      </w:pPr>
      <w:r>
        <w:rPr>
          <w:sz w:val="24"/>
        </w:rPr>
        <w:t>Tab F: 60-day Federal Register Notice</w:t>
      </w:r>
    </w:p>
    <w:p w14:paraId="600A793D" w14:textId="77777777" w:rsidR="00F342B3" w:rsidRDefault="00F342B3">
      <w:pPr>
        <w:pStyle w:val="ColorfulList-Accent11"/>
        <w:ind w:left="0"/>
        <w:outlineLvl w:val="0"/>
        <w:rPr>
          <w:rStyle w:val="BodyTextFi"/>
          <w:sz w:val="24"/>
        </w:rPr>
      </w:pPr>
    </w:p>
    <w:bookmarkEnd w:id="23"/>
    <w:p w14:paraId="0CDA14F2" w14:textId="77777777" w:rsidR="00533918" w:rsidRDefault="00533918" w:rsidP="00CE5930">
      <w:pPr>
        <w:pStyle w:val="ColorfulList-Accent11"/>
        <w:ind w:left="0"/>
        <w:outlineLvl w:val="0"/>
      </w:pPr>
    </w:p>
    <w:sectPr w:rsidR="0053391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5FB8D" w14:textId="77777777" w:rsidR="007A612F" w:rsidRDefault="007A612F">
      <w:r>
        <w:separator/>
      </w:r>
    </w:p>
  </w:endnote>
  <w:endnote w:type="continuationSeparator" w:id="0">
    <w:p w14:paraId="79542CCF" w14:textId="77777777" w:rsidR="007A612F" w:rsidRDefault="007A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8488A" w14:textId="77777777" w:rsidR="00227B10" w:rsidRDefault="00227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1CE94" w14:textId="77777777" w:rsidR="008D2FC0" w:rsidRPr="00227B10" w:rsidRDefault="008D2FC0" w:rsidP="00227B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30FA" w14:textId="77777777" w:rsidR="00227B10" w:rsidRDefault="00227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94A2F" w14:textId="77777777" w:rsidR="007A612F" w:rsidRDefault="007A612F">
      <w:r>
        <w:separator/>
      </w:r>
    </w:p>
  </w:footnote>
  <w:footnote w:type="continuationSeparator" w:id="0">
    <w:p w14:paraId="23E9999F" w14:textId="77777777" w:rsidR="007A612F" w:rsidRDefault="007A6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64E1E" w14:textId="77777777" w:rsidR="00227B10" w:rsidRDefault="00227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08900" w14:textId="77777777" w:rsidR="00227B10" w:rsidRDefault="00227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6F555" w14:textId="77777777" w:rsidR="00227B10" w:rsidRDefault="00227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D21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CB2F4B"/>
    <w:multiLevelType w:val="hybridMultilevel"/>
    <w:tmpl w:val="F9F2698A"/>
    <w:lvl w:ilvl="0" w:tplc="B97C6FB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4483770"/>
    <w:multiLevelType w:val="hybridMultilevel"/>
    <w:tmpl w:val="00528DF2"/>
    <w:lvl w:ilvl="0" w:tplc="B97C6FB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680574"/>
    <w:multiLevelType w:val="hybridMultilevel"/>
    <w:tmpl w:val="C9F2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8E5556"/>
    <w:multiLevelType w:val="hybridMultilevel"/>
    <w:tmpl w:val="2AC88274"/>
    <w:lvl w:ilvl="0" w:tplc="3C2A7B7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
    <w:nsid w:val="22A5415A"/>
    <w:multiLevelType w:val="hybridMultilevel"/>
    <w:tmpl w:val="AFFA9440"/>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613BFB"/>
    <w:multiLevelType w:val="hybridMultilevel"/>
    <w:tmpl w:val="5EE020EC"/>
    <w:lvl w:ilvl="0" w:tplc="49FEE8F4">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F01CCA"/>
    <w:multiLevelType w:val="hybridMultilevel"/>
    <w:tmpl w:val="8FEE460A"/>
    <w:lvl w:ilvl="0" w:tplc="9AE4BA96">
      <w:start w:val="1"/>
      <w:numFmt w:val="upperLetter"/>
      <w:lvlText w:val="Tab %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700F1"/>
    <w:multiLevelType w:val="hybridMultilevel"/>
    <w:tmpl w:val="9BA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46BF8"/>
    <w:multiLevelType w:val="hybridMultilevel"/>
    <w:tmpl w:val="D50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DB2A25"/>
    <w:multiLevelType w:val="hybridMultilevel"/>
    <w:tmpl w:val="9F1ECB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B5569BC"/>
    <w:multiLevelType w:val="hybridMultilevel"/>
    <w:tmpl w:val="791E0524"/>
    <w:lvl w:ilvl="0" w:tplc="BEDC7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096E84"/>
    <w:multiLevelType w:val="hybridMultilevel"/>
    <w:tmpl w:val="17709D2C"/>
    <w:lvl w:ilvl="0" w:tplc="49FEE8F4">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BB22310"/>
    <w:multiLevelType w:val="hybridMultilevel"/>
    <w:tmpl w:val="C2BE6836"/>
    <w:lvl w:ilvl="0" w:tplc="B97C6FB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5315DA8"/>
    <w:multiLevelType w:val="hybridMultilevel"/>
    <w:tmpl w:val="988A52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002A30"/>
    <w:multiLevelType w:val="hybridMultilevel"/>
    <w:tmpl w:val="58402314"/>
    <w:lvl w:ilvl="0" w:tplc="0409000F">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E1F67"/>
    <w:multiLevelType w:val="hybridMultilevel"/>
    <w:tmpl w:val="F440CC54"/>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C6B15E8"/>
    <w:multiLevelType w:val="hybridMultilevel"/>
    <w:tmpl w:val="3C307816"/>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0">
    <w:nsid w:val="704961EB"/>
    <w:multiLevelType w:val="hybridMultilevel"/>
    <w:tmpl w:val="9D40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CE4ADE"/>
    <w:multiLevelType w:val="hybridMultilevel"/>
    <w:tmpl w:val="C56C75A4"/>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6"/>
  </w:num>
  <w:num w:numId="3">
    <w:abstractNumId w:val="7"/>
  </w:num>
  <w:num w:numId="4">
    <w:abstractNumId w:val="13"/>
  </w:num>
  <w:num w:numId="5">
    <w:abstractNumId w:val="11"/>
  </w:num>
  <w:num w:numId="6">
    <w:abstractNumId w:val="9"/>
  </w:num>
  <w:num w:numId="7">
    <w:abstractNumId w:val="3"/>
  </w:num>
  <w:num w:numId="8">
    <w:abstractNumId w:val="17"/>
  </w:num>
  <w:num w:numId="9">
    <w:abstractNumId w:val="14"/>
  </w:num>
  <w:num w:numId="10">
    <w:abstractNumId w:val="2"/>
  </w:num>
  <w:num w:numId="11">
    <w:abstractNumId w:val="4"/>
  </w:num>
  <w:num w:numId="12">
    <w:abstractNumId w:val="21"/>
  </w:num>
  <w:num w:numId="13">
    <w:abstractNumId w:val="18"/>
  </w:num>
  <w:num w:numId="14">
    <w:abstractNumId w:val="1"/>
  </w:num>
  <w:num w:numId="15">
    <w:abstractNumId w:val="5"/>
  </w:num>
  <w:num w:numId="16">
    <w:abstractNumId w:val="20"/>
  </w:num>
  <w:num w:numId="17">
    <w:abstractNumId w:val="19"/>
  </w:num>
  <w:num w:numId="18">
    <w:abstractNumId w:val="15"/>
  </w:num>
  <w:num w:numId="19">
    <w:abstractNumId w:val="12"/>
  </w:num>
  <w:num w:numId="20">
    <w:abstractNumId w:val="10"/>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B2"/>
    <w:rsid w:val="0000226E"/>
    <w:rsid w:val="00004873"/>
    <w:rsid w:val="000234B0"/>
    <w:rsid w:val="000244D4"/>
    <w:rsid w:val="00037163"/>
    <w:rsid w:val="00044E53"/>
    <w:rsid w:val="00050AE7"/>
    <w:rsid w:val="00051659"/>
    <w:rsid w:val="0005265F"/>
    <w:rsid w:val="00070125"/>
    <w:rsid w:val="00077629"/>
    <w:rsid w:val="00084A65"/>
    <w:rsid w:val="000A3D39"/>
    <w:rsid w:val="000A4DBA"/>
    <w:rsid w:val="000A5DEC"/>
    <w:rsid w:val="000B5924"/>
    <w:rsid w:val="000C11AA"/>
    <w:rsid w:val="000D6589"/>
    <w:rsid w:val="000D6B11"/>
    <w:rsid w:val="000F37A7"/>
    <w:rsid w:val="000F5EF9"/>
    <w:rsid w:val="000F6CBD"/>
    <w:rsid w:val="00110BF3"/>
    <w:rsid w:val="00114CE5"/>
    <w:rsid w:val="001273CD"/>
    <w:rsid w:val="00132CCD"/>
    <w:rsid w:val="001417F7"/>
    <w:rsid w:val="00151679"/>
    <w:rsid w:val="00154129"/>
    <w:rsid w:val="0016317F"/>
    <w:rsid w:val="00171909"/>
    <w:rsid w:val="001A37E6"/>
    <w:rsid w:val="001A3AD2"/>
    <w:rsid w:val="001A4FDF"/>
    <w:rsid w:val="001E6F07"/>
    <w:rsid w:val="00227B10"/>
    <w:rsid w:val="00252C5E"/>
    <w:rsid w:val="002561B2"/>
    <w:rsid w:val="00267DBA"/>
    <w:rsid w:val="00285083"/>
    <w:rsid w:val="00290775"/>
    <w:rsid w:val="002D3FB7"/>
    <w:rsid w:val="002D42DD"/>
    <w:rsid w:val="002E2AEA"/>
    <w:rsid w:val="002E56C2"/>
    <w:rsid w:val="00301020"/>
    <w:rsid w:val="00325490"/>
    <w:rsid w:val="00373079"/>
    <w:rsid w:val="003849FF"/>
    <w:rsid w:val="003A5209"/>
    <w:rsid w:val="003A642A"/>
    <w:rsid w:val="003B75CB"/>
    <w:rsid w:val="003D1F2F"/>
    <w:rsid w:val="003D2616"/>
    <w:rsid w:val="003D6BAE"/>
    <w:rsid w:val="003E32B8"/>
    <w:rsid w:val="003F124C"/>
    <w:rsid w:val="003F14B3"/>
    <w:rsid w:val="00404078"/>
    <w:rsid w:val="004108A0"/>
    <w:rsid w:val="00435362"/>
    <w:rsid w:val="00435AFC"/>
    <w:rsid w:val="00440FE9"/>
    <w:rsid w:val="004610D3"/>
    <w:rsid w:val="00470743"/>
    <w:rsid w:val="004732F0"/>
    <w:rsid w:val="0047772D"/>
    <w:rsid w:val="00495746"/>
    <w:rsid w:val="004B4FAE"/>
    <w:rsid w:val="004C06A9"/>
    <w:rsid w:val="004C25D4"/>
    <w:rsid w:val="004F3B52"/>
    <w:rsid w:val="004F5E47"/>
    <w:rsid w:val="00522782"/>
    <w:rsid w:val="00533918"/>
    <w:rsid w:val="005421D1"/>
    <w:rsid w:val="00557AFF"/>
    <w:rsid w:val="00574AAE"/>
    <w:rsid w:val="00580310"/>
    <w:rsid w:val="00586F00"/>
    <w:rsid w:val="005A123F"/>
    <w:rsid w:val="005A14CD"/>
    <w:rsid w:val="005B2C1B"/>
    <w:rsid w:val="005C4E82"/>
    <w:rsid w:val="005C5541"/>
    <w:rsid w:val="005F3575"/>
    <w:rsid w:val="005F7BC9"/>
    <w:rsid w:val="0060089D"/>
    <w:rsid w:val="006022FD"/>
    <w:rsid w:val="00602441"/>
    <w:rsid w:val="00603E06"/>
    <w:rsid w:val="00621EF2"/>
    <w:rsid w:val="00650264"/>
    <w:rsid w:val="00656804"/>
    <w:rsid w:val="006747C8"/>
    <w:rsid w:val="00687BF2"/>
    <w:rsid w:val="00691432"/>
    <w:rsid w:val="006A0E1F"/>
    <w:rsid w:val="006A4043"/>
    <w:rsid w:val="006C73C4"/>
    <w:rsid w:val="006D39F6"/>
    <w:rsid w:val="006E58D1"/>
    <w:rsid w:val="00700B22"/>
    <w:rsid w:val="007064AC"/>
    <w:rsid w:val="00717CC7"/>
    <w:rsid w:val="00720D87"/>
    <w:rsid w:val="0072532C"/>
    <w:rsid w:val="00731FBB"/>
    <w:rsid w:val="00737652"/>
    <w:rsid w:val="00743C52"/>
    <w:rsid w:val="007515C6"/>
    <w:rsid w:val="00772BFE"/>
    <w:rsid w:val="00790992"/>
    <w:rsid w:val="00793E02"/>
    <w:rsid w:val="007A612F"/>
    <w:rsid w:val="007A643B"/>
    <w:rsid w:val="007C7935"/>
    <w:rsid w:val="007D2E4F"/>
    <w:rsid w:val="007E4461"/>
    <w:rsid w:val="007E7A38"/>
    <w:rsid w:val="0080286A"/>
    <w:rsid w:val="008200F5"/>
    <w:rsid w:val="0082077F"/>
    <w:rsid w:val="0082308C"/>
    <w:rsid w:val="00823D7D"/>
    <w:rsid w:val="00831DC2"/>
    <w:rsid w:val="008410BB"/>
    <w:rsid w:val="00842348"/>
    <w:rsid w:val="00857D7F"/>
    <w:rsid w:val="008647FE"/>
    <w:rsid w:val="00865036"/>
    <w:rsid w:val="008848B8"/>
    <w:rsid w:val="008976FE"/>
    <w:rsid w:val="008B5B75"/>
    <w:rsid w:val="008D2FC0"/>
    <w:rsid w:val="008E7E5D"/>
    <w:rsid w:val="00921A0D"/>
    <w:rsid w:val="00926385"/>
    <w:rsid w:val="0092677D"/>
    <w:rsid w:val="00934C0B"/>
    <w:rsid w:val="009612C3"/>
    <w:rsid w:val="00964867"/>
    <w:rsid w:val="00974BA6"/>
    <w:rsid w:val="0098333D"/>
    <w:rsid w:val="00994A05"/>
    <w:rsid w:val="009B2D5A"/>
    <w:rsid w:val="009C0445"/>
    <w:rsid w:val="009D7F6A"/>
    <w:rsid w:val="009F2A88"/>
    <w:rsid w:val="00A12E52"/>
    <w:rsid w:val="00A15F32"/>
    <w:rsid w:val="00A207F5"/>
    <w:rsid w:val="00A21EAB"/>
    <w:rsid w:val="00A2246C"/>
    <w:rsid w:val="00A34CF3"/>
    <w:rsid w:val="00A37AA8"/>
    <w:rsid w:val="00A4238A"/>
    <w:rsid w:val="00A70EA5"/>
    <w:rsid w:val="00A75B55"/>
    <w:rsid w:val="00A87057"/>
    <w:rsid w:val="00AA65DB"/>
    <w:rsid w:val="00AC07E2"/>
    <w:rsid w:val="00AC1B20"/>
    <w:rsid w:val="00AF1060"/>
    <w:rsid w:val="00B01C2C"/>
    <w:rsid w:val="00B0215A"/>
    <w:rsid w:val="00B1402A"/>
    <w:rsid w:val="00B5182C"/>
    <w:rsid w:val="00B57761"/>
    <w:rsid w:val="00B624AF"/>
    <w:rsid w:val="00B63FC6"/>
    <w:rsid w:val="00B7445E"/>
    <w:rsid w:val="00B863C6"/>
    <w:rsid w:val="00B9137A"/>
    <w:rsid w:val="00B92F6A"/>
    <w:rsid w:val="00B950A9"/>
    <w:rsid w:val="00B962FD"/>
    <w:rsid w:val="00B96510"/>
    <w:rsid w:val="00BA00D9"/>
    <w:rsid w:val="00BA2B5B"/>
    <w:rsid w:val="00BA4255"/>
    <w:rsid w:val="00BA71EB"/>
    <w:rsid w:val="00BE4C9E"/>
    <w:rsid w:val="00C10380"/>
    <w:rsid w:val="00C1071E"/>
    <w:rsid w:val="00C1181C"/>
    <w:rsid w:val="00C22AC5"/>
    <w:rsid w:val="00C27BA2"/>
    <w:rsid w:val="00C3689D"/>
    <w:rsid w:val="00C37A1E"/>
    <w:rsid w:val="00C40614"/>
    <w:rsid w:val="00C40C4D"/>
    <w:rsid w:val="00C56751"/>
    <w:rsid w:val="00C67704"/>
    <w:rsid w:val="00C7029E"/>
    <w:rsid w:val="00C84C92"/>
    <w:rsid w:val="00CC459A"/>
    <w:rsid w:val="00CD7E32"/>
    <w:rsid w:val="00CE5930"/>
    <w:rsid w:val="00CE746F"/>
    <w:rsid w:val="00D17563"/>
    <w:rsid w:val="00D17E73"/>
    <w:rsid w:val="00D25F89"/>
    <w:rsid w:val="00D31E08"/>
    <w:rsid w:val="00D86E12"/>
    <w:rsid w:val="00D93AE0"/>
    <w:rsid w:val="00DB7038"/>
    <w:rsid w:val="00DD3F96"/>
    <w:rsid w:val="00DF7413"/>
    <w:rsid w:val="00E028DE"/>
    <w:rsid w:val="00E22C04"/>
    <w:rsid w:val="00E30510"/>
    <w:rsid w:val="00E65C48"/>
    <w:rsid w:val="00E7077F"/>
    <w:rsid w:val="00E93613"/>
    <w:rsid w:val="00E94501"/>
    <w:rsid w:val="00EA16A9"/>
    <w:rsid w:val="00EA18B4"/>
    <w:rsid w:val="00EB78EB"/>
    <w:rsid w:val="00EC3F41"/>
    <w:rsid w:val="00EE0D1F"/>
    <w:rsid w:val="00EE56F5"/>
    <w:rsid w:val="00F11BEA"/>
    <w:rsid w:val="00F24298"/>
    <w:rsid w:val="00F33553"/>
    <w:rsid w:val="00F342B3"/>
    <w:rsid w:val="00F504C9"/>
    <w:rsid w:val="00F5618F"/>
    <w:rsid w:val="00F62781"/>
    <w:rsid w:val="00F63203"/>
    <w:rsid w:val="00F70409"/>
    <w:rsid w:val="00F71F92"/>
    <w:rsid w:val="00F822D6"/>
    <w:rsid w:val="00F951EA"/>
    <w:rsid w:val="00FA3CA7"/>
    <w:rsid w:val="00FC2A9E"/>
    <w:rsid w:val="00FD6E39"/>
    <w:rsid w:val="00FE24BC"/>
    <w:rsid w:val="00FE5224"/>
    <w:rsid w:val="00FF037F"/>
    <w:rsid w:val="00FF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B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lang w:eastAsia="ja-JP"/>
    </w:rPr>
  </w:style>
  <w:style w:type="paragraph" w:styleId="Heading1">
    <w:name w:val="heading 1"/>
    <w:basedOn w:val="Normal"/>
    <w:next w:val="Normal"/>
    <w:qFormat/>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qFormat/>
    <w:pPr>
      <w:pBdr>
        <w:bottom w:val="single" w:sz="8" w:space="1" w:color="4F81BD"/>
      </w:pBdr>
      <w:spacing w:before="200" w:after="80"/>
      <w:outlineLvl w:val="1"/>
    </w:pPr>
    <w:rPr>
      <w:color w:val="365F91"/>
      <w:sz w:val="24"/>
      <w:szCs w:val="24"/>
    </w:rPr>
  </w:style>
  <w:style w:type="paragraph" w:styleId="Heading3">
    <w:name w:val="heading 3"/>
    <w:basedOn w:val="Normal"/>
    <w:next w:val="Normal"/>
    <w:qFormat/>
    <w:pPr>
      <w:pBdr>
        <w:bottom w:val="single" w:sz="4" w:space="1" w:color="95B3D7"/>
      </w:pBdr>
      <w:spacing w:before="200" w:after="80"/>
      <w:outlineLvl w:val="2"/>
    </w:pPr>
    <w:rPr>
      <w:color w:val="4F81BD"/>
      <w:sz w:val="24"/>
      <w:szCs w:val="24"/>
    </w:rPr>
  </w:style>
  <w:style w:type="paragraph" w:styleId="Heading4">
    <w:name w:val="heading 4"/>
    <w:basedOn w:val="Normal"/>
    <w:next w:val="Normal"/>
    <w:qFormat/>
    <w:pPr>
      <w:pBdr>
        <w:bottom w:val="single" w:sz="4" w:space="2" w:color="B8CCE4"/>
      </w:pBdr>
      <w:spacing w:before="200" w:after="80"/>
      <w:outlineLvl w:val="3"/>
    </w:pPr>
    <w:rPr>
      <w:i/>
      <w:iCs/>
      <w:color w:val="4F81BD"/>
      <w:sz w:val="24"/>
      <w:szCs w:val="24"/>
    </w:rPr>
  </w:style>
  <w:style w:type="paragraph" w:styleId="Heading5">
    <w:name w:val="heading 5"/>
    <w:basedOn w:val="Normal"/>
    <w:next w:val="Normal"/>
    <w:qFormat/>
    <w:pPr>
      <w:spacing w:before="200" w:after="80"/>
      <w:outlineLvl w:val="4"/>
    </w:pPr>
    <w:rPr>
      <w:color w:val="4F81BD"/>
    </w:rPr>
  </w:style>
  <w:style w:type="paragraph" w:styleId="Heading6">
    <w:name w:val="heading 6"/>
    <w:basedOn w:val="Normal"/>
    <w:next w:val="Normal"/>
    <w:qFormat/>
    <w:pPr>
      <w:spacing w:before="280" w:after="100"/>
      <w:outlineLvl w:val="5"/>
    </w:pPr>
    <w:rPr>
      <w:i/>
      <w:iCs/>
      <w:color w:val="4F81BD"/>
    </w:rPr>
  </w:style>
  <w:style w:type="paragraph" w:styleId="Heading7">
    <w:name w:val="heading 7"/>
    <w:basedOn w:val="Normal"/>
    <w:next w:val="Normal"/>
    <w:qFormat/>
    <w:pPr>
      <w:spacing w:before="320" w:after="100"/>
      <w:outlineLvl w:val="6"/>
    </w:pPr>
    <w:rPr>
      <w:b/>
      <w:bCs/>
      <w:color w:val="9BBB59"/>
    </w:rPr>
  </w:style>
  <w:style w:type="paragraph" w:styleId="Heading8">
    <w:name w:val="heading 8"/>
    <w:basedOn w:val="Normal"/>
    <w:next w:val="Normal"/>
    <w:qFormat/>
    <w:pPr>
      <w:spacing w:before="320" w:after="100"/>
      <w:outlineLvl w:val="7"/>
    </w:pPr>
    <w:rPr>
      <w:b/>
      <w:bCs/>
      <w:i/>
      <w:iCs/>
      <w:color w:val="9BBB59"/>
    </w:rPr>
  </w:style>
  <w:style w:type="paragraph" w:styleId="Heading9">
    <w:name w:val="heading 9"/>
    <w:basedOn w:val="Normal"/>
    <w:next w:val="Normal"/>
    <w:qFormat/>
    <w:pPr>
      <w:spacing w:before="320" w:after="100"/>
      <w:outlineLvl w:val="8"/>
    </w:pPr>
    <w:rPr>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rPr>
      <w:rFonts w:ascii="Times New Roman" w:eastAsia="Times New Roman" w:hAnsi="Times New Roman" w:cs="Times New Roman"/>
      <w:b/>
      <w:bCs/>
      <w:color w:val="365F91"/>
      <w:sz w:val="24"/>
      <w:szCs w:val="24"/>
    </w:rPr>
  </w:style>
  <w:style w:type="character" w:customStyle="1" w:styleId="CharChar15">
    <w:name w:val="Char Char15"/>
    <w:semiHidden/>
    <w:rPr>
      <w:rFonts w:ascii="Times New Roman" w:eastAsia="Times New Roman" w:hAnsi="Times New Roman" w:cs="Times New Roman"/>
      <w:color w:val="365F91"/>
      <w:sz w:val="24"/>
      <w:szCs w:val="24"/>
    </w:rPr>
  </w:style>
  <w:style w:type="character" w:customStyle="1" w:styleId="CharChar14">
    <w:name w:val="Char Char14"/>
    <w:semiHidden/>
    <w:rPr>
      <w:rFonts w:ascii="Times New Roman" w:eastAsia="Times New Roman" w:hAnsi="Times New Roman" w:cs="Times New Roman"/>
      <w:color w:val="4F81BD"/>
      <w:sz w:val="24"/>
      <w:szCs w:val="24"/>
    </w:rPr>
  </w:style>
  <w:style w:type="character" w:customStyle="1" w:styleId="CharChar13">
    <w:name w:val="Char Char13"/>
    <w:semiHidden/>
    <w:rPr>
      <w:rFonts w:ascii="Times New Roman" w:eastAsia="Times New Roman" w:hAnsi="Times New Roman" w:cs="Times New Roman"/>
      <w:i/>
      <w:iCs/>
      <w:color w:val="4F81BD"/>
      <w:sz w:val="24"/>
      <w:szCs w:val="24"/>
    </w:rPr>
  </w:style>
  <w:style w:type="character" w:customStyle="1" w:styleId="CharChar12">
    <w:name w:val="Char Char12"/>
    <w:semiHidden/>
    <w:rPr>
      <w:rFonts w:ascii="Times New Roman" w:eastAsia="Times New Roman" w:hAnsi="Times New Roman" w:cs="Times New Roman"/>
      <w:color w:val="4F81BD"/>
    </w:rPr>
  </w:style>
  <w:style w:type="character" w:customStyle="1" w:styleId="CharChar11">
    <w:name w:val="Char Char11"/>
    <w:semiHidden/>
    <w:rPr>
      <w:rFonts w:ascii="Times New Roman" w:eastAsia="Times New Roman" w:hAnsi="Times New Roman" w:cs="Times New Roman"/>
      <w:i/>
      <w:iCs/>
      <w:color w:val="4F81BD"/>
    </w:rPr>
  </w:style>
  <w:style w:type="character" w:customStyle="1" w:styleId="CharChar10">
    <w:name w:val="Char Char10"/>
    <w:semiHidden/>
    <w:rPr>
      <w:rFonts w:ascii="Times New Roman" w:eastAsia="Times New Roman" w:hAnsi="Times New Roman" w:cs="Times New Roman"/>
      <w:b/>
      <w:bCs/>
      <w:color w:val="9BBB59"/>
      <w:sz w:val="20"/>
      <w:szCs w:val="20"/>
    </w:rPr>
  </w:style>
  <w:style w:type="character" w:customStyle="1" w:styleId="CharChar9">
    <w:name w:val="Char Char9"/>
    <w:semiHidden/>
    <w:rPr>
      <w:rFonts w:ascii="Times New Roman" w:eastAsia="Times New Roman" w:hAnsi="Times New Roman" w:cs="Times New Roman"/>
      <w:b/>
      <w:bCs/>
      <w:i/>
      <w:iCs/>
      <w:color w:val="9BBB59"/>
      <w:sz w:val="20"/>
      <w:szCs w:val="20"/>
    </w:rPr>
  </w:style>
  <w:style w:type="character" w:customStyle="1" w:styleId="CharChar8">
    <w:name w:val="Char Char8"/>
    <w:semiHidden/>
    <w:rPr>
      <w:rFonts w:ascii="Times New Roman" w:eastAsia="Times New Roman" w:hAnsi="Times New Roman"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jc w:val="center"/>
    </w:pPr>
    <w:rPr>
      <w:i/>
      <w:iCs/>
      <w:color w:val="243F60"/>
      <w:sz w:val="60"/>
      <w:szCs w:val="60"/>
    </w:rPr>
  </w:style>
  <w:style w:type="character" w:customStyle="1" w:styleId="CharChar7">
    <w:name w:val="Char Char7"/>
    <w:rPr>
      <w:rFonts w:ascii="Times New Roman" w:eastAsia="Times New Roman" w:hAnsi="Times New Roman" w:cs="Times New Roman"/>
      <w:i/>
      <w:iCs/>
      <w:color w:val="243F60"/>
      <w:sz w:val="60"/>
      <w:szCs w:val="60"/>
    </w:rPr>
  </w:style>
  <w:style w:type="paragraph" w:styleId="Subtitle">
    <w:name w:val="Subtitle"/>
    <w:basedOn w:val="Normal"/>
    <w:next w:val="Normal"/>
    <w:qFormat/>
    <w:pPr>
      <w:spacing w:before="200" w:after="900"/>
      <w:jc w:val="right"/>
    </w:pPr>
    <w:rPr>
      <w:i/>
      <w:iCs/>
      <w:sz w:val="24"/>
      <w:szCs w:val="24"/>
    </w:rPr>
  </w:style>
  <w:style w:type="character" w:customStyle="1" w:styleId="CharChar6">
    <w:name w:val="Char Char6"/>
    <w:rPr>
      <w:rFonts w:ascii="Times New Roman"/>
      <w:i/>
      <w:iCs/>
      <w:sz w:val="24"/>
      <w:szCs w:val="24"/>
    </w:rPr>
  </w:style>
  <w:style w:type="character" w:styleId="Strong">
    <w:name w:val="Strong"/>
    <w:qFormat/>
    <w:rPr>
      <w:b/>
      <w:bCs/>
      <w:spacing w:val="0"/>
    </w:rPr>
  </w:style>
  <w:style w:type="character" w:styleId="Emphasis">
    <w:name w:val="Emphasis"/>
    <w:qFormat/>
    <w:rPr>
      <w:b/>
      <w:bCs/>
      <w:i/>
      <w:iCs/>
      <w:color w:val="5A5A5A"/>
    </w:rPr>
  </w:style>
  <w:style w:type="paragraph" w:styleId="NoSpacing">
    <w:name w:val="No Spacing"/>
    <w:basedOn w:val="Normal"/>
    <w:qFormat/>
  </w:style>
  <w:style w:type="character" w:customStyle="1" w:styleId="NoSpacingChar">
    <w:name w:val="No Spacing Char"/>
    <w:basedOn w:val="DefaultParagraphFont"/>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qFormat/>
    <w:rPr>
      <w:i/>
      <w:iCs/>
      <w:color w:val="5A5A5A"/>
    </w:rPr>
  </w:style>
  <w:style w:type="character" w:customStyle="1" w:styleId="QuoteChar">
    <w:name w:val="Quote Char"/>
    <w:rPr>
      <w:rFonts w:ascii="Times New Roman" w:eastAsia="Times New Roman" w:hAnsi="Times New Roman" w:cs="Times New Roman"/>
      <w:i/>
      <w:iCs/>
      <w:color w:val="5A5A5A"/>
    </w:rPr>
  </w:style>
  <w:style w:type="paragraph" w:customStyle="1" w:styleId="LightShading-Accent21">
    <w:name w:val="Light Shading - Accent 21"/>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rPr>
      <w:rFonts w:ascii="Times New Roman" w:eastAsia="Times New Roman" w:hAnsi="Times New Roman"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qFormat/>
    <w:rPr>
      <w:b/>
      <w:bCs/>
      <w:color w:val="76923C"/>
      <w:u w:val="single" w:color="9BBB59"/>
    </w:rPr>
  </w:style>
  <w:style w:type="character" w:styleId="BookTitle">
    <w:name w:val="Book Title"/>
    <w:qFormat/>
    <w:rPr>
      <w:rFonts w:ascii="Times New Roman" w:eastAsia="Times New Roman" w:hAnsi="Times New Roman" w:cs="Times New Roman"/>
      <w:b/>
      <w:bCs/>
      <w:i/>
      <w:iCs/>
      <w:color w:val="auto"/>
    </w:rPr>
  </w:style>
  <w:style w:type="paragraph" w:styleId="TOCHeading">
    <w:name w:val="TOC Heading"/>
    <w:basedOn w:val="Heading1"/>
    <w:next w:val="Normal"/>
    <w:qFormat/>
    <w:pPr>
      <w:outlineLvl w:val="9"/>
    </w:pPr>
  </w:style>
  <w:style w:type="character" w:customStyle="1" w:styleId="BodyTextFi">
    <w:name w:val="Body Text Fi"/>
  </w:style>
  <w:style w:type="paragraph" w:styleId="Header">
    <w:name w:val="header"/>
    <w:basedOn w:val="Normal"/>
    <w:unhideWhenUsed/>
    <w:pPr>
      <w:tabs>
        <w:tab w:val="center" w:pos="4680"/>
        <w:tab w:val="right" w:pos="9360"/>
      </w:tabs>
    </w:pPr>
  </w:style>
  <w:style w:type="character" w:customStyle="1" w:styleId="CharChar5">
    <w:name w:val="Char Char5"/>
    <w:semiHidden/>
    <w:rPr>
      <w:rFonts w:ascii="Times New Roman" w:eastAsia="Times New Roman" w:hAnsi="Times New Roman" w:cs="Times New Roman"/>
      <w:sz w:val="20"/>
      <w:szCs w:val="20"/>
      <w:lang w:eastAsia="ja-JP" w:bidi="ar-SA"/>
    </w:rPr>
  </w:style>
  <w:style w:type="paragraph" w:styleId="Footer">
    <w:name w:val="footer"/>
    <w:basedOn w:val="Normal"/>
    <w:link w:val="FooterChar"/>
    <w:uiPriority w:val="99"/>
    <w:unhideWhenUsed/>
    <w:pPr>
      <w:tabs>
        <w:tab w:val="center" w:pos="4680"/>
        <w:tab w:val="right" w:pos="9360"/>
      </w:tabs>
    </w:pPr>
  </w:style>
  <w:style w:type="character" w:customStyle="1" w:styleId="CharChar4">
    <w:name w:val="Char Char4"/>
    <w:rPr>
      <w:rFonts w:ascii="Times New Roman" w:eastAsia="Times New Roman" w:hAnsi="Times New Roman" w:cs="Times New Roman"/>
      <w:sz w:val="20"/>
      <w:szCs w:val="20"/>
      <w:lang w:eastAsia="ja-JP" w:bidi="ar-SA"/>
    </w:rPr>
  </w:style>
  <w:style w:type="paragraph" w:styleId="TOC1">
    <w:name w:val="toc 1"/>
    <w:basedOn w:val="Normal"/>
    <w:next w:val="Normal"/>
    <w:autoRedefine/>
    <w:semiHidden/>
    <w:unhideWhenUsed/>
    <w:pPr>
      <w:spacing w:after="100"/>
    </w:pPr>
    <w:rPr>
      <w:sz w:val="24"/>
    </w:rPr>
  </w:style>
  <w:style w:type="character" w:styleId="Hyperlink">
    <w:name w:val="Hyperlink"/>
    <w:uiPriority w:val="99"/>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CharChar3">
    <w:name w:val="Char Char3"/>
    <w:semiHidden/>
    <w:rPr>
      <w:rFonts w:ascii="Tahoma" w:eastAsia="Times New Roman" w:hAnsi="Tahoma" w:cs="Tahoma"/>
      <w:sz w:val="16"/>
      <w:szCs w:val="16"/>
      <w:lang w:eastAsia="ja-JP" w:bidi="ar-SA"/>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widowControl/>
    </w:pPr>
  </w:style>
  <w:style w:type="character" w:customStyle="1" w:styleId="CharChar2">
    <w:name w:val="Char Char2"/>
    <w:semiHidden/>
    <w:rPr>
      <w:rFonts w:ascii="Times New Roman" w:eastAsia="Times New Roman" w:hAnsi="Times New Roman" w:cs="Times New Roman"/>
      <w:sz w:val="20"/>
      <w:szCs w:val="20"/>
      <w:lang w:eastAsia="ja-JP" w:bidi="ar-SA"/>
    </w:rPr>
  </w:style>
  <w:style w:type="character" w:customStyle="1" w:styleId="BulletInden">
    <w:name w:val="Bullet Inden"/>
  </w:style>
  <w:style w:type="character" w:styleId="FootnoteReference">
    <w:name w:val="footnote reference"/>
    <w:semiHidden/>
    <w:rPr>
      <w:vertAlign w:val="superscript"/>
    </w:rPr>
  </w:style>
  <w:style w:type="paragraph" w:styleId="BodyText">
    <w:name w:val="Body Text"/>
    <w:basedOn w:val="Normal"/>
    <w:pPr>
      <w:spacing w:after="120"/>
    </w:pPr>
  </w:style>
  <w:style w:type="character" w:customStyle="1" w:styleId="CharChar1">
    <w:name w:val="Char Char1"/>
    <w:rPr>
      <w:rFonts w:ascii="Times New Roman" w:eastAsia="Times New Roman" w:hAnsi="Times New Roman" w:cs="Times New Roman"/>
      <w:sz w:val="20"/>
      <w:szCs w:val="20"/>
      <w:lang w:eastAsia="ja-JP" w:bidi="ar-SA"/>
    </w:rPr>
  </w:style>
  <w:style w:type="character" w:customStyle="1" w:styleId="TableText">
    <w:name w:val="Table Text"/>
    <w:rPr>
      <w:rFonts w:ascii="Arial" w:hAnsi="Arial"/>
      <w:sz w:val="20"/>
    </w:rPr>
  </w:style>
  <w:style w:type="paragraph" w:customStyle="1" w:styleId="ColorfulShading-Accent11">
    <w:name w:val="Colorful Shading - Accent 11"/>
    <w:hidden/>
    <w:semiHidden/>
    <w:rPr>
      <w:lang w:eastAsia="ja-JP"/>
    </w:rPr>
  </w:style>
  <w:style w:type="paragraph" w:styleId="CommentSubject">
    <w:name w:val="annotation subject"/>
    <w:basedOn w:val="CommentText"/>
    <w:next w:val="CommentText"/>
    <w:semiHidden/>
    <w:unhideWhenUsed/>
    <w:pPr>
      <w:widowControl w:val="0"/>
    </w:pPr>
    <w:rPr>
      <w:b/>
      <w:bCs/>
    </w:rPr>
  </w:style>
  <w:style w:type="character" w:customStyle="1" w:styleId="CharChar">
    <w:name w:val="Char Char"/>
    <w:semiHidden/>
    <w:rPr>
      <w:rFonts w:ascii="Times New Roman" w:eastAsia="Times New Roman" w:hAnsi="Times New Roman" w:cs="Times New Roman"/>
      <w:b/>
      <w:bCs/>
      <w:sz w:val="20"/>
      <w:szCs w:val="20"/>
      <w:lang w:eastAsia="ja-JP" w:bidi="ar-SA"/>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semiHidden/>
    <w:unhideWhenUsed/>
    <w:pPr>
      <w:tabs>
        <w:tab w:val="left" w:pos="720"/>
        <w:tab w:val="left" w:pos="880"/>
        <w:tab w:val="right" w:leader="dot" w:pos="9350"/>
      </w:tabs>
      <w:ind w:left="200"/>
    </w:p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szCs w:val="24"/>
    </w:rPr>
  </w:style>
  <w:style w:type="table" w:styleId="TableGrid">
    <w:name w:val="Table Grid"/>
    <w:basedOn w:val="TableNormal"/>
    <w:rsid w:val="00B6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DB"/>
    <w:pPr>
      <w:widowControl/>
      <w:ind w:left="720"/>
      <w:contextualSpacing/>
    </w:pPr>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0F6CBD"/>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lang w:eastAsia="ja-JP"/>
    </w:rPr>
  </w:style>
  <w:style w:type="paragraph" w:styleId="Heading1">
    <w:name w:val="heading 1"/>
    <w:basedOn w:val="Normal"/>
    <w:next w:val="Normal"/>
    <w:qFormat/>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qFormat/>
    <w:pPr>
      <w:pBdr>
        <w:bottom w:val="single" w:sz="8" w:space="1" w:color="4F81BD"/>
      </w:pBdr>
      <w:spacing w:before="200" w:after="80"/>
      <w:outlineLvl w:val="1"/>
    </w:pPr>
    <w:rPr>
      <w:color w:val="365F91"/>
      <w:sz w:val="24"/>
      <w:szCs w:val="24"/>
    </w:rPr>
  </w:style>
  <w:style w:type="paragraph" w:styleId="Heading3">
    <w:name w:val="heading 3"/>
    <w:basedOn w:val="Normal"/>
    <w:next w:val="Normal"/>
    <w:qFormat/>
    <w:pPr>
      <w:pBdr>
        <w:bottom w:val="single" w:sz="4" w:space="1" w:color="95B3D7"/>
      </w:pBdr>
      <w:spacing w:before="200" w:after="80"/>
      <w:outlineLvl w:val="2"/>
    </w:pPr>
    <w:rPr>
      <w:color w:val="4F81BD"/>
      <w:sz w:val="24"/>
      <w:szCs w:val="24"/>
    </w:rPr>
  </w:style>
  <w:style w:type="paragraph" w:styleId="Heading4">
    <w:name w:val="heading 4"/>
    <w:basedOn w:val="Normal"/>
    <w:next w:val="Normal"/>
    <w:qFormat/>
    <w:pPr>
      <w:pBdr>
        <w:bottom w:val="single" w:sz="4" w:space="2" w:color="B8CCE4"/>
      </w:pBdr>
      <w:spacing w:before="200" w:after="80"/>
      <w:outlineLvl w:val="3"/>
    </w:pPr>
    <w:rPr>
      <w:i/>
      <w:iCs/>
      <w:color w:val="4F81BD"/>
      <w:sz w:val="24"/>
      <w:szCs w:val="24"/>
    </w:rPr>
  </w:style>
  <w:style w:type="paragraph" w:styleId="Heading5">
    <w:name w:val="heading 5"/>
    <w:basedOn w:val="Normal"/>
    <w:next w:val="Normal"/>
    <w:qFormat/>
    <w:pPr>
      <w:spacing w:before="200" w:after="80"/>
      <w:outlineLvl w:val="4"/>
    </w:pPr>
    <w:rPr>
      <w:color w:val="4F81BD"/>
    </w:rPr>
  </w:style>
  <w:style w:type="paragraph" w:styleId="Heading6">
    <w:name w:val="heading 6"/>
    <w:basedOn w:val="Normal"/>
    <w:next w:val="Normal"/>
    <w:qFormat/>
    <w:pPr>
      <w:spacing w:before="280" w:after="100"/>
      <w:outlineLvl w:val="5"/>
    </w:pPr>
    <w:rPr>
      <w:i/>
      <w:iCs/>
      <w:color w:val="4F81BD"/>
    </w:rPr>
  </w:style>
  <w:style w:type="paragraph" w:styleId="Heading7">
    <w:name w:val="heading 7"/>
    <w:basedOn w:val="Normal"/>
    <w:next w:val="Normal"/>
    <w:qFormat/>
    <w:pPr>
      <w:spacing w:before="320" w:after="100"/>
      <w:outlineLvl w:val="6"/>
    </w:pPr>
    <w:rPr>
      <w:b/>
      <w:bCs/>
      <w:color w:val="9BBB59"/>
    </w:rPr>
  </w:style>
  <w:style w:type="paragraph" w:styleId="Heading8">
    <w:name w:val="heading 8"/>
    <w:basedOn w:val="Normal"/>
    <w:next w:val="Normal"/>
    <w:qFormat/>
    <w:pPr>
      <w:spacing w:before="320" w:after="100"/>
      <w:outlineLvl w:val="7"/>
    </w:pPr>
    <w:rPr>
      <w:b/>
      <w:bCs/>
      <w:i/>
      <w:iCs/>
      <w:color w:val="9BBB59"/>
    </w:rPr>
  </w:style>
  <w:style w:type="paragraph" w:styleId="Heading9">
    <w:name w:val="heading 9"/>
    <w:basedOn w:val="Normal"/>
    <w:next w:val="Normal"/>
    <w:qFormat/>
    <w:pPr>
      <w:spacing w:before="320" w:after="100"/>
      <w:outlineLvl w:val="8"/>
    </w:pPr>
    <w:rPr>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rPr>
      <w:rFonts w:ascii="Times New Roman" w:eastAsia="Times New Roman" w:hAnsi="Times New Roman" w:cs="Times New Roman"/>
      <w:b/>
      <w:bCs/>
      <w:color w:val="365F91"/>
      <w:sz w:val="24"/>
      <w:szCs w:val="24"/>
    </w:rPr>
  </w:style>
  <w:style w:type="character" w:customStyle="1" w:styleId="CharChar15">
    <w:name w:val="Char Char15"/>
    <w:semiHidden/>
    <w:rPr>
      <w:rFonts w:ascii="Times New Roman" w:eastAsia="Times New Roman" w:hAnsi="Times New Roman" w:cs="Times New Roman"/>
      <w:color w:val="365F91"/>
      <w:sz w:val="24"/>
      <w:szCs w:val="24"/>
    </w:rPr>
  </w:style>
  <w:style w:type="character" w:customStyle="1" w:styleId="CharChar14">
    <w:name w:val="Char Char14"/>
    <w:semiHidden/>
    <w:rPr>
      <w:rFonts w:ascii="Times New Roman" w:eastAsia="Times New Roman" w:hAnsi="Times New Roman" w:cs="Times New Roman"/>
      <w:color w:val="4F81BD"/>
      <w:sz w:val="24"/>
      <w:szCs w:val="24"/>
    </w:rPr>
  </w:style>
  <w:style w:type="character" w:customStyle="1" w:styleId="CharChar13">
    <w:name w:val="Char Char13"/>
    <w:semiHidden/>
    <w:rPr>
      <w:rFonts w:ascii="Times New Roman" w:eastAsia="Times New Roman" w:hAnsi="Times New Roman" w:cs="Times New Roman"/>
      <w:i/>
      <w:iCs/>
      <w:color w:val="4F81BD"/>
      <w:sz w:val="24"/>
      <w:szCs w:val="24"/>
    </w:rPr>
  </w:style>
  <w:style w:type="character" w:customStyle="1" w:styleId="CharChar12">
    <w:name w:val="Char Char12"/>
    <w:semiHidden/>
    <w:rPr>
      <w:rFonts w:ascii="Times New Roman" w:eastAsia="Times New Roman" w:hAnsi="Times New Roman" w:cs="Times New Roman"/>
      <w:color w:val="4F81BD"/>
    </w:rPr>
  </w:style>
  <w:style w:type="character" w:customStyle="1" w:styleId="CharChar11">
    <w:name w:val="Char Char11"/>
    <w:semiHidden/>
    <w:rPr>
      <w:rFonts w:ascii="Times New Roman" w:eastAsia="Times New Roman" w:hAnsi="Times New Roman" w:cs="Times New Roman"/>
      <w:i/>
      <w:iCs/>
      <w:color w:val="4F81BD"/>
    </w:rPr>
  </w:style>
  <w:style w:type="character" w:customStyle="1" w:styleId="CharChar10">
    <w:name w:val="Char Char10"/>
    <w:semiHidden/>
    <w:rPr>
      <w:rFonts w:ascii="Times New Roman" w:eastAsia="Times New Roman" w:hAnsi="Times New Roman" w:cs="Times New Roman"/>
      <w:b/>
      <w:bCs/>
      <w:color w:val="9BBB59"/>
      <w:sz w:val="20"/>
      <w:szCs w:val="20"/>
    </w:rPr>
  </w:style>
  <w:style w:type="character" w:customStyle="1" w:styleId="CharChar9">
    <w:name w:val="Char Char9"/>
    <w:semiHidden/>
    <w:rPr>
      <w:rFonts w:ascii="Times New Roman" w:eastAsia="Times New Roman" w:hAnsi="Times New Roman" w:cs="Times New Roman"/>
      <w:b/>
      <w:bCs/>
      <w:i/>
      <w:iCs/>
      <w:color w:val="9BBB59"/>
      <w:sz w:val="20"/>
      <w:szCs w:val="20"/>
    </w:rPr>
  </w:style>
  <w:style w:type="character" w:customStyle="1" w:styleId="CharChar8">
    <w:name w:val="Char Char8"/>
    <w:semiHidden/>
    <w:rPr>
      <w:rFonts w:ascii="Times New Roman" w:eastAsia="Times New Roman" w:hAnsi="Times New Roman"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jc w:val="center"/>
    </w:pPr>
    <w:rPr>
      <w:i/>
      <w:iCs/>
      <w:color w:val="243F60"/>
      <w:sz w:val="60"/>
      <w:szCs w:val="60"/>
    </w:rPr>
  </w:style>
  <w:style w:type="character" w:customStyle="1" w:styleId="CharChar7">
    <w:name w:val="Char Char7"/>
    <w:rPr>
      <w:rFonts w:ascii="Times New Roman" w:eastAsia="Times New Roman" w:hAnsi="Times New Roman" w:cs="Times New Roman"/>
      <w:i/>
      <w:iCs/>
      <w:color w:val="243F60"/>
      <w:sz w:val="60"/>
      <w:szCs w:val="60"/>
    </w:rPr>
  </w:style>
  <w:style w:type="paragraph" w:styleId="Subtitle">
    <w:name w:val="Subtitle"/>
    <w:basedOn w:val="Normal"/>
    <w:next w:val="Normal"/>
    <w:qFormat/>
    <w:pPr>
      <w:spacing w:before="200" w:after="900"/>
      <w:jc w:val="right"/>
    </w:pPr>
    <w:rPr>
      <w:i/>
      <w:iCs/>
      <w:sz w:val="24"/>
      <w:szCs w:val="24"/>
    </w:rPr>
  </w:style>
  <w:style w:type="character" w:customStyle="1" w:styleId="CharChar6">
    <w:name w:val="Char Char6"/>
    <w:rPr>
      <w:rFonts w:ascii="Times New Roman"/>
      <w:i/>
      <w:iCs/>
      <w:sz w:val="24"/>
      <w:szCs w:val="24"/>
    </w:rPr>
  </w:style>
  <w:style w:type="character" w:styleId="Strong">
    <w:name w:val="Strong"/>
    <w:qFormat/>
    <w:rPr>
      <w:b/>
      <w:bCs/>
      <w:spacing w:val="0"/>
    </w:rPr>
  </w:style>
  <w:style w:type="character" w:styleId="Emphasis">
    <w:name w:val="Emphasis"/>
    <w:qFormat/>
    <w:rPr>
      <w:b/>
      <w:bCs/>
      <w:i/>
      <w:iCs/>
      <w:color w:val="5A5A5A"/>
    </w:rPr>
  </w:style>
  <w:style w:type="paragraph" w:styleId="NoSpacing">
    <w:name w:val="No Spacing"/>
    <w:basedOn w:val="Normal"/>
    <w:qFormat/>
  </w:style>
  <w:style w:type="character" w:customStyle="1" w:styleId="NoSpacingChar">
    <w:name w:val="No Spacing Char"/>
    <w:basedOn w:val="DefaultParagraphFont"/>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qFormat/>
    <w:rPr>
      <w:i/>
      <w:iCs/>
      <w:color w:val="5A5A5A"/>
    </w:rPr>
  </w:style>
  <w:style w:type="character" w:customStyle="1" w:styleId="QuoteChar">
    <w:name w:val="Quote Char"/>
    <w:rPr>
      <w:rFonts w:ascii="Times New Roman" w:eastAsia="Times New Roman" w:hAnsi="Times New Roman" w:cs="Times New Roman"/>
      <w:i/>
      <w:iCs/>
      <w:color w:val="5A5A5A"/>
    </w:rPr>
  </w:style>
  <w:style w:type="paragraph" w:customStyle="1" w:styleId="LightShading-Accent21">
    <w:name w:val="Light Shading - Accent 21"/>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rPr>
      <w:rFonts w:ascii="Times New Roman" w:eastAsia="Times New Roman" w:hAnsi="Times New Roman"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qFormat/>
    <w:rPr>
      <w:b/>
      <w:bCs/>
      <w:color w:val="76923C"/>
      <w:u w:val="single" w:color="9BBB59"/>
    </w:rPr>
  </w:style>
  <w:style w:type="character" w:styleId="BookTitle">
    <w:name w:val="Book Title"/>
    <w:qFormat/>
    <w:rPr>
      <w:rFonts w:ascii="Times New Roman" w:eastAsia="Times New Roman" w:hAnsi="Times New Roman" w:cs="Times New Roman"/>
      <w:b/>
      <w:bCs/>
      <w:i/>
      <w:iCs/>
      <w:color w:val="auto"/>
    </w:rPr>
  </w:style>
  <w:style w:type="paragraph" w:styleId="TOCHeading">
    <w:name w:val="TOC Heading"/>
    <w:basedOn w:val="Heading1"/>
    <w:next w:val="Normal"/>
    <w:qFormat/>
    <w:pPr>
      <w:outlineLvl w:val="9"/>
    </w:pPr>
  </w:style>
  <w:style w:type="character" w:customStyle="1" w:styleId="BodyTextFi">
    <w:name w:val="Body Text Fi"/>
  </w:style>
  <w:style w:type="paragraph" w:styleId="Header">
    <w:name w:val="header"/>
    <w:basedOn w:val="Normal"/>
    <w:unhideWhenUsed/>
    <w:pPr>
      <w:tabs>
        <w:tab w:val="center" w:pos="4680"/>
        <w:tab w:val="right" w:pos="9360"/>
      </w:tabs>
    </w:pPr>
  </w:style>
  <w:style w:type="character" w:customStyle="1" w:styleId="CharChar5">
    <w:name w:val="Char Char5"/>
    <w:semiHidden/>
    <w:rPr>
      <w:rFonts w:ascii="Times New Roman" w:eastAsia="Times New Roman" w:hAnsi="Times New Roman" w:cs="Times New Roman"/>
      <w:sz w:val="20"/>
      <w:szCs w:val="20"/>
      <w:lang w:eastAsia="ja-JP" w:bidi="ar-SA"/>
    </w:rPr>
  </w:style>
  <w:style w:type="paragraph" w:styleId="Footer">
    <w:name w:val="footer"/>
    <w:basedOn w:val="Normal"/>
    <w:link w:val="FooterChar"/>
    <w:uiPriority w:val="99"/>
    <w:unhideWhenUsed/>
    <w:pPr>
      <w:tabs>
        <w:tab w:val="center" w:pos="4680"/>
        <w:tab w:val="right" w:pos="9360"/>
      </w:tabs>
    </w:pPr>
  </w:style>
  <w:style w:type="character" w:customStyle="1" w:styleId="CharChar4">
    <w:name w:val="Char Char4"/>
    <w:rPr>
      <w:rFonts w:ascii="Times New Roman" w:eastAsia="Times New Roman" w:hAnsi="Times New Roman" w:cs="Times New Roman"/>
      <w:sz w:val="20"/>
      <w:szCs w:val="20"/>
      <w:lang w:eastAsia="ja-JP" w:bidi="ar-SA"/>
    </w:rPr>
  </w:style>
  <w:style w:type="paragraph" w:styleId="TOC1">
    <w:name w:val="toc 1"/>
    <w:basedOn w:val="Normal"/>
    <w:next w:val="Normal"/>
    <w:autoRedefine/>
    <w:semiHidden/>
    <w:unhideWhenUsed/>
    <w:pPr>
      <w:spacing w:after="100"/>
    </w:pPr>
    <w:rPr>
      <w:sz w:val="24"/>
    </w:rPr>
  </w:style>
  <w:style w:type="character" w:styleId="Hyperlink">
    <w:name w:val="Hyperlink"/>
    <w:uiPriority w:val="99"/>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CharChar3">
    <w:name w:val="Char Char3"/>
    <w:semiHidden/>
    <w:rPr>
      <w:rFonts w:ascii="Tahoma" w:eastAsia="Times New Roman" w:hAnsi="Tahoma" w:cs="Tahoma"/>
      <w:sz w:val="16"/>
      <w:szCs w:val="16"/>
      <w:lang w:eastAsia="ja-JP" w:bidi="ar-SA"/>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widowControl/>
    </w:pPr>
  </w:style>
  <w:style w:type="character" w:customStyle="1" w:styleId="CharChar2">
    <w:name w:val="Char Char2"/>
    <w:semiHidden/>
    <w:rPr>
      <w:rFonts w:ascii="Times New Roman" w:eastAsia="Times New Roman" w:hAnsi="Times New Roman" w:cs="Times New Roman"/>
      <w:sz w:val="20"/>
      <w:szCs w:val="20"/>
      <w:lang w:eastAsia="ja-JP" w:bidi="ar-SA"/>
    </w:rPr>
  </w:style>
  <w:style w:type="character" w:customStyle="1" w:styleId="BulletInden">
    <w:name w:val="Bullet Inden"/>
  </w:style>
  <w:style w:type="character" w:styleId="FootnoteReference">
    <w:name w:val="footnote reference"/>
    <w:semiHidden/>
    <w:rPr>
      <w:vertAlign w:val="superscript"/>
    </w:rPr>
  </w:style>
  <w:style w:type="paragraph" w:styleId="BodyText">
    <w:name w:val="Body Text"/>
    <w:basedOn w:val="Normal"/>
    <w:pPr>
      <w:spacing w:after="120"/>
    </w:pPr>
  </w:style>
  <w:style w:type="character" w:customStyle="1" w:styleId="CharChar1">
    <w:name w:val="Char Char1"/>
    <w:rPr>
      <w:rFonts w:ascii="Times New Roman" w:eastAsia="Times New Roman" w:hAnsi="Times New Roman" w:cs="Times New Roman"/>
      <w:sz w:val="20"/>
      <w:szCs w:val="20"/>
      <w:lang w:eastAsia="ja-JP" w:bidi="ar-SA"/>
    </w:rPr>
  </w:style>
  <w:style w:type="character" w:customStyle="1" w:styleId="TableText">
    <w:name w:val="Table Text"/>
    <w:rPr>
      <w:rFonts w:ascii="Arial" w:hAnsi="Arial"/>
      <w:sz w:val="20"/>
    </w:rPr>
  </w:style>
  <w:style w:type="paragraph" w:customStyle="1" w:styleId="ColorfulShading-Accent11">
    <w:name w:val="Colorful Shading - Accent 11"/>
    <w:hidden/>
    <w:semiHidden/>
    <w:rPr>
      <w:lang w:eastAsia="ja-JP"/>
    </w:rPr>
  </w:style>
  <w:style w:type="paragraph" w:styleId="CommentSubject">
    <w:name w:val="annotation subject"/>
    <w:basedOn w:val="CommentText"/>
    <w:next w:val="CommentText"/>
    <w:semiHidden/>
    <w:unhideWhenUsed/>
    <w:pPr>
      <w:widowControl w:val="0"/>
    </w:pPr>
    <w:rPr>
      <w:b/>
      <w:bCs/>
    </w:rPr>
  </w:style>
  <w:style w:type="character" w:customStyle="1" w:styleId="CharChar">
    <w:name w:val="Char Char"/>
    <w:semiHidden/>
    <w:rPr>
      <w:rFonts w:ascii="Times New Roman" w:eastAsia="Times New Roman" w:hAnsi="Times New Roman" w:cs="Times New Roman"/>
      <w:b/>
      <w:bCs/>
      <w:sz w:val="20"/>
      <w:szCs w:val="20"/>
      <w:lang w:eastAsia="ja-JP" w:bidi="ar-SA"/>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semiHidden/>
    <w:unhideWhenUsed/>
    <w:pPr>
      <w:tabs>
        <w:tab w:val="left" w:pos="720"/>
        <w:tab w:val="left" w:pos="880"/>
        <w:tab w:val="right" w:leader="dot" w:pos="9350"/>
      </w:tabs>
      <w:ind w:left="200"/>
    </w:p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szCs w:val="24"/>
    </w:rPr>
  </w:style>
  <w:style w:type="table" w:styleId="TableGrid">
    <w:name w:val="Table Grid"/>
    <w:basedOn w:val="TableNormal"/>
    <w:rsid w:val="00B6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DB"/>
    <w:pPr>
      <w:widowControl/>
      <w:ind w:left="720"/>
      <w:contextualSpacing/>
    </w:pPr>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0F6CBD"/>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41041">
      <w:bodyDiv w:val="1"/>
      <w:marLeft w:val="0"/>
      <w:marRight w:val="0"/>
      <w:marTop w:val="0"/>
      <w:marBottom w:val="0"/>
      <w:divBdr>
        <w:top w:val="none" w:sz="0" w:space="0" w:color="auto"/>
        <w:left w:val="none" w:sz="0" w:space="0" w:color="auto"/>
        <w:bottom w:val="none" w:sz="0" w:space="0" w:color="auto"/>
        <w:right w:val="none" w:sz="0" w:space="0" w:color="auto"/>
      </w:divBdr>
    </w:div>
    <w:div w:id="18521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54.salesforce.com/003j000000LZySz" TargetMode="External"/><Relationship Id="rId13" Type="http://schemas.openxmlformats.org/officeDocument/2006/relationships/hyperlink" Target="mailto:"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gss-fs1\shares\HAB\DPD\DMB\RSR\OMB%20Package%20RSR%20Clearance%202016\ICR\Supporting%20Statement\Drafts\dmartini@clario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argy.robinson@multco.us" TargetMode="External"/><Relationship Id="rId14" Type="http://schemas.openxmlformats.org/officeDocument/2006/relationships/hyperlink" Target="mailto:sfisk@wpah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Links>
    <vt:vector size="36" baseType="variant">
      <vt:variant>
        <vt:i4>5374063</vt:i4>
      </vt:variant>
      <vt:variant>
        <vt:i4>15</vt:i4>
      </vt:variant>
      <vt:variant>
        <vt:i4>0</vt:i4>
      </vt:variant>
      <vt:variant>
        <vt:i4>5</vt:i4>
      </vt:variant>
      <vt:variant>
        <vt:lpwstr>mailto:josegonzalez@cdrewu.edu</vt:lpwstr>
      </vt:variant>
      <vt:variant>
        <vt:lpwstr/>
      </vt:variant>
      <vt:variant>
        <vt:i4>6815815</vt:i4>
      </vt:variant>
      <vt:variant>
        <vt:i4>12</vt:i4>
      </vt:variant>
      <vt:variant>
        <vt:i4>0</vt:i4>
      </vt:variant>
      <vt:variant>
        <vt:i4>5</vt:i4>
      </vt:variant>
      <vt:variant>
        <vt:lpwstr>mailto:lmagagnotti@clarion.edu</vt:lpwstr>
      </vt:variant>
      <vt:variant>
        <vt:lpwstr/>
      </vt:variant>
      <vt:variant>
        <vt:i4>6488073</vt:i4>
      </vt:variant>
      <vt:variant>
        <vt:i4>9</vt:i4>
      </vt:variant>
      <vt:variant>
        <vt:i4>0</vt:i4>
      </vt:variant>
      <vt:variant>
        <vt:i4>5</vt:i4>
      </vt:variant>
      <vt:variant>
        <vt:lpwstr>mailto:kellye.mccartney@arkansas.gov</vt:lpwstr>
      </vt:variant>
      <vt:variant>
        <vt:lpwstr/>
      </vt:variant>
      <vt:variant>
        <vt:i4>1769590</vt:i4>
      </vt:variant>
      <vt:variant>
        <vt:i4>6</vt:i4>
      </vt:variant>
      <vt:variant>
        <vt:i4>0</vt:i4>
      </vt:variant>
      <vt:variant>
        <vt:i4>5</vt:i4>
      </vt:variant>
      <vt:variant>
        <vt:lpwstr>mailto:lawrence.frison@dc.gov</vt:lpwstr>
      </vt:variant>
      <vt:variant>
        <vt:lpwstr/>
      </vt:variant>
      <vt:variant>
        <vt:i4>983103</vt:i4>
      </vt:variant>
      <vt:variant>
        <vt:i4>3</vt:i4>
      </vt:variant>
      <vt:variant>
        <vt:i4>0</vt:i4>
      </vt:variant>
      <vt:variant>
        <vt:i4>5</vt:i4>
      </vt:variant>
      <vt:variant>
        <vt:lpwstr>mailto:fianot@miamidade.gov</vt:lpwstr>
      </vt:variant>
      <vt:variant>
        <vt:lpwstr/>
      </vt:variant>
      <vt:variant>
        <vt:i4>6881345</vt:i4>
      </vt:variant>
      <vt:variant>
        <vt:i4>0</vt:i4>
      </vt:variant>
      <vt:variant>
        <vt:i4>0</vt:i4>
      </vt:variant>
      <vt:variant>
        <vt:i4>5</vt:i4>
      </vt:variant>
      <vt:variant>
        <vt:lpwstr>mailto:wgreen@broward.org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2017-07-19T14:52:00Z</dcterms:created>
  <dcterms:modified xsi:type="dcterms:W3CDTF">2017-07-19T14:52:00Z</dcterms:modified>
</cp:coreProperties>
</file>