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C9" w:rsidRPr="003249C8" w:rsidRDefault="003249C8" w:rsidP="00D756E9">
      <w:pPr>
        <w:pStyle w:val="c2"/>
        <w:tabs>
          <w:tab w:val="left" w:pos="360"/>
          <w:tab w:val="left" w:pos="720"/>
          <w:tab w:val="left" w:pos="1080"/>
          <w:tab w:val="left" w:pos="2568"/>
          <w:tab w:val="left" w:pos="6525"/>
        </w:tabs>
        <w:rPr>
          <w:u w:val="single"/>
        </w:rPr>
      </w:pPr>
      <w:bookmarkStart w:id="0" w:name="_GoBack"/>
      <w:bookmarkEnd w:id="0"/>
      <w:r w:rsidRPr="003C0A74">
        <w:rPr>
          <w:bCs/>
          <w:u w:val="single"/>
        </w:rPr>
        <w:t>SUPPORTING STATEMENT</w:t>
      </w:r>
      <w:r>
        <w:rPr>
          <w:bCs/>
          <w:u w:val="single"/>
        </w:rPr>
        <w:t xml:space="preserve"> </w:t>
      </w:r>
    </w:p>
    <w:p w:rsidR="00D756E9" w:rsidRPr="00D756E9" w:rsidRDefault="00D756E9" w:rsidP="00D756E9">
      <w:pPr>
        <w:tabs>
          <w:tab w:val="left" w:pos="360"/>
          <w:tab w:val="left" w:pos="720"/>
          <w:tab w:val="left" w:pos="1080"/>
        </w:tabs>
        <w:jc w:val="center"/>
        <w:rPr>
          <w:rFonts w:ascii="Times New Roman" w:hAnsi="Times New Roman"/>
          <w:bCs/>
          <w:szCs w:val="24"/>
          <w:u w:val="single"/>
        </w:rPr>
      </w:pPr>
      <w:r w:rsidRPr="00D756E9">
        <w:rPr>
          <w:rFonts w:ascii="Times New Roman" w:hAnsi="Times New Roman"/>
          <w:bCs/>
          <w:szCs w:val="24"/>
          <w:u w:val="single"/>
        </w:rPr>
        <w:t>Defense Federal Acquisition Regulation Supplement (DFARS)</w:t>
      </w:r>
    </w:p>
    <w:p w:rsidR="00555E16" w:rsidRPr="00D756E9" w:rsidRDefault="00D756E9" w:rsidP="00D756E9">
      <w:pPr>
        <w:tabs>
          <w:tab w:val="left" w:pos="360"/>
          <w:tab w:val="left" w:pos="720"/>
          <w:tab w:val="left" w:pos="1080"/>
        </w:tabs>
        <w:jc w:val="center"/>
        <w:rPr>
          <w:rFonts w:ascii="Times New Roman" w:hAnsi="Times New Roman"/>
          <w:bCs/>
          <w:szCs w:val="24"/>
          <w:u w:val="single"/>
        </w:rPr>
      </w:pPr>
      <w:r w:rsidRPr="00D756E9">
        <w:rPr>
          <w:rFonts w:ascii="Times New Roman" w:hAnsi="Times New Roman"/>
          <w:bCs/>
          <w:szCs w:val="24"/>
          <w:u w:val="single"/>
        </w:rPr>
        <w:t>DFARS Subpart 249 – Termination of Contracts</w:t>
      </w:r>
      <w:r w:rsidR="003249C8" w:rsidRPr="00D756E9">
        <w:rPr>
          <w:rFonts w:ascii="Times New Roman" w:hAnsi="Times New Roman"/>
          <w:bCs/>
          <w:szCs w:val="24"/>
          <w:u w:val="single"/>
        </w:rPr>
        <w:t>; OMB Control Number 0704-0</w:t>
      </w:r>
      <w:r w:rsidRPr="00D756E9">
        <w:rPr>
          <w:rFonts w:ascii="Times New Roman" w:hAnsi="Times New Roman"/>
          <w:bCs/>
          <w:szCs w:val="24"/>
          <w:u w:val="single"/>
        </w:rPr>
        <w:t>533</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D756E9" w:rsidRPr="00D756E9" w:rsidRDefault="003249C8" w:rsidP="00D756E9">
      <w:pPr>
        <w:tabs>
          <w:tab w:val="left" w:pos="360"/>
          <w:tab w:val="left" w:pos="630"/>
          <w:tab w:val="left" w:pos="720"/>
          <w:tab w:val="left" w:pos="1080"/>
        </w:tabs>
      </w:pPr>
      <w:r>
        <w:tab/>
      </w:r>
      <w:r w:rsidR="00E71EDB">
        <w:tab/>
      </w:r>
      <w:r w:rsidR="00685A26">
        <w:t xml:space="preserve">This statement supports a request for renewal of a currently approved collection under </w:t>
      </w:r>
      <w:r w:rsidR="00D756E9" w:rsidRPr="00D756E9">
        <w:t>OMB clearance 0704-0533 to cover Defense Federal Acquisition Regulation Supplement (DFARS) part 249, Termination of Contracts, and a related clause at DFARS 252.249-7002, Notification of Anticipated Contract Termination or Reduction.  This clause is prescribed at DFARS 249.7003(c) for inclusion in all contracts under a major defense program.  In accordance with section 1372 of the National Defense Authorization Act for FY 1994 (Pub. L. 103-160) and section 824 of the National Defense Authorization Act for FY 1997 (Pub. L. 104-201), this clause requires contractors, within 60 days after receipt of notice from the contracting officer of anticipated termination or substantial reduction, to provide notice of the anticipated termination or substantial reduction to first-tier subcontractors with a subcontract of $</w:t>
      </w:r>
      <w:r w:rsidR="00A16D45">
        <w:t>700</w:t>
      </w:r>
      <w:r w:rsidR="00D756E9" w:rsidRPr="00D756E9">
        <w:t>,000 or more and requires flowdown to lower-tier subcontractors with a subcontract of $150,000 or more.</w:t>
      </w:r>
    </w:p>
    <w:p w:rsidR="00685A26" w:rsidRDefault="00685A26" w:rsidP="00685A2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EC6070" w:rsidRDefault="00693FCC" w:rsidP="00E71EDB">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685A26" w:rsidRPr="00685A26">
        <w:rPr>
          <w:rFonts w:ascii="Times New Roman" w:hAnsi="Times New Roman"/>
          <w:szCs w:val="24"/>
        </w:rPr>
        <w:t xml:space="preserve">The data </w:t>
      </w:r>
      <w:r w:rsidR="009F1425" w:rsidRPr="009F1425">
        <w:rPr>
          <w:rFonts w:ascii="Times New Roman" w:hAnsi="Times New Roman"/>
          <w:szCs w:val="24"/>
        </w:rPr>
        <w:t>help</w:t>
      </w:r>
      <w:r w:rsidR="009F1425">
        <w:rPr>
          <w:rFonts w:ascii="Times New Roman" w:hAnsi="Times New Roman"/>
          <w:szCs w:val="24"/>
        </w:rPr>
        <w:t>s</w:t>
      </w:r>
      <w:r w:rsidR="009F1425" w:rsidRPr="009F1425">
        <w:rPr>
          <w:rFonts w:ascii="Times New Roman" w:hAnsi="Times New Roman"/>
          <w:szCs w:val="24"/>
        </w:rPr>
        <w:t xml:space="preserve"> establish benefit eligibility under the Job Training Partnership Act (29 U.S.C. 1661 and 1662) for employees of DoD contractors and subcontractors adversely affected by contract termination or substantial reductions under major defense programs.</w:t>
      </w:r>
    </w:p>
    <w:p w:rsidR="009F1425" w:rsidRDefault="009F1425" w:rsidP="00E71EDB">
      <w:pPr>
        <w:tabs>
          <w:tab w:val="left" w:pos="360"/>
          <w:tab w:val="left" w:pos="720"/>
          <w:tab w:val="left" w:pos="1080"/>
        </w:tabs>
        <w:rPr>
          <w:rFonts w:ascii="Times New Roman" w:hAnsi="Times New Roman"/>
          <w:szCs w:val="24"/>
        </w:rPr>
      </w:pPr>
    </w:p>
    <w:p w:rsidR="00F359F8" w:rsidRDefault="00A16D45"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r w:rsidR="00F359F8" w:rsidRPr="003C0A74">
        <w:rPr>
          <w:b/>
          <w:bCs/>
        </w:rPr>
        <w:t xml:space="preserve">  </w:t>
      </w:r>
    </w:p>
    <w:p w:rsidR="00693FCC" w:rsidRDefault="00693FCC" w:rsidP="00E9438C">
      <w:pPr>
        <w:tabs>
          <w:tab w:val="left" w:pos="360"/>
          <w:tab w:val="left" w:pos="720"/>
          <w:tab w:val="left" w:pos="1080"/>
        </w:tabs>
        <w:rPr>
          <w:b/>
          <w:bCs/>
        </w:rPr>
      </w:pPr>
    </w:p>
    <w:p w:rsidR="00693FCC" w:rsidRPr="00693FCC" w:rsidRDefault="00F359F8" w:rsidP="00685A26">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p>
    <w:p w:rsidR="00F359F8" w:rsidRDefault="00F359F8" w:rsidP="00E9438C">
      <w:pPr>
        <w:pStyle w:val="NormalWeb"/>
        <w:tabs>
          <w:tab w:val="left" w:pos="360"/>
          <w:tab w:val="left" w:pos="720"/>
          <w:tab w:val="left" w:pos="1080"/>
          <w:tab w:val="left" w:pos="1440"/>
        </w:tabs>
        <w:spacing w:line="288" w:lineRule="atLeast"/>
      </w:pPr>
      <w:r>
        <w:tab/>
        <w:t xml:space="preserve">4.  </w:t>
      </w:r>
      <w:r>
        <w:rPr>
          <w:u w:val="single"/>
        </w:rPr>
        <w:t>Non-duplication</w:t>
      </w: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Pr="003249C8" w:rsidRDefault="00532889"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 xml:space="preserve">The burden applied to small business is the minimum consistent with applicable laws, Executive orders, regulations and prudent business practices.  Although the information collection requirement does not reduce the burden on small entities, the information is the minimum </w:t>
      </w:r>
      <w:r w:rsidR="009F1425">
        <w:rPr>
          <w:rFonts w:ascii="Times New Roman" w:hAnsi="Times New Roman"/>
          <w:szCs w:val="24"/>
        </w:rPr>
        <w:t>required</w:t>
      </w:r>
      <w:r w:rsidR="00685A26" w:rsidRPr="00685A26">
        <w:rPr>
          <w:rFonts w:ascii="Times New Roman" w:hAnsi="Times New Roman"/>
          <w:szCs w:val="24"/>
        </w:rPr>
        <w:t>.</w:t>
      </w:r>
      <w:r w:rsidR="00693FCC">
        <w:rPr>
          <w:rFonts w:ascii="Times New Roman" w:hAnsi="Times New Roman"/>
          <w:szCs w:val="24"/>
        </w:rPr>
        <w:t xml:space="preserve"> </w:t>
      </w:r>
      <w:r w:rsidR="00F359F8">
        <w:rPr>
          <w:rFonts w:ascii="Times New Roman" w:hAnsi="Times New Roman"/>
          <w:szCs w:val="24"/>
        </w:rPr>
        <w:t xml:space="preserve"> </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RDefault="00532889" w:rsidP="00685A26">
      <w:pPr>
        <w:tabs>
          <w:tab w:val="left" w:pos="360"/>
          <w:tab w:val="left" w:pos="720"/>
          <w:tab w:val="left" w:pos="1080"/>
        </w:tabs>
      </w:pPr>
      <w:r>
        <w:rPr>
          <w:rFonts w:ascii="Times New Roman" w:hAnsi="Times New Roman"/>
          <w:szCs w:val="24"/>
        </w:rPr>
        <w:lastRenderedPageBreak/>
        <w:tab/>
      </w:r>
      <w:r w:rsidR="00685A26">
        <w:rPr>
          <w:rFonts w:ascii="Times New Roman" w:hAnsi="Times New Roman"/>
          <w:szCs w:val="24"/>
        </w:rPr>
        <w:tab/>
      </w:r>
      <w:r w:rsidR="009F1425" w:rsidRPr="009F1425">
        <w:rPr>
          <w:rFonts w:ascii="Times New Roman" w:hAnsi="Times New Roman"/>
          <w:szCs w:val="24"/>
        </w:rPr>
        <w:t>Every attempt has been made to keep the frequency of collection to a minimum.  However, in order to meet the requirements of the statute and fulfill the objectives of providing the information, contractors are required to provide timely notification to subcontractors, upon receipt of notification from the contracting officer.</w:t>
      </w:r>
    </w:p>
    <w:p w:rsidR="002A3308" w:rsidRPr="00B904EA" w:rsidRDefault="009C4E2F" w:rsidP="00E9438C">
      <w:pPr>
        <w:pStyle w:val="NormalWeb"/>
        <w:tabs>
          <w:tab w:val="left" w:pos="360"/>
          <w:tab w:val="left" w:pos="720"/>
          <w:tab w:val="left" w:pos="1080"/>
          <w:tab w:val="left" w:pos="1440"/>
        </w:tabs>
        <w:spacing w:line="288" w:lineRule="atLeast"/>
      </w:pPr>
      <w:r>
        <w:tab/>
      </w:r>
      <w:r w:rsidR="002A3308" w:rsidRPr="00B904EA">
        <w:t xml:space="preserve">7.  </w:t>
      </w:r>
      <w:r w:rsidR="002A3308" w:rsidRPr="00B904EA">
        <w:rPr>
          <w:u w:val="single"/>
        </w:rPr>
        <w:t>Paperwork Reduction Act Guidelines</w:t>
      </w:r>
    </w:p>
    <w:p w:rsidR="006505E8" w:rsidRPr="003249C8" w:rsidRDefault="002A3308" w:rsidP="00E9438C">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85A26">
        <w:rPr>
          <w:rFonts w:ascii="Times New Roman" w:hAnsi="Times New Roman"/>
          <w:szCs w:val="24"/>
        </w:rPr>
        <w:tab/>
      </w:r>
      <w:r w:rsidR="00693FCC" w:rsidRPr="00693FCC">
        <w:t xml:space="preserve">a.  </w:t>
      </w:r>
      <w:r w:rsidR="00685A26">
        <w:t xml:space="preserve">For the purpose of calculating respondent burden, </w:t>
      </w:r>
      <w:r w:rsidR="009F1425">
        <w:t xml:space="preserve">DoD </w:t>
      </w:r>
      <w:r w:rsidR="00685A26">
        <w:t>s</w:t>
      </w:r>
      <w:r w:rsidR="00693FCC" w:rsidRPr="00693FCC">
        <w:t xml:space="preserve">ubject matter experts </w:t>
      </w:r>
      <w:r w:rsidR="00EF1C2E">
        <w:t xml:space="preserve">in Program Acquisition </w:t>
      </w:r>
      <w:r w:rsidR="00685A26">
        <w:t xml:space="preserve">were contacted to obtain current data. </w:t>
      </w:r>
    </w:p>
    <w:p w:rsidR="00182179"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9F1425">
        <w:rPr>
          <w:rFonts w:ascii="Times New Roman" w:hAnsi="Times New Roman"/>
          <w:szCs w:val="24"/>
        </w:rPr>
        <w:t>February</w:t>
      </w:r>
      <w:r w:rsidR="001D5700">
        <w:rPr>
          <w:rFonts w:ascii="Times New Roman" w:hAnsi="Times New Roman"/>
          <w:szCs w:val="24"/>
        </w:rPr>
        <w:t xml:space="preserve"> </w:t>
      </w:r>
      <w:r w:rsidR="00182179">
        <w:rPr>
          <w:rFonts w:ascii="Times New Roman" w:hAnsi="Times New Roman"/>
          <w:szCs w:val="24"/>
        </w:rPr>
        <w:t>7</w:t>
      </w:r>
      <w:r w:rsidR="001D5700">
        <w:rPr>
          <w:rFonts w:ascii="Times New Roman" w:hAnsi="Times New Roman"/>
          <w:szCs w:val="24"/>
        </w:rPr>
        <w:t>, 2018</w:t>
      </w:r>
      <w:r w:rsidR="002A3308" w:rsidRPr="002A3308">
        <w:rPr>
          <w:rFonts w:ascii="Times New Roman" w:hAnsi="Times New Roman"/>
          <w:szCs w:val="24"/>
        </w:rPr>
        <w:t xml:space="preserve"> (</w:t>
      </w:r>
      <w:hyperlink r:id="rId9" w:history="1">
        <w:r w:rsidR="00795939" w:rsidRPr="00DB705D">
          <w:rPr>
            <w:rStyle w:val="Hyperlink"/>
            <w:rFonts w:ascii="Times New Roman" w:hAnsi="Times New Roman"/>
            <w:szCs w:val="24"/>
          </w:rPr>
          <w:t>83</w:t>
        </w:r>
        <w:r w:rsidR="002A3308" w:rsidRPr="00DB705D">
          <w:rPr>
            <w:rStyle w:val="Hyperlink"/>
            <w:rFonts w:ascii="Times New Roman" w:hAnsi="Times New Roman"/>
            <w:szCs w:val="24"/>
          </w:rPr>
          <w:t xml:space="preserve"> FR </w:t>
        </w:r>
        <w:r w:rsidR="00182179" w:rsidRPr="00DB705D">
          <w:rPr>
            <w:rStyle w:val="Hyperlink"/>
            <w:rFonts w:ascii="Times New Roman" w:hAnsi="Times New Roman"/>
            <w:szCs w:val="24"/>
          </w:rPr>
          <w:t>5408</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182179">
        <w:rPr>
          <w:rFonts w:ascii="Times New Roman" w:hAnsi="Times New Roman"/>
          <w:szCs w:val="24"/>
        </w:rPr>
        <w:t>Nine</w:t>
      </w:r>
      <w:r w:rsidR="00440401">
        <w:rPr>
          <w:rFonts w:ascii="Times New Roman" w:hAnsi="Times New Roman"/>
          <w:szCs w:val="24"/>
        </w:rPr>
        <w:t xml:space="preserve"> </w:t>
      </w:r>
      <w:r w:rsidR="00182179">
        <w:rPr>
          <w:rFonts w:ascii="Times New Roman" w:hAnsi="Times New Roman"/>
          <w:szCs w:val="24"/>
        </w:rPr>
        <w:t>comments were received, all of which are outside the scope of this information collection</w:t>
      </w:r>
      <w:r w:rsidR="00DB705D">
        <w:rPr>
          <w:rFonts w:ascii="Times New Roman" w:hAnsi="Times New Roman"/>
          <w:szCs w:val="24"/>
        </w:rPr>
        <w:t xml:space="preserve"> related to termination of contracts</w:t>
      </w:r>
      <w:r w:rsidR="00182179">
        <w:rPr>
          <w:rFonts w:ascii="Times New Roman" w:hAnsi="Times New Roman"/>
          <w:szCs w:val="24"/>
        </w:rPr>
        <w:t xml:space="preserve">.  The </w:t>
      </w:r>
      <w:r w:rsidR="00DB705D">
        <w:rPr>
          <w:rFonts w:ascii="Times New Roman" w:hAnsi="Times New Roman"/>
          <w:szCs w:val="24"/>
        </w:rPr>
        <w:t xml:space="preserve">public </w:t>
      </w:r>
      <w:r w:rsidR="00182179">
        <w:rPr>
          <w:rFonts w:ascii="Times New Roman" w:hAnsi="Times New Roman"/>
          <w:szCs w:val="24"/>
        </w:rPr>
        <w:t>comments addressed:</w:t>
      </w:r>
    </w:p>
    <w:p w:rsidR="00182179" w:rsidRDefault="00182179"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A</w:t>
      </w:r>
      <w:r w:rsidRPr="00182179">
        <w:rPr>
          <w:rFonts w:ascii="Times New Roman" w:hAnsi="Times New Roman"/>
          <w:szCs w:val="24"/>
        </w:rPr>
        <w:t>ir and water quality</w:t>
      </w:r>
      <w:r>
        <w:rPr>
          <w:rFonts w:ascii="Times New Roman" w:hAnsi="Times New Roman"/>
          <w:szCs w:val="24"/>
        </w:rPr>
        <w:t>;</w:t>
      </w:r>
    </w:p>
    <w:p w:rsidR="00182179" w:rsidRDefault="00182179"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sidRPr="00182179">
        <w:rPr>
          <w:rFonts w:ascii="Times New Roman" w:hAnsi="Times New Roman"/>
          <w:szCs w:val="24"/>
        </w:rPr>
        <w:t>Russia’s use of environmental activists to stop American oil and gas exports and pipelines</w:t>
      </w:r>
      <w:r>
        <w:rPr>
          <w:rFonts w:ascii="Times New Roman" w:hAnsi="Times New Roman"/>
          <w:szCs w:val="24"/>
        </w:rPr>
        <w:t>;</w:t>
      </w:r>
    </w:p>
    <w:p w:rsidR="006A193C" w:rsidRDefault="006A193C"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America’s needs for new Tariffs on EU dumping of cars;</w:t>
      </w:r>
    </w:p>
    <w:p w:rsidR="006A193C" w:rsidRDefault="006A193C"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The need for money for budget and American jobs, Training for the Poor Blue Collar worker and restoration of deteriorating infrastructure as a priority;</w:t>
      </w:r>
    </w:p>
    <w:p w:rsidR="002A3308" w:rsidRDefault="00182179"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sidRPr="00182179">
        <w:rPr>
          <w:rFonts w:ascii="Times New Roman" w:hAnsi="Times New Roman"/>
          <w:szCs w:val="24"/>
        </w:rPr>
        <w:t xml:space="preserve">Federal agencies responsibility to ensure regulations they issue do not have an adverse economic impact on those </w:t>
      </w:r>
      <w:r>
        <w:rPr>
          <w:rFonts w:ascii="Times New Roman" w:hAnsi="Times New Roman"/>
          <w:szCs w:val="24"/>
        </w:rPr>
        <w:t>affected by the rules and cited a long list of environmental</w:t>
      </w:r>
      <w:r w:rsidR="006A193C">
        <w:rPr>
          <w:rFonts w:ascii="Times New Roman" w:hAnsi="Times New Roman"/>
          <w:szCs w:val="24"/>
        </w:rPr>
        <w:t xml:space="preserve"> subjects</w:t>
      </w:r>
      <w:r>
        <w:rPr>
          <w:rFonts w:ascii="Times New Roman" w:hAnsi="Times New Roman"/>
          <w:szCs w:val="24"/>
        </w:rPr>
        <w:t xml:space="preserve"> and other regulatory </w:t>
      </w:r>
      <w:r w:rsidR="006A193C">
        <w:rPr>
          <w:rFonts w:ascii="Times New Roman" w:hAnsi="Times New Roman"/>
          <w:szCs w:val="24"/>
        </w:rPr>
        <w:t>areas;</w:t>
      </w:r>
    </w:p>
    <w:p w:rsidR="006A193C" w:rsidRDefault="006A193C"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The Shelby Amendment of November 1999 to make federally funded research data accessible to the public, the Data Quality Act, the Regulatory Flexibility Act and Small Business Regulatory Enforcement Fairness Act analyses required when issuing a rule;</w:t>
      </w:r>
    </w:p>
    <w:p w:rsidR="006A193C" w:rsidRDefault="006A193C"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A discussion of two prior period of “Globe” warming that occurred before the invention of the SUV or human GHG industrial activity;</w:t>
      </w:r>
    </w:p>
    <w:p w:rsidR="006A193C" w:rsidRDefault="006A193C"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 xml:space="preserve">A discussion that extreme events are poor metrics to use for detecting climate change and provided examples; </w:t>
      </w:r>
      <w:r w:rsidR="007A7987">
        <w:rPr>
          <w:rFonts w:ascii="Times New Roman" w:hAnsi="Times New Roman"/>
          <w:szCs w:val="24"/>
        </w:rPr>
        <w:t>and</w:t>
      </w:r>
    </w:p>
    <w:p w:rsidR="007A7987" w:rsidRPr="00182179" w:rsidRDefault="007A7987" w:rsidP="000452DA">
      <w:pPr>
        <w:pStyle w:val="ListParagraph"/>
        <w:numPr>
          <w:ilvl w:val="0"/>
          <w:numId w:val="14"/>
        </w:numPr>
        <w:tabs>
          <w:tab w:val="left" w:pos="360"/>
          <w:tab w:val="left" w:pos="720"/>
          <w:tab w:val="left" w:pos="1800"/>
        </w:tabs>
        <w:overflowPunct/>
        <w:autoSpaceDE/>
        <w:autoSpaceDN/>
        <w:adjustRightInd/>
        <w:spacing w:before="100" w:beforeAutospacing="1" w:after="100" w:afterAutospacing="1" w:line="288" w:lineRule="atLeast"/>
        <w:ind w:left="1620" w:hanging="270"/>
        <w:textAlignment w:val="auto"/>
        <w:rPr>
          <w:rFonts w:ascii="Times New Roman" w:hAnsi="Times New Roman"/>
          <w:szCs w:val="24"/>
        </w:rPr>
      </w:pPr>
      <w:r>
        <w:rPr>
          <w:rFonts w:ascii="Times New Roman" w:hAnsi="Times New Roman"/>
          <w:szCs w:val="24"/>
        </w:rPr>
        <w:t>Section 301 of the Trade Act of 1974 and the authority given to the U.S. Trade Representative to respond to a foreign country’s unfair trade practices.</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9F1425">
        <w:t>April</w:t>
      </w:r>
      <w:r w:rsidR="00440401">
        <w:t xml:space="preserve"> </w:t>
      </w:r>
      <w:r w:rsidR="00B72627">
        <w:t>24</w:t>
      </w:r>
      <w:r w:rsidRPr="00267E5F">
        <w:t>, 201</w:t>
      </w:r>
      <w:r w:rsidR="00440401">
        <w:t>8</w:t>
      </w:r>
      <w:r w:rsidRPr="00267E5F">
        <w:t xml:space="preserve"> (</w:t>
      </w:r>
      <w:hyperlink r:id="rId10" w:history="1">
        <w:r w:rsidR="00B72627" w:rsidRPr="00B72627">
          <w:rPr>
            <w:rStyle w:val="Hyperlink"/>
          </w:rPr>
          <w:t>83</w:t>
        </w:r>
        <w:r w:rsidRPr="00B72627">
          <w:rPr>
            <w:rStyle w:val="Hyperlink"/>
          </w:rPr>
          <w:t xml:space="preserve"> FR </w:t>
        </w:r>
        <w:r w:rsidR="00B72627" w:rsidRPr="00B72627">
          <w:rPr>
            <w:rStyle w:val="Hyperlink"/>
          </w:rPr>
          <w:t>17806</w:t>
        </w:r>
      </w:hyperlink>
      <w:r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2" w:name="cp450"/>
      <w:r>
        <w:lastRenderedPageBreak/>
        <w:tab/>
      </w:r>
      <w:bookmarkEnd w:id="2"/>
      <w:r w:rsidR="00EF1C2E">
        <w:tab/>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9F1425" w:rsidRPr="009F1425" w:rsidRDefault="00382CAF" w:rsidP="009F1425">
      <w:pPr>
        <w:pStyle w:val="NormalWeb"/>
        <w:tabs>
          <w:tab w:val="left" w:pos="360"/>
          <w:tab w:val="left" w:pos="720"/>
          <w:tab w:val="left" w:pos="1080"/>
          <w:tab w:val="left" w:pos="1440"/>
        </w:tabs>
        <w:spacing w:line="288" w:lineRule="atLeast"/>
      </w:pPr>
      <w:r>
        <w:tab/>
      </w:r>
      <w:r>
        <w:tab/>
      </w:r>
      <w:r w:rsidR="009F1425" w:rsidRPr="009F1425">
        <w:t xml:space="preserve">The estimated costs are based on the advice of senior DoD </w:t>
      </w:r>
      <w:r w:rsidR="00EF1C2E">
        <w:t xml:space="preserve">Program Acquisition </w:t>
      </w:r>
      <w:r w:rsidR="009F1425" w:rsidRPr="009F1425">
        <w:t>officials, who estimate that such notification of the termination or substantial reduction in a major defense program does not occur, on the average, more than once or twice per year.  We estimate that a contractor under a major defense program may have an average of 50 subcontractors with subcontracts that are $</w:t>
      </w:r>
      <w:r w:rsidR="00EE2A78">
        <w:t>700</w:t>
      </w:r>
      <w:r w:rsidR="009F1425" w:rsidRPr="009F1425">
        <w:t>,000 or more.  Of those first-tier subcontractors, we estimate that 80 percent of them will have an average of 4 lower-tier subcontractors with subcontracts that are $150,000 or more.  We estimate this takes 2 hours for the first notification and .5 hours per each additional notification.</w:t>
      </w:r>
    </w:p>
    <w:p w:rsidR="000C72E2" w:rsidRDefault="009F1425" w:rsidP="009F1425">
      <w:pPr>
        <w:pStyle w:val="NormalWeb"/>
        <w:tabs>
          <w:tab w:val="left" w:pos="360"/>
          <w:tab w:val="left" w:pos="720"/>
          <w:tab w:val="left" w:pos="1080"/>
          <w:tab w:val="left" w:pos="1440"/>
        </w:tabs>
        <w:spacing w:line="288" w:lineRule="atLeast"/>
        <w:ind w:left="360"/>
      </w:pPr>
      <w:r w:rsidRPr="009F1425">
        <w:t>2 prime contractors x 2 hours per initial notification =</w:t>
      </w:r>
      <w:r>
        <w:tab/>
      </w:r>
      <w:r w:rsidRPr="009F1425">
        <w:t xml:space="preserve"> 4 hours</w:t>
      </w:r>
    </w:p>
    <w:p w:rsidR="009F1425" w:rsidRPr="009F1425" w:rsidRDefault="009F1425" w:rsidP="009F1425">
      <w:pPr>
        <w:pStyle w:val="NormalWeb"/>
        <w:tabs>
          <w:tab w:val="left" w:pos="360"/>
          <w:tab w:val="left" w:pos="720"/>
          <w:tab w:val="left" w:pos="1080"/>
          <w:tab w:val="left" w:pos="1440"/>
        </w:tabs>
        <w:spacing w:line="288" w:lineRule="atLeast"/>
        <w:ind w:left="360"/>
      </w:pPr>
      <w:r w:rsidRPr="009F1425">
        <w:t>2 prime contractors x 49 add</w:t>
      </w:r>
      <w:r w:rsidR="00EE2A78">
        <w:t>itional</w:t>
      </w:r>
      <w:r w:rsidRPr="009F1425">
        <w:t xml:space="preserve"> notifications x .5 = </w:t>
      </w:r>
      <w:r w:rsidRPr="009F1425">
        <w:tab/>
        <w:t xml:space="preserve"> 49 hours</w:t>
      </w:r>
    </w:p>
    <w:p w:rsidR="009F1425" w:rsidRPr="009F1425" w:rsidRDefault="009F1425" w:rsidP="009F1425">
      <w:pPr>
        <w:pStyle w:val="NormalWeb"/>
        <w:tabs>
          <w:tab w:val="left" w:pos="360"/>
          <w:tab w:val="left" w:pos="720"/>
          <w:tab w:val="left" w:pos="1080"/>
          <w:tab w:val="left" w:pos="1440"/>
        </w:tabs>
        <w:spacing w:line="288" w:lineRule="atLeast"/>
        <w:ind w:left="360"/>
      </w:pPr>
      <w:r w:rsidRPr="009F1425">
        <w:t xml:space="preserve">40 subcontractors x 2 hours per initial notification =  </w:t>
      </w:r>
      <w:r>
        <w:tab/>
      </w:r>
      <w:r w:rsidRPr="009F1425">
        <w:t>80 hours</w:t>
      </w:r>
    </w:p>
    <w:p w:rsidR="009F1425" w:rsidRPr="009F1425" w:rsidRDefault="009F1425" w:rsidP="009F1425">
      <w:pPr>
        <w:pStyle w:val="NormalWeb"/>
        <w:tabs>
          <w:tab w:val="left" w:pos="360"/>
          <w:tab w:val="left" w:pos="720"/>
          <w:tab w:val="left" w:pos="1080"/>
          <w:tab w:val="left" w:pos="1440"/>
        </w:tabs>
        <w:spacing w:line="288" w:lineRule="atLeast"/>
        <w:ind w:left="360"/>
      </w:pPr>
      <w:r w:rsidRPr="000C72E2">
        <w:t>40</w:t>
      </w:r>
      <w:r w:rsidRPr="009F1425">
        <w:t xml:space="preserve"> subcontractors x 3 add</w:t>
      </w:r>
      <w:r w:rsidR="00EE2A78">
        <w:t>itional</w:t>
      </w:r>
      <w:r w:rsidRPr="009F1425">
        <w:t xml:space="preserve"> notification x .5 = </w:t>
      </w:r>
      <w:r w:rsidRPr="009F1425">
        <w:tab/>
        <w:t xml:space="preserve"> </w:t>
      </w:r>
      <w:r w:rsidRPr="009F1425">
        <w:rPr>
          <w:u w:val="single"/>
        </w:rPr>
        <w:t>60 hours</w:t>
      </w:r>
    </w:p>
    <w:p w:rsidR="009F1425" w:rsidRPr="009F1425" w:rsidRDefault="00CE7DB3" w:rsidP="009F1425">
      <w:pPr>
        <w:pStyle w:val="NormalWeb"/>
        <w:tabs>
          <w:tab w:val="left" w:pos="360"/>
          <w:tab w:val="left" w:pos="720"/>
          <w:tab w:val="left" w:pos="1080"/>
          <w:tab w:val="left" w:pos="1440"/>
        </w:tabs>
        <w:spacing w:line="288" w:lineRule="atLeast"/>
        <w:ind w:left="360"/>
      </w:pPr>
      <w:r>
        <w:t xml:space="preserve">Totals:  </w:t>
      </w:r>
      <w:r w:rsidR="009F1425" w:rsidRPr="009F1425">
        <w:t>42 respondents</w:t>
      </w:r>
      <w:r>
        <w:t xml:space="preserve"> and</w:t>
      </w:r>
      <w:r w:rsidR="009F1425" w:rsidRPr="009F1425">
        <w:t xml:space="preserve"> 260 notifications</w:t>
      </w:r>
      <w:r>
        <w:t xml:space="preserve"> =</w:t>
      </w:r>
      <w:r w:rsidR="009F1425" w:rsidRPr="009F1425">
        <w:tab/>
      </w:r>
      <w:r w:rsidR="009F1425" w:rsidRPr="009F1425">
        <w:tab/>
        <w:t>193 hours</w:t>
      </w: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CF2C1A" w:rsidRPr="00CF2C1A" w:rsidTr="006E3DA6">
        <w:trPr>
          <w:trHeight w:val="386"/>
        </w:trPr>
        <w:tc>
          <w:tcPr>
            <w:tcW w:w="7290" w:type="dxa"/>
            <w:gridSpan w:val="2"/>
            <w:shd w:val="clear" w:color="auto" w:fill="auto"/>
            <w:vAlign w:val="center"/>
          </w:tcPr>
          <w:p w:rsidR="00CF2C1A" w:rsidRPr="00CF2C1A" w:rsidRDefault="00CF2C1A" w:rsidP="00EE2A78">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EE2A78">
              <w:rPr>
                <w:rFonts w:ascii="Times New Roman" w:hAnsi="Times New Roman"/>
                <w:szCs w:val="24"/>
              </w:rPr>
              <w:t>252.249-7002</w:t>
            </w:r>
          </w:p>
        </w:tc>
      </w:tr>
      <w:tr w:rsidR="00692D47" w:rsidRPr="003D5E0B" w:rsidTr="001D5700">
        <w:trPr>
          <w:trHeight w:val="386"/>
        </w:trPr>
        <w:tc>
          <w:tcPr>
            <w:tcW w:w="5490" w:type="dxa"/>
            <w:shd w:val="clear" w:color="auto" w:fill="auto"/>
            <w:vAlign w:val="center"/>
          </w:tcPr>
          <w:p w:rsidR="00692D47" w:rsidRPr="003D5E0B" w:rsidRDefault="00692D47" w:rsidP="00CE7DB3">
            <w:pPr>
              <w:tabs>
                <w:tab w:val="left" w:pos="360"/>
                <w:tab w:val="left" w:pos="720"/>
                <w:tab w:val="left" w:pos="1080"/>
              </w:tabs>
              <w:rPr>
                <w:rFonts w:ascii="Times New Roman" w:hAnsi="Times New Roman"/>
                <w:szCs w:val="24"/>
              </w:rPr>
            </w:pPr>
            <w:r w:rsidRPr="003D5E0B">
              <w:rPr>
                <w:rFonts w:ascii="Times New Roman" w:hAnsi="Times New Roman"/>
                <w:szCs w:val="24"/>
              </w:rPr>
              <w:t xml:space="preserve">Number of respondents  </w:t>
            </w:r>
          </w:p>
        </w:tc>
        <w:tc>
          <w:tcPr>
            <w:tcW w:w="1800" w:type="dxa"/>
            <w:shd w:val="clear" w:color="auto" w:fill="auto"/>
            <w:vAlign w:val="center"/>
          </w:tcPr>
          <w:p w:rsidR="00692D47" w:rsidRPr="003D5E0B" w:rsidRDefault="009F1425" w:rsidP="00692D47">
            <w:pPr>
              <w:jc w:val="right"/>
            </w:pPr>
            <w:r w:rsidRPr="003D5E0B">
              <w:t>42</w:t>
            </w:r>
          </w:p>
        </w:tc>
      </w:tr>
      <w:tr w:rsidR="00692D47" w:rsidRPr="003D5E0B" w:rsidTr="001D5700">
        <w:trPr>
          <w:trHeight w:val="422"/>
        </w:trPr>
        <w:tc>
          <w:tcPr>
            <w:tcW w:w="5490" w:type="dxa"/>
            <w:shd w:val="clear" w:color="auto" w:fill="auto"/>
            <w:vAlign w:val="center"/>
          </w:tcPr>
          <w:p w:rsidR="00692D47" w:rsidRPr="003D5E0B" w:rsidRDefault="00692D47" w:rsidP="00CE7DB3">
            <w:pPr>
              <w:tabs>
                <w:tab w:val="left" w:pos="360"/>
                <w:tab w:val="left" w:pos="720"/>
                <w:tab w:val="left" w:pos="1080"/>
              </w:tabs>
              <w:rPr>
                <w:rFonts w:ascii="Times New Roman" w:hAnsi="Times New Roman"/>
                <w:szCs w:val="24"/>
              </w:rPr>
            </w:pPr>
            <w:r w:rsidRPr="003D5E0B">
              <w:rPr>
                <w:rFonts w:ascii="Times New Roman" w:hAnsi="Times New Roman"/>
                <w:szCs w:val="24"/>
              </w:rPr>
              <w:t xml:space="preserve">Responses per respondent </w:t>
            </w:r>
          </w:p>
        </w:tc>
        <w:tc>
          <w:tcPr>
            <w:tcW w:w="1800" w:type="dxa"/>
            <w:shd w:val="clear" w:color="auto" w:fill="auto"/>
            <w:vAlign w:val="center"/>
          </w:tcPr>
          <w:p w:rsidR="00692D47" w:rsidRPr="003D5E0B" w:rsidRDefault="009F1425" w:rsidP="00692D47">
            <w:pPr>
              <w:jc w:val="right"/>
            </w:pPr>
            <w:r w:rsidRPr="003D5E0B">
              <w:t>6.19</w:t>
            </w:r>
          </w:p>
        </w:tc>
      </w:tr>
      <w:tr w:rsidR="00692D47" w:rsidRPr="003D5E0B" w:rsidTr="001D5700">
        <w:trPr>
          <w:trHeight w:val="431"/>
        </w:trPr>
        <w:tc>
          <w:tcPr>
            <w:tcW w:w="5490" w:type="dxa"/>
            <w:shd w:val="clear" w:color="auto" w:fill="auto"/>
            <w:vAlign w:val="center"/>
          </w:tcPr>
          <w:p w:rsidR="00692D47" w:rsidRPr="003D5E0B" w:rsidRDefault="00692D47" w:rsidP="00EF1C2E">
            <w:pPr>
              <w:tabs>
                <w:tab w:val="left" w:pos="360"/>
                <w:tab w:val="left" w:pos="720"/>
                <w:tab w:val="left" w:pos="1080"/>
              </w:tabs>
              <w:rPr>
                <w:rFonts w:ascii="Times New Roman" w:hAnsi="Times New Roman"/>
                <w:szCs w:val="24"/>
              </w:rPr>
            </w:pPr>
            <w:r w:rsidRPr="003D5E0B">
              <w:rPr>
                <w:rFonts w:ascii="Times New Roman" w:hAnsi="Times New Roman"/>
                <w:szCs w:val="24"/>
              </w:rPr>
              <w:t xml:space="preserve">Number of responses </w:t>
            </w:r>
          </w:p>
        </w:tc>
        <w:tc>
          <w:tcPr>
            <w:tcW w:w="1800" w:type="dxa"/>
            <w:shd w:val="clear" w:color="auto" w:fill="auto"/>
            <w:vAlign w:val="center"/>
          </w:tcPr>
          <w:p w:rsidR="00692D47" w:rsidRPr="003D5E0B" w:rsidRDefault="009F1425" w:rsidP="00427A3A">
            <w:pPr>
              <w:jc w:val="right"/>
            </w:pPr>
            <w:r w:rsidRPr="003D5E0B">
              <w:t>260</w:t>
            </w:r>
          </w:p>
        </w:tc>
      </w:tr>
      <w:tr w:rsidR="00692D47" w:rsidRPr="003D5E0B" w:rsidTr="001D5700">
        <w:trPr>
          <w:trHeight w:val="440"/>
        </w:trPr>
        <w:tc>
          <w:tcPr>
            <w:tcW w:w="5490" w:type="dxa"/>
            <w:shd w:val="clear" w:color="auto" w:fill="auto"/>
            <w:vAlign w:val="center"/>
          </w:tcPr>
          <w:p w:rsidR="00692D47" w:rsidRPr="003D5E0B" w:rsidRDefault="00692D47" w:rsidP="00EF1C2E">
            <w:pPr>
              <w:tabs>
                <w:tab w:val="left" w:pos="360"/>
                <w:tab w:val="left" w:pos="720"/>
                <w:tab w:val="left" w:pos="1080"/>
              </w:tabs>
              <w:rPr>
                <w:rFonts w:ascii="Times New Roman" w:hAnsi="Times New Roman"/>
                <w:szCs w:val="24"/>
              </w:rPr>
            </w:pPr>
            <w:r w:rsidRPr="003D5E0B">
              <w:rPr>
                <w:rFonts w:ascii="Times New Roman" w:hAnsi="Times New Roman"/>
                <w:szCs w:val="24"/>
              </w:rPr>
              <w:t xml:space="preserve">Hours per response </w:t>
            </w:r>
          </w:p>
        </w:tc>
        <w:tc>
          <w:tcPr>
            <w:tcW w:w="1800" w:type="dxa"/>
            <w:shd w:val="clear" w:color="auto" w:fill="auto"/>
            <w:vAlign w:val="center"/>
          </w:tcPr>
          <w:p w:rsidR="00692D47" w:rsidRPr="003D5E0B" w:rsidRDefault="001D5700" w:rsidP="009F1425">
            <w:pPr>
              <w:jc w:val="right"/>
            </w:pPr>
            <w:r w:rsidRPr="003D5E0B">
              <w:t>0.</w:t>
            </w:r>
            <w:r w:rsidR="009F1425" w:rsidRPr="003D5E0B">
              <w:t>74</w:t>
            </w:r>
          </w:p>
        </w:tc>
      </w:tr>
      <w:tr w:rsidR="00692D47" w:rsidRPr="003D5E0B" w:rsidTr="001D5700">
        <w:trPr>
          <w:trHeight w:val="449"/>
        </w:trPr>
        <w:tc>
          <w:tcPr>
            <w:tcW w:w="5490" w:type="dxa"/>
            <w:shd w:val="clear" w:color="auto" w:fill="auto"/>
            <w:vAlign w:val="center"/>
          </w:tcPr>
          <w:p w:rsidR="00692D47" w:rsidRPr="003D5E0B" w:rsidRDefault="00692D47" w:rsidP="00EF1C2E">
            <w:pPr>
              <w:tabs>
                <w:tab w:val="left" w:pos="360"/>
                <w:tab w:val="left" w:pos="720"/>
                <w:tab w:val="left" w:pos="1080"/>
              </w:tabs>
              <w:rPr>
                <w:rFonts w:ascii="Times New Roman" w:hAnsi="Times New Roman"/>
                <w:szCs w:val="24"/>
              </w:rPr>
            </w:pPr>
            <w:r w:rsidRPr="003D5E0B">
              <w:rPr>
                <w:rFonts w:ascii="Times New Roman" w:hAnsi="Times New Roman"/>
                <w:szCs w:val="24"/>
              </w:rPr>
              <w:t xml:space="preserve">Estimated hours </w:t>
            </w:r>
          </w:p>
        </w:tc>
        <w:tc>
          <w:tcPr>
            <w:tcW w:w="1800" w:type="dxa"/>
            <w:shd w:val="clear" w:color="auto" w:fill="auto"/>
            <w:vAlign w:val="center"/>
          </w:tcPr>
          <w:p w:rsidR="00692D47" w:rsidRPr="003D5E0B" w:rsidRDefault="009F1425" w:rsidP="00692D47">
            <w:pPr>
              <w:jc w:val="right"/>
            </w:pPr>
            <w:r w:rsidRPr="003D5E0B">
              <w:t>193</w:t>
            </w:r>
          </w:p>
        </w:tc>
      </w:tr>
      <w:tr w:rsidR="00692D47" w:rsidRPr="003D5E0B" w:rsidTr="001D5700">
        <w:trPr>
          <w:trHeight w:val="431"/>
        </w:trPr>
        <w:tc>
          <w:tcPr>
            <w:tcW w:w="5490" w:type="dxa"/>
            <w:shd w:val="clear" w:color="auto" w:fill="auto"/>
            <w:vAlign w:val="center"/>
          </w:tcPr>
          <w:p w:rsidR="00692D47" w:rsidRPr="003D5E0B" w:rsidRDefault="00692D47" w:rsidP="00EF1C2E">
            <w:pPr>
              <w:tabs>
                <w:tab w:val="left" w:pos="360"/>
                <w:tab w:val="left" w:pos="720"/>
                <w:tab w:val="left" w:pos="1080"/>
              </w:tabs>
              <w:rPr>
                <w:rFonts w:ascii="Times New Roman" w:hAnsi="Times New Roman"/>
                <w:szCs w:val="24"/>
              </w:rPr>
            </w:pPr>
            <w:r w:rsidRPr="003D5E0B">
              <w:rPr>
                <w:rFonts w:ascii="Times New Roman" w:hAnsi="Times New Roman"/>
                <w:szCs w:val="24"/>
              </w:rPr>
              <w:t xml:space="preserve">Cost per hour (hourly wage) </w:t>
            </w:r>
          </w:p>
        </w:tc>
        <w:tc>
          <w:tcPr>
            <w:tcW w:w="1800" w:type="dxa"/>
            <w:shd w:val="clear" w:color="auto" w:fill="auto"/>
            <w:vAlign w:val="center"/>
          </w:tcPr>
          <w:p w:rsidR="00692D47" w:rsidRPr="003D5E0B" w:rsidRDefault="001D5700" w:rsidP="009F1425">
            <w:pPr>
              <w:jc w:val="right"/>
            </w:pPr>
            <w:r w:rsidRPr="003D5E0B">
              <w:t>$65</w:t>
            </w:r>
          </w:p>
        </w:tc>
      </w:tr>
      <w:tr w:rsidR="00692D47" w:rsidRPr="00CF2C1A" w:rsidTr="001D5700">
        <w:trPr>
          <w:trHeight w:val="440"/>
        </w:trPr>
        <w:tc>
          <w:tcPr>
            <w:tcW w:w="5490" w:type="dxa"/>
            <w:shd w:val="clear" w:color="auto" w:fill="auto"/>
            <w:vAlign w:val="center"/>
          </w:tcPr>
          <w:p w:rsidR="00692D47" w:rsidRPr="003D5E0B" w:rsidRDefault="00692D47" w:rsidP="00EF1C2E">
            <w:pPr>
              <w:tabs>
                <w:tab w:val="left" w:pos="360"/>
                <w:tab w:val="left" w:pos="720"/>
                <w:tab w:val="left" w:pos="1080"/>
              </w:tabs>
              <w:rPr>
                <w:rFonts w:ascii="Times New Roman" w:hAnsi="Times New Roman"/>
                <w:szCs w:val="24"/>
              </w:rPr>
            </w:pPr>
            <w:r w:rsidRPr="003D5E0B">
              <w:rPr>
                <w:rFonts w:ascii="Times New Roman" w:hAnsi="Times New Roman"/>
                <w:szCs w:val="24"/>
              </w:rPr>
              <w:t xml:space="preserve">Annual public burden </w:t>
            </w:r>
          </w:p>
        </w:tc>
        <w:tc>
          <w:tcPr>
            <w:tcW w:w="1800" w:type="dxa"/>
            <w:shd w:val="clear" w:color="auto" w:fill="auto"/>
            <w:vAlign w:val="center"/>
          </w:tcPr>
          <w:p w:rsidR="00692D47" w:rsidRPr="003D5E0B" w:rsidRDefault="001D5700" w:rsidP="00EF1C2E">
            <w:pPr>
              <w:jc w:val="right"/>
            </w:pPr>
            <w:r w:rsidRPr="003D5E0B">
              <w:t>$</w:t>
            </w:r>
            <w:r w:rsidR="00EF1C2E">
              <w:t>12,545</w:t>
            </w:r>
          </w:p>
        </w:tc>
      </w:tr>
    </w:tbl>
    <w:p w:rsidR="00CF2C1A" w:rsidRPr="003249C8" w:rsidRDefault="00CF2C1A" w:rsidP="00E9438C">
      <w:pPr>
        <w:tabs>
          <w:tab w:val="left" w:pos="360"/>
          <w:tab w:val="left" w:pos="720"/>
          <w:tab w:val="left" w:pos="1080"/>
        </w:tabs>
        <w:rPr>
          <w:rFonts w:ascii="Times New Roman" w:hAnsi="Times New Roman"/>
          <w:szCs w:val="24"/>
        </w:rPr>
      </w:pPr>
    </w:p>
    <w:p w:rsidR="005D0B5E" w:rsidRPr="003249C8" w:rsidRDefault="00AE4C7F" w:rsidP="00E9438C">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p>
    <w:p w:rsidR="001F4540" w:rsidRDefault="001F4540" w:rsidP="00E9438C">
      <w:pPr>
        <w:tabs>
          <w:tab w:val="left" w:pos="360"/>
          <w:tab w:val="left" w:pos="720"/>
          <w:tab w:val="left" w:pos="1080"/>
        </w:tabs>
        <w:rPr>
          <w:rFonts w:ascii="Times New Roman" w:hAnsi="Times New Roman"/>
          <w:szCs w:val="24"/>
        </w:rPr>
      </w:pPr>
    </w:p>
    <w:p w:rsidR="00C60CD5" w:rsidRDefault="00CE7DB3"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C60CD5" w:rsidRPr="003C1BED">
        <w:rPr>
          <w:rFonts w:ascii="Times New Roman" w:hAnsi="Times New Roman"/>
          <w:szCs w:val="24"/>
        </w:rPr>
        <w:t>The fully burdened rate of $</w:t>
      </w:r>
      <w:r w:rsidR="00DB3B76">
        <w:rPr>
          <w:rFonts w:ascii="Times New Roman" w:hAnsi="Times New Roman"/>
          <w:szCs w:val="24"/>
        </w:rPr>
        <w:t>65.00</w:t>
      </w:r>
      <w:r w:rsidR="00C60CD5"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00C60CD5" w:rsidRPr="003C1BED">
        <w:rPr>
          <w:rFonts w:ascii="Times New Roman" w:hAnsi="Times New Roman"/>
          <w:szCs w:val="24"/>
        </w:rPr>
        <w:t>201</w:t>
      </w:r>
      <w:r w:rsidR="00DB3B76">
        <w:rPr>
          <w:rFonts w:ascii="Times New Roman" w:hAnsi="Times New Roman"/>
          <w:szCs w:val="24"/>
        </w:rPr>
        <w:t>8</w:t>
      </w:r>
      <w:r w:rsidR="00C60CD5" w:rsidRPr="003C1BED">
        <w:rPr>
          <w:rFonts w:ascii="Times New Roman" w:hAnsi="Times New Roman"/>
          <w:szCs w:val="24"/>
        </w:rPr>
        <w:t xml:space="preserve"> basic hourly salary (</w:t>
      </w:r>
      <w:r w:rsidR="00DB3B76">
        <w:rPr>
          <w:rFonts w:ascii="Times New Roman" w:hAnsi="Times New Roman"/>
          <w:szCs w:val="24"/>
        </w:rPr>
        <w:t>for the rest of U.S.</w:t>
      </w:r>
      <w:r w:rsidR="00C60CD5" w:rsidRPr="003C1BED">
        <w:rPr>
          <w:rFonts w:ascii="Times New Roman" w:hAnsi="Times New Roman"/>
          <w:szCs w:val="24"/>
        </w:rPr>
        <w:t xml:space="preserve"> locality) of $</w:t>
      </w:r>
      <w:r w:rsidR="00DB3B76">
        <w:rPr>
          <w:rFonts w:ascii="Times New Roman" w:hAnsi="Times New Roman"/>
          <w:szCs w:val="24"/>
        </w:rPr>
        <w:t>47.38</w:t>
      </w:r>
      <w:r w:rsidR="00C60CD5" w:rsidRPr="003C1BED">
        <w:rPr>
          <w:rFonts w:ascii="Times New Roman" w:hAnsi="Times New Roman"/>
          <w:szCs w:val="24"/>
        </w:rPr>
        <w:t xml:space="preserve"> for a G</w:t>
      </w:r>
      <w:r w:rsidR="002C730F">
        <w:rPr>
          <w:rFonts w:ascii="Times New Roman" w:hAnsi="Times New Roman"/>
          <w:szCs w:val="24"/>
        </w:rPr>
        <w:t xml:space="preserve">eneral </w:t>
      </w:r>
      <w:r w:rsidR="00C60CD5" w:rsidRPr="003C1BED">
        <w:rPr>
          <w:rFonts w:ascii="Times New Roman" w:hAnsi="Times New Roman"/>
          <w:szCs w:val="24"/>
        </w:rPr>
        <w:t>S</w:t>
      </w:r>
      <w:r w:rsidR="002C730F">
        <w:rPr>
          <w:rFonts w:ascii="Times New Roman" w:hAnsi="Times New Roman"/>
          <w:szCs w:val="24"/>
        </w:rPr>
        <w:t xml:space="preserve">chedule (GS) </w:t>
      </w:r>
      <w:r w:rsidR="00C60CD5" w:rsidRPr="003C1BED">
        <w:rPr>
          <w:rFonts w:ascii="Times New Roman" w:hAnsi="Times New Roman"/>
          <w:szCs w:val="24"/>
        </w:rPr>
        <w:t>1</w:t>
      </w:r>
      <w:r w:rsidR="00DB3B76">
        <w:rPr>
          <w:rFonts w:ascii="Times New Roman" w:hAnsi="Times New Roman"/>
          <w:szCs w:val="24"/>
        </w:rPr>
        <w:t>3</w:t>
      </w:r>
      <w:r w:rsidR="00C60CD5" w:rsidRPr="003C1BED">
        <w:rPr>
          <w:rFonts w:ascii="Times New Roman" w:hAnsi="Times New Roman"/>
          <w:szCs w:val="24"/>
        </w:rPr>
        <w:t xml:space="preserve">, step 5, </w:t>
      </w:r>
      <w:r w:rsidR="002C730F">
        <w:rPr>
          <w:rFonts w:ascii="Times New Roman" w:hAnsi="Times New Roman"/>
          <w:szCs w:val="24"/>
        </w:rPr>
        <w:t xml:space="preserve">employee, </w:t>
      </w:r>
      <w:r w:rsidR="00C60CD5" w:rsidRPr="003C1BED">
        <w:rPr>
          <w:rFonts w:ascii="Times New Roman" w:hAnsi="Times New Roman"/>
          <w:szCs w:val="24"/>
        </w:rPr>
        <w:t xml:space="preserve">plus a burden of 36.25 percent </w:t>
      </w:r>
      <w:r w:rsidR="00C60CD5">
        <w:rPr>
          <w:rFonts w:ascii="Times New Roman" w:hAnsi="Times New Roman"/>
          <w:szCs w:val="24"/>
        </w:rPr>
        <w:t xml:space="preserve">(per </w:t>
      </w:r>
      <w:r w:rsidR="00F90ACB">
        <w:rPr>
          <w:rFonts w:ascii="Times New Roman" w:hAnsi="Times New Roman"/>
          <w:szCs w:val="24"/>
        </w:rPr>
        <w:t>OMB</w:t>
      </w:r>
      <w:r w:rsidR="00C60CD5" w:rsidRPr="003C1BED">
        <w:rPr>
          <w:rFonts w:ascii="Times New Roman" w:hAnsi="Times New Roman"/>
          <w:szCs w:val="24"/>
        </w:rPr>
        <w:t xml:space="preserve"> Circular A-76</w:t>
      </w:r>
      <w:r w:rsidR="00C60CD5">
        <w:rPr>
          <w:rFonts w:ascii="Times New Roman" w:hAnsi="Times New Roman"/>
          <w:szCs w:val="24"/>
        </w:rPr>
        <w:t>, Attachment C)</w:t>
      </w:r>
      <w:r w:rsidR="00C60CD5" w:rsidRPr="003C1BED">
        <w:rPr>
          <w:rFonts w:ascii="Times New Roman" w:hAnsi="Times New Roman"/>
          <w:szCs w:val="24"/>
        </w:rPr>
        <w:t xml:space="preserve">, </w:t>
      </w:r>
      <w:r w:rsidR="00C60CD5">
        <w:rPr>
          <w:rFonts w:ascii="Times New Roman" w:hAnsi="Times New Roman"/>
          <w:szCs w:val="24"/>
        </w:rPr>
        <w:t>which equals $</w:t>
      </w:r>
      <w:r w:rsidR="00DB3B76">
        <w:rPr>
          <w:rFonts w:ascii="Times New Roman" w:hAnsi="Times New Roman"/>
          <w:szCs w:val="24"/>
        </w:rPr>
        <w:t>64.56</w:t>
      </w:r>
      <w:r w:rsidR="00C60CD5">
        <w:rPr>
          <w:rFonts w:ascii="Times New Roman" w:hAnsi="Times New Roman"/>
          <w:szCs w:val="24"/>
        </w:rPr>
        <w:t>.  This rate was rounded to $</w:t>
      </w:r>
      <w:r w:rsidR="00DB3B76">
        <w:rPr>
          <w:rFonts w:ascii="Times New Roman" w:hAnsi="Times New Roman"/>
          <w:szCs w:val="24"/>
        </w:rPr>
        <w:t>65</w:t>
      </w:r>
      <w:r w:rsidR="00C60CD5">
        <w:rPr>
          <w:rFonts w:ascii="Times New Roman" w:hAnsi="Times New Roman"/>
          <w:szCs w:val="24"/>
        </w:rPr>
        <w:t>.00.</w:t>
      </w:r>
    </w:p>
    <w:p w:rsidR="00C60CD5" w:rsidRDefault="00C60CD5" w:rsidP="00C60CD5">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w:t>
      </w:r>
      <w:r w:rsidR="00EF1C2E">
        <w:rPr>
          <w:rFonts w:ascii="Times New Roman" w:hAnsi="Times New Roman"/>
          <w:szCs w:val="24"/>
        </w:rPr>
        <w:t>-</w:t>
      </w:r>
      <w:r w:rsidR="0000491F" w:rsidRPr="003249C8">
        <w:rPr>
          <w:rFonts w:ascii="Times New Roman" w:hAnsi="Times New Roman"/>
          <w:szCs w:val="24"/>
        </w:rPr>
        <w: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EE2A78" w:rsidRDefault="00EE2A78" w:rsidP="00EE2A7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EE2A78">
        <w:rPr>
          <w:rFonts w:ascii="Times New Roman" w:hAnsi="Times New Roman"/>
          <w:szCs w:val="24"/>
        </w:rPr>
        <w:t>DFARS 252.249-7002 requires prime contractors to submit the requested information directly to the subcontractors.  Since the Government does not review or participate in any manner in the transaction, there is no Government burden associated with this requirement.</w:t>
      </w:r>
    </w:p>
    <w:p w:rsidR="00661262" w:rsidRDefault="00661262" w:rsidP="00EE2A78">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7605C9" w:rsidRDefault="002C730F" w:rsidP="003D5E0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w:t>
      </w:r>
      <w:r w:rsidR="00A16D45">
        <w:rPr>
          <w:rFonts w:ascii="Times New Roman" w:hAnsi="Times New Roman"/>
          <w:szCs w:val="24"/>
        </w:rPr>
        <w:t>533</w:t>
      </w:r>
      <w:r w:rsidR="00EF1C2E">
        <w:rPr>
          <w:rFonts w:ascii="Times New Roman" w:hAnsi="Times New Roman"/>
          <w:szCs w:val="24"/>
        </w:rPr>
        <w:t xml:space="preserve"> from the prior renewal</w:t>
      </w:r>
      <w:r w:rsidR="004A7CA5">
        <w:rPr>
          <w:rFonts w:ascii="Times New Roman" w:hAnsi="Times New Roman"/>
          <w:szCs w:val="24"/>
        </w:rPr>
        <w:t xml:space="preserve">.  </w:t>
      </w:r>
      <w:r w:rsidR="00F90ACB" w:rsidRPr="00F90ACB">
        <w:rPr>
          <w:rFonts w:ascii="Times New Roman" w:hAnsi="Times New Roman"/>
          <w:szCs w:val="24"/>
        </w:rPr>
        <w:t xml:space="preserve">The change </w:t>
      </w:r>
      <w:r w:rsidR="003D5E0B">
        <w:rPr>
          <w:rFonts w:ascii="Times New Roman" w:hAnsi="Times New Roman"/>
          <w:szCs w:val="24"/>
        </w:rPr>
        <w:t xml:space="preserve">in estimated cost results from </w:t>
      </w:r>
      <w:r w:rsidR="00EF1C2E">
        <w:rPr>
          <w:rFonts w:ascii="Times New Roman" w:hAnsi="Times New Roman"/>
          <w:szCs w:val="24"/>
        </w:rPr>
        <w:t xml:space="preserve">using </w:t>
      </w:r>
      <w:r w:rsidR="00F90ACB" w:rsidRPr="00F90ACB">
        <w:rPr>
          <w:rFonts w:ascii="Times New Roman" w:hAnsi="Times New Roman"/>
          <w:szCs w:val="24"/>
        </w:rPr>
        <w:t>the current OPM GS hourly labor rates for fiscal year 2018 to calculate the cost per hour.</w:t>
      </w:r>
      <w:r w:rsidR="00F90ACB">
        <w:rPr>
          <w:rFonts w:ascii="Times New Roman" w:hAnsi="Times New Roman"/>
          <w:szCs w:val="24"/>
        </w:rPr>
        <w:t xml:space="preserve"> </w:t>
      </w:r>
    </w:p>
    <w:p w:rsidR="003D5E0B" w:rsidRPr="00C858D7" w:rsidRDefault="003D5E0B" w:rsidP="003D5E0B">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04159F">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664B30"/>
    <w:multiLevelType w:val="hybridMultilevel"/>
    <w:tmpl w:val="8514E79E"/>
    <w:lvl w:ilvl="0" w:tplc="0409001B">
      <w:start w:val="1"/>
      <w:numFmt w:val="lowerRoman"/>
      <w:lvlText w:val="%1."/>
      <w:lvlJc w:val="right"/>
      <w:pPr>
        <w:ind w:left="2220" w:hanging="360"/>
      </w:p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2"/>
  </w:num>
  <w:num w:numId="6">
    <w:abstractNumId w:val="13"/>
  </w:num>
  <w:num w:numId="7">
    <w:abstractNumId w:val="11"/>
  </w:num>
  <w:num w:numId="8">
    <w:abstractNumId w:val="7"/>
  </w:num>
  <w:num w:numId="9">
    <w:abstractNumId w:val="0"/>
  </w:num>
  <w:num w:numId="10">
    <w:abstractNumId w:val="5"/>
  </w:num>
  <w:num w:numId="11">
    <w:abstractNumId w:val="4"/>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159F"/>
    <w:rsid w:val="00042FAC"/>
    <w:rsid w:val="000452DA"/>
    <w:rsid w:val="000462C2"/>
    <w:rsid w:val="00046E87"/>
    <w:rsid w:val="00050816"/>
    <w:rsid w:val="00053D0A"/>
    <w:rsid w:val="00060C91"/>
    <w:rsid w:val="0007581A"/>
    <w:rsid w:val="00081C3A"/>
    <w:rsid w:val="00084787"/>
    <w:rsid w:val="000851CA"/>
    <w:rsid w:val="00090BD1"/>
    <w:rsid w:val="0009357D"/>
    <w:rsid w:val="000971FC"/>
    <w:rsid w:val="00097374"/>
    <w:rsid w:val="00097623"/>
    <w:rsid w:val="000A5E65"/>
    <w:rsid w:val="000B09B0"/>
    <w:rsid w:val="000B3903"/>
    <w:rsid w:val="000C020F"/>
    <w:rsid w:val="000C60C1"/>
    <w:rsid w:val="000C72E2"/>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2179"/>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80620"/>
    <w:rsid w:val="00280DC7"/>
    <w:rsid w:val="00283E87"/>
    <w:rsid w:val="00284099"/>
    <w:rsid w:val="002A3308"/>
    <w:rsid w:val="002A4151"/>
    <w:rsid w:val="002B46A3"/>
    <w:rsid w:val="002C730F"/>
    <w:rsid w:val="002C7FF3"/>
    <w:rsid w:val="002D06CC"/>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5E0B"/>
    <w:rsid w:val="003D7CD7"/>
    <w:rsid w:val="003E0518"/>
    <w:rsid w:val="004120DB"/>
    <w:rsid w:val="004165AA"/>
    <w:rsid w:val="00417CA0"/>
    <w:rsid w:val="00420004"/>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77C0"/>
    <w:rsid w:val="005179D8"/>
    <w:rsid w:val="00520EBC"/>
    <w:rsid w:val="005271A4"/>
    <w:rsid w:val="0053064C"/>
    <w:rsid w:val="0053089F"/>
    <w:rsid w:val="00532889"/>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65F7"/>
    <w:rsid w:val="0060059E"/>
    <w:rsid w:val="00606059"/>
    <w:rsid w:val="00606E0D"/>
    <w:rsid w:val="00610950"/>
    <w:rsid w:val="00630750"/>
    <w:rsid w:val="00640C71"/>
    <w:rsid w:val="006505E8"/>
    <w:rsid w:val="00661262"/>
    <w:rsid w:val="006624E7"/>
    <w:rsid w:val="00672D99"/>
    <w:rsid w:val="00680B8E"/>
    <w:rsid w:val="00681D3E"/>
    <w:rsid w:val="00685A26"/>
    <w:rsid w:val="00691EBA"/>
    <w:rsid w:val="00692D47"/>
    <w:rsid w:val="00693FCC"/>
    <w:rsid w:val="006A193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22B30"/>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987"/>
    <w:rsid w:val="007A7FBD"/>
    <w:rsid w:val="007B7E52"/>
    <w:rsid w:val="007C7E2E"/>
    <w:rsid w:val="007D0B7D"/>
    <w:rsid w:val="007E01E4"/>
    <w:rsid w:val="007E2520"/>
    <w:rsid w:val="007E560E"/>
    <w:rsid w:val="007F58DB"/>
    <w:rsid w:val="00814982"/>
    <w:rsid w:val="00821124"/>
    <w:rsid w:val="0082543F"/>
    <w:rsid w:val="00842061"/>
    <w:rsid w:val="00856834"/>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632A5"/>
    <w:rsid w:val="009634B0"/>
    <w:rsid w:val="00964080"/>
    <w:rsid w:val="009643BA"/>
    <w:rsid w:val="00971EE7"/>
    <w:rsid w:val="0098049A"/>
    <w:rsid w:val="009B355C"/>
    <w:rsid w:val="009B4F6D"/>
    <w:rsid w:val="009B67FC"/>
    <w:rsid w:val="009C0672"/>
    <w:rsid w:val="009C4E2F"/>
    <w:rsid w:val="009C52FF"/>
    <w:rsid w:val="009D0CEA"/>
    <w:rsid w:val="009F0481"/>
    <w:rsid w:val="009F1425"/>
    <w:rsid w:val="009F3865"/>
    <w:rsid w:val="00A059FD"/>
    <w:rsid w:val="00A10ED1"/>
    <w:rsid w:val="00A157D1"/>
    <w:rsid w:val="00A16D45"/>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D0A"/>
    <w:rsid w:val="00B577A0"/>
    <w:rsid w:val="00B611AD"/>
    <w:rsid w:val="00B66FE9"/>
    <w:rsid w:val="00B72627"/>
    <w:rsid w:val="00B7390C"/>
    <w:rsid w:val="00B74378"/>
    <w:rsid w:val="00B76572"/>
    <w:rsid w:val="00B844AC"/>
    <w:rsid w:val="00B87726"/>
    <w:rsid w:val="00B90BB3"/>
    <w:rsid w:val="00B951FC"/>
    <w:rsid w:val="00B96394"/>
    <w:rsid w:val="00BA2538"/>
    <w:rsid w:val="00BA3037"/>
    <w:rsid w:val="00BA5530"/>
    <w:rsid w:val="00BA62C2"/>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3314C"/>
    <w:rsid w:val="00C344CC"/>
    <w:rsid w:val="00C40D4A"/>
    <w:rsid w:val="00C411C5"/>
    <w:rsid w:val="00C425FB"/>
    <w:rsid w:val="00C4532D"/>
    <w:rsid w:val="00C47BD6"/>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E4C81"/>
    <w:rsid w:val="00CE7DB3"/>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756E9"/>
    <w:rsid w:val="00DA126C"/>
    <w:rsid w:val="00DA6A36"/>
    <w:rsid w:val="00DB3B76"/>
    <w:rsid w:val="00DB705D"/>
    <w:rsid w:val="00DC16B4"/>
    <w:rsid w:val="00DD5060"/>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2A78"/>
    <w:rsid w:val="00EE4CE8"/>
    <w:rsid w:val="00EF1C2E"/>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po.gov/fdsys/pkg/FR-2018-04-24/pdf/2018-08552.pdf" TargetMode="External"/><Relationship Id="rId4" Type="http://schemas.microsoft.com/office/2007/relationships/stylesWithEffects" Target="stylesWithEffects.xml"/><Relationship Id="rId9" Type="http://schemas.openxmlformats.org/officeDocument/2006/relationships/hyperlink" Target="https://www.gpo.gov/fdsys/pkg/FR-2018-02-07/pdf/2018-02449.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8B82-6FB5-4C54-8EC2-4D82AB57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2018-04-24T19:12:00Z</dcterms:created>
  <dcterms:modified xsi:type="dcterms:W3CDTF">2018-04-24T19:12:00Z</dcterms:modified>
</cp:coreProperties>
</file>