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35" w:rsidRDefault="00D55935">
      <w:pPr>
        <w:pStyle w:val="Heading1"/>
      </w:pPr>
      <w:bookmarkStart w:id="0" w:name="_GoBack"/>
      <w:bookmarkEnd w:id="0"/>
      <w:r>
        <w:t>OMB Control No. # 693-0031 – NIST Generic Request for Customer Service-Related Data Collections</w:t>
      </w:r>
    </w:p>
    <w:p w:rsidR="00D55935" w:rsidRDefault="00D55935"/>
    <w:p w:rsidR="00D55935" w:rsidRDefault="00D55935">
      <w:pPr>
        <w:tabs>
          <w:tab w:val="center" w:pos="4680"/>
        </w:tabs>
      </w:pPr>
    </w:p>
    <w:p w:rsidR="00D55935" w:rsidRPr="00B65F2D" w:rsidRDefault="00B65F2D">
      <w:pPr>
        <w:tabs>
          <w:tab w:val="center" w:pos="4680"/>
        </w:tabs>
        <w:rPr>
          <w:b/>
        </w:rPr>
      </w:pPr>
      <w:r w:rsidRPr="00B65F2D">
        <w:rPr>
          <w:b/>
        </w:rPr>
        <w:t>NVLAP ASSESSOR QUESTIONNAIRE</w:t>
      </w:r>
    </w:p>
    <w:p w:rsidR="00D55935" w:rsidRDefault="00D55935">
      <w:pPr>
        <w:tabs>
          <w:tab w:val="center" w:pos="4680"/>
        </w:tabs>
      </w:pPr>
    </w:p>
    <w:p w:rsidR="00D55935" w:rsidRDefault="00D55935">
      <w:pPr>
        <w:tabs>
          <w:tab w:val="center" w:pos="4680"/>
        </w:tabs>
        <w:rPr>
          <w:b/>
          <w:bCs/>
          <w:u w:val="single"/>
        </w:rPr>
      </w:pPr>
    </w:p>
    <w:p w:rsidR="00D55935" w:rsidRDefault="00D55935">
      <w:pPr>
        <w:tabs>
          <w:tab w:val="center" w:pos="4680"/>
        </w:tabs>
        <w:rPr>
          <w:b/>
          <w:bCs/>
          <w:u w:val="single"/>
        </w:rPr>
      </w:pPr>
      <w:r>
        <w:rPr>
          <w:b/>
          <w:bCs/>
          <w:u w:val="single"/>
        </w:rPr>
        <w:t>FOUR STANDARD</w:t>
      </w:r>
      <w:r>
        <w:rPr>
          <w:u w:val="single"/>
        </w:rPr>
        <w:t xml:space="preserve"> </w:t>
      </w:r>
      <w:r>
        <w:rPr>
          <w:b/>
          <w:bCs/>
          <w:u w:val="single"/>
        </w:rPr>
        <w:t>SURVEY QUESTIONS</w:t>
      </w:r>
    </w:p>
    <w:p w:rsidR="00D55935" w:rsidRDefault="00D55935">
      <w:pPr>
        <w:tabs>
          <w:tab w:val="center" w:pos="4680"/>
        </w:tabs>
        <w:rPr>
          <w:u w:val="single"/>
        </w:rPr>
      </w:pPr>
    </w:p>
    <w:p w:rsidR="00D55935" w:rsidRDefault="00D55935">
      <w:pPr>
        <w:rPr>
          <w:b/>
          <w:bCs/>
        </w:rPr>
      </w:pPr>
    </w:p>
    <w:p w:rsidR="00D55935" w:rsidRDefault="00D55935">
      <w:pPr>
        <w:rPr>
          <w:b/>
          <w:bCs/>
        </w:rPr>
      </w:pPr>
      <w:r>
        <w:rPr>
          <w:b/>
          <w:bCs/>
        </w:rPr>
        <w:t>1.  Explain who will be surveyed and why the group is appropriate to survey.</w:t>
      </w:r>
    </w:p>
    <w:p w:rsidR="00D55935" w:rsidRDefault="00D55935">
      <w:pPr>
        <w:rPr>
          <w:b/>
          <w:bCs/>
        </w:rPr>
      </w:pPr>
    </w:p>
    <w:p w:rsidR="00D55935" w:rsidRDefault="00B65F2D">
      <w:pPr>
        <w:rPr>
          <w:bCs/>
        </w:rPr>
      </w:pPr>
      <w:r w:rsidRPr="00B65F2D">
        <w:rPr>
          <w:bCs/>
        </w:rPr>
        <w:t>The National Voluntary Laboratory Accreditation Program (NVLAP) accredits testing and calibration laboratories that comply with the NVLAP Procedur</w:t>
      </w:r>
      <w:r w:rsidR="00FD3888">
        <w:rPr>
          <w:bCs/>
        </w:rPr>
        <w:t>es and General Requirements (15 </w:t>
      </w:r>
      <w:r w:rsidRPr="00B65F2D">
        <w:rPr>
          <w:bCs/>
        </w:rPr>
        <w:t>CFR 285).  Each laboratory undergoes an on-site ass</w:t>
      </w:r>
      <w:r w:rsidR="0064414F">
        <w:rPr>
          <w:bCs/>
        </w:rPr>
        <w:t>essment, which is conducted by one or more</w:t>
      </w:r>
      <w:r w:rsidRPr="00B65F2D">
        <w:rPr>
          <w:bCs/>
        </w:rPr>
        <w:t xml:space="preserve"> NVLAP technical assessor</w:t>
      </w:r>
      <w:r w:rsidR="0064414F">
        <w:rPr>
          <w:bCs/>
        </w:rPr>
        <w:t>s</w:t>
      </w:r>
      <w:r w:rsidRPr="00B65F2D">
        <w:rPr>
          <w:bCs/>
        </w:rPr>
        <w:t>.  In accordance with</w:t>
      </w:r>
      <w:r w:rsidR="00E72A42">
        <w:rPr>
          <w:bCs/>
        </w:rPr>
        <w:t xml:space="preserve"> the international standard for accreditation bodies,</w:t>
      </w:r>
      <w:r w:rsidRPr="00B65F2D">
        <w:rPr>
          <w:bCs/>
        </w:rPr>
        <w:t xml:space="preserve"> ISO/IEC </w:t>
      </w:r>
      <w:r w:rsidR="00E72A42">
        <w:rPr>
          <w:bCs/>
        </w:rPr>
        <w:t>17011:2004</w:t>
      </w:r>
      <w:r w:rsidRPr="00B65F2D">
        <w:rPr>
          <w:bCs/>
        </w:rPr>
        <w:t xml:space="preserve">, </w:t>
      </w:r>
      <w:r w:rsidR="00E72A42" w:rsidRPr="00E72A42">
        <w:rPr>
          <w:bCs/>
          <w:i/>
        </w:rPr>
        <w:t>Conformity assessment</w:t>
      </w:r>
      <w:r w:rsidRPr="00E72A42">
        <w:rPr>
          <w:bCs/>
          <w:i/>
        </w:rPr>
        <w:t xml:space="preserve">—General requirements for </w:t>
      </w:r>
      <w:r w:rsidR="00E72A42" w:rsidRPr="00E72A42">
        <w:rPr>
          <w:bCs/>
          <w:i/>
        </w:rPr>
        <w:t>accreditation bodies accrediting conformity assessment bodies</w:t>
      </w:r>
      <w:r w:rsidR="00E72A42">
        <w:rPr>
          <w:bCs/>
        </w:rPr>
        <w:t>, clause 6.3</w:t>
      </w:r>
      <w:r w:rsidRPr="00B65F2D">
        <w:rPr>
          <w:bCs/>
        </w:rPr>
        <w:t xml:space="preserve">, the accreditation body (NVLAP) must </w:t>
      </w:r>
      <w:r w:rsidR="00E72A42">
        <w:rPr>
          <w:bCs/>
        </w:rPr>
        <w:t>establish procedures</w:t>
      </w:r>
      <w:r w:rsidRPr="00B65F2D">
        <w:rPr>
          <w:bCs/>
        </w:rPr>
        <w:t xml:space="preserve"> for monitoring the performance</w:t>
      </w:r>
      <w:r w:rsidR="00E72A42">
        <w:rPr>
          <w:bCs/>
        </w:rPr>
        <w:t xml:space="preserve"> and competence of the technical </w:t>
      </w:r>
      <w:r w:rsidRPr="00B65F2D">
        <w:rPr>
          <w:bCs/>
        </w:rPr>
        <w:t>assessors</w:t>
      </w:r>
      <w:r w:rsidR="00E72A42">
        <w:rPr>
          <w:bCs/>
        </w:rPr>
        <w:t xml:space="preserve"> involved in the assessment process</w:t>
      </w:r>
      <w:r w:rsidRPr="00B65F2D">
        <w:rPr>
          <w:bCs/>
        </w:rPr>
        <w:t xml:space="preserve">.  The </w:t>
      </w:r>
      <w:r w:rsidR="00E72A42">
        <w:rPr>
          <w:bCs/>
        </w:rPr>
        <w:t>Assessor Q</w:t>
      </w:r>
      <w:r w:rsidRPr="00B65F2D">
        <w:rPr>
          <w:bCs/>
        </w:rPr>
        <w:t xml:space="preserve">uestionnaire </w:t>
      </w:r>
      <w:r w:rsidR="00E72A42">
        <w:rPr>
          <w:bCs/>
        </w:rPr>
        <w:t>is</w:t>
      </w:r>
      <w:r w:rsidR="0064414F">
        <w:rPr>
          <w:bCs/>
        </w:rPr>
        <w:t xml:space="preserve"> </w:t>
      </w:r>
      <w:r w:rsidR="004E05E8">
        <w:rPr>
          <w:bCs/>
        </w:rPr>
        <w:t>sent</w:t>
      </w:r>
      <w:r w:rsidR="0064414F">
        <w:rPr>
          <w:bCs/>
        </w:rPr>
        <w:t xml:space="preserve"> to a</w:t>
      </w:r>
      <w:r w:rsidRPr="00B65F2D">
        <w:rPr>
          <w:bCs/>
        </w:rPr>
        <w:t xml:space="preserve"> laboratory following its on-site assessment to determine the laboratory's perception of the assessor's performance.  This </w:t>
      </w:r>
      <w:r w:rsidR="0064414F">
        <w:rPr>
          <w:bCs/>
        </w:rPr>
        <w:t>supports NVLAP’s mission to deliver high-quality, value-driven accreditation services to testing and calibration laboratories</w:t>
      </w:r>
      <w:r w:rsidRPr="00B65F2D">
        <w:rPr>
          <w:bCs/>
        </w:rPr>
        <w:t xml:space="preserve">.  It also ensures that NVLAP fulfills the requirements of </w:t>
      </w:r>
      <w:r w:rsidR="00E72A42" w:rsidRPr="00B65F2D">
        <w:rPr>
          <w:bCs/>
        </w:rPr>
        <w:t xml:space="preserve">ISO/IEC </w:t>
      </w:r>
      <w:r w:rsidR="0064414F">
        <w:rPr>
          <w:bCs/>
        </w:rPr>
        <w:t>170</w:t>
      </w:r>
      <w:r w:rsidR="004E05E8">
        <w:rPr>
          <w:bCs/>
        </w:rPr>
        <w:t xml:space="preserve">11:2004, </w:t>
      </w:r>
      <w:r w:rsidR="0061644E">
        <w:rPr>
          <w:bCs/>
        </w:rPr>
        <w:t xml:space="preserve">with which compliance is </w:t>
      </w:r>
      <w:r w:rsidR="0064414F">
        <w:rPr>
          <w:bCs/>
        </w:rPr>
        <w:t xml:space="preserve">mandatory for NVLAP’s recognition under </w:t>
      </w:r>
      <w:r w:rsidRPr="00B65F2D">
        <w:rPr>
          <w:bCs/>
        </w:rPr>
        <w:t>Mutual Recognition Arrangement</w:t>
      </w:r>
      <w:r w:rsidR="00E72A42">
        <w:rPr>
          <w:bCs/>
        </w:rPr>
        <w:t>s</w:t>
      </w:r>
      <w:r w:rsidRPr="00B65F2D">
        <w:rPr>
          <w:bCs/>
        </w:rPr>
        <w:t xml:space="preserve"> (MRA</w:t>
      </w:r>
      <w:r w:rsidR="00E72A42">
        <w:rPr>
          <w:bCs/>
        </w:rPr>
        <w:t>s</w:t>
      </w:r>
      <w:r w:rsidRPr="00B65F2D">
        <w:rPr>
          <w:bCs/>
        </w:rPr>
        <w:t xml:space="preserve">) with </w:t>
      </w:r>
      <w:r w:rsidR="0064414F">
        <w:rPr>
          <w:bCs/>
        </w:rPr>
        <w:t>ILAC (</w:t>
      </w:r>
      <w:r w:rsidR="00E72A42" w:rsidRPr="00E72A42">
        <w:rPr>
          <w:bCs/>
        </w:rPr>
        <w:t>International Laboratory Accreditation Cooperation</w:t>
      </w:r>
      <w:r w:rsidR="0064414F">
        <w:rPr>
          <w:bCs/>
        </w:rPr>
        <w:t>), APLAC (</w:t>
      </w:r>
      <w:r w:rsidRPr="00B65F2D">
        <w:rPr>
          <w:bCs/>
        </w:rPr>
        <w:t>Asia Pacific Laboratory A</w:t>
      </w:r>
      <w:r w:rsidR="00E72A42">
        <w:rPr>
          <w:bCs/>
        </w:rPr>
        <w:t>ccreditation Cooperation</w:t>
      </w:r>
      <w:r w:rsidR="0064414F">
        <w:rPr>
          <w:bCs/>
        </w:rPr>
        <w:t>)</w:t>
      </w:r>
      <w:r w:rsidR="00871FAB">
        <w:rPr>
          <w:bCs/>
        </w:rPr>
        <w:t xml:space="preserve">, and </w:t>
      </w:r>
      <w:r w:rsidR="0064414F">
        <w:rPr>
          <w:bCs/>
        </w:rPr>
        <w:t>IAAC (</w:t>
      </w:r>
      <w:r w:rsidR="00E72A42" w:rsidRPr="00E72A42">
        <w:rPr>
          <w:bCs/>
        </w:rPr>
        <w:t>Inter American Accreditation Cooperation</w:t>
      </w:r>
      <w:r w:rsidR="0064414F">
        <w:rPr>
          <w:bCs/>
        </w:rPr>
        <w:t>)</w:t>
      </w:r>
      <w:r w:rsidRPr="00B65F2D">
        <w:rPr>
          <w:bCs/>
        </w:rPr>
        <w:t>.</w:t>
      </w:r>
    </w:p>
    <w:p w:rsidR="00B65F2D" w:rsidRPr="00B65F2D" w:rsidRDefault="00B65F2D">
      <w:pPr>
        <w:rPr>
          <w:bCs/>
        </w:rPr>
      </w:pPr>
    </w:p>
    <w:p w:rsidR="00D55935" w:rsidRDefault="00D55935">
      <w:pPr>
        <w:rPr>
          <w:b/>
          <w:bCs/>
        </w:rPr>
      </w:pPr>
      <w:r>
        <w:rPr>
          <w:b/>
          <w:bCs/>
        </w:rPr>
        <w:t>2.  Explain how the survey was developed including consultation with interested parties, pre-testing, and responses to suggestions for improvement.</w:t>
      </w:r>
    </w:p>
    <w:p w:rsidR="00D55935" w:rsidRDefault="00D55935">
      <w:pPr>
        <w:rPr>
          <w:bCs/>
        </w:rPr>
      </w:pPr>
    </w:p>
    <w:p w:rsidR="005D04F2" w:rsidRPr="005D04F2" w:rsidRDefault="005D04F2" w:rsidP="005D04F2">
      <w:pPr>
        <w:rPr>
          <w:bCs/>
        </w:rPr>
      </w:pPr>
      <w:r w:rsidRPr="005D04F2">
        <w:rPr>
          <w:bCs/>
        </w:rPr>
        <w:t xml:space="preserve">Questions in this survey are based upon international auditing guidelines found in ISO </w:t>
      </w:r>
      <w:r>
        <w:rPr>
          <w:bCs/>
        </w:rPr>
        <w:t>19011</w:t>
      </w:r>
      <w:r w:rsidRPr="005D04F2">
        <w:rPr>
          <w:bCs/>
        </w:rPr>
        <w:t xml:space="preserve">, </w:t>
      </w:r>
      <w:r w:rsidRPr="005D04F2">
        <w:rPr>
          <w:bCs/>
          <w:i/>
        </w:rPr>
        <w:t>Guidelines for auditing management systems</w:t>
      </w:r>
      <w:r w:rsidRPr="005D04F2">
        <w:rPr>
          <w:bCs/>
        </w:rPr>
        <w:t xml:space="preserve">, </w:t>
      </w:r>
      <w:r>
        <w:rPr>
          <w:bCs/>
        </w:rPr>
        <w:t xml:space="preserve">ILAC-G11, </w:t>
      </w:r>
      <w:r w:rsidRPr="005D04F2">
        <w:rPr>
          <w:bCs/>
          <w:i/>
        </w:rPr>
        <w:t>ILAC Guidelines on Qualifications and</w:t>
      </w:r>
      <w:r>
        <w:rPr>
          <w:bCs/>
          <w:i/>
        </w:rPr>
        <w:t xml:space="preserve"> </w:t>
      </w:r>
      <w:r w:rsidRPr="005D04F2">
        <w:rPr>
          <w:bCs/>
          <w:i/>
        </w:rPr>
        <w:t>Competence of Assessors and</w:t>
      </w:r>
      <w:r>
        <w:rPr>
          <w:bCs/>
          <w:i/>
        </w:rPr>
        <w:t xml:space="preserve"> </w:t>
      </w:r>
      <w:r w:rsidRPr="005D04F2">
        <w:rPr>
          <w:bCs/>
          <w:i/>
        </w:rPr>
        <w:t>Technical Experts</w:t>
      </w:r>
      <w:r w:rsidRPr="005D04F2">
        <w:rPr>
          <w:bCs/>
        </w:rPr>
        <w:t xml:space="preserve">, as well as the requirements for assessors set forth in ISO/IEC </w:t>
      </w:r>
      <w:r>
        <w:rPr>
          <w:bCs/>
        </w:rPr>
        <w:t>17011, 6.2</w:t>
      </w:r>
      <w:r w:rsidRPr="005D04F2">
        <w:rPr>
          <w:bCs/>
        </w:rPr>
        <w:t xml:space="preserve">.  The criteria </w:t>
      </w:r>
      <w:r w:rsidR="009637A5">
        <w:rPr>
          <w:bCs/>
        </w:rPr>
        <w:t>that NVLAP uses</w:t>
      </w:r>
      <w:r w:rsidRPr="005D04F2">
        <w:rPr>
          <w:bCs/>
        </w:rPr>
        <w:t xml:space="preserve"> for the selection</w:t>
      </w:r>
      <w:r w:rsidR="009637A5">
        <w:rPr>
          <w:bCs/>
        </w:rPr>
        <w:t xml:space="preserve"> and qualification</w:t>
      </w:r>
      <w:r w:rsidRPr="005D04F2">
        <w:rPr>
          <w:bCs/>
        </w:rPr>
        <w:t xml:space="preserve"> of NVLAP assessors were also considered during the development of the survey.  NVLAP </w:t>
      </w:r>
      <w:r w:rsidR="009637A5">
        <w:rPr>
          <w:bCs/>
        </w:rPr>
        <w:t>believes that the</w:t>
      </w:r>
      <w:r w:rsidRPr="005D04F2">
        <w:rPr>
          <w:bCs/>
        </w:rPr>
        <w:t xml:space="preserve"> </w:t>
      </w:r>
      <w:r w:rsidR="009637A5">
        <w:rPr>
          <w:bCs/>
        </w:rPr>
        <w:t xml:space="preserve">survey </w:t>
      </w:r>
      <w:r w:rsidRPr="005D04F2">
        <w:rPr>
          <w:bCs/>
        </w:rPr>
        <w:t xml:space="preserve">questions </w:t>
      </w:r>
      <w:r w:rsidR="006B4959">
        <w:rPr>
          <w:bCs/>
        </w:rPr>
        <w:t xml:space="preserve">satisfactorily </w:t>
      </w:r>
      <w:r w:rsidRPr="005D04F2">
        <w:rPr>
          <w:bCs/>
        </w:rPr>
        <w:t>cover the critical performance areas to be monitored</w:t>
      </w:r>
      <w:r w:rsidR="006B4959">
        <w:rPr>
          <w:bCs/>
        </w:rPr>
        <w:t xml:space="preserve"> and serve as a simple tool for the ongoing monitoring of assessor performance</w:t>
      </w:r>
      <w:r w:rsidRPr="005D04F2">
        <w:rPr>
          <w:bCs/>
        </w:rPr>
        <w:t>.</w:t>
      </w:r>
    </w:p>
    <w:p w:rsidR="00D55935" w:rsidRDefault="00D55935">
      <w:pPr>
        <w:rPr>
          <w:b/>
          <w:bCs/>
        </w:rPr>
      </w:pPr>
    </w:p>
    <w:p w:rsidR="00D55935" w:rsidRDefault="00D55935">
      <w:pPr>
        <w:rPr>
          <w:b/>
          <w:bCs/>
        </w:rPr>
      </w:pPr>
      <w:r>
        <w:rPr>
          <w:b/>
          <w:bCs/>
        </w:rPr>
        <w:t>3.  Explain how the survey will be conducted, how customers will be sampled if fewer than all customers will be surveyed, expected response rate, and actions your agency plans to take to improve the response rate.</w:t>
      </w:r>
    </w:p>
    <w:p w:rsidR="00D55935" w:rsidRDefault="00D55935">
      <w:pPr>
        <w:rPr>
          <w:bCs/>
        </w:rPr>
      </w:pPr>
    </w:p>
    <w:p w:rsidR="001446C1" w:rsidRPr="00FB0E8D" w:rsidRDefault="00FB0E8D" w:rsidP="001854B9">
      <w:pPr>
        <w:widowControl/>
        <w:rPr>
          <w:bCs/>
        </w:rPr>
      </w:pPr>
      <w:r w:rsidRPr="00FB0E8D">
        <w:rPr>
          <w:bCs/>
        </w:rPr>
        <w:lastRenderedPageBreak/>
        <w:t>Assessor Questionnaire</w:t>
      </w:r>
      <w:r w:rsidR="004E05E8">
        <w:rPr>
          <w:bCs/>
        </w:rPr>
        <w:t>s are emailed monthly to the laboratories</w:t>
      </w:r>
      <w:r w:rsidR="004E05E8" w:rsidRPr="004E05E8">
        <w:rPr>
          <w:bCs/>
        </w:rPr>
        <w:t xml:space="preserve"> </w:t>
      </w:r>
      <w:r w:rsidR="004E05E8" w:rsidRPr="00FB0E8D">
        <w:rPr>
          <w:bCs/>
        </w:rPr>
        <w:t xml:space="preserve">receiving </w:t>
      </w:r>
      <w:r w:rsidR="004E05E8">
        <w:rPr>
          <w:bCs/>
        </w:rPr>
        <w:t xml:space="preserve">on-site </w:t>
      </w:r>
      <w:r w:rsidR="004E05E8" w:rsidRPr="00FB0E8D">
        <w:rPr>
          <w:bCs/>
        </w:rPr>
        <w:t>asses</w:t>
      </w:r>
      <w:r w:rsidR="004E05E8">
        <w:rPr>
          <w:bCs/>
        </w:rPr>
        <w:t xml:space="preserve">sments during the prior month. </w:t>
      </w:r>
      <w:r w:rsidRPr="00FB0E8D">
        <w:rPr>
          <w:bCs/>
        </w:rPr>
        <w:t>On-site assessments are conducted before an initial laboratory accreditation</w:t>
      </w:r>
      <w:r w:rsidR="00257472">
        <w:rPr>
          <w:bCs/>
        </w:rPr>
        <w:t>, during the first renewal year,</w:t>
      </w:r>
      <w:r w:rsidRPr="00FB0E8D">
        <w:rPr>
          <w:bCs/>
        </w:rPr>
        <w:t xml:space="preserve"> and every</w:t>
      </w:r>
      <w:r w:rsidR="00257472">
        <w:rPr>
          <w:bCs/>
        </w:rPr>
        <w:t xml:space="preserve"> </w:t>
      </w:r>
      <w:r w:rsidRPr="00FB0E8D">
        <w:rPr>
          <w:bCs/>
        </w:rPr>
        <w:t>two years thereafter</w:t>
      </w:r>
      <w:r w:rsidR="00593D9F">
        <w:rPr>
          <w:bCs/>
        </w:rPr>
        <w:t xml:space="preserve">.  </w:t>
      </w:r>
      <w:r w:rsidRPr="00FB0E8D">
        <w:rPr>
          <w:bCs/>
        </w:rPr>
        <w:t>NVLAP rotates assessors among the laboratories; therefore, laboratories will not evaluate the same assessor after every assessment.</w:t>
      </w:r>
      <w:r w:rsidR="001854B9">
        <w:rPr>
          <w:bCs/>
        </w:rPr>
        <w:t xml:space="preserve"> </w:t>
      </w:r>
      <w:r w:rsidR="001446C1">
        <w:rPr>
          <w:bCs/>
        </w:rPr>
        <w:t>All laboratories who undergo an on-site assessment have an opportunity to complete the questionnaire; therefore, there is no sampling.</w:t>
      </w:r>
    </w:p>
    <w:p w:rsidR="00FB0E8D" w:rsidRPr="00FB0E8D" w:rsidRDefault="00FB0E8D" w:rsidP="00FB0E8D">
      <w:pPr>
        <w:rPr>
          <w:bCs/>
        </w:rPr>
      </w:pPr>
    </w:p>
    <w:p w:rsidR="00FB0E8D" w:rsidRPr="00FB0E8D" w:rsidRDefault="001854B9" w:rsidP="00257472">
      <w:pPr>
        <w:rPr>
          <w:bCs/>
        </w:rPr>
      </w:pPr>
      <w:r>
        <w:rPr>
          <w:bCs/>
        </w:rPr>
        <w:t>In FY15 NVLAP launch</w:t>
      </w:r>
      <w:r w:rsidR="000610D0">
        <w:rPr>
          <w:bCs/>
        </w:rPr>
        <w:t>ed</w:t>
      </w:r>
      <w:r>
        <w:rPr>
          <w:bCs/>
        </w:rPr>
        <w:t xml:space="preserve"> a redesigned information system. As development of the system </w:t>
      </w:r>
      <w:r w:rsidR="000610D0">
        <w:rPr>
          <w:bCs/>
        </w:rPr>
        <w:t>continues</w:t>
      </w:r>
      <w:r>
        <w:rPr>
          <w:bCs/>
        </w:rPr>
        <w:t>, this collection instrument will be incorporated into the customer portal, which accredited laboratories will use to electronically submit their responses to the survey. NVLAP anticipates that</w:t>
      </w:r>
      <w:r w:rsidR="000610D0">
        <w:rPr>
          <w:bCs/>
        </w:rPr>
        <w:t xml:space="preserve"> once incorporated,</w:t>
      </w:r>
      <w:r>
        <w:rPr>
          <w:bCs/>
        </w:rPr>
        <w:t xml:space="preserve"> this feature will boost the response rate, which historically has been in the range of </w:t>
      </w:r>
      <w:r w:rsidR="00593D9F">
        <w:rPr>
          <w:bCs/>
        </w:rPr>
        <w:t>50% to 6</w:t>
      </w:r>
      <w:r w:rsidR="00FB0E8D" w:rsidRPr="00593D9F">
        <w:rPr>
          <w:bCs/>
        </w:rPr>
        <w:t>0%</w:t>
      </w:r>
      <w:r w:rsidR="004E05E8">
        <w:rPr>
          <w:bCs/>
        </w:rPr>
        <w:t>.</w:t>
      </w:r>
      <w:r w:rsidR="00BF498A">
        <w:rPr>
          <w:bCs/>
        </w:rPr>
        <w:t xml:space="preserve"> </w:t>
      </w:r>
      <w:r w:rsidR="004B76CE">
        <w:rPr>
          <w:bCs/>
        </w:rPr>
        <w:t>A good response</w:t>
      </w:r>
      <w:r w:rsidR="00BF498A">
        <w:rPr>
          <w:bCs/>
        </w:rPr>
        <w:t xml:space="preserve"> rate is expected to continue</w:t>
      </w:r>
      <w:r w:rsidR="00BF498A" w:rsidRPr="00FB0E8D">
        <w:rPr>
          <w:bCs/>
        </w:rPr>
        <w:t xml:space="preserve"> </w:t>
      </w:r>
      <w:r w:rsidR="00FB0E8D" w:rsidRPr="00FB0E8D">
        <w:rPr>
          <w:bCs/>
        </w:rPr>
        <w:t>as the laboratories are keenly</w:t>
      </w:r>
      <w:r w:rsidR="00257472">
        <w:rPr>
          <w:bCs/>
        </w:rPr>
        <w:t xml:space="preserve"> interested in receiving high</w:t>
      </w:r>
      <w:r w:rsidR="00FB0E8D" w:rsidRPr="00FB0E8D">
        <w:rPr>
          <w:bCs/>
        </w:rPr>
        <w:t xml:space="preserve"> quality accreditation service</w:t>
      </w:r>
      <w:r w:rsidR="00BF498A">
        <w:rPr>
          <w:bCs/>
        </w:rPr>
        <w:t>s so that purchasers and regulators will have confidence in their services.</w:t>
      </w:r>
    </w:p>
    <w:p w:rsidR="00FB0E8D" w:rsidRPr="00FB0E8D" w:rsidRDefault="00FB0E8D" w:rsidP="00FB0E8D">
      <w:pPr>
        <w:rPr>
          <w:bCs/>
        </w:rPr>
      </w:pPr>
    </w:p>
    <w:p w:rsidR="00FB0E8D" w:rsidRPr="00FB0E8D" w:rsidRDefault="00FB0E8D" w:rsidP="00FB0E8D">
      <w:pPr>
        <w:rPr>
          <w:bCs/>
        </w:rPr>
      </w:pPr>
      <w:r w:rsidRPr="00FB0E8D">
        <w:rPr>
          <w:bCs/>
        </w:rPr>
        <w:t>Since this is an ongoing survey (i.e., a laboratory will receive a questionnaire for each assessor after every assessment), NVLAP does not wish to place additional burden upon a laboratory by sending it multiple follow-up</w:t>
      </w:r>
      <w:r w:rsidR="00BC288A">
        <w:rPr>
          <w:bCs/>
        </w:rPr>
        <w:t xml:space="preserve"> requests</w:t>
      </w:r>
      <w:r w:rsidRPr="00FB0E8D">
        <w:rPr>
          <w:bCs/>
        </w:rPr>
        <w:t xml:space="preserve">.  Instead, the use of the survey as a feedback tool </w:t>
      </w:r>
      <w:r w:rsidR="00257472">
        <w:rPr>
          <w:bCs/>
        </w:rPr>
        <w:t>is</w:t>
      </w:r>
      <w:r w:rsidRPr="00FB0E8D">
        <w:rPr>
          <w:bCs/>
        </w:rPr>
        <w:t xml:space="preserve"> reinforced</w:t>
      </w:r>
      <w:r w:rsidR="00257472">
        <w:rPr>
          <w:bCs/>
        </w:rPr>
        <w:t xml:space="preserve"> at the assessment exit meeting</w:t>
      </w:r>
      <w:r w:rsidR="00BF498A">
        <w:rPr>
          <w:bCs/>
        </w:rPr>
        <w:t>, which is conducted at the laboratory facility</w:t>
      </w:r>
      <w:r w:rsidRPr="00FB0E8D">
        <w:rPr>
          <w:bCs/>
        </w:rPr>
        <w:t xml:space="preserve"> at the close of the </w:t>
      </w:r>
      <w:r w:rsidR="00257472">
        <w:rPr>
          <w:bCs/>
        </w:rPr>
        <w:t>assessment</w:t>
      </w:r>
      <w:r w:rsidR="007533E2">
        <w:rPr>
          <w:bCs/>
        </w:rPr>
        <w:t>.</w:t>
      </w:r>
    </w:p>
    <w:p w:rsidR="00D55935" w:rsidRDefault="00D55935">
      <w:pPr>
        <w:rPr>
          <w:b/>
          <w:bCs/>
        </w:rPr>
      </w:pPr>
    </w:p>
    <w:p w:rsidR="00D55935" w:rsidRDefault="00D55935">
      <w:pPr>
        <w:rPr>
          <w:b/>
          <w:bCs/>
        </w:rPr>
      </w:pPr>
      <w:r>
        <w:rPr>
          <w:b/>
          <w:bCs/>
        </w:rPr>
        <w:t>4.  Describe how the results of the survey will be analyzed and used to generalize the results to the entire customer population.</w:t>
      </w:r>
    </w:p>
    <w:p w:rsidR="00D55935" w:rsidRDefault="00D55935">
      <w:pPr>
        <w:rPr>
          <w:b/>
          <w:bCs/>
        </w:rPr>
      </w:pPr>
    </w:p>
    <w:p w:rsidR="00D55935" w:rsidRDefault="007533E2">
      <w:r w:rsidRPr="007533E2">
        <w:t xml:space="preserve">The results </w:t>
      </w:r>
      <w:r>
        <w:t>are</w:t>
      </w:r>
      <w:r w:rsidRPr="007533E2">
        <w:t xml:space="preserve"> used for the monitoring of individual assessor performance.  No statistical techniques </w:t>
      </w:r>
      <w:r>
        <w:t>are</w:t>
      </w:r>
      <w:r w:rsidRPr="007533E2">
        <w:t xml:space="preserve"> used to generalize the results to t</w:t>
      </w:r>
      <w:r w:rsidR="004B76CE">
        <w:t xml:space="preserve">he entire assessor population. </w:t>
      </w:r>
      <w:r w:rsidRPr="007533E2">
        <w:t xml:space="preserve">Returned questionnaires </w:t>
      </w:r>
      <w:r>
        <w:t>are</w:t>
      </w:r>
      <w:r w:rsidRPr="007533E2">
        <w:t xml:space="preserve"> reviewed by the respective NVLAP Program Managers (manager of the laboratory accreditation program for which the laboratory was assessed).  Information </w:t>
      </w:r>
      <w:r>
        <w:t>is</w:t>
      </w:r>
      <w:r w:rsidRPr="007533E2">
        <w:t xml:space="preserve"> used to provide feedback, coaching</w:t>
      </w:r>
      <w:r w:rsidR="00BC4453">
        <w:t>,</w:t>
      </w:r>
      <w:r w:rsidRPr="007533E2">
        <w:t xml:space="preserve"> and training to assessors</w:t>
      </w:r>
      <w:r>
        <w:t>,</w:t>
      </w:r>
      <w:r w:rsidRPr="007533E2">
        <w:t xml:space="preserve"> as necessary.  Questionnaires </w:t>
      </w:r>
      <w:r>
        <w:t>are</w:t>
      </w:r>
      <w:r w:rsidRPr="007533E2">
        <w:t xml:space="preserve"> placed in individual assessor record files </w:t>
      </w:r>
      <w:r w:rsidR="00BC4453">
        <w:t>and</w:t>
      </w:r>
      <w:r>
        <w:t xml:space="preserve"> stored in a</w:t>
      </w:r>
      <w:r w:rsidRPr="007533E2">
        <w:t xml:space="preserve"> confidential and secure</w:t>
      </w:r>
      <w:r>
        <w:t xml:space="preserve"> environment</w:t>
      </w:r>
      <w:r w:rsidR="00BC4453">
        <w:t>.</w:t>
      </w:r>
    </w:p>
    <w:sectPr w:rsidR="00D55935">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5E" w:rsidRDefault="00C3735E" w:rsidP="00E45908">
      <w:r>
        <w:separator/>
      </w:r>
    </w:p>
  </w:endnote>
  <w:endnote w:type="continuationSeparator" w:id="0">
    <w:p w:rsidR="00C3735E" w:rsidRDefault="00C3735E" w:rsidP="00E4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4A" w:rsidRDefault="00C7314A">
    <w:pPr>
      <w:pStyle w:val="Footer"/>
      <w:jc w:val="center"/>
    </w:pPr>
    <w:r>
      <w:fldChar w:fldCharType="begin"/>
    </w:r>
    <w:r>
      <w:instrText xml:space="preserve"> PAGE   \* MERGEFORMAT </w:instrText>
    </w:r>
    <w:r>
      <w:fldChar w:fldCharType="separate"/>
    </w:r>
    <w:r w:rsidR="00437966">
      <w:rPr>
        <w:noProof/>
      </w:rPr>
      <w:t>1</w:t>
    </w:r>
    <w:r>
      <w:rPr>
        <w:noProof/>
      </w:rPr>
      <w:fldChar w:fldCharType="end"/>
    </w:r>
  </w:p>
  <w:p w:rsidR="00E45908" w:rsidRDefault="00E45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5E" w:rsidRDefault="00C3735E" w:rsidP="00E45908">
      <w:r>
        <w:separator/>
      </w:r>
    </w:p>
  </w:footnote>
  <w:footnote w:type="continuationSeparator" w:id="0">
    <w:p w:rsidR="00C3735E" w:rsidRDefault="00C3735E" w:rsidP="00E45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2D"/>
    <w:rsid w:val="000610D0"/>
    <w:rsid w:val="001446C1"/>
    <w:rsid w:val="001546B5"/>
    <w:rsid w:val="001854B9"/>
    <w:rsid w:val="00257472"/>
    <w:rsid w:val="00437966"/>
    <w:rsid w:val="004B76CE"/>
    <w:rsid w:val="004E05E8"/>
    <w:rsid w:val="00593D9F"/>
    <w:rsid w:val="005D04F2"/>
    <w:rsid w:val="0061644E"/>
    <w:rsid w:val="0064414F"/>
    <w:rsid w:val="006B4959"/>
    <w:rsid w:val="007533E2"/>
    <w:rsid w:val="00871FAB"/>
    <w:rsid w:val="009637A5"/>
    <w:rsid w:val="00A85FE7"/>
    <w:rsid w:val="00B65F2D"/>
    <w:rsid w:val="00BC288A"/>
    <w:rsid w:val="00BC4453"/>
    <w:rsid w:val="00BF498A"/>
    <w:rsid w:val="00C3735E"/>
    <w:rsid w:val="00C7314A"/>
    <w:rsid w:val="00CA1327"/>
    <w:rsid w:val="00D55935"/>
    <w:rsid w:val="00E45908"/>
    <w:rsid w:val="00E72A42"/>
    <w:rsid w:val="00F2194D"/>
    <w:rsid w:val="00FA4A0B"/>
    <w:rsid w:val="00FB0E8D"/>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45908"/>
    <w:pPr>
      <w:tabs>
        <w:tab w:val="center" w:pos="4680"/>
        <w:tab w:val="right" w:pos="9360"/>
      </w:tabs>
    </w:pPr>
  </w:style>
  <w:style w:type="character" w:customStyle="1" w:styleId="HeaderChar">
    <w:name w:val="Header Char"/>
    <w:link w:val="Header"/>
    <w:uiPriority w:val="99"/>
    <w:rsid w:val="00E45908"/>
    <w:rPr>
      <w:sz w:val="24"/>
      <w:szCs w:val="24"/>
    </w:rPr>
  </w:style>
  <w:style w:type="paragraph" w:styleId="Footer">
    <w:name w:val="footer"/>
    <w:basedOn w:val="Normal"/>
    <w:link w:val="FooterChar"/>
    <w:uiPriority w:val="99"/>
    <w:unhideWhenUsed/>
    <w:rsid w:val="00E45908"/>
    <w:pPr>
      <w:tabs>
        <w:tab w:val="center" w:pos="4680"/>
        <w:tab w:val="right" w:pos="9360"/>
      </w:tabs>
    </w:pPr>
  </w:style>
  <w:style w:type="character" w:customStyle="1" w:styleId="FooterChar">
    <w:name w:val="Footer Char"/>
    <w:link w:val="Footer"/>
    <w:uiPriority w:val="99"/>
    <w:rsid w:val="00E45908"/>
    <w:rPr>
      <w:sz w:val="24"/>
      <w:szCs w:val="24"/>
    </w:rPr>
  </w:style>
  <w:style w:type="paragraph" w:styleId="BalloonText">
    <w:name w:val="Balloon Text"/>
    <w:basedOn w:val="Normal"/>
    <w:link w:val="BalloonTextChar"/>
    <w:uiPriority w:val="99"/>
    <w:semiHidden/>
    <w:unhideWhenUsed/>
    <w:rsid w:val="001546B5"/>
    <w:rPr>
      <w:rFonts w:ascii="Tahoma" w:hAnsi="Tahoma" w:cs="Tahoma"/>
      <w:sz w:val="16"/>
      <w:szCs w:val="16"/>
    </w:rPr>
  </w:style>
  <w:style w:type="character" w:customStyle="1" w:styleId="BalloonTextChar">
    <w:name w:val="Balloon Text Char"/>
    <w:link w:val="BalloonText"/>
    <w:uiPriority w:val="99"/>
    <w:semiHidden/>
    <w:rsid w:val="001546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45908"/>
    <w:pPr>
      <w:tabs>
        <w:tab w:val="center" w:pos="4680"/>
        <w:tab w:val="right" w:pos="9360"/>
      </w:tabs>
    </w:pPr>
  </w:style>
  <w:style w:type="character" w:customStyle="1" w:styleId="HeaderChar">
    <w:name w:val="Header Char"/>
    <w:link w:val="Header"/>
    <w:uiPriority w:val="99"/>
    <w:rsid w:val="00E45908"/>
    <w:rPr>
      <w:sz w:val="24"/>
      <w:szCs w:val="24"/>
    </w:rPr>
  </w:style>
  <w:style w:type="paragraph" w:styleId="Footer">
    <w:name w:val="footer"/>
    <w:basedOn w:val="Normal"/>
    <w:link w:val="FooterChar"/>
    <w:uiPriority w:val="99"/>
    <w:unhideWhenUsed/>
    <w:rsid w:val="00E45908"/>
    <w:pPr>
      <w:tabs>
        <w:tab w:val="center" w:pos="4680"/>
        <w:tab w:val="right" w:pos="9360"/>
      </w:tabs>
    </w:pPr>
  </w:style>
  <w:style w:type="character" w:customStyle="1" w:styleId="FooterChar">
    <w:name w:val="Footer Char"/>
    <w:link w:val="Footer"/>
    <w:uiPriority w:val="99"/>
    <w:rsid w:val="00E45908"/>
    <w:rPr>
      <w:sz w:val="24"/>
      <w:szCs w:val="24"/>
    </w:rPr>
  </w:style>
  <w:style w:type="paragraph" w:styleId="BalloonText">
    <w:name w:val="Balloon Text"/>
    <w:basedOn w:val="Normal"/>
    <w:link w:val="BalloonTextChar"/>
    <w:uiPriority w:val="99"/>
    <w:semiHidden/>
    <w:unhideWhenUsed/>
    <w:rsid w:val="001546B5"/>
    <w:rPr>
      <w:rFonts w:ascii="Tahoma" w:hAnsi="Tahoma" w:cs="Tahoma"/>
      <w:sz w:val="16"/>
      <w:szCs w:val="16"/>
    </w:rPr>
  </w:style>
  <w:style w:type="character" w:customStyle="1" w:styleId="BalloonTextChar">
    <w:name w:val="Balloon Text Char"/>
    <w:link w:val="BalloonText"/>
    <w:uiPriority w:val="99"/>
    <w:semiHidden/>
    <w:rsid w:val="00154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SYSTEM</cp:lastModifiedBy>
  <cp:revision>2</cp:revision>
  <cp:lastPrinted>2018-01-17T19:10:00Z</cp:lastPrinted>
  <dcterms:created xsi:type="dcterms:W3CDTF">2018-04-03T20:00:00Z</dcterms:created>
  <dcterms:modified xsi:type="dcterms:W3CDTF">2018-04-03T20:00:00Z</dcterms:modified>
</cp:coreProperties>
</file>