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0833DA" w:rsidP="000833DA" w:rsidRDefault="000833DA" w14:paraId="324ECC9B" w14:textId="77777777">
      <w:pPr>
        <w:jc w:val="center"/>
        <w:rPr>
          <w:rFonts w:ascii="Times New Roman" w:hAnsi="Times New Roman" w:cs="Times New Roman"/>
          <w:b w:val="0"/>
        </w:rPr>
      </w:pPr>
      <w:bookmarkStart w:name="_GoBack" w:id="0"/>
      <w:bookmarkEnd w:id="0"/>
      <w:r w:rsidRPr="00B701E8">
        <w:rPr>
          <w:rFonts w:ascii="Times New Roman" w:hAnsi="Times New Roman" w:cs="Times New Roman"/>
        </w:rPr>
        <w:t>S</w:t>
      </w:r>
      <w:r>
        <w:rPr>
          <w:rFonts w:ascii="Times New Roman" w:hAnsi="Times New Roman" w:cs="Times New Roman"/>
        </w:rPr>
        <w:t>UPPLEMENTAL QUESTIONS PART B</w:t>
      </w:r>
    </w:p>
    <w:p w:rsidRPr="00B701E8" w:rsidR="000833DA" w:rsidP="000833DA" w:rsidRDefault="000833DA" w14:paraId="140C303A" w14:textId="77777777">
      <w:pPr>
        <w:jc w:val="center"/>
        <w:rPr>
          <w:rFonts w:ascii="Times New Roman" w:hAnsi="Times New Roman" w:cs="Times New Roman"/>
          <w:b w:val="0"/>
        </w:rPr>
      </w:pPr>
      <w:r w:rsidRPr="00B701E8">
        <w:rPr>
          <w:rFonts w:ascii="Times New Roman" w:hAnsi="Times New Roman" w:cs="Times New Roman"/>
        </w:rPr>
        <w:t>U.S. Department of Commerce</w:t>
      </w:r>
    </w:p>
    <w:p w:rsidRPr="00B701E8" w:rsidR="000833DA" w:rsidP="000833DA" w:rsidRDefault="000833DA" w14:paraId="32A2D359" w14:textId="77777777">
      <w:pPr>
        <w:jc w:val="center"/>
        <w:rPr>
          <w:rFonts w:ascii="Times New Roman" w:hAnsi="Times New Roman" w:cs="Times New Roman"/>
          <w:b w:val="0"/>
        </w:rPr>
      </w:pPr>
      <w:r w:rsidRPr="00B701E8">
        <w:rPr>
          <w:rFonts w:ascii="Times New Roman" w:hAnsi="Times New Roman" w:cs="Times New Roman"/>
        </w:rPr>
        <w:t>National Oceanic &amp; Atmospheric Administration</w:t>
      </w:r>
    </w:p>
    <w:p w:rsidR="000833DA" w:rsidP="000833DA" w:rsidRDefault="000833DA" w14:paraId="2B92D29A" w14:textId="77777777">
      <w:pPr>
        <w:jc w:val="center"/>
        <w:rPr>
          <w:rFonts w:ascii="Times New Roman" w:hAnsi="Times New Roman" w:cs="Times New Roman"/>
        </w:rPr>
      </w:pPr>
      <w:r w:rsidRPr="008014D1">
        <w:rPr>
          <w:rFonts w:ascii="Times New Roman" w:hAnsi="Times New Roman" w:cs="Times New Roman"/>
        </w:rPr>
        <w:t>DOC/NOAA Customer Surveys</w:t>
      </w:r>
    </w:p>
    <w:p w:rsidRPr="008014D1" w:rsidR="000833DA" w:rsidP="000833DA" w:rsidRDefault="000833DA" w14:paraId="3AA62C8C" w14:textId="18BEF60A">
      <w:pPr>
        <w:jc w:val="center"/>
        <w:rPr>
          <w:rFonts w:ascii="Times New Roman" w:hAnsi="Times New Roman" w:cs="Times New Roman"/>
        </w:rPr>
      </w:pPr>
      <w:r>
        <w:rPr>
          <w:rFonts w:ascii="Times New Roman" w:hAnsi="Times New Roman" w:cs="Times New Roman"/>
        </w:rPr>
        <w:t xml:space="preserve">NOAA Products and Services for Community Rating System Communities </w:t>
      </w:r>
    </w:p>
    <w:p w:rsidR="000833DA" w:rsidP="000833DA" w:rsidRDefault="000833DA" w14:paraId="1407BF18" w14:textId="77777777">
      <w:pPr>
        <w:autoSpaceDE w:val="0"/>
        <w:autoSpaceDN w:val="0"/>
        <w:adjustRightInd w:val="0"/>
        <w:ind w:left="360"/>
        <w:jc w:val="center"/>
        <w:rPr>
          <w:rFonts w:ascii="Times New Roman" w:hAnsi="Times New Roman" w:cs="Times New Roman"/>
          <w:bCs/>
        </w:rPr>
      </w:pPr>
      <w:r w:rsidRPr="00B701E8">
        <w:rPr>
          <w:rFonts w:ascii="Times New Roman" w:hAnsi="Times New Roman" w:cs="Times New Roman"/>
        </w:rPr>
        <w:t>OMB Control No. 0648-</w:t>
      </w:r>
      <w:r>
        <w:rPr>
          <w:rFonts w:ascii="Times New Roman" w:hAnsi="Times New Roman" w:cs="Times New Roman"/>
        </w:rPr>
        <w:t>0342</w:t>
      </w:r>
    </w:p>
    <w:p w:rsidR="000833DA" w:rsidP="00756421" w:rsidRDefault="000833DA" w14:paraId="6D4B0540" w14:textId="77777777">
      <w:pPr>
        <w:autoSpaceDE w:val="0"/>
        <w:autoSpaceDN w:val="0"/>
        <w:adjustRightInd w:val="0"/>
        <w:ind w:left="360"/>
        <w:rPr>
          <w:rFonts w:ascii="Times New Roman" w:hAnsi="Times New Roman" w:cs="Times New Roman"/>
          <w:bCs/>
        </w:rPr>
      </w:pPr>
    </w:p>
    <w:p w:rsidRPr="00286D55" w:rsidR="00756421" w:rsidP="00756421" w:rsidRDefault="00756421" w14:paraId="16628912" w14:textId="722141C8">
      <w:pPr>
        <w:autoSpaceDE w:val="0"/>
        <w:autoSpaceDN w:val="0"/>
        <w:adjustRightInd w:val="0"/>
        <w:ind w:left="360"/>
        <w:rPr>
          <w:rFonts w:ascii="Times New Roman" w:hAnsi="Times New Roman" w:cs="Times New Roman"/>
          <w:bCs/>
        </w:rPr>
      </w:pPr>
      <w:r w:rsidRPr="00286D55">
        <w:rPr>
          <w:rFonts w:ascii="Times New Roman" w:hAnsi="Times New Roman" w:cs="Times New Roman"/>
          <w:bCs/>
        </w:rPr>
        <w:t>COLLECTIONS OF INFORMATION EMPLOYING STATISTICAL METHODS</w:t>
      </w:r>
    </w:p>
    <w:p w:rsidRPr="00286D55" w:rsidR="00756421" w:rsidP="00756421" w:rsidRDefault="00756421" w14:paraId="5D3123AC" w14:textId="77777777">
      <w:pPr>
        <w:autoSpaceDE w:val="0"/>
        <w:autoSpaceDN w:val="0"/>
        <w:adjustRightInd w:val="0"/>
        <w:ind w:left="360"/>
        <w:rPr>
          <w:rFonts w:ascii="Times New Roman" w:hAnsi="Times New Roman" w:cs="Times New Roman"/>
          <w:b w:val="0"/>
          <w:bCs/>
          <w:sz w:val="20"/>
          <w:szCs w:val="20"/>
        </w:rPr>
      </w:pPr>
    </w:p>
    <w:p w:rsidRPr="00286D55" w:rsidR="00756421" w:rsidP="00756421" w:rsidRDefault="00756421" w14:paraId="413256CD" w14:textId="77777777">
      <w:pPr>
        <w:numPr>
          <w:ilvl w:val="0"/>
          <w:numId w:val="7"/>
        </w:numPr>
        <w:autoSpaceDE w:val="0"/>
        <w:autoSpaceDN w:val="0"/>
        <w:adjustRightInd w:val="0"/>
        <w:rPr>
          <w:rFonts w:ascii="Times New Roman" w:hAnsi="Times New Roman" w:cs="Times New Roman"/>
          <w:bCs/>
        </w:rPr>
      </w:pPr>
      <w:r w:rsidRPr="00286D55">
        <w:rPr>
          <w:rFonts w:ascii="Times New Roman" w:hAnsi="Times New Roman" w:cs="Times New Roman"/>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Pr="00F77C76" w:rsidR="00756421" w:rsidP="00756421" w:rsidRDefault="00756421" w14:paraId="4338BDBB" w14:textId="77777777">
      <w:pPr>
        <w:autoSpaceDE w:val="0"/>
        <w:autoSpaceDN w:val="0"/>
        <w:adjustRightInd w:val="0"/>
        <w:ind w:left="360"/>
        <w:rPr>
          <w:rFonts w:ascii="Times New Roman" w:hAnsi="Times New Roman" w:cs="Times New Roman"/>
          <w:b w:val="0"/>
        </w:rPr>
      </w:pPr>
    </w:p>
    <w:p w:rsidR="00F77C76" w:rsidP="00F77C76" w:rsidRDefault="00F77C76" w14:paraId="72D37ECE" w14:textId="77777777">
      <w:pPr>
        <w:ind w:left="360"/>
        <w:rPr>
          <w:rFonts w:ascii="Times New Roman" w:hAnsi="Times New Roman" w:cs="Times New Roman"/>
          <w:b w:val="0"/>
          <w:bCs/>
        </w:rPr>
      </w:pPr>
      <w:r w:rsidRPr="00F77C76">
        <w:rPr>
          <w:rFonts w:ascii="Times New Roman" w:hAnsi="Times New Roman" w:cs="Times New Roman"/>
          <w:b w:val="0"/>
          <w:bCs/>
        </w:rPr>
        <w:t>NOAA has designed the survey as a way of assessing trade-offs between information and response rates/burden</w:t>
      </w:r>
      <w:r>
        <w:rPr>
          <w:rFonts w:ascii="Times New Roman" w:hAnsi="Times New Roman" w:cs="Times New Roman"/>
          <w:b w:val="0"/>
          <w:bCs/>
        </w:rPr>
        <w:t xml:space="preserve"> to assess how future survey efforts should be performed</w:t>
      </w:r>
      <w:r w:rsidRPr="00F77C76">
        <w:rPr>
          <w:rFonts w:ascii="Times New Roman" w:hAnsi="Times New Roman" w:cs="Times New Roman"/>
          <w:b w:val="0"/>
          <w:bCs/>
        </w:rPr>
        <w:t>. Specifically, NOAA has identified a minimum set of information it would like to collect under this survey. However, additional information from the respondents would also be valuable to assist NOAA in assessing how well its products and services and working. Thus, NOAA identified two areas of additional information that would be valuable:</w:t>
      </w:r>
    </w:p>
    <w:p w:rsidRPr="00F77C76" w:rsidR="00F77C76" w:rsidP="00F77C76" w:rsidRDefault="00F77C76" w14:paraId="36B496CE" w14:textId="77777777">
      <w:pPr>
        <w:ind w:left="360"/>
        <w:rPr>
          <w:rFonts w:ascii="Times New Roman" w:hAnsi="Times New Roman" w:cs="Times New Roman"/>
          <w:b w:val="0"/>
          <w:bCs/>
        </w:rPr>
      </w:pPr>
    </w:p>
    <w:p w:rsidRPr="00F77C76" w:rsidR="00F77C76" w:rsidP="00F77C76" w:rsidRDefault="00F77C76" w14:paraId="490A1AF4" w14:textId="77777777">
      <w:pPr>
        <w:pStyle w:val="ListParagraph"/>
        <w:numPr>
          <w:ilvl w:val="0"/>
          <w:numId w:val="14"/>
        </w:numPr>
        <w:spacing w:after="160" w:line="259" w:lineRule="auto"/>
        <w:ind w:left="1129"/>
        <w:rPr>
          <w:rFonts w:ascii="Times New Roman" w:hAnsi="Times New Roman" w:cs="Times New Roman"/>
          <w:b w:val="0"/>
          <w:bCs/>
        </w:rPr>
      </w:pPr>
      <w:r w:rsidRPr="00F77C76">
        <w:rPr>
          <w:rFonts w:ascii="Times New Roman" w:hAnsi="Times New Roman" w:cs="Times New Roman"/>
          <w:b w:val="0"/>
          <w:bCs/>
        </w:rPr>
        <w:t>Number of NOAA products and services to include in the survey</w:t>
      </w:r>
    </w:p>
    <w:p w:rsidRPr="00F77C76" w:rsidR="00F77C76" w:rsidP="00F77C76" w:rsidRDefault="00F77C76" w14:paraId="23B8CC5F" w14:textId="77777777">
      <w:pPr>
        <w:pStyle w:val="ListParagraph"/>
        <w:numPr>
          <w:ilvl w:val="0"/>
          <w:numId w:val="14"/>
        </w:numPr>
        <w:spacing w:after="160" w:line="259" w:lineRule="auto"/>
        <w:ind w:left="1129"/>
        <w:rPr>
          <w:rFonts w:ascii="Times New Roman" w:hAnsi="Times New Roman" w:cs="Times New Roman"/>
          <w:b w:val="0"/>
          <w:bCs/>
        </w:rPr>
      </w:pPr>
      <w:r w:rsidRPr="00F77C76">
        <w:rPr>
          <w:rFonts w:ascii="Times New Roman" w:hAnsi="Times New Roman" w:cs="Times New Roman"/>
          <w:b w:val="0"/>
          <w:bCs/>
        </w:rPr>
        <w:t>The extent of information collected on how the NOAA products and services contributed to earning CRS points</w:t>
      </w:r>
    </w:p>
    <w:p w:rsidRPr="00F77C76" w:rsidR="00F77C76" w:rsidP="00F77C76" w:rsidRDefault="00F77C76" w14:paraId="0385282A" w14:textId="77777777">
      <w:pPr>
        <w:ind w:left="360"/>
        <w:rPr>
          <w:rFonts w:ascii="Times New Roman" w:hAnsi="Times New Roman" w:cs="Times New Roman"/>
          <w:b w:val="0"/>
          <w:bCs/>
          <w:u w:val="single"/>
        </w:rPr>
      </w:pPr>
      <w:r w:rsidRPr="00F77C76">
        <w:rPr>
          <w:rFonts w:ascii="Times New Roman" w:hAnsi="Times New Roman" w:cs="Times New Roman"/>
          <w:b w:val="0"/>
          <w:bCs/>
          <w:u w:val="single"/>
        </w:rPr>
        <w:t xml:space="preserve">Number of NOAA products and services </w:t>
      </w:r>
    </w:p>
    <w:p w:rsidR="00F77C76" w:rsidP="00F77C76" w:rsidRDefault="00F77C76" w14:paraId="266289F5" w14:textId="77777777">
      <w:pPr>
        <w:ind w:left="360"/>
        <w:rPr>
          <w:rFonts w:ascii="Times New Roman" w:hAnsi="Times New Roman" w:cs="Times New Roman"/>
          <w:b w:val="0"/>
          <w:bCs/>
        </w:rPr>
      </w:pPr>
    </w:p>
    <w:p w:rsidR="00F77C76" w:rsidP="00F77C76" w:rsidRDefault="00F77C76" w14:paraId="2D534669" w14:textId="752D5A6D">
      <w:pPr>
        <w:ind w:left="360"/>
        <w:rPr>
          <w:rFonts w:ascii="Times New Roman" w:hAnsi="Times New Roman" w:cs="Times New Roman"/>
          <w:b w:val="0"/>
          <w:bCs/>
        </w:rPr>
      </w:pPr>
      <w:r w:rsidRPr="00F77C76">
        <w:rPr>
          <w:rFonts w:ascii="Times New Roman" w:hAnsi="Times New Roman" w:cs="Times New Roman"/>
          <w:b w:val="0"/>
          <w:bCs/>
        </w:rPr>
        <w:t>NOAA and ERG identified 40 different NOAA products or services that could be used by CRS communities to improve their CRS scores. The project team categorized each product or service as being “high” (1</w:t>
      </w:r>
      <w:r w:rsidR="006820F9">
        <w:rPr>
          <w:rFonts w:ascii="Times New Roman" w:hAnsi="Times New Roman" w:cs="Times New Roman"/>
          <w:b w:val="0"/>
          <w:bCs/>
        </w:rPr>
        <w:t>6</w:t>
      </w:r>
      <w:r w:rsidRPr="00F77C76">
        <w:rPr>
          <w:rFonts w:ascii="Times New Roman" w:hAnsi="Times New Roman" w:cs="Times New Roman"/>
          <w:b w:val="0"/>
          <w:bCs/>
        </w:rPr>
        <w:t xml:space="preserve"> products and services), “medium” (1</w:t>
      </w:r>
      <w:r w:rsidR="006820F9">
        <w:rPr>
          <w:rFonts w:ascii="Times New Roman" w:hAnsi="Times New Roman" w:cs="Times New Roman"/>
          <w:b w:val="0"/>
          <w:bCs/>
        </w:rPr>
        <w:t>2</w:t>
      </w:r>
      <w:r w:rsidRPr="00F77C76">
        <w:rPr>
          <w:rFonts w:ascii="Times New Roman" w:hAnsi="Times New Roman" w:cs="Times New Roman"/>
          <w:b w:val="0"/>
          <w:bCs/>
        </w:rPr>
        <w:t>), or “low” (1</w:t>
      </w:r>
      <w:r w:rsidR="006820F9">
        <w:rPr>
          <w:rFonts w:ascii="Times New Roman" w:hAnsi="Times New Roman" w:cs="Times New Roman"/>
          <w:b w:val="0"/>
          <w:bCs/>
        </w:rPr>
        <w:t>2</w:t>
      </w:r>
      <w:r w:rsidRPr="00F77C76">
        <w:rPr>
          <w:rFonts w:ascii="Times New Roman" w:hAnsi="Times New Roman" w:cs="Times New Roman"/>
          <w:b w:val="0"/>
          <w:bCs/>
        </w:rPr>
        <w:t xml:space="preserve">) priority for this work. Next, the project team determined that the “low” priority products or services do not need to be included in the survey. </w:t>
      </w:r>
      <w:r w:rsidR="00BF6B03">
        <w:rPr>
          <w:rFonts w:ascii="Times New Roman" w:hAnsi="Times New Roman" w:cs="Times New Roman"/>
          <w:b w:val="0"/>
          <w:bCs/>
        </w:rPr>
        <w:t xml:space="preserve">NOAA </w:t>
      </w:r>
      <w:r w:rsidRPr="00F77C76">
        <w:rPr>
          <w:rFonts w:ascii="Times New Roman" w:hAnsi="Times New Roman" w:cs="Times New Roman"/>
          <w:b w:val="0"/>
          <w:bCs/>
        </w:rPr>
        <w:t xml:space="preserve">then decided that 60 percent of the respondents should see just the “high” priority products and services and the remaining 40 percent would see both the “high” and “medium” priority categories. This approach allows us to determine if including the “medium” priority products and services significantly reduces the response rate. If so, future surveys may want to focus on the just the “high” priority products and services. </w:t>
      </w:r>
    </w:p>
    <w:p w:rsidRPr="00F77C76" w:rsidR="00F77C76" w:rsidP="00F77C76" w:rsidRDefault="00F77C76" w14:paraId="6EC0EBC7" w14:textId="77777777">
      <w:pPr>
        <w:ind w:left="360"/>
        <w:rPr>
          <w:rFonts w:ascii="Times New Roman" w:hAnsi="Times New Roman" w:cs="Times New Roman"/>
          <w:b w:val="0"/>
          <w:bCs/>
        </w:rPr>
      </w:pPr>
    </w:p>
    <w:p w:rsidRPr="00F77C76" w:rsidR="00F77C76" w:rsidP="00BF6B03" w:rsidRDefault="00F77C76" w14:paraId="7A2235FD" w14:textId="77777777">
      <w:pPr>
        <w:ind w:left="360"/>
        <w:rPr>
          <w:rFonts w:ascii="Times New Roman" w:hAnsi="Times New Roman" w:cs="Times New Roman"/>
          <w:b w:val="0"/>
          <w:bCs/>
          <w:u w:val="single"/>
        </w:rPr>
      </w:pPr>
      <w:r w:rsidRPr="00F77C76">
        <w:rPr>
          <w:rFonts w:ascii="Times New Roman" w:hAnsi="Times New Roman" w:cs="Times New Roman"/>
          <w:b w:val="0"/>
          <w:bCs/>
          <w:u w:val="single"/>
        </w:rPr>
        <w:t>Detailed information on products and services</w:t>
      </w:r>
    </w:p>
    <w:p w:rsidR="00F77C76" w:rsidP="00BF6B03" w:rsidRDefault="00F77C76" w14:paraId="0D7E1F21" w14:textId="77777777">
      <w:pPr>
        <w:ind w:left="360"/>
        <w:rPr>
          <w:rFonts w:ascii="Times New Roman" w:hAnsi="Times New Roman" w:cs="Times New Roman"/>
          <w:b w:val="0"/>
          <w:bCs/>
        </w:rPr>
      </w:pPr>
    </w:p>
    <w:p w:rsidR="00F77C76" w:rsidP="00BF6B03" w:rsidRDefault="00F77C76" w14:paraId="3A7CDDFA" w14:textId="77777777">
      <w:pPr>
        <w:ind w:left="360"/>
        <w:rPr>
          <w:rFonts w:ascii="Times New Roman" w:hAnsi="Times New Roman" w:cs="Times New Roman"/>
          <w:b w:val="0"/>
          <w:bCs/>
        </w:rPr>
      </w:pPr>
      <w:r w:rsidRPr="00F77C76">
        <w:rPr>
          <w:rFonts w:ascii="Times New Roman" w:hAnsi="Times New Roman" w:cs="Times New Roman"/>
          <w:b w:val="0"/>
          <w:bCs/>
        </w:rPr>
        <w:t>Understanding how the communities use the NOAA products and services is important to helping NOAA to either improve its existing products and services or to develop new products and services to fill potential gaps. The survey will ask respondents about their use of the products and services to earn CRS points. There are three potential levels of information that can be collected:</w:t>
      </w:r>
    </w:p>
    <w:p w:rsidRPr="00F77C76" w:rsidR="00BF6B03" w:rsidP="00BF6B03" w:rsidRDefault="00BF6B03" w14:paraId="635C8102" w14:textId="77777777">
      <w:pPr>
        <w:ind w:left="360"/>
        <w:rPr>
          <w:rFonts w:ascii="Times New Roman" w:hAnsi="Times New Roman" w:cs="Times New Roman"/>
          <w:b w:val="0"/>
          <w:bCs/>
        </w:rPr>
      </w:pPr>
    </w:p>
    <w:p w:rsidR="00F77C76" w:rsidP="00F77C76" w:rsidRDefault="00F77C76" w14:paraId="6ECE049D" w14:textId="77777777">
      <w:pPr>
        <w:pStyle w:val="ListParagraph"/>
        <w:numPr>
          <w:ilvl w:val="0"/>
          <w:numId w:val="15"/>
        </w:numPr>
        <w:spacing w:after="160" w:line="259" w:lineRule="auto"/>
        <w:rPr>
          <w:rFonts w:ascii="Times New Roman" w:hAnsi="Times New Roman" w:cs="Times New Roman"/>
          <w:b w:val="0"/>
          <w:bCs/>
        </w:rPr>
      </w:pPr>
      <w:r w:rsidRPr="00F77C76">
        <w:rPr>
          <w:rFonts w:ascii="Times New Roman" w:hAnsi="Times New Roman" w:cs="Times New Roman"/>
          <w:b w:val="0"/>
          <w:bCs/>
          <w:i/>
          <w:iCs/>
        </w:rPr>
        <w:lastRenderedPageBreak/>
        <w:t xml:space="preserve">In </w:t>
      </w:r>
      <w:r w:rsidRPr="00BF6B03">
        <w:rPr>
          <w:rFonts w:ascii="Times New Roman" w:hAnsi="Times New Roman" w:cs="Times New Roman"/>
          <w:b w:val="0"/>
          <w:bCs/>
          <w:i/>
          <w:iCs/>
          <w:u w:val="single"/>
        </w:rPr>
        <w:t>general</w:t>
      </w:r>
      <w:r w:rsidRPr="00F77C76">
        <w:rPr>
          <w:rFonts w:ascii="Times New Roman" w:hAnsi="Times New Roman" w:cs="Times New Roman"/>
          <w:b w:val="0"/>
          <w:bCs/>
          <w:i/>
          <w:iCs/>
        </w:rPr>
        <w:t>, the extent to which the product or service was useful to earning points.</w:t>
      </w:r>
      <w:r w:rsidRPr="00F77C76">
        <w:rPr>
          <w:rFonts w:ascii="Times New Roman" w:hAnsi="Times New Roman" w:cs="Times New Roman"/>
          <w:b w:val="0"/>
          <w:bCs/>
        </w:rPr>
        <w:t xml:space="preserve"> This is the most basic level and provides little detail in how the communities use the NOAA products or services to earn points. NOAA and ERG have identified areas of the CRS Coordinators Manual where we think each product or service can assist CRS communities, but this link is based on NOAA and ERG’s best professional judgement. Nevertheless, asking respondents whether the product or service was “useful for earning points” is the least burdensome approach to assessing usefulness of the NOAA products and resources. This is the minimal level of information we envision collecting under this survey</w:t>
      </w:r>
      <w:r w:rsidR="00BF6B03">
        <w:rPr>
          <w:rFonts w:ascii="Times New Roman" w:hAnsi="Times New Roman" w:cs="Times New Roman"/>
          <w:b w:val="0"/>
          <w:bCs/>
        </w:rPr>
        <w:t xml:space="preserve"> in terms of usefulness</w:t>
      </w:r>
      <w:r w:rsidRPr="00F77C76">
        <w:rPr>
          <w:rFonts w:ascii="Times New Roman" w:hAnsi="Times New Roman" w:cs="Times New Roman"/>
          <w:b w:val="0"/>
          <w:bCs/>
        </w:rPr>
        <w:t>. We are proposing to collect this level of information from all respondents using a five-point scale (“not at all useful”, “slightly useful”, “moderately useful”, “very useful”, or “extremely useful”).</w:t>
      </w:r>
      <w:r w:rsidRPr="00F77C76">
        <w:rPr>
          <w:rStyle w:val="FootnoteReference"/>
          <w:rFonts w:ascii="Times New Roman" w:hAnsi="Times New Roman" w:cs="Times New Roman"/>
          <w:b w:val="0"/>
          <w:bCs/>
        </w:rPr>
        <w:footnoteReference w:id="1"/>
      </w:r>
      <w:r w:rsidRPr="00F77C76">
        <w:rPr>
          <w:rFonts w:ascii="Times New Roman" w:hAnsi="Times New Roman" w:cs="Times New Roman"/>
          <w:b w:val="0"/>
          <w:bCs/>
        </w:rPr>
        <w:t xml:space="preserve"> </w:t>
      </w:r>
    </w:p>
    <w:p w:rsidRPr="00F77C76" w:rsidR="00BF6B03" w:rsidP="00BF6B03" w:rsidRDefault="00BF6B03" w14:paraId="7093E189" w14:textId="77777777">
      <w:pPr>
        <w:pStyle w:val="ListParagraph"/>
        <w:spacing w:after="160" w:line="259" w:lineRule="auto"/>
        <w:rPr>
          <w:rFonts w:ascii="Times New Roman" w:hAnsi="Times New Roman" w:cs="Times New Roman"/>
          <w:b w:val="0"/>
          <w:bCs/>
        </w:rPr>
      </w:pPr>
    </w:p>
    <w:p w:rsidR="00F77C76" w:rsidP="00F77C76" w:rsidRDefault="00F77C76" w14:paraId="74403130" w14:textId="77777777">
      <w:pPr>
        <w:pStyle w:val="ListParagraph"/>
        <w:numPr>
          <w:ilvl w:val="0"/>
          <w:numId w:val="15"/>
        </w:numPr>
        <w:spacing w:after="160" w:line="259" w:lineRule="auto"/>
        <w:rPr>
          <w:rFonts w:ascii="Times New Roman" w:hAnsi="Times New Roman" w:cs="Times New Roman"/>
          <w:b w:val="0"/>
          <w:bCs/>
        </w:rPr>
      </w:pPr>
      <w:r w:rsidRPr="00F77C76">
        <w:rPr>
          <w:rFonts w:ascii="Times New Roman" w:hAnsi="Times New Roman" w:cs="Times New Roman"/>
          <w:b w:val="0"/>
          <w:bCs/>
          <w:i/>
          <w:iCs/>
        </w:rPr>
        <w:t xml:space="preserve">The extent to which the NOAA product or service was useful for earning points under the four different </w:t>
      </w:r>
      <w:r w:rsidRPr="00BF6B03">
        <w:rPr>
          <w:rFonts w:ascii="Times New Roman" w:hAnsi="Times New Roman" w:cs="Times New Roman"/>
          <w:b w:val="0"/>
          <w:bCs/>
          <w:i/>
          <w:iCs/>
          <w:u w:val="single"/>
        </w:rPr>
        <w:t>Series</w:t>
      </w:r>
      <w:r w:rsidRPr="00F77C76">
        <w:rPr>
          <w:rFonts w:ascii="Times New Roman" w:hAnsi="Times New Roman" w:cs="Times New Roman"/>
          <w:b w:val="0"/>
          <w:bCs/>
          <w:i/>
          <w:iCs/>
        </w:rPr>
        <w:t xml:space="preserve"> in the CRS Coordinator’s Manual.</w:t>
      </w:r>
      <w:r w:rsidRPr="00F77C76">
        <w:rPr>
          <w:rFonts w:ascii="Times New Roman" w:hAnsi="Times New Roman" w:cs="Times New Roman"/>
          <w:b w:val="0"/>
          <w:bCs/>
        </w:rPr>
        <w:t xml:space="preserve"> The CRS Coordinator’s Manual is organized into sections (referred to as “Series”) and communities can earn points under four of those areas: Public Information Activities (300 Series), Mapping and Regulations (400 Series), Flood Damage Reduction Activities (500 Series), and Warning and Response (600 Series). Respondents who are asked this level of information would be asked to assess the extent to which NOAA products and services they rated as “very useful” or “extremely useful” in the overall usefulness question (prior bullet) were useful at earning points in each of the four series. We are proposing to ask this of 30 percent of all respondents. </w:t>
      </w:r>
    </w:p>
    <w:p w:rsidRPr="00F77C76" w:rsidR="00BF6B03" w:rsidP="00BF6B03" w:rsidRDefault="00BF6B03" w14:paraId="5DABF858" w14:textId="77777777">
      <w:pPr>
        <w:pStyle w:val="ListParagraph"/>
        <w:spacing w:after="160" w:line="259" w:lineRule="auto"/>
        <w:rPr>
          <w:rFonts w:ascii="Times New Roman" w:hAnsi="Times New Roman" w:cs="Times New Roman"/>
          <w:b w:val="0"/>
          <w:bCs/>
        </w:rPr>
      </w:pPr>
    </w:p>
    <w:p w:rsidR="00F77C76" w:rsidP="00F77C76" w:rsidRDefault="00F77C76" w14:paraId="29633631" w14:textId="77777777">
      <w:pPr>
        <w:pStyle w:val="ListParagraph"/>
        <w:numPr>
          <w:ilvl w:val="0"/>
          <w:numId w:val="15"/>
        </w:numPr>
        <w:spacing w:after="160" w:line="259" w:lineRule="auto"/>
        <w:rPr>
          <w:rFonts w:ascii="Times New Roman" w:hAnsi="Times New Roman" w:cs="Times New Roman"/>
          <w:b w:val="0"/>
          <w:bCs/>
        </w:rPr>
      </w:pPr>
      <w:r w:rsidRPr="00F77C76">
        <w:rPr>
          <w:rFonts w:ascii="Times New Roman" w:hAnsi="Times New Roman" w:cs="Times New Roman"/>
          <w:b w:val="0"/>
          <w:bCs/>
          <w:i/>
          <w:iCs/>
        </w:rPr>
        <w:t xml:space="preserve">The extent to which the NOAA product or service was useful for earning points under the different </w:t>
      </w:r>
      <w:r w:rsidRPr="00BF6B03">
        <w:rPr>
          <w:rFonts w:ascii="Times New Roman" w:hAnsi="Times New Roman" w:cs="Times New Roman"/>
          <w:b w:val="0"/>
          <w:bCs/>
          <w:i/>
          <w:iCs/>
          <w:u w:val="single"/>
        </w:rPr>
        <w:t>sections</w:t>
      </w:r>
      <w:r w:rsidRPr="00F77C76">
        <w:rPr>
          <w:rFonts w:ascii="Times New Roman" w:hAnsi="Times New Roman" w:cs="Times New Roman"/>
          <w:b w:val="0"/>
          <w:bCs/>
          <w:i/>
          <w:iCs/>
        </w:rPr>
        <w:t xml:space="preserve"> within in the CRS Coordinator’s Manual.</w:t>
      </w:r>
      <w:r w:rsidRPr="00F77C76">
        <w:rPr>
          <w:rFonts w:ascii="Times New Roman" w:hAnsi="Times New Roman" w:cs="Times New Roman"/>
          <w:b w:val="0"/>
          <w:bCs/>
        </w:rPr>
        <w:t xml:space="preserve"> Within each of the Series in the CRS Coordinator Manual, there are “sections” that define specific elements where communities can earn points. There are 19 total sections</w:t>
      </w:r>
      <w:r w:rsidRPr="00F77C76">
        <w:rPr>
          <w:rStyle w:val="FootnoteReference"/>
          <w:rFonts w:ascii="Times New Roman" w:hAnsi="Times New Roman" w:cs="Times New Roman"/>
          <w:b w:val="0"/>
          <w:bCs/>
        </w:rPr>
        <w:footnoteReference w:id="2"/>
      </w:r>
      <w:r w:rsidRPr="00F77C76">
        <w:rPr>
          <w:rFonts w:ascii="Times New Roman" w:hAnsi="Times New Roman" w:cs="Times New Roman"/>
          <w:b w:val="0"/>
          <w:bCs/>
        </w:rPr>
        <w:t xml:space="preserve"> on the CRS Coordinator’s Manual where points can be earned. Respondents who are asked this level of information would be asked to assess the extent to which NOAA products and services they rated as “very useful” or “extremely useful” in the overall usefulness question (first bullet above) were useful at earning points in each of the 19 sections. We are proposing to ask this of 30 percent of all respondents.</w:t>
      </w:r>
    </w:p>
    <w:p w:rsidR="00BF6B03" w:rsidP="00BF6B03" w:rsidRDefault="00BF6B03" w14:paraId="5E22B0B1" w14:textId="77777777">
      <w:pPr>
        <w:pStyle w:val="ListParagraph"/>
        <w:spacing w:after="160" w:line="259" w:lineRule="auto"/>
        <w:ind w:left="0"/>
        <w:rPr>
          <w:rFonts w:ascii="Times New Roman" w:hAnsi="Times New Roman" w:cs="Times New Roman"/>
          <w:b w:val="0"/>
          <w:bCs/>
        </w:rPr>
      </w:pPr>
    </w:p>
    <w:p w:rsidRPr="00BF6B03" w:rsidR="00BF6B03" w:rsidP="00345C7E" w:rsidRDefault="00BF6B03" w14:paraId="73E16DA9" w14:textId="77777777">
      <w:pPr>
        <w:pStyle w:val="ListParagraph"/>
        <w:spacing w:after="160" w:line="259" w:lineRule="auto"/>
        <w:ind w:left="360"/>
        <w:rPr>
          <w:rFonts w:ascii="Times New Roman" w:hAnsi="Times New Roman" w:cs="Times New Roman"/>
          <w:b w:val="0"/>
          <w:bCs/>
          <w:u w:val="single"/>
        </w:rPr>
      </w:pPr>
      <w:r w:rsidRPr="00BF6B03">
        <w:rPr>
          <w:rFonts w:ascii="Times New Roman" w:hAnsi="Times New Roman" w:cs="Times New Roman"/>
          <w:b w:val="0"/>
          <w:bCs/>
          <w:u w:val="single"/>
        </w:rPr>
        <w:t>Sample Allocation Among Distinct Groups</w:t>
      </w:r>
    </w:p>
    <w:p w:rsidR="00BF6B03" w:rsidP="00345C7E" w:rsidRDefault="00BF6B03" w14:paraId="2A38D3CC" w14:textId="2B0CDEB4">
      <w:pPr>
        <w:ind w:left="360"/>
        <w:rPr>
          <w:rFonts w:ascii="Times New Roman" w:hAnsi="Times New Roman" w:cs="Times New Roman"/>
          <w:b w:val="0"/>
          <w:bCs/>
        </w:rPr>
      </w:pPr>
      <w:r w:rsidRPr="00BF6B03">
        <w:rPr>
          <w:rFonts w:ascii="Times New Roman" w:hAnsi="Times New Roman" w:cs="Times New Roman"/>
          <w:b w:val="0"/>
          <w:bCs/>
        </w:rPr>
        <w:fldChar w:fldCharType="begin"/>
      </w:r>
      <w:r w:rsidRPr="00BF6B03">
        <w:rPr>
          <w:rFonts w:ascii="Times New Roman" w:hAnsi="Times New Roman" w:cs="Times New Roman"/>
          <w:b w:val="0"/>
          <w:bCs/>
        </w:rPr>
        <w:instrText xml:space="preserve"> REF _Ref37859877 \h  \* MERGEFORMAT </w:instrText>
      </w:r>
      <w:r w:rsidRPr="00BF6B03">
        <w:rPr>
          <w:rFonts w:ascii="Times New Roman" w:hAnsi="Times New Roman" w:cs="Times New Roman"/>
          <w:b w:val="0"/>
          <w:bCs/>
        </w:rPr>
      </w:r>
      <w:r w:rsidRPr="00BF6B03">
        <w:rPr>
          <w:rFonts w:ascii="Times New Roman" w:hAnsi="Times New Roman" w:cs="Times New Roman"/>
          <w:b w:val="0"/>
          <w:bCs/>
        </w:rPr>
        <w:fldChar w:fldCharType="separate"/>
      </w:r>
      <w:r w:rsidRPr="00F97FE9" w:rsidR="00F97FE9">
        <w:rPr>
          <w:rFonts w:ascii="Times New Roman" w:hAnsi="Times New Roman" w:cs="Times New Roman"/>
          <w:b w:val="0"/>
          <w:bCs/>
        </w:rPr>
        <w:t xml:space="preserve">Table </w:t>
      </w:r>
      <w:r w:rsidRPr="00F97FE9" w:rsidR="00F97FE9">
        <w:rPr>
          <w:rFonts w:ascii="Times New Roman" w:hAnsi="Times New Roman" w:cs="Times New Roman"/>
          <w:b w:val="0"/>
          <w:bCs/>
          <w:noProof/>
        </w:rPr>
        <w:t>1</w:t>
      </w:r>
      <w:r w:rsidRPr="00BF6B03">
        <w:rPr>
          <w:rFonts w:ascii="Times New Roman" w:hAnsi="Times New Roman" w:cs="Times New Roman"/>
          <w:b w:val="0"/>
          <w:bCs/>
        </w:rPr>
        <w:fldChar w:fldCharType="end"/>
      </w:r>
      <w:r w:rsidRPr="00BF6B03">
        <w:rPr>
          <w:rFonts w:ascii="Times New Roman" w:hAnsi="Times New Roman" w:cs="Times New Roman"/>
          <w:b w:val="0"/>
          <w:bCs/>
        </w:rPr>
        <w:t xml:space="preserve"> provides the allocation of the (assumed) 800 coastal communities across the six distinct groups defined by the decisions made above. </w:t>
      </w:r>
      <w:r w:rsidR="00345C7E">
        <w:rPr>
          <w:rFonts w:ascii="Times New Roman" w:hAnsi="Times New Roman" w:cs="Times New Roman"/>
          <w:b w:val="0"/>
          <w:bCs/>
        </w:rPr>
        <w:t xml:space="preserve">Specifically, there are two “priority levels” defining which products or services to include and three levels for “point usefulness”. </w:t>
      </w:r>
    </w:p>
    <w:p w:rsidRPr="00BF6B03" w:rsidR="00345C7E" w:rsidP="00345C7E" w:rsidRDefault="00345C7E" w14:paraId="6122060F" w14:textId="77777777">
      <w:pPr>
        <w:ind w:left="360"/>
        <w:rPr>
          <w:rFonts w:ascii="Times New Roman" w:hAnsi="Times New Roman" w:cs="Times New Roman"/>
          <w:b w:val="0"/>
          <w:bCs/>
        </w:rPr>
      </w:pPr>
      <w:r>
        <w:rPr>
          <w:rFonts w:ascii="Times New Roman" w:hAnsi="Times New Roman" w:cs="Times New Roman"/>
          <w:b w:val="0"/>
          <w:bCs/>
        </w:rPr>
        <w:br w:type="page"/>
      </w:r>
    </w:p>
    <w:p w:rsidRPr="00BF6B03" w:rsidR="0077504F" w:rsidP="00756421" w:rsidRDefault="0077504F" w14:paraId="714F5C31" w14:textId="77777777">
      <w:pPr>
        <w:autoSpaceDE w:val="0"/>
        <w:autoSpaceDN w:val="0"/>
        <w:adjustRightInd w:val="0"/>
        <w:ind w:left="360"/>
        <w:rPr>
          <w:rFonts w:ascii="Times New Roman" w:hAnsi="Times New Roman" w:cs="Times New Roman"/>
          <w:b w:val="0"/>
          <w:bCs/>
        </w:rPr>
      </w:pPr>
    </w:p>
    <w:p w:rsidRPr="00BF6B03" w:rsidR="00F77C76" w:rsidP="00BF6B03" w:rsidRDefault="00BF6B03" w14:paraId="0C90AF7A" w14:textId="132F46B2">
      <w:pPr>
        <w:pStyle w:val="Caption"/>
        <w:ind w:left="360"/>
        <w:rPr>
          <w:rFonts w:ascii="Times New Roman" w:hAnsi="Times New Roman" w:cs="Times New Roman"/>
          <w:b w:val="0"/>
        </w:rPr>
      </w:pPr>
      <w:bookmarkStart w:name="_Ref37859877" w:id="1"/>
      <w:r w:rsidRPr="00BF6B03">
        <w:rPr>
          <w:rFonts w:ascii="Times New Roman" w:hAnsi="Times New Roman" w:cs="Times New Roman"/>
        </w:rPr>
        <w:t xml:space="preserve">Table </w:t>
      </w:r>
      <w:r w:rsidRPr="00BF6B03">
        <w:rPr>
          <w:rFonts w:ascii="Times New Roman" w:hAnsi="Times New Roman" w:cs="Times New Roman"/>
        </w:rPr>
        <w:fldChar w:fldCharType="begin"/>
      </w:r>
      <w:r w:rsidRPr="00BF6B03">
        <w:rPr>
          <w:rFonts w:ascii="Times New Roman" w:hAnsi="Times New Roman" w:cs="Times New Roman"/>
        </w:rPr>
        <w:instrText xml:space="preserve"> SEQ Table \* ARABIC </w:instrText>
      </w:r>
      <w:r w:rsidRPr="00BF6B03">
        <w:rPr>
          <w:rFonts w:ascii="Times New Roman" w:hAnsi="Times New Roman" w:cs="Times New Roman"/>
        </w:rPr>
        <w:fldChar w:fldCharType="separate"/>
      </w:r>
      <w:r w:rsidR="00F97FE9">
        <w:rPr>
          <w:rFonts w:ascii="Times New Roman" w:hAnsi="Times New Roman" w:cs="Times New Roman"/>
          <w:noProof/>
        </w:rPr>
        <w:t>1</w:t>
      </w:r>
      <w:r w:rsidRPr="00BF6B03">
        <w:rPr>
          <w:rFonts w:ascii="Times New Roman" w:hAnsi="Times New Roman" w:cs="Times New Roman"/>
        </w:rPr>
        <w:fldChar w:fldCharType="end"/>
      </w:r>
      <w:bookmarkEnd w:id="1"/>
      <w:r w:rsidRPr="00BF6B03">
        <w:rPr>
          <w:rFonts w:ascii="Times New Roman" w:hAnsi="Times New Roman" w:cs="Times New Roman"/>
        </w:rPr>
        <w:t>. Sample Allocation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2186"/>
        <w:gridCol w:w="2189"/>
        <w:gridCol w:w="1413"/>
        <w:gridCol w:w="1413"/>
        <w:gridCol w:w="1413"/>
      </w:tblGrid>
      <w:tr w:rsidRPr="009F5D83" w:rsidR="00F77C76" w:rsidTr="009F5D83" w14:paraId="5C1A3BB6" w14:textId="77777777">
        <w:trPr>
          <w:jc w:val="center"/>
        </w:trPr>
        <w:tc>
          <w:tcPr>
            <w:tcW w:w="816" w:type="dxa"/>
            <w:shd w:val="clear" w:color="auto" w:fill="BFBFBF"/>
            <w:vAlign w:val="center"/>
          </w:tcPr>
          <w:p w:rsidRPr="009F5D83" w:rsidR="00F77C76" w:rsidP="009F5D83" w:rsidRDefault="00F77C76" w14:paraId="25A88F8C" w14:textId="77777777">
            <w:pPr>
              <w:jc w:val="center"/>
              <w:rPr>
                <w:rFonts w:ascii="Times New Roman" w:hAnsi="Times New Roman" w:cs="Times New Roman"/>
                <w:b w:val="0"/>
                <w:bCs/>
                <w:sz w:val="20"/>
                <w:szCs w:val="20"/>
              </w:rPr>
            </w:pPr>
            <w:r w:rsidRPr="009F5D83">
              <w:rPr>
                <w:rFonts w:ascii="Times New Roman" w:hAnsi="Times New Roman" w:cs="Times New Roman"/>
                <w:bCs/>
                <w:sz w:val="20"/>
                <w:szCs w:val="20"/>
              </w:rPr>
              <w:t>Group</w:t>
            </w:r>
          </w:p>
        </w:tc>
        <w:tc>
          <w:tcPr>
            <w:tcW w:w="2186" w:type="dxa"/>
            <w:shd w:val="clear" w:color="auto" w:fill="BFBFBF"/>
            <w:vAlign w:val="center"/>
          </w:tcPr>
          <w:p w:rsidRPr="009F5D83" w:rsidR="00F77C76" w:rsidP="009F5D83" w:rsidRDefault="00F77C76" w14:paraId="4E97B87D" w14:textId="77777777">
            <w:pPr>
              <w:jc w:val="center"/>
              <w:rPr>
                <w:rFonts w:ascii="Times New Roman" w:hAnsi="Times New Roman" w:cs="Times New Roman"/>
                <w:b w:val="0"/>
                <w:bCs/>
                <w:sz w:val="20"/>
                <w:szCs w:val="20"/>
              </w:rPr>
            </w:pPr>
            <w:r w:rsidRPr="009F5D83">
              <w:rPr>
                <w:rFonts w:ascii="Times New Roman" w:hAnsi="Times New Roman" w:cs="Times New Roman"/>
                <w:bCs/>
                <w:sz w:val="20"/>
                <w:szCs w:val="20"/>
              </w:rPr>
              <w:t>NOAA Products and Services Included in Survey</w:t>
            </w:r>
          </w:p>
        </w:tc>
        <w:tc>
          <w:tcPr>
            <w:tcW w:w="2189" w:type="dxa"/>
            <w:shd w:val="clear" w:color="auto" w:fill="BFBFBF"/>
            <w:vAlign w:val="center"/>
          </w:tcPr>
          <w:p w:rsidRPr="009F5D83" w:rsidR="00F77C76" w:rsidP="009F5D83" w:rsidRDefault="00F77C76" w14:paraId="2D8D69F4" w14:textId="77777777">
            <w:pPr>
              <w:jc w:val="center"/>
              <w:rPr>
                <w:rFonts w:ascii="Times New Roman" w:hAnsi="Times New Roman" w:cs="Times New Roman"/>
                <w:b w:val="0"/>
                <w:bCs/>
                <w:sz w:val="20"/>
                <w:szCs w:val="20"/>
              </w:rPr>
            </w:pPr>
            <w:r w:rsidRPr="009F5D83">
              <w:rPr>
                <w:rFonts w:ascii="Times New Roman" w:hAnsi="Times New Roman" w:cs="Times New Roman"/>
                <w:bCs/>
                <w:sz w:val="20"/>
                <w:szCs w:val="20"/>
              </w:rPr>
              <w:t>Point</w:t>
            </w:r>
            <w:r w:rsidRPr="009F5D83" w:rsidR="00345C7E">
              <w:rPr>
                <w:rFonts w:ascii="Times New Roman" w:hAnsi="Times New Roman" w:cs="Times New Roman"/>
                <w:bCs/>
                <w:sz w:val="20"/>
                <w:szCs w:val="20"/>
              </w:rPr>
              <w:t>s Usefulness</w:t>
            </w:r>
            <w:r w:rsidRPr="009F5D83">
              <w:rPr>
                <w:rFonts w:ascii="Times New Roman" w:hAnsi="Times New Roman" w:cs="Times New Roman"/>
                <w:bCs/>
                <w:sz w:val="20"/>
                <w:szCs w:val="20"/>
              </w:rPr>
              <w:t xml:space="preserve"> Question</w:t>
            </w:r>
          </w:p>
        </w:tc>
        <w:tc>
          <w:tcPr>
            <w:tcW w:w="1413" w:type="dxa"/>
            <w:shd w:val="clear" w:color="auto" w:fill="BFBFBF"/>
            <w:vAlign w:val="center"/>
          </w:tcPr>
          <w:p w:rsidRPr="009F5D83" w:rsidR="00F77C76" w:rsidP="009F5D83" w:rsidRDefault="00F77C76" w14:paraId="2526879D" w14:textId="77777777">
            <w:pPr>
              <w:jc w:val="center"/>
              <w:rPr>
                <w:rFonts w:ascii="Times New Roman" w:hAnsi="Times New Roman" w:cs="Times New Roman"/>
                <w:b w:val="0"/>
                <w:bCs/>
                <w:sz w:val="20"/>
                <w:szCs w:val="20"/>
              </w:rPr>
            </w:pPr>
            <w:r w:rsidRPr="009F5D83">
              <w:rPr>
                <w:rFonts w:ascii="Times New Roman" w:hAnsi="Times New Roman" w:cs="Times New Roman"/>
                <w:bCs/>
                <w:sz w:val="20"/>
                <w:szCs w:val="20"/>
              </w:rPr>
              <w:t>Sample Allocation [a]</w:t>
            </w:r>
          </w:p>
        </w:tc>
        <w:tc>
          <w:tcPr>
            <w:tcW w:w="1413" w:type="dxa"/>
            <w:shd w:val="clear" w:color="auto" w:fill="BFBFBF"/>
          </w:tcPr>
          <w:p w:rsidRPr="009F5D83" w:rsidR="00F77C76" w:rsidP="009F5D83" w:rsidRDefault="00BF6B03" w14:paraId="522D60EF" w14:textId="77777777">
            <w:pPr>
              <w:jc w:val="center"/>
              <w:rPr>
                <w:rFonts w:ascii="Times New Roman" w:hAnsi="Times New Roman" w:cs="Times New Roman"/>
                <w:bCs/>
                <w:sz w:val="20"/>
                <w:szCs w:val="20"/>
              </w:rPr>
            </w:pPr>
            <w:r w:rsidRPr="009F5D83">
              <w:rPr>
                <w:rFonts w:ascii="Times New Roman" w:hAnsi="Times New Roman" w:cs="Times New Roman"/>
                <w:bCs/>
                <w:sz w:val="20"/>
                <w:szCs w:val="20"/>
              </w:rPr>
              <w:t>Assumed Response Rate</w:t>
            </w:r>
          </w:p>
        </w:tc>
        <w:tc>
          <w:tcPr>
            <w:tcW w:w="1413" w:type="dxa"/>
            <w:shd w:val="clear" w:color="auto" w:fill="BFBFBF"/>
          </w:tcPr>
          <w:p w:rsidRPr="009F5D83" w:rsidR="00F77C76" w:rsidP="009F5D83" w:rsidRDefault="00BF6B03" w14:paraId="31EC94EE" w14:textId="77777777">
            <w:pPr>
              <w:jc w:val="center"/>
              <w:rPr>
                <w:rFonts w:ascii="Times New Roman" w:hAnsi="Times New Roman" w:cs="Times New Roman"/>
                <w:bCs/>
                <w:sz w:val="20"/>
                <w:szCs w:val="20"/>
              </w:rPr>
            </w:pPr>
            <w:r w:rsidRPr="009F5D83">
              <w:rPr>
                <w:rFonts w:ascii="Times New Roman" w:hAnsi="Times New Roman" w:cs="Times New Roman"/>
                <w:bCs/>
                <w:sz w:val="20"/>
                <w:szCs w:val="20"/>
              </w:rPr>
              <w:t>Estimated Number of Respondents</w:t>
            </w:r>
          </w:p>
        </w:tc>
      </w:tr>
      <w:tr w:rsidRPr="009F5D83" w:rsidR="00BF6B03" w:rsidTr="009F5D83" w14:paraId="44421AE1" w14:textId="77777777">
        <w:trPr>
          <w:jc w:val="center"/>
        </w:trPr>
        <w:tc>
          <w:tcPr>
            <w:tcW w:w="816" w:type="dxa"/>
            <w:shd w:val="clear" w:color="auto" w:fill="auto"/>
            <w:vAlign w:val="center"/>
          </w:tcPr>
          <w:p w:rsidRPr="009F5D83" w:rsidR="00BF6B03" w:rsidP="009F5D83" w:rsidRDefault="00BF6B03" w14:paraId="7571995E"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A</w:t>
            </w:r>
          </w:p>
        </w:tc>
        <w:tc>
          <w:tcPr>
            <w:tcW w:w="2186" w:type="dxa"/>
            <w:shd w:val="clear" w:color="auto" w:fill="auto"/>
            <w:vAlign w:val="center"/>
          </w:tcPr>
          <w:p w:rsidRPr="009F5D83" w:rsidR="00BF6B03" w:rsidP="009F5D83" w:rsidRDefault="00BF6B03" w14:paraId="2215ACB4"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Just High</w:t>
            </w:r>
          </w:p>
        </w:tc>
        <w:tc>
          <w:tcPr>
            <w:tcW w:w="2189" w:type="dxa"/>
            <w:shd w:val="clear" w:color="auto" w:fill="auto"/>
            <w:vAlign w:val="center"/>
          </w:tcPr>
          <w:p w:rsidRPr="009F5D83" w:rsidR="00BF6B03" w:rsidP="009F5D83" w:rsidRDefault="00BF6B03" w14:paraId="348F2B1E"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General only [b]</w:t>
            </w:r>
          </w:p>
        </w:tc>
        <w:tc>
          <w:tcPr>
            <w:tcW w:w="1413" w:type="dxa"/>
            <w:shd w:val="clear" w:color="auto" w:fill="auto"/>
            <w:vAlign w:val="center"/>
          </w:tcPr>
          <w:p w:rsidRPr="009F5D83" w:rsidR="00BF6B03" w:rsidP="009F5D83" w:rsidRDefault="00BF6B03" w14:paraId="7375DA70"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192</w:t>
            </w:r>
          </w:p>
        </w:tc>
        <w:tc>
          <w:tcPr>
            <w:tcW w:w="1413" w:type="dxa"/>
            <w:shd w:val="clear" w:color="auto" w:fill="auto"/>
          </w:tcPr>
          <w:p w:rsidRPr="009F5D83" w:rsidR="00BF6B03" w:rsidP="009F5D83" w:rsidRDefault="00BF6B03" w14:paraId="0B49F1E7"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60%</w:t>
            </w:r>
          </w:p>
        </w:tc>
        <w:tc>
          <w:tcPr>
            <w:tcW w:w="1413" w:type="dxa"/>
            <w:shd w:val="clear" w:color="auto" w:fill="auto"/>
            <w:vAlign w:val="bottom"/>
          </w:tcPr>
          <w:p w:rsidRPr="009F5D83" w:rsidR="00BF6B03" w:rsidP="009F5D83" w:rsidRDefault="00BF6B03" w14:paraId="2ED1DE18"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115</w:t>
            </w:r>
          </w:p>
        </w:tc>
      </w:tr>
      <w:tr w:rsidRPr="009F5D83" w:rsidR="00BF6B03" w:rsidTr="009F5D83" w14:paraId="1E564E38" w14:textId="77777777">
        <w:trPr>
          <w:jc w:val="center"/>
        </w:trPr>
        <w:tc>
          <w:tcPr>
            <w:tcW w:w="816" w:type="dxa"/>
            <w:shd w:val="clear" w:color="auto" w:fill="auto"/>
            <w:vAlign w:val="center"/>
          </w:tcPr>
          <w:p w:rsidRPr="009F5D83" w:rsidR="00BF6B03" w:rsidP="009F5D83" w:rsidRDefault="00BF6B03" w14:paraId="370E139D"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B</w:t>
            </w:r>
          </w:p>
        </w:tc>
        <w:tc>
          <w:tcPr>
            <w:tcW w:w="2186" w:type="dxa"/>
            <w:shd w:val="clear" w:color="auto" w:fill="auto"/>
            <w:vAlign w:val="center"/>
          </w:tcPr>
          <w:p w:rsidRPr="009F5D83" w:rsidR="00BF6B03" w:rsidP="009F5D83" w:rsidRDefault="00BF6B03" w14:paraId="32133AC3"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Just High</w:t>
            </w:r>
          </w:p>
        </w:tc>
        <w:tc>
          <w:tcPr>
            <w:tcW w:w="2189" w:type="dxa"/>
            <w:shd w:val="clear" w:color="auto" w:fill="auto"/>
            <w:vAlign w:val="center"/>
          </w:tcPr>
          <w:p w:rsidRPr="009F5D83" w:rsidR="00BF6B03" w:rsidP="009F5D83" w:rsidRDefault="00BF6B03" w14:paraId="26C224AE"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Series Level</w:t>
            </w:r>
          </w:p>
        </w:tc>
        <w:tc>
          <w:tcPr>
            <w:tcW w:w="1413" w:type="dxa"/>
            <w:shd w:val="clear" w:color="auto" w:fill="auto"/>
            <w:vAlign w:val="center"/>
          </w:tcPr>
          <w:p w:rsidRPr="009F5D83" w:rsidR="00BF6B03" w:rsidP="009F5D83" w:rsidRDefault="00BF6B03" w14:paraId="0105F8E3"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144</w:t>
            </w:r>
          </w:p>
        </w:tc>
        <w:tc>
          <w:tcPr>
            <w:tcW w:w="1413" w:type="dxa"/>
            <w:shd w:val="clear" w:color="auto" w:fill="auto"/>
          </w:tcPr>
          <w:p w:rsidRPr="009F5D83" w:rsidR="00BF6B03" w:rsidP="009F5D83" w:rsidRDefault="00BF6B03" w14:paraId="5D29CF7D"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55%</w:t>
            </w:r>
          </w:p>
        </w:tc>
        <w:tc>
          <w:tcPr>
            <w:tcW w:w="1413" w:type="dxa"/>
            <w:shd w:val="clear" w:color="auto" w:fill="auto"/>
            <w:vAlign w:val="bottom"/>
          </w:tcPr>
          <w:p w:rsidRPr="009F5D83" w:rsidR="00BF6B03" w:rsidP="009F5D83" w:rsidRDefault="00BF6B03" w14:paraId="2809E300"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79</w:t>
            </w:r>
          </w:p>
        </w:tc>
      </w:tr>
      <w:tr w:rsidRPr="009F5D83" w:rsidR="00BF6B03" w:rsidTr="009F5D83" w14:paraId="1E943279" w14:textId="77777777">
        <w:trPr>
          <w:jc w:val="center"/>
        </w:trPr>
        <w:tc>
          <w:tcPr>
            <w:tcW w:w="816" w:type="dxa"/>
            <w:shd w:val="clear" w:color="auto" w:fill="auto"/>
            <w:vAlign w:val="center"/>
          </w:tcPr>
          <w:p w:rsidRPr="009F5D83" w:rsidR="00BF6B03" w:rsidP="009F5D83" w:rsidRDefault="00BF6B03" w14:paraId="70037E4D"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C</w:t>
            </w:r>
          </w:p>
        </w:tc>
        <w:tc>
          <w:tcPr>
            <w:tcW w:w="2186" w:type="dxa"/>
            <w:shd w:val="clear" w:color="auto" w:fill="auto"/>
            <w:vAlign w:val="center"/>
          </w:tcPr>
          <w:p w:rsidRPr="009F5D83" w:rsidR="00BF6B03" w:rsidP="009F5D83" w:rsidRDefault="00BF6B03" w14:paraId="51114682"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Just High</w:t>
            </w:r>
          </w:p>
        </w:tc>
        <w:tc>
          <w:tcPr>
            <w:tcW w:w="2189" w:type="dxa"/>
            <w:shd w:val="clear" w:color="auto" w:fill="auto"/>
            <w:vAlign w:val="center"/>
          </w:tcPr>
          <w:p w:rsidRPr="009F5D83" w:rsidR="00BF6B03" w:rsidP="009F5D83" w:rsidRDefault="00BF6B03" w14:paraId="1ECAD0DB"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Section Level</w:t>
            </w:r>
          </w:p>
        </w:tc>
        <w:tc>
          <w:tcPr>
            <w:tcW w:w="1413" w:type="dxa"/>
            <w:shd w:val="clear" w:color="auto" w:fill="auto"/>
            <w:vAlign w:val="center"/>
          </w:tcPr>
          <w:p w:rsidRPr="009F5D83" w:rsidR="00BF6B03" w:rsidP="009F5D83" w:rsidRDefault="00BF6B03" w14:paraId="65BB1D0D"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144</w:t>
            </w:r>
          </w:p>
        </w:tc>
        <w:tc>
          <w:tcPr>
            <w:tcW w:w="1413" w:type="dxa"/>
            <w:shd w:val="clear" w:color="auto" w:fill="auto"/>
          </w:tcPr>
          <w:p w:rsidRPr="009F5D83" w:rsidR="00BF6B03" w:rsidP="009F5D83" w:rsidRDefault="00BF6B03" w14:paraId="56565E1A"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50%</w:t>
            </w:r>
          </w:p>
        </w:tc>
        <w:tc>
          <w:tcPr>
            <w:tcW w:w="1413" w:type="dxa"/>
            <w:shd w:val="clear" w:color="auto" w:fill="auto"/>
            <w:vAlign w:val="bottom"/>
          </w:tcPr>
          <w:p w:rsidRPr="009F5D83" w:rsidR="00BF6B03" w:rsidP="009F5D83" w:rsidRDefault="00BF6B03" w14:paraId="4A64F83E"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72</w:t>
            </w:r>
          </w:p>
        </w:tc>
      </w:tr>
      <w:tr w:rsidRPr="009F5D83" w:rsidR="00BF6B03" w:rsidTr="009F5D83" w14:paraId="7A24AA2F" w14:textId="77777777">
        <w:trPr>
          <w:jc w:val="center"/>
        </w:trPr>
        <w:tc>
          <w:tcPr>
            <w:tcW w:w="816" w:type="dxa"/>
            <w:shd w:val="clear" w:color="auto" w:fill="auto"/>
            <w:vAlign w:val="center"/>
          </w:tcPr>
          <w:p w:rsidRPr="009F5D83" w:rsidR="00BF6B03" w:rsidP="009F5D83" w:rsidRDefault="00BF6B03" w14:paraId="36611E87"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D</w:t>
            </w:r>
          </w:p>
        </w:tc>
        <w:tc>
          <w:tcPr>
            <w:tcW w:w="2186" w:type="dxa"/>
            <w:shd w:val="clear" w:color="auto" w:fill="auto"/>
            <w:vAlign w:val="center"/>
          </w:tcPr>
          <w:p w:rsidRPr="009F5D83" w:rsidR="00BF6B03" w:rsidP="009F5D83" w:rsidRDefault="00BF6B03" w14:paraId="46DD0153"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High and Medium</w:t>
            </w:r>
          </w:p>
        </w:tc>
        <w:tc>
          <w:tcPr>
            <w:tcW w:w="2189" w:type="dxa"/>
            <w:shd w:val="clear" w:color="auto" w:fill="auto"/>
            <w:vAlign w:val="center"/>
          </w:tcPr>
          <w:p w:rsidRPr="009F5D83" w:rsidR="00BF6B03" w:rsidP="009F5D83" w:rsidRDefault="00BF6B03" w14:paraId="2788B6A7"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General only [b]</w:t>
            </w:r>
          </w:p>
        </w:tc>
        <w:tc>
          <w:tcPr>
            <w:tcW w:w="1413" w:type="dxa"/>
            <w:shd w:val="clear" w:color="auto" w:fill="auto"/>
            <w:vAlign w:val="center"/>
          </w:tcPr>
          <w:p w:rsidRPr="009F5D83" w:rsidR="00BF6B03" w:rsidP="009F5D83" w:rsidRDefault="00BF6B03" w14:paraId="42D3F4EB"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128</w:t>
            </w:r>
          </w:p>
        </w:tc>
        <w:tc>
          <w:tcPr>
            <w:tcW w:w="1413" w:type="dxa"/>
            <w:shd w:val="clear" w:color="auto" w:fill="auto"/>
          </w:tcPr>
          <w:p w:rsidRPr="009F5D83" w:rsidR="00BF6B03" w:rsidP="009F5D83" w:rsidRDefault="00BF6B03" w14:paraId="5867A373"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50%</w:t>
            </w:r>
          </w:p>
        </w:tc>
        <w:tc>
          <w:tcPr>
            <w:tcW w:w="1413" w:type="dxa"/>
            <w:shd w:val="clear" w:color="auto" w:fill="auto"/>
            <w:vAlign w:val="bottom"/>
          </w:tcPr>
          <w:p w:rsidRPr="009F5D83" w:rsidR="00BF6B03" w:rsidP="009F5D83" w:rsidRDefault="00BF6B03" w14:paraId="1AF668F1"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64</w:t>
            </w:r>
          </w:p>
        </w:tc>
      </w:tr>
      <w:tr w:rsidRPr="009F5D83" w:rsidR="00BF6B03" w:rsidTr="009F5D83" w14:paraId="40B6ADA5" w14:textId="77777777">
        <w:trPr>
          <w:jc w:val="center"/>
        </w:trPr>
        <w:tc>
          <w:tcPr>
            <w:tcW w:w="816" w:type="dxa"/>
            <w:shd w:val="clear" w:color="auto" w:fill="auto"/>
            <w:vAlign w:val="center"/>
          </w:tcPr>
          <w:p w:rsidRPr="009F5D83" w:rsidR="00BF6B03" w:rsidP="009F5D83" w:rsidRDefault="00BF6B03" w14:paraId="6BA1B599"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E</w:t>
            </w:r>
          </w:p>
        </w:tc>
        <w:tc>
          <w:tcPr>
            <w:tcW w:w="2186" w:type="dxa"/>
            <w:shd w:val="clear" w:color="auto" w:fill="auto"/>
            <w:vAlign w:val="center"/>
          </w:tcPr>
          <w:p w:rsidRPr="009F5D83" w:rsidR="00BF6B03" w:rsidP="009F5D83" w:rsidRDefault="00BF6B03" w14:paraId="35C09768"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High and Medium</w:t>
            </w:r>
          </w:p>
        </w:tc>
        <w:tc>
          <w:tcPr>
            <w:tcW w:w="2189" w:type="dxa"/>
            <w:shd w:val="clear" w:color="auto" w:fill="auto"/>
            <w:vAlign w:val="center"/>
          </w:tcPr>
          <w:p w:rsidRPr="009F5D83" w:rsidR="00BF6B03" w:rsidP="009F5D83" w:rsidRDefault="00BF6B03" w14:paraId="387D4F1E"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Series Level</w:t>
            </w:r>
          </w:p>
        </w:tc>
        <w:tc>
          <w:tcPr>
            <w:tcW w:w="1413" w:type="dxa"/>
            <w:shd w:val="clear" w:color="auto" w:fill="auto"/>
            <w:vAlign w:val="center"/>
          </w:tcPr>
          <w:p w:rsidRPr="009F5D83" w:rsidR="00BF6B03" w:rsidP="009F5D83" w:rsidRDefault="00BF6B03" w14:paraId="3A50FFAD"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96</w:t>
            </w:r>
          </w:p>
        </w:tc>
        <w:tc>
          <w:tcPr>
            <w:tcW w:w="1413" w:type="dxa"/>
            <w:shd w:val="clear" w:color="auto" w:fill="auto"/>
          </w:tcPr>
          <w:p w:rsidRPr="009F5D83" w:rsidR="00BF6B03" w:rsidP="009F5D83" w:rsidRDefault="00BF6B03" w14:paraId="506D5827"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45%</w:t>
            </w:r>
          </w:p>
        </w:tc>
        <w:tc>
          <w:tcPr>
            <w:tcW w:w="1413" w:type="dxa"/>
            <w:shd w:val="clear" w:color="auto" w:fill="auto"/>
            <w:vAlign w:val="bottom"/>
          </w:tcPr>
          <w:p w:rsidRPr="009F5D83" w:rsidR="00BF6B03" w:rsidP="009F5D83" w:rsidRDefault="00BF6B03" w14:paraId="0DDBB4E0"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43</w:t>
            </w:r>
          </w:p>
        </w:tc>
      </w:tr>
      <w:tr w:rsidRPr="009F5D83" w:rsidR="00BF6B03" w:rsidTr="009F5D83" w14:paraId="21F2885F" w14:textId="77777777">
        <w:trPr>
          <w:jc w:val="center"/>
        </w:trPr>
        <w:tc>
          <w:tcPr>
            <w:tcW w:w="816" w:type="dxa"/>
            <w:shd w:val="clear" w:color="auto" w:fill="auto"/>
            <w:vAlign w:val="center"/>
          </w:tcPr>
          <w:p w:rsidRPr="009F5D83" w:rsidR="00BF6B03" w:rsidP="009F5D83" w:rsidRDefault="00BF6B03" w14:paraId="3B307C97"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F</w:t>
            </w:r>
          </w:p>
        </w:tc>
        <w:tc>
          <w:tcPr>
            <w:tcW w:w="2186" w:type="dxa"/>
            <w:shd w:val="clear" w:color="auto" w:fill="auto"/>
            <w:vAlign w:val="center"/>
          </w:tcPr>
          <w:p w:rsidRPr="009F5D83" w:rsidR="00BF6B03" w:rsidP="009F5D83" w:rsidRDefault="00BF6B03" w14:paraId="4E288B0A"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High and Medium</w:t>
            </w:r>
          </w:p>
        </w:tc>
        <w:tc>
          <w:tcPr>
            <w:tcW w:w="2189" w:type="dxa"/>
            <w:shd w:val="clear" w:color="auto" w:fill="auto"/>
            <w:vAlign w:val="center"/>
          </w:tcPr>
          <w:p w:rsidRPr="009F5D83" w:rsidR="00BF6B03" w:rsidP="009F5D83" w:rsidRDefault="00BF6B03" w14:paraId="046AE4D7"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Section Level</w:t>
            </w:r>
          </w:p>
        </w:tc>
        <w:tc>
          <w:tcPr>
            <w:tcW w:w="1413" w:type="dxa"/>
            <w:shd w:val="clear" w:color="auto" w:fill="auto"/>
            <w:vAlign w:val="center"/>
          </w:tcPr>
          <w:p w:rsidRPr="009F5D83" w:rsidR="00BF6B03" w:rsidP="009F5D83" w:rsidRDefault="00BF6B03" w14:paraId="13D9B64B"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96</w:t>
            </w:r>
          </w:p>
        </w:tc>
        <w:tc>
          <w:tcPr>
            <w:tcW w:w="1413" w:type="dxa"/>
            <w:shd w:val="clear" w:color="auto" w:fill="auto"/>
          </w:tcPr>
          <w:p w:rsidRPr="009F5D83" w:rsidR="00BF6B03" w:rsidP="009F5D83" w:rsidRDefault="00BF6B03" w14:paraId="223318D7"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40%</w:t>
            </w:r>
          </w:p>
        </w:tc>
        <w:tc>
          <w:tcPr>
            <w:tcW w:w="1413" w:type="dxa"/>
            <w:shd w:val="clear" w:color="auto" w:fill="auto"/>
            <w:vAlign w:val="bottom"/>
          </w:tcPr>
          <w:p w:rsidRPr="009F5D83" w:rsidR="00BF6B03" w:rsidP="009F5D83" w:rsidRDefault="00BF6B03" w14:paraId="1D4CAF6C" w14:textId="77777777">
            <w:pPr>
              <w:jc w:val="center"/>
              <w:rPr>
                <w:rFonts w:ascii="Times New Roman" w:hAnsi="Times New Roman" w:cs="Times New Roman"/>
                <w:b w:val="0"/>
                <w:bCs/>
                <w:sz w:val="20"/>
                <w:szCs w:val="20"/>
              </w:rPr>
            </w:pPr>
            <w:r w:rsidRPr="009F5D83">
              <w:rPr>
                <w:rFonts w:ascii="Times New Roman" w:hAnsi="Times New Roman" w:cs="Times New Roman"/>
                <w:b w:val="0"/>
                <w:bCs/>
                <w:sz w:val="20"/>
                <w:szCs w:val="20"/>
              </w:rPr>
              <w:t>38</w:t>
            </w:r>
          </w:p>
        </w:tc>
      </w:tr>
      <w:tr w:rsidRPr="009F5D83" w:rsidR="00BF6B03" w:rsidTr="009F5D83" w14:paraId="05AABFCD" w14:textId="77777777">
        <w:trPr>
          <w:jc w:val="center"/>
        </w:trPr>
        <w:tc>
          <w:tcPr>
            <w:tcW w:w="816" w:type="dxa"/>
            <w:shd w:val="clear" w:color="auto" w:fill="auto"/>
            <w:vAlign w:val="center"/>
          </w:tcPr>
          <w:p w:rsidRPr="009F5D83" w:rsidR="00BF6B03" w:rsidP="009F5D83" w:rsidRDefault="00BF6B03" w14:paraId="70665896" w14:textId="77777777">
            <w:pPr>
              <w:jc w:val="center"/>
              <w:rPr>
                <w:rFonts w:ascii="Times New Roman" w:hAnsi="Times New Roman" w:cs="Times New Roman"/>
                <w:sz w:val="20"/>
                <w:szCs w:val="20"/>
              </w:rPr>
            </w:pPr>
            <w:r w:rsidRPr="009F5D83">
              <w:rPr>
                <w:rFonts w:ascii="Times New Roman" w:hAnsi="Times New Roman" w:cs="Times New Roman"/>
                <w:sz w:val="20"/>
                <w:szCs w:val="20"/>
              </w:rPr>
              <w:t>Totals</w:t>
            </w:r>
          </w:p>
        </w:tc>
        <w:tc>
          <w:tcPr>
            <w:tcW w:w="2186" w:type="dxa"/>
            <w:shd w:val="clear" w:color="auto" w:fill="auto"/>
            <w:vAlign w:val="center"/>
          </w:tcPr>
          <w:p w:rsidRPr="009F5D83" w:rsidR="00BF6B03" w:rsidP="009F5D83" w:rsidRDefault="00BF6B03" w14:paraId="2161558D" w14:textId="77777777">
            <w:pPr>
              <w:jc w:val="center"/>
              <w:rPr>
                <w:rFonts w:ascii="Times New Roman" w:hAnsi="Times New Roman" w:cs="Times New Roman"/>
                <w:sz w:val="20"/>
                <w:szCs w:val="20"/>
              </w:rPr>
            </w:pPr>
            <w:r w:rsidRPr="009F5D83">
              <w:rPr>
                <w:rFonts w:ascii="Times New Roman" w:hAnsi="Times New Roman" w:cs="Times New Roman"/>
                <w:sz w:val="20"/>
                <w:szCs w:val="20"/>
              </w:rPr>
              <w:t>-</w:t>
            </w:r>
          </w:p>
        </w:tc>
        <w:tc>
          <w:tcPr>
            <w:tcW w:w="2189" w:type="dxa"/>
            <w:shd w:val="clear" w:color="auto" w:fill="auto"/>
            <w:vAlign w:val="center"/>
          </w:tcPr>
          <w:p w:rsidRPr="009F5D83" w:rsidR="00BF6B03" w:rsidP="009F5D83" w:rsidRDefault="00BF6B03" w14:paraId="2E1BBACC" w14:textId="77777777">
            <w:pPr>
              <w:jc w:val="center"/>
              <w:rPr>
                <w:rFonts w:ascii="Times New Roman" w:hAnsi="Times New Roman" w:cs="Times New Roman"/>
                <w:sz w:val="20"/>
                <w:szCs w:val="20"/>
              </w:rPr>
            </w:pPr>
            <w:r w:rsidRPr="009F5D83">
              <w:rPr>
                <w:rFonts w:ascii="Times New Roman" w:hAnsi="Times New Roman" w:cs="Times New Roman"/>
                <w:sz w:val="20"/>
                <w:szCs w:val="20"/>
              </w:rPr>
              <w:t>-</w:t>
            </w:r>
          </w:p>
        </w:tc>
        <w:tc>
          <w:tcPr>
            <w:tcW w:w="1413" w:type="dxa"/>
            <w:shd w:val="clear" w:color="auto" w:fill="auto"/>
            <w:vAlign w:val="center"/>
          </w:tcPr>
          <w:p w:rsidRPr="009F5D83" w:rsidR="00BF6B03" w:rsidP="009F5D83" w:rsidRDefault="00BF6B03" w14:paraId="78D9DCE7" w14:textId="77777777">
            <w:pPr>
              <w:jc w:val="center"/>
              <w:rPr>
                <w:rFonts w:ascii="Times New Roman" w:hAnsi="Times New Roman" w:cs="Times New Roman"/>
                <w:sz w:val="20"/>
                <w:szCs w:val="20"/>
              </w:rPr>
            </w:pPr>
            <w:r w:rsidRPr="009F5D83">
              <w:rPr>
                <w:rFonts w:ascii="Times New Roman" w:hAnsi="Times New Roman" w:cs="Times New Roman"/>
                <w:sz w:val="20"/>
                <w:szCs w:val="20"/>
              </w:rPr>
              <w:t>800</w:t>
            </w:r>
          </w:p>
        </w:tc>
        <w:tc>
          <w:tcPr>
            <w:tcW w:w="1413" w:type="dxa"/>
            <w:shd w:val="clear" w:color="auto" w:fill="auto"/>
          </w:tcPr>
          <w:p w:rsidRPr="009F5D83" w:rsidR="00BF6B03" w:rsidP="009F5D83" w:rsidRDefault="00345C7E" w14:paraId="58FC7DFB" w14:textId="77777777">
            <w:pPr>
              <w:jc w:val="center"/>
              <w:rPr>
                <w:rFonts w:ascii="Times New Roman" w:hAnsi="Times New Roman" w:cs="Times New Roman"/>
                <w:sz w:val="20"/>
                <w:szCs w:val="20"/>
              </w:rPr>
            </w:pPr>
            <w:r w:rsidRPr="009F5D83">
              <w:rPr>
                <w:rFonts w:ascii="Times New Roman" w:hAnsi="Times New Roman" w:cs="Times New Roman"/>
                <w:sz w:val="20"/>
                <w:szCs w:val="20"/>
              </w:rPr>
              <w:t>51.4%</w:t>
            </w:r>
          </w:p>
        </w:tc>
        <w:tc>
          <w:tcPr>
            <w:tcW w:w="1413" w:type="dxa"/>
            <w:shd w:val="clear" w:color="auto" w:fill="auto"/>
          </w:tcPr>
          <w:p w:rsidRPr="009F5D83" w:rsidR="00BF6B03" w:rsidP="009F5D83" w:rsidRDefault="00345C7E" w14:paraId="6979EDF5" w14:textId="77777777">
            <w:pPr>
              <w:jc w:val="center"/>
              <w:rPr>
                <w:rFonts w:ascii="Times New Roman" w:hAnsi="Times New Roman" w:cs="Times New Roman"/>
                <w:sz w:val="20"/>
                <w:szCs w:val="20"/>
              </w:rPr>
            </w:pPr>
            <w:r w:rsidRPr="009F5D83">
              <w:rPr>
                <w:rFonts w:ascii="Times New Roman" w:hAnsi="Times New Roman" w:cs="Times New Roman"/>
                <w:sz w:val="20"/>
                <w:szCs w:val="20"/>
              </w:rPr>
              <w:t>411</w:t>
            </w:r>
          </w:p>
        </w:tc>
      </w:tr>
    </w:tbl>
    <w:p w:rsidRPr="00BF6B03" w:rsidR="00BF6B03" w:rsidP="00BF6B03" w:rsidRDefault="00BF6B03" w14:paraId="028CCF41" w14:textId="77777777">
      <w:pPr>
        <w:ind w:left="360"/>
        <w:rPr>
          <w:rFonts w:ascii="Times New Roman" w:hAnsi="Times New Roman" w:cs="Times New Roman"/>
          <w:b w:val="0"/>
          <w:bCs/>
          <w:sz w:val="18"/>
          <w:szCs w:val="18"/>
        </w:rPr>
      </w:pPr>
      <w:r w:rsidRPr="00BF6B03">
        <w:rPr>
          <w:rFonts w:ascii="Times New Roman" w:hAnsi="Times New Roman" w:cs="Times New Roman"/>
          <w:b w:val="0"/>
          <w:bCs/>
          <w:sz w:val="18"/>
          <w:szCs w:val="18"/>
        </w:rPr>
        <w:t xml:space="preserve">[a] Total respondents are assumed to be 800 coastal communities. First, 60 percent (480 communities) are assigned to “just high” for the number of NOAA products and services included and 40 percent (320 communities) to the “high and medium” category.  Next, for the point contribution question, we assigned 40 percent to the “general question only” group, 30 percent to the “series level” question, and 30 percent to the “section level” question.  </w:t>
      </w:r>
    </w:p>
    <w:p w:rsidRPr="00BF6B03" w:rsidR="00BF6B03" w:rsidP="00BF6B03" w:rsidRDefault="00BF6B03" w14:paraId="6EF7916E" w14:textId="77777777">
      <w:pPr>
        <w:ind w:left="360"/>
        <w:rPr>
          <w:rFonts w:ascii="Times New Roman" w:hAnsi="Times New Roman" w:cs="Times New Roman"/>
          <w:b w:val="0"/>
          <w:bCs/>
          <w:sz w:val="18"/>
          <w:szCs w:val="18"/>
        </w:rPr>
      </w:pPr>
      <w:r w:rsidRPr="00BF6B03">
        <w:rPr>
          <w:rFonts w:ascii="Times New Roman" w:hAnsi="Times New Roman" w:cs="Times New Roman"/>
          <w:b w:val="0"/>
          <w:bCs/>
          <w:sz w:val="18"/>
          <w:szCs w:val="18"/>
        </w:rPr>
        <w:t xml:space="preserve">[b] It should be noted that all respondents are asked the “general” question; this group is </w:t>
      </w:r>
      <w:r w:rsidRPr="00BF6B03">
        <w:rPr>
          <w:rFonts w:ascii="Times New Roman" w:hAnsi="Times New Roman" w:cs="Times New Roman"/>
          <w:b w:val="0"/>
          <w:bCs/>
          <w:i/>
          <w:iCs/>
          <w:sz w:val="18"/>
          <w:szCs w:val="18"/>
        </w:rPr>
        <w:t>only</w:t>
      </w:r>
      <w:r w:rsidRPr="00BF6B03">
        <w:rPr>
          <w:rFonts w:ascii="Times New Roman" w:hAnsi="Times New Roman" w:cs="Times New Roman"/>
          <w:b w:val="0"/>
          <w:bCs/>
          <w:sz w:val="18"/>
          <w:szCs w:val="18"/>
        </w:rPr>
        <w:t xml:space="preserve"> asked that question.</w:t>
      </w:r>
    </w:p>
    <w:p w:rsidRPr="00BF6B03" w:rsidR="00F77C76" w:rsidP="00BF6B03" w:rsidRDefault="00F77C76" w14:paraId="2A93183C" w14:textId="77777777">
      <w:pPr>
        <w:autoSpaceDE w:val="0"/>
        <w:autoSpaceDN w:val="0"/>
        <w:adjustRightInd w:val="0"/>
        <w:ind w:left="360"/>
        <w:rPr>
          <w:rFonts w:ascii="Times New Roman" w:hAnsi="Times New Roman" w:cs="Times New Roman"/>
          <w:b w:val="0"/>
          <w:bCs/>
        </w:rPr>
      </w:pPr>
    </w:p>
    <w:p w:rsidRPr="00BF6B03" w:rsidR="0077504F" w:rsidP="00BF6B03" w:rsidRDefault="0077504F" w14:paraId="68157628" w14:textId="77777777">
      <w:pPr>
        <w:autoSpaceDE w:val="0"/>
        <w:autoSpaceDN w:val="0"/>
        <w:adjustRightInd w:val="0"/>
        <w:ind w:left="360"/>
        <w:rPr>
          <w:rFonts w:ascii="Times New Roman" w:hAnsi="Times New Roman" w:cs="Times New Roman"/>
          <w:b w:val="0"/>
          <w:bCs/>
        </w:rPr>
      </w:pPr>
    </w:p>
    <w:p w:rsidRPr="00286D55" w:rsidR="00756421" w:rsidP="00756421" w:rsidRDefault="00756421" w14:paraId="1A62DDDC" w14:textId="77777777">
      <w:pPr>
        <w:autoSpaceDE w:val="0"/>
        <w:autoSpaceDN w:val="0"/>
        <w:adjustRightInd w:val="0"/>
        <w:ind w:left="360"/>
        <w:rPr>
          <w:rFonts w:ascii="Times New Roman" w:hAnsi="Times New Roman" w:cs="Times New Roman"/>
          <w:bCs/>
        </w:rPr>
      </w:pPr>
      <w:r w:rsidRPr="00286D55">
        <w:rPr>
          <w:rFonts w:ascii="Times New Roman" w:hAnsi="Times New Roman" w:cs="Times New Roman"/>
          <w:bCs/>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56421" w:rsidP="00756421" w:rsidRDefault="00756421" w14:paraId="5DE60807" w14:textId="77777777">
      <w:pPr>
        <w:autoSpaceDE w:val="0"/>
        <w:autoSpaceDN w:val="0"/>
        <w:adjustRightInd w:val="0"/>
        <w:ind w:left="360"/>
        <w:rPr>
          <w:rFonts w:ascii="Times New Roman" w:hAnsi="Times New Roman" w:cs="Times New Roman"/>
          <w:bCs/>
        </w:rPr>
      </w:pPr>
    </w:p>
    <w:p w:rsidR="00746C81" w:rsidP="00756421" w:rsidRDefault="00101596" w14:paraId="5CCEDCD7" w14:textId="77777777">
      <w:pPr>
        <w:autoSpaceDE w:val="0"/>
        <w:autoSpaceDN w:val="0"/>
        <w:adjustRightInd w:val="0"/>
        <w:ind w:left="360"/>
        <w:rPr>
          <w:rFonts w:ascii="Times New Roman" w:hAnsi="Times New Roman" w:cs="Times New Roman"/>
          <w:b w:val="0"/>
        </w:rPr>
      </w:pPr>
      <w:r>
        <w:rPr>
          <w:rFonts w:ascii="Times New Roman" w:hAnsi="Times New Roman" w:cs="Times New Roman"/>
          <w:b w:val="0"/>
        </w:rPr>
        <w:t xml:space="preserve">The survey will be implemented as a web-based survey that is sent to potential respondents via email. ERG will code the survey in its online survey platform licensed from Qualtrics. FEMA has agreed to provide NOAA with its most current list of CRS Coordinators that includes email addresses. </w:t>
      </w:r>
    </w:p>
    <w:p w:rsidR="00101596" w:rsidP="00756421" w:rsidRDefault="00101596" w14:paraId="06FB1E51" w14:textId="77777777">
      <w:pPr>
        <w:autoSpaceDE w:val="0"/>
        <w:autoSpaceDN w:val="0"/>
        <w:adjustRightInd w:val="0"/>
        <w:ind w:left="360"/>
        <w:rPr>
          <w:rFonts w:ascii="Times New Roman" w:hAnsi="Times New Roman" w:cs="Times New Roman"/>
          <w:b w:val="0"/>
        </w:rPr>
      </w:pPr>
    </w:p>
    <w:p w:rsidR="00101596" w:rsidP="00756421" w:rsidRDefault="00101596" w14:paraId="6AC6C6B7" w14:textId="77777777">
      <w:pPr>
        <w:autoSpaceDE w:val="0"/>
        <w:autoSpaceDN w:val="0"/>
        <w:adjustRightInd w:val="0"/>
        <w:ind w:left="360"/>
        <w:rPr>
          <w:rFonts w:ascii="Times New Roman" w:hAnsi="Times New Roman" w:cs="Times New Roman"/>
          <w:b w:val="0"/>
        </w:rPr>
      </w:pPr>
      <w:r>
        <w:rPr>
          <w:rFonts w:ascii="Times New Roman" w:hAnsi="Times New Roman" w:cs="Times New Roman"/>
          <w:b w:val="0"/>
        </w:rPr>
        <w:t xml:space="preserve">The survey is not using statistical methods and no statistical methodology is being employed. </w:t>
      </w:r>
    </w:p>
    <w:p w:rsidR="00345C7E" w:rsidP="00756421" w:rsidRDefault="00345C7E" w14:paraId="66C24AA5" w14:textId="77777777">
      <w:pPr>
        <w:autoSpaceDE w:val="0"/>
        <w:autoSpaceDN w:val="0"/>
        <w:adjustRightInd w:val="0"/>
        <w:ind w:left="360"/>
        <w:rPr>
          <w:rFonts w:ascii="Times New Roman" w:hAnsi="Times New Roman" w:cs="Times New Roman"/>
          <w:b w:val="0"/>
        </w:rPr>
      </w:pPr>
    </w:p>
    <w:p w:rsidR="00746C81" w:rsidP="00756421" w:rsidRDefault="00746C81" w14:paraId="46B698FF" w14:textId="77777777">
      <w:pPr>
        <w:autoSpaceDE w:val="0"/>
        <w:autoSpaceDN w:val="0"/>
        <w:adjustRightInd w:val="0"/>
        <w:ind w:left="360"/>
        <w:rPr>
          <w:rFonts w:ascii="Times New Roman" w:hAnsi="Times New Roman" w:cs="Times New Roman"/>
          <w:b w:val="0"/>
        </w:rPr>
      </w:pPr>
      <w:r>
        <w:rPr>
          <w:rFonts w:ascii="Times New Roman" w:hAnsi="Times New Roman" w:cs="Times New Roman"/>
          <w:b w:val="0"/>
        </w:rPr>
        <w:t xml:space="preserve">There are no unusual problems requiring specialized sampling. </w:t>
      </w:r>
    </w:p>
    <w:p w:rsidR="00746C81" w:rsidP="00756421" w:rsidRDefault="00746C81" w14:paraId="66184E8B" w14:textId="77777777">
      <w:pPr>
        <w:autoSpaceDE w:val="0"/>
        <w:autoSpaceDN w:val="0"/>
        <w:adjustRightInd w:val="0"/>
        <w:ind w:left="360"/>
        <w:rPr>
          <w:rFonts w:ascii="Times New Roman" w:hAnsi="Times New Roman" w:cs="Times New Roman"/>
          <w:b w:val="0"/>
        </w:rPr>
      </w:pPr>
    </w:p>
    <w:p w:rsidRPr="00746C81" w:rsidR="00746C81" w:rsidP="00756421" w:rsidRDefault="00746C81" w14:paraId="4D8A1784" w14:textId="77777777">
      <w:pPr>
        <w:autoSpaceDE w:val="0"/>
        <w:autoSpaceDN w:val="0"/>
        <w:adjustRightInd w:val="0"/>
        <w:ind w:left="360"/>
        <w:rPr>
          <w:rFonts w:ascii="Times New Roman" w:hAnsi="Times New Roman" w:cs="Times New Roman"/>
          <w:b w:val="0"/>
        </w:rPr>
      </w:pPr>
      <w:r w:rsidRPr="00101596">
        <w:rPr>
          <w:rFonts w:ascii="Times New Roman" w:hAnsi="Times New Roman" w:cs="Times New Roman"/>
          <w:b w:val="0"/>
        </w:rPr>
        <w:t xml:space="preserve">This is a one-time data collection effort. </w:t>
      </w:r>
      <w:r w:rsidRPr="00101596" w:rsidR="00101596">
        <w:rPr>
          <w:rFonts w:ascii="Times New Roman" w:hAnsi="Times New Roman" w:cs="Times New Roman"/>
          <w:b w:val="0"/>
        </w:rPr>
        <w:t>However, based on the results of the analysis to compare response rates and completion times, NOAA will assess how to implement this survey in the future.</w:t>
      </w:r>
    </w:p>
    <w:p w:rsidRPr="00286D55" w:rsidR="00746C81" w:rsidP="00756421" w:rsidRDefault="00746C81" w14:paraId="45B507CE" w14:textId="77777777">
      <w:pPr>
        <w:autoSpaceDE w:val="0"/>
        <w:autoSpaceDN w:val="0"/>
        <w:adjustRightInd w:val="0"/>
        <w:ind w:left="360"/>
        <w:rPr>
          <w:rFonts w:ascii="Times New Roman" w:hAnsi="Times New Roman" w:cs="Times New Roman"/>
          <w:bCs/>
        </w:rPr>
      </w:pPr>
    </w:p>
    <w:p w:rsidR="00756421" w:rsidP="00756421" w:rsidRDefault="00756421" w14:paraId="4CF95668" w14:textId="77777777">
      <w:pPr>
        <w:autoSpaceDE w:val="0"/>
        <w:autoSpaceDN w:val="0"/>
        <w:adjustRightInd w:val="0"/>
        <w:ind w:left="360"/>
        <w:rPr>
          <w:rFonts w:ascii="Times New Roman" w:hAnsi="Times New Roman" w:cs="Times New Roman"/>
          <w:bCs/>
        </w:rPr>
      </w:pPr>
      <w:r w:rsidRPr="00286D55">
        <w:rPr>
          <w:rFonts w:ascii="Times New Roman" w:hAnsi="Times New Roman" w:cs="Times New Roman"/>
          <w:bCs/>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746C81" w:rsidP="00756421" w:rsidRDefault="00746C81" w14:paraId="1474B531" w14:textId="77777777">
      <w:pPr>
        <w:autoSpaceDE w:val="0"/>
        <w:autoSpaceDN w:val="0"/>
        <w:adjustRightInd w:val="0"/>
        <w:ind w:left="360"/>
        <w:rPr>
          <w:rFonts w:ascii="Times New Roman" w:hAnsi="Times New Roman" w:cs="Times New Roman"/>
          <w:bCs/>
        </w:rPr>
      </w:pPr>
    </w:p>
    <w:p w:rsidR="00101596" w:rsidP="00101596" w:rsidRDefault="00101596" w14:paraId="5C57D15F" w14:textId="1ADBAD9F">
      <w:pPr>
        <w:autoSpaceDE w:val="0"/>
        <w:autoSpaceDN w:val="0"/>
        <w:adjustRightInd w:val="0"/>
        <w:ind w:left="360"/>
        <w:rPr>
          <w:rFonts w:ascii="Times New Roman" w:hAnsi="Times New Roman" w:cs="Times New Roman"/>
          <w:b w:val="0"/>
          <w:bCs/>
          <w:color w:val="auto"/>
        </w:rPr>
      </w:pPr>
      <w:r>
        <w:rPr>
          <w:rFonts w:ascii="Times New Roman" w:hAnsi="Times New Roman" w:cs="Times New Roman"/>
          <w:b w:val="0"/>
          <w:bCs/>
          <w:color w:val="auto"/>
        </w:rPr>
        <w:t>NOAA expects a 40-60 percent response rate</w:t>
      </w:r>
      <w:r w:rsidR="00FB616B">
        <w:rPr>
          <w:rFonts w:ascii="Times New Roman" w:hAnsi="Times New Roman" w:cs="Times New Roman"/>
          <w:b w:val="0"/>
          <w:bCs/>
          <w:color w:val="auto"/>
        </w:rPr>
        <w:t xml:space="preserve"> </w:t>
      </w:r>
      <w:r>
        <w:rPr>
          <w:rFonts w:ascii="Times New Roman" w:hAnsi="Times New Roman" w:cs="Times New Roman"/>
          <w:b w:val="0"/>
          <w:bCs/>
          <w:color w:val="auto"/>
        </w:rPr>
        <w:t>(</w:t>
      </w:r>
      <w:r w:rsidRPr="00101596">
        <w:rPr>
          <w:rFonts w:ascii="Times New Roman" w:hAnsi="Times New Roman" w:cs="Times New Roman"/>
          <w:b w:val="0"/>
          <w:bCs/>
          <w:color w:val="auto"/>
        </w:rPr>
        <w:t xml:space="preserve">see </w:t>
      </w:r>
      <w:r w:rsidRPr="00101596">
        <w:rPr>
          <w:rFonts w:ascii="Times New Roman" w:hAnsi="Times New Roman" w:cs="Times New Roman"/>
          <w:b w:val="0"/>
          <w:bCs/>
          <w:color w:val="auto"/>
        </w:rPr>
        <w:fldChar w:fldCharType="begin"/>
      </w:r>
      <w:r w:rsidRPr="00101596">
        <w:rPr>
          <w:rFonts w:ascii="Times New Roman" w:hAnsi="Times New Roman" w:cs="Times New Roman"/>
          <w:b w:val="0"/>
          <w:bCs/>
          <w:color w:val="auto"/>
        </w:rPr>
        <w:instrText xml:space="preserve"> REF _Ref37859877 \h  \* MERGEFORMAT </w:instrText>
      </w:r>
      <w:r w:rsidRPr="00101596">
        <w:rPr>
          <w:rFonts w:ascii="Times New Roman" w:hAnsi="Times New Roman" w:cs="Times New Roman"/>
          <w:b w:val="0"/>
          <w:bCs/>
          <w:color w:val="auto"/>
        </w:rPr>
      </w:r>
      <w:r w:rsidRPr="00101596">
        <w:rPr>
          <w:rFonts w:ascii="Times New Roman" w:hAnsi="Times New Roman" w:cs="Times New Roman"/>
          <w:b w:val="0"/>
          <w:bCs/>
          <w:color w:val="auto"/>
        </w:rPr>
        <w:fldChar w:fldCharType="separate"/>
      </w:r>
      <w:r w:rsidRPr="00F97FE9" w:rsidR="00F97FE9">
        <w:rPr>
          <w:rFonts w:ascii="Times New Roman" w:hAnsi="Times New Roman" w:cs="Times New Roman"/>
          <w:b w:val="0"/>
          <w:bCs/>
        </w:rPr>
        <w:t xml:space="preserve">Table </w:t>
      </w:r>
      <w:r w:rsidRPr="00F97FE9" w:rsidR="00F97FE9">
        <w:rPr>
          <w:rFonts w:ascii="Times New Roman" w:hAnsi="Times New Roman" w:cs="Times New Roman"/>
          <w:b w:val="0"/>
          <w:bCs/>
          <w:noProof/>
        </w:rPr>
        <w:t>1</w:t>
      </w:r>
      <w:r w:rsidRPr="00101596">
        <w:rPr>
          <w:rFonts w:ascii="Times New Roman" w:hAnsi="Times New Roman" w:cs="Times New Roman"/>
          <w:b w:val="0"/>
          <w:bCs/>
          <w:color w:val="auto"/>
        </w:rPr>
        <w:fldChar w:fldCharType="end"/>
      </w:r>
      <w:r w:rsidRPr="00101596">
        <w:rPr>
          <w:rFonts w:ascii="Times New Roman" w:hAnsi="Times New Roman" w:cs="Times New Roman"/>
          <w:b w:val="0"/>
          <w:bCs/>
          <w:color w:val="auto"/>
        </w:rPr>
        <w:t>)</w:t>
      </w:r>
      <w:r>
        <w:rPr>
          <w:rFonts w:ascii="Times New Roman" w:hAnsi="Times New Roman" w:cs="Times New Roman"/>
          <w:b w:val="0"/>
          <w:bCs/>
          <w:color w:val="auto"/>
        </w:rPr>
        <w:t xml:space="preserve"> from this survey and will take the following steps to increase response: </w:t>
      </w:r>
    </w:p>
    <w:p w:rsidRPr="009150E4" w:rsidR="00101596" w:rsidP="00101596" w:rsidRDefault="00101596" w14:paraId="300808AC" w14:textId="77777777">
      <w:pPr>
        <w:autoSpaceDE w:val="0"/>
        <w:autoSpaceDN w:val="0"/>
        <w:adjustRightInd w:val="0"/>
        <w:ind w:left="360"/>
        <w:rPr>
          <w:rFonts w:ascii="Times New Roman" w:hAnsi="Times New Roman" w:cs="Times New Roman"/>
          <w:b w:val="0"/>
          <w:bCs/>
          <w:color w:val="auto"/>
        </w:rPr>
      </w:pPr>
    </w:p>
    <w:p w:rsidR="00101596" w:rsidP="00101596" w:rsidRDefault="00101596" w14:paraId="3F417C2F" w14:textId="77777777">
      <w:pPr>
        <w:numPr>
          <w:ilvl w:val="0"/>
          <w:numId w:val="12"/>
        </w:numPr>
        <w:autoSpaceDE w:val="0"/>
        <w:autoSpaceDN w:val="0"/>
        <w:adjustRightInd w:val="0"/>
        <w:rPr>
          <w:rFonts w:ascii="Times New Roman" w:hAnsi="Times New Roman" w:cs="Times New Roman"/>
          <w:b w:val="0"/>
          <w:bCs/>
          <w:color w:val="auto"/>
        </w:rPr>
      </w:pPr>
      <w:r>
        <w:rPr>
          <w:rFonts w:ascii="Times New Roman" w:hAnsi="Times New Roman" w:cs="Times New Roman"/>
          <w:b w:val="0"/>
          <w:bCs/>
          <w:color w:val="auto"/>
        </w:rPr>
        <w:t>ERG will be following good survey design practices in this project. This includes sending a well-designed survey and sending reminders to increase response.</w:t>
      </w:r>
    </w:p>
    <w:p w:rsidR="00101596" w:rsidP="00101596" w:rsidRDefault="00101596" w14:paraId="4E45FEC6" w14:textId="77777777">
      <w:pPr>
        <w:autoSpaceDE w:val="0"/>
        <w:autoSpaceDN w:val="0"/>
        <w:adjustRightInd w:val="0"/>
        <w:ind w:left="1080"/>
        <w:rPr>
          <w:rFonts w:ascii="Times New Roman" w:hAnsi="Times New Roman" w:cs="Times New Roman"/>
          <w:b w:val="0"/>
          <w:bCs/>
          <w:color w:val="auto"/>
        </w:rPr>
      </w:pPr>
    </w:p>
    <w:p w:rsidR="00101596" w:rsidP="00101596" w:rsidRDefault="00101596" w14:paraId="6E4BDAC0" w14:textId="77777777">
      <w:pPr>
        <w:numPr>
          <w:ilvl w:val="0"/>
          <w:numId w:val="12"/>
        </w:numPr>
        <w:autoSpaceDE w:val="0"/>
        <w:autoSpaceDN w:val="0"/>
        <w:adjustRightInd w:val="0"/>
        <w:rPr>
          <w:rFonts w:ascii="Times New Roman" w:hAnsi="Times New Roman" w:cs="Times New Roman"/>
          <w:b w:val="0"/>
          <w:bCs/>
          <w:color w:val="auto"/>
        </w:rPr>
      </w:pPr>
      <w:r>
        <w:rPr>
          <w:rFonts w:ascii="Times New Roman" w:hAnsi="Times New Roman" w:cs="Times New Roman"/>
          <w:b w:val="0"/>
          <w:bCs/>
          <w:color w:val="auto"/>
        </w:rPr>
        <w:lastRenderedPageBreak/>
        <w:t>As noted above, one aspect of the design is to assess whether collecting additional information would lead t</w:t>
      </w:r>
      <w:r w:rsidR="00FB616B">
        <w:rPr>
          <w:rFonts w:ascii="Times New Roman" w:hAnsi="Times New Roman" w:cs="Times New Roman"/>
          <w:b w:val="0"/>
          <w:bCs/>
          <w:color w:val="auto"/>
        </w:rPr>
        <w:t>o</w:t>
      </w:r>
      <w:r>
        <w:rPr>
          <w:rFonts w:ascii="Times New Roman" w:hAnsi="Times New Roman" w:cs="Times New Roman"/>
          <w:b w:val="0"/>
          <w:bCs/>
          <w:color w:val="auto"/>
        </w:rPr>
        <w:t xml:space="preserve"> lower response rates. NOAA will have its contractor for this work analyze the response rates associated with additional data being collected to determine the best approach for future data collections. </w:t>
      </w:r>
    </w:p>
    <w:p w:rsidR="00101596" w:rsidP="00101596" w:rsidRDefault="00101596" w14:paraId="6F13FC5F" w14:textId="77777777">
      <w:pPr>
        <w:autoSpaceDE w:val="0"/>
        <w:autoSpaceDN w:val="0"/>
        <w:adjustRightInd w:val="0"/>
        <w:ind w:left="1080"/>
        <w:rPr>
          <w:rFonts w:ascii="Times New Roman" w:hAnsi="Times New Roman" w:cs="Times New Roman"/>
          <w:b w:val="0"/>
          <w:bCs/>
          <w:color w:val="auto"/>
        </w:rPr>
      </w:pPr>
    </w:p>
    <w:p w:rsidR="00101596" w:rsidP="00101596" w:rsidRDefault="00101596" w14:paraId="6CC5B5D4" w14:textId="77777777">
      <w:pPr>
        <w:numPr>
          <w:ilvl w:val="0"/>
          <w:numId w:val="12"/>
        </w:numPr>
        <w:autoSpaceDE w:val="0"/>
        <w:autoSpaceDN w:val="0"/>
        <w:adjustRightInd w:val="0"/>
        <w:rPr>
          <w:rFonts w:ascii="Times New Roman" w:hAnsi="Times New Roman" w:cs="Times New Roman"/>
          <w:b w:val="0"/>
          <w:bCs/>
          <w:color w:val="auto"/>
        </w:rPr>
      </w:pPr>
      <w:r>
        <w:rPr>
          <w:rFonts w:ascii="Times New Roman" w:hAnsi="Times New Roman" w:cs="Times New Roman"/>
          <w:b w:val="0"/>
          <w:bCs/>
          <w:color w:val="auto"/>
        </w:rPr>
        <w:t xml:space="preserve">Finally, many respondents may not be familiar with some of the NOAA products and services in the survey. Thus, OCM has determined that an appropriate incentive for the respondents is to provide a PDF that contains information on how to access the NOAA products and services mentioned in the survey upon </w:t>
      </w:r>
      <w:r w:rsidRPr="00BE76CE">
        <w:rPr>
          <w:rFonts w:ascii="Times New Roman" w:hAnsi="Times New Roman" w:cs="Times New Roman"/>
          <w:b w:val="0"/>
          <w:bCs/>
          <w:i/>
          <w:iCs/>
          <w:color w:val="auto"/>
        </w:rPr>
        <w:t>completion</w:t>
      </w:r>
      <w:r>
        <w:rPr>
          <w:rFonts w:ascii="Times New Roman" w:hAnsi="Times New Roman" w:cs="Times New Roman"/>
          <w:b w:val="0"/>
          <w:bCs/>
          <w:color w:val="auto"/>
        </w:rPr>
        <w:t xml:space="preserve"> of the survey. This accomplishes two things. Frist, respondents can be assured additional information they can use if they compete the survey. Second, providing the respondent an assurance they will be provided details on the products and services reduces the incentive for respondent to leave a survey mid-task to access a specific product or service mentioned. </w:t>
      </w:r>
    </w:p>
    <w:p w:rsidR="00746C81" w:rsidP="00756421" w:rsidRDefault="00746C81" w14:paraId="77DD86D0" w14:textId="77777777">
      <w:pPr>
        <w:autoSpaceDE w:val="0"/>
        <w:autoSpaceDN w:val="0"/>
        <w:adjustRightInd w:val="0"/>
        <w:ind w:left="360"/>
        <w:rPr>
          <w:rFonts w:ascii="Times New Roman" w:hAnsi="Times New Roman" w:cs="Times New Roman"/>
          <w:b w:val="0"/>
        </w:rPr>
      </w:pPr>
    </w:p>
    <w:p w:rsidRPr="00286D55" w:rsidR="00756421" w:rsidP="00756421" w:rsidRDefault="00756421" w14:paraId="0889E30F" w14:textId="77777777">
      <w:pPr>
        <w:autoSpaceDE w:val="0"/>
        <w:autoSpaceDN w:val="0"/>
        <w:adjustRightInd w:val="0"/>
        <w:ind w:left="360"/>
        <w:rPr>
          <w:rFonts w:ascii="Times New Roman" w:hAnsi="Times New Roman" w:cs="Times New Roman"/>
          <w:bCs/>
        </w:rPr>
      </w:pPr>
    </w:p>
    <w:p w:rsidRPr="00286D55" w:rsidR="00756421" w:rsidP="00756421" w:rsidRDefault="00756421" w14:paraId="2CD875EA" w14:textId="77777777">
      <w:pPr>
        <w:autoSpaceDE w:val="0"/>
        <w:autoSpaceDN w:val="0"/>
        <w:adjustRightInd w:val="0"/>
        <w:ind w:left="360"/>
        <w:rPr>
          <w:rFonts w:ascii="Times New Roman" w:hAnsi="Times New Roman" w:cs="Times New Roman"/>
          <w:bCs/>
        </w:rPr>
      </w:pPr>
      <w:r w:rsidRPr="00286D55">
        <w:rPr>
          <w:rFonts w:ascii="Times New Roman" w:hAnsi="Times New Roman" w:cs="Times New Roman"/>
          <w:bCs/>
        </w:rPr>
        <w:t>4. Describe any tests of procedures or methods to be undertaken. Tests are encouraged as effective means to refine collections, but if ten or more test respondents are involved OMB must give prior approval.</w:t>
      </w:r>
    </w:p>
    <w:p w:rsidRPr="00101596" w:rsidR="00756421" w:rsidP="00756421" w:rsidRDefault="00756421" w14:paraId="07306615" w14:textId="77777777">
      <w:pPr>
        <w:autoSpaceDE w:val="0"/>
        <w:autoSpaceDN w:val="0"/>
        <w:adjustRightInd w:val="0"/>
        <w:ind w:left="360"/>
        <w:rPr>
          <w:rFonts w:ascii="Times New Roman" w:hAnsi="Times New Roman" w:cs="Times New Roman"/>
          <w:b w:val="0"/>
        </w:rPr>
      </w:pPr>
    </w:p>
    <w:p w:rsidRPr="00101596" w:rsidR="00101596" w:rsidP="00756421" w:rsidRDefault="00101596" w14:paraId="66C8DF76" w14:textId="77777777">
      <w:pPr>
        <w:autoSpaceDE w:val="0"/>
        <w:autoSpaceDN w:val="0"/>
        <w:adjustRightInd w:val="0"/>
        <w:ind w:left="360"/>
        <w:rPr>
          <w:rFonts w:ascii="Times New Roman" w:hAnsi="Times New Roman" w:cs="Times New Roman"/>
          <w:b w:val="0"/>
        </w:rPr>
      </w:pPr>
      <w:r w:rsidRPr="00101596">
        <w:rPr>
          <w:rFonts w:ascii="Times New Roman" w:hAnsi="Times New Roman" w:cs="Times New Roman"/>
          <w:b w:val="0"/>
        </w:rPr>
        <w:t>NOAA</w:t>
      </w:r>
      <w:r>
        <w:rPr>
          <w:rFonts w:ascii="Times New Roman" w:hAnsi="Times New Roman" w:cs="Times New Roman"/>
          <w:b w:val="0"/>
        </w:rPr>
        <w:t>’s contractor, ERG, will perform a cognitive test of the survey with nine or fewer CRS Coordinators to assess the extent to which the survey will be easy to complete. ERG will send the survey to the nine (or fewer) respondents, ask them to complete it, and then perform a follow-up interview with the nine respondents that involves reviewing the survey with the respondent to assess issues in its design. ERG will then revise the survey following those nine interviews.</w:t>
      </w:r>
    </w:p>
    <w:p w:rsidRPr="00101596" w:rsidR="00746C81" w:rsidP="00756421" w:rsidRDefault="00746C81" w14:paraId="433195AC" w14:textId="77777777">
      <w:pPr>
        <w:autoSpaceDE w:val="0"/>
        <w:autoSpaceDN w:val="0"/>
        <w:adjustRightInd w:val="0"/>
        <w:ind w:left="360"/>
        <w:rPr>
          <w:rFonts w:ascii="Times New Roman" w:hAnsi="Times New Roman" w:cs="Times New Roman"/>
          <w:b w:val="0"/>
        </w:rPr>
      </w:pPr>
    </w:p>
    <w:p w:rsidRPr="00286D55" w:rsidR="00756421" w:rsidP="00756421" w:rsidRDefault="00756421" w14:paraId="6047BF39" w14:textId="77777777">
      <w:pPr>
        <w:autoSpaceDE w:val="0"/>
        <w:autoSpaceDN w:val="0"/>
        <w:adjustRightInd w:val="0"/>
        <w:ind w:left="360"/>
        <w:rPr>
          <w:rFonts w:ascii="Times New Roman" w:hAnsi="Times New Roman" w:cs="Times New Roman"/>
          <w:bCs/>
        </w:rPr>
      </w:pPr>
      <w:r w:rsidRPr="00286D55">
        <w:rPr>
          <w:rFonts w:ascii="Times New Roman" w:hAnsi="Times New Roman" w:cs="Times New Roman"/>
          <w:bCs/>
        </w:rPr>
        <w:t>5. Provide the name and telephone number of individuals consulted on the statistical aspects of the design, and the name of the agency unit, contractor(s), grantee(s), or other person(s) who will actually collect and/or analyze the information for the agency.</w:t>
      </w:r>
    </w:p>
    <w:p w:rsidRPr="00286D55" w:rsidR="00756421" w:rsidP="00756421" w:rsidRDefault="00756421" w14:paraId="3B7FE272" w14:textId="77777777">
      <w:pPr>
        <w:rPr>
          <w:rFonts w:ascii="Times New Roman" w:hAnsi="Times New Roman" w:cs="Times New Roman"/>
        </w:rPr>
      </w:pPr>
    </w:p>
    <w:p w:rsidRPr="005B27F7" w:rsidR="004E5C8B" w:rsidP="004E5C8B" w:rsidRDefault="00FC5FEC" w14:paraId="341F091B" w14:textId="77777777">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 xml:space="preserve">NOAA </w:t>
      </w:r>
      <w:r w:rsidR="004E5C8B">
        <w:rPr>
          <w:rFonts w:ascii="Times New Roman" w:hAnsi="Times New Roman" w:cs="Times New Roman"/>
          <w:b w:val="0"/>
          <w:bCs/>
        </w:rPr>
        <w:t xml:space="preserve">has contracted with Eastern Research Group, Inc. (ERG) of Lexington, MA to design the survey instrument and implement the survey. ERG’s project manager for this work is Lou Nadeau (781-674-7316; </w:t>
      </w:r>
      <w:hyperlink w:history="1" r:id="rId11">
        <w:r w:rsidRPr="00C126F2" w:rsidR="004E5C8B">
          <w:rPr>
            <w:rStyle w:val="Hyperlink"/>
            <w:rFonts w:ascii="Times New Roman" w:hAnsi="Times New Roman" w:cs="Times New Roman"/>
            <w:b w:val="0"/>
            <w:bCs/>
          </w:rPr>
          <w:t>lou.nadeau@erg.com</w:t>
        </w:r>
      </w:hyperlink>
      <w:r w:rsidR="004E5C8B">
        <w:rPr>
          <w:rFonts w:ascii="Times New Roman" w:hAnsi="Times New Roman" w:cs="Times New Roman"/>
          <w:b w:val="0"/>
          <w:bCs/>
        </w:rPr>
        <w:t>).</w:t>
      </w:r>
      <w:r w:rsidR="008C26E1">
        <w:rPr>
          <w:rFonts w:ascii="Times New Roman" w:hAnsi="Times New Roman" w:cs="Times New Roman"/>
          <w:b w:val="0"/>
          <w:bCs/>
        </w:rPr>
        <w:t xml:space="preserve"> </w:t>
      </w:r>
    </w:p>
    <w:p w:rsidRPr="00286D55" w:rsidR="00756421" w:rsidP="00756421" w:rsidRDefault="00756421" w14:paraId="25AD148C" w14:textId="77777777">
      <w:pPr>
        <w:ind w:left="360"/>
        <w:rPr>
          <w:rFonts w:ascii="Times New Roman" w:hAnsi="Times New Roman" w:cs="Times New Roman"/>
        </w:rPr>
      </w:pPr>
    </w:p>
    <w:p w:rsidRPr="00286D55" w:rsidR="00756421" w:rsidP="00756421" w:rsidRDefault="00756421" w14:paraId="7BF9FA20" w14:textId="77777777">
      <w:pPr>
        <w:autoSpaceDE w:val="0"/>
        <w:autoSpaceDN w:val="0"/>
        <w:adjustRightInd w:val="0"/>
        <w:rPr>
          <w:rFonts w:ascii="Times New Roman" w:hAnsi="Times New Roman" w:cs="Times New Roman"/>
          <w:color w:val="auto"/>
        </w:rPr>
      </w:pPr>
    </w:p>
    <w:sectPr w:rsidRPr="00286D55" w:rsidR="00756421" w:rsidSect="00770F6E">
      <w:pgSz w:w="12240" w:h="15840"/>
      <w:pgMar w:top="1440" w:right="1080" w:bottom="1440" w:left="1080" w:header="720" w:footer="720" w:gutter="0"/>
      <w:cols w:space="720"/>
      <w:noEndnote/>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A806D" w14:textId="77777777" w:rsidR="00A13499" w:rsidRDefault="00A13499" w:rsidP="00282AB5">
      <w:r>
        <w:separator/>
      </w:r>
    </w:p>
  </w:endnote>
  <w:endnote w:type="continuationSeparator" w:id="0">
    <w:p w14:paraId="20E23595" w14:textId="77777777" w:rsidR="00A13499" w:rsidRDefault="00A13499" w:rsidP="0028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98D9E" w14:textId="77777777" w:rsidR="00A13499" w:rsidRDefault="00A13499" w:rsidP="00282AB5">
      <w:r>
        <w:separator/>
      </w:r>
    </w:p>
  </w:footnote>
  <w:footnote w:type="continuationSeparator" w:id="0">
    <w:p w14:paraId="099DE599" w14:textId="77777777" w:rsidR="00A13499" w:rsidRDefault="00A13499" w:rsidP="00282AB5">
      <w:r>
        <w:continuationSeparator/>
      </w:r>
    </w:p>
  </w:footnote>
  <w:footnote w:id="1">
    <w:p w14:paraId="75407563" w14:textId="77777777" w:rsidR="00F77C76" w:rsidRPr="00BF6B03" w:rsidRDefault="00F77C76" w:rsidP="00F77C76">
      <w:pPr>
        <w:pStyle w:val="FootnoteText"/>
        <w:rPr>
          <w:rFonts w:ascii="Times New Roman" w:hAnsi="Times New Roman" w:cs="Times New Roman"/>
          <w:b w:val="0"/>
          <w:bCs/>
        </w:rPr>
      </w:pPr>
      <w:r>
        <w:rPr>
          <w:rStyle w:val="FootnoteReference"/>
        </w:rPr>
        <w:footnoteRef/>
      </w:r>
      <w:r>
        <w:t xml:space="preserve"> </w:t>
      </w:r>
      <w:r w:rsidRPr="00BF6B03">
        <w:rPr>
          <w:rFonts w:ascii="Times New Roman" w:hAnsi="Times New Roman" w:cs="Times New Roman"/>
          <w:b w:val="0"/>
          <w:bCs/>
        </w:rPr>
        <w:t xml:space="preserve">As will be described in the next two bullets, 40 percent of respondents would only be asked this question in relation to the usefulness of earning points. The remaining 60 percent are equally allocated among the approaches in the next two bullets (30 percent each). Nevertheless, all respondents would be asked the general usefulness questions since we use that question to screen which NOAA products or services we ask about in the alternative approaches (see next bullets). </w:t>
      </w:r>
    </w:p>
  </w:footnote>
  <w:footnote w:id="2">
    <w:p w14:paraId="44E45D63" w14:textId="77777777" w:rsidR="00F77C76" w:rsidRPr="00BF6B03" w:rsidRDefault="00F77C76" w:rsidP="00F77C76">
      <w:pPr>
        <w:pStyle w:val="FootnoteText"/>
        <w:rPr>
          <w:rFonts w:ascii="Times New Roman" w:hAnsi="Times New Roman" w:cs="Times New Roman"/>
          <w:b w:val="0"/>
          <w:bCs/>
        </w:rPr>
      </w:pPr>
      <w:r w:rsidRPr="00BF6B03">
        <w:rPr>
          <w:rStyle w:val="FootnoteReference"/>
          <w:rFonts w:ascii="Times New Roman" w:hAnsi="Times New Roman" w:cs="Times New Roman"/>
          <w:b w:val="0"/>
          <w:bCs/>
        </w:rPr>
        <w:footnoteRef/>
      </w:r>
      <w:r w:rsidRPr="00BF6B03">
        <w:rPr>
          <w:rFonts w:ascii="Times New Roman" w:hAnsi="Times New Roman" w:cs="Times New Roman"/>
          <w:b w:val="0"/>
          <w:bCs/>
        </w:rPr>
        <w:t xml:space="preserve"> The sections fall within the Series described in the prior bullet.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5EA0"/>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702C6"/>
    <w:multiLevelType w:val="hybridMultilevel"/>
    <w:tmpl w:val="4AC0221A"/>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B6E03FF"/>
    <w:multiLevelType w:val="hybridMultilevel"/>
    <w:tmpl w:val="D952D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8F615A"/>
    <w:multiLevelType w:val="hybridMultilevel"/>
    <w:tmpl w:val="1DF6E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420975"/>
    <w:multiLevelType w:val="hybridMultilevel"/>
    <w:tmpl w:val="17A0A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AA4A70"/>
    <w:multiLevelType w:val="hybridMultilevel"/>
    <w:tmpl w:val="E4983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481159"/>
    <w:multiLevelType w:val="hybridMultilevel"/>
    <w:tmpl w:val="56462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D32F66"/>
    <w:multiLevelType w:val="hybridMultilevel"/>
    <w:tmpl w:val="1244FC84"/>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8" w15:restartNumberingAfterBreak="0">
    <w:nsid w:val="423D5939"/>
    <w:multiLevelType w:val="hybridMultilevel"/>
    <w:tmpl w:val="450680B4"/>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1563A0"/>
    <w:multiLevelType w:val="hybridMultilevel"/>
    <w:tmpl w:val="725CBE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A374A"/>
    <w:multiLevelType w:val="hybridMultilevel"/>
    <w:tmpl w:val="7708ECC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6CD15CC"/>
    <w:multiLevelType w:val="hybridMultilevel"/>
    <w:tmpl w:val="A986F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517E3"/>
    <w:multiLevelType w:val="hybridMultilevel"/>
    <w:tmpl w:val="46940D3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73061066"/>
    <w:multiLevelType w:val="hybridMultilevel"/>
    <w:tmpl w:val="B2A6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
  </w:num>
  <w:num w:numId="4">
    <w:abstractNumId w:val="12"/>
  </w:num>
  <w:num w:numId="5">
    <w:abstractNumId w:val="10"/>
  </w:num>
  <w:num w:numId="6">
    <w:abstractNumId w:val="0"/>
  </w:num>
  <w:num w:numId="7">
    <w:abstractNumId w:val="9"/>
  </w:num>
  <w:num w:numId="8">
    <w:abstractNumId w:val="11"/>
  </w:num>
  <w:num w:numId="9">
    <w:abstractNumId w:val="6"/>
  </w:num>
  <w:num w:numId="10">
    <w:abstractNumId w:val="5"/>
  </w:num>
  <w:num w:numId="11">
    <w:abstractNumId w:val="3"/>
  </w:num>
  <w:num w:numId="12">
    <w:abstractNumId w:val="2"/>
  </w:num>
  <w:num w:numId="13">
    <w:abstractNumId w:val="4"/>
  </w:num>
  <w:num w:numId="14">
    <w:abstractNumId w:val="7"/>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5B"/>
    <w:rsid w:val="00000739"/>
    <w:rsid w:val="00021FCB"/>
    <w:rsid w:val="00066482"/>
    <w:rsid w:val="000833DA"/>
    <w:rsid w:val="000A38AA"/>
    <w:rsid w:val="000C6A1E"/>
    <w:rsid w:val="000C7752"/>
    <w:rsid w:val="000D5050"/>
    <w:rsid w:val="001008C2"/>
    <w:rsid w:val="00101596"/>
    <w:rsid w:val="00122918"/>
    <w:rsid w:val="001D5278"/>
    <w:rsid w:val="001E1AD7"/>
    <w:rsid w:val="00232FAB"/>
    <w:rsid w:val="00241623"/>
    <w:rsid w:val="00276C7B"/>
    <w:rsid w:val="00282AB5"/>
    <w:rsid w:val="00286D55"/>
    <w:rsid w:val="002937AA"/>
    <w:rsid w:val="002D468C"/>
    <w:rsid w:val="00345C7E"/>
    <w:rsid w:val="00391978"/>
    <w:rsid w:val="003B447F"/>
    <w:rsid w:val="003C1B60"/>
    <w:rsid w:val="003D5AD9"/>
    <w:rsid w:val="00426B05"/>
    <w:rsid w:val="00480E78"/>
    <w:rsid w:val="004E5C8B"/>
    <w:rsid w:val="005174DA"/>
    <w:rsid w:val="005216DF"/>
    <w:rsid w:val="0054667D"/>
    <w:rsid w:val="00546C33"/>
    <w:rsid w:val="005509F1"/>
    <w:rsid w:val="005A3E7D"/>
    <w:rsid w:val="0060563C"/>
    <w:rsid w:val="006310F1"/>
    <w:rsid w:val="0064505B"/>
    <w:rsid w:val="006820F9"/>
    <w:rsid w:val="006A6198"/>
    <w:rsid w:val="00741680"/>
    <w:rsid w:val="00746C81"/>
    <w:rsid w:val="00756421"/>
    <w:rsid w:val="00770F6E"/>
    <w:rsid w:val="0077504F"/>
    <w:rsid w:val="007A5095"/>
    <w:rsid w:val="007C1A82"/>
    <w:rsid w:val="0086556F"/>
    <w:rsid w:val="0089458B"/>
    <w:rsid w:val="008C14CE"/>
    <w:rsid w:val="008C26E1"/>
    <w:rsid w:val="008D20E0"/>
    <w:rsid w:val="00904AC6"/>
    <w:rsid w:val="009150E4"/>
    <w:rsid w:val="00986E70"/>
    <w:rsid w:val="009E0B27"/>
    <w:rsid w:val="009F2888"/>
    <w:rsid w:val="009F5D83"/>
    <w:rsid w:val="00A13499"/>
    <w:rsid w:val="00A26823"/>
    <w:rsid w:val="00A32EC9"/>
    <w:rsid w:val="00A85415"/>
    <w:rsid w:val="00AB615B"/>
    <w:rsid w:val="00AC08A4"/>
    <w:rsid w:val="00AC5143"/>
    <w:rsid w:val="00AE6F7C"/>
    <w:rsid w:val="00B36710"/>
    <w:rsid w:val="00B4184C"/>
    <w:rsid w:val="00B87137"/>
    <w:rsid w:val="00B939BC"/>
    <w:rsid w:val="00BE76CE"/>
    <w:rsid w:val="00BF6B03"/>
    <w:rsid w:val="00C025D2"/>
    <w:rsid w:val="00C44BE7"/>
    <w:rsid w:val="00C902B0"/>
    <w:rsid w:val="00CA0301"/>
    <w:rsid w:val="00CD35E3"/>
    <w:rsid w:val="00CD4EED"/>
    <w:rsid w:val="00D17DAB"/>
    <w:rsid w:val="00D844A0"/>
    <w:rsid w:val="00DA3F7F"/>
    <w:rsid w:val="00DA58DB"/>
    <w:rsid w:val="00DD308E"/>
    <w:rsid w:val="00DE4214"/>
    <w:rsid w:val="00E5209B"/>
    <w:rsid w:val="00E52774"/>
    <w:rsid w:val="00EC6563"/>
    <w:rsid w:val="00ED040C"/>
    <w:rsid w:val="00F46F11"/>
    <w:rsid w:val="00F77C76"/>
    <w:rsid w:val="00F90314"/>
    <w:rsid w:val="00F97FE9"/>
    <w:rsid w:val="00FB616B"/>
    <w:rsid w:val="00FC5FEC"/>
    <w:rsid w:val="00FD3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85C0D"/>
  <w15:chartTrackingRefBased/>
  <w15:docId w15:val="{E9722F38-6E68-42A4-8A9A-78677783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
      <w:color w:val="000000"/>
      <w:sz w:val="24"/>
      <w:szCs w:val="24"/>
      <w:lang w:val="en-GB" w:eastAsia="en-GB"/>
    </w:rPr>
  </w:style>
  <w:style w:type="paragraph" w:styleId="Heading1">
    <w:name w:val="heading 1"/>
    <w:basedOn w:val="Normal"/>
    <w:next w:val="Normal"/>
    <w:qFormat/>
    <w:pPr>
      <w:keepNext/>
      <w:outlineLvl w:val="0"/>
    </w:pPr>
    <w:rPr>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pPr>
      <w:spacing w:line="360" w:lineRule="auto"/>
      <w:ind w:left="720"/>
    </w:pPr>
    <w:rPr>
      <w:b w:val="0"/>
      <w:color w:val="auto"/>
      <w:lang w:eastAsia="en-U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8D20E0"/>
    <w:pPr>
      <w:ind w:left="720"/>
      <w:contextualSpacing/>
    </w:pPr>
  </w:style>
  <w:style w:type="paragraph" w:styleId="FootnoteText">
    <w:name w:val="footnote text"/>
    <w:basedOn w:val="Normal"/>
    <w:link w:val="FootnoteTextChar"/>
    <w:uiPriority w:val="99"/>
    <w:rsid w:val="00282AB5"/>
    <w:rPr>
      <w:sz w:val="20"/>
      <w:szCs w:val="20"/>
    </w:rPr>
  </w:style>
  <w:style w:type="character" w:customStyle="1" w:styleId="FootnoteTextChar">
    <w:name w:val="Footnote Text Char"/>
    <w:link w:val="FootnoteText"/>
    <w:uiPriority w:val="99"/>
    <w:rsid w:val="00282AB5"/>
    <w:rPr>
      <w:rFonts w:ascii="Arial" w:hAnsi="Arial" w:cs="Arial"/>
      <w:b/>
      <w:color w:val="000000"/>
      <w:lang w:val="en-GB" w:eastAsia="en-GB"/>
    </w:rPr>
  </w:style>
  <w:style w:type="character" w:styleId="FootnoteReference">
    <w:name w:val="footnote reference"/>
    <w:uiPriority w:val="99"/>
    <w:rsid w:val="00282AB5"/>
    <w:rPr>
      <w:vertAlign w:val="superscript"/>
    </w:rPr>
  </w:style>
  <w:style w:type="table" w:styleId="TableGrid">
    <w:name w:val="Table Grid"/>
    <w:basedOn w:val="TableNormal"/>
    <w:uiPriority w:val="39"/>
    <w:rsid w:val="00521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A5095"/>
    <w:rPr>
      <w:bCs/>
      <w:sz w:val="20"/>
      <w:szCs w:val="20"/>
    </w:rPr>
  </w:style>
  <w:style w:type="character" w:styleId="Hyperlink">
    <w:name w:val="Hyperlink"/>
    <w:rsid w:val="004E5C8B"/>
    <w:rPr>
      <w:color w:val="0000FF"/>
      <w:u w:val="single"/>
    </w:rPr>
  </w:style>
  <w:style w:type="character" w:customStyle="1" w:styleId="UnresolvedMention">
    <w:name w:val="Unresolved Mention"/>
    <w:uiPriority w:val="99"/>
    <w:semiHidden/>
    <w:unhideWhenUsed/>
    <w:rsid w:val="008C26E1"/>
    <w:rPr>
      <w:color w:val="605E5C"/>
      <w:shd w:val="clear" w:color="auto" w:fill="E1DFDD"/>
    </w:rPr>
  </w:style>
  <w:style w:type="character" w:styleId="CommentReference">
    <w:name w:val="annotation reference"/>
    <w:rsid w:val="00000739"/>
    <w:rPr>
      <w:sz w:val="16"/>
      <w:szCs w:val="16"/>
    </w:rPr>
  </w:style>
  <w:style w:type="paragraph" w:styleId="CommentText">
    <w:name w:val="annotation text"/>
    <w:basedOn w:val="Normal"/>
    <w:link w:val="CommentTextChar"/>
    <w:rsid w:val="00000739"/>
    <w:rPr>
      <w:sz w:val="20"/>
      <w:szCs w:val="20"/>
    </w:rPr>
  </w:style>
  <w:style w:type="character" w:customStyle="1" w:styleId="CommentTextChar">
    <w:name w:val="Comment Text Char"/>
    <w:link w:val="CommentText"/>
    <w:rsid w:val="00000739"/>
    <w:rPr>
      <w:rFonts w:ascii="Arial" w:hAnsi="Arial" w:cs="Arial"/>
      <w:b/>
      <w:color w:val="000000"/>
      <w:lang w:val="en-GB" w:eastAsia="en-GB"/>
    </w:rPr>
  </w:style>
  <w:style w:type="paragraph" w:styleId="CommentSubject">
    <w:name w:val="annotation subject"/>
    <w:basedOn w:val="CommentText"/>
    <w:next w:val="CommentText"/>
    <w:link w:val="CommentSubjectChar"/>
    <w:rsid w:val="00000739"/>
    <w:rPr>
      <w:bCs/>
    </w:rPr>
  </w:style>
  <w:style w:type="character" w:customStyle="1" w:styleId="CommentSubjectChar">
    <w:name w:val="Comment Subject Char"/>
    <w:link w:val="CommentSubject"/>
    <w:rsid w:val="00000739"/>
    <w:rPr>
      <w:rFonts w:ascii="Arial" w:hAnsi="Arial" w:cs="Arial"/>
      <w:b/>
      <w:bCs/>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u.nadeau@erg.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E9F107A24934AB6DE7BC8B393F1B6" ma:contentTypeVersion="6" ma:contentTypeDescription="Create a new document." ma:contentTypeScope="" ma:versionID="e752e85af476570e3316e812a074f337">
  <xsd:schema xmlns:xsd="http://www.w3.org/2001/XMLSchema" xmlns:xs="http://www.w3.org/2001/XMLSchema" xmlns:p="http://schemas.microsoft.com/office/2006/metadata/properties" xmlns:ns2="fad5fd98-565c-4299-abfb-5f9ced7da4f1" xmlns:ns3="5cb5a7e0-62c0-43be-a7ef-a8326ee3ed46" targetNamespace="http://schemas.microsoft.com/office/2006/metadata/properties" ma:root="true" ma:fieldsID="ea0c387fdd0f01d10ff0bdc03defc328" ns2:_="" ns3:_="">
    <xsd:import namespace="fad5fd98-565c-4299-abfb-5f9ced7da4f1"/>
    <xsd:import namespace="5cb5a7e0-62c0-43be-a7ef-a8326ee3ed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fd98-565c-4299-abfb-5f9ced7d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b5a7e0-62c0-43be-a7ef-a8326ee3ed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7E739-3515-4ED1-BE40-F0E3F1E43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fd98-565c-4299-abfb-5f9ced7da4f1"/>
    <ds:schemaRef ds:uri="5cb5a7e0-62c0-43be-a7ef-a8326ee3e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BD6D8-4EAD-4C9A-8F23-E415F22221DA}">
  <ds:schemaRefs>
    <ds:schemaRef ds:uri="http://www.w3.org/XML/1998/namespace"/>
    <ds:schemaRef ds:uri="http://purl.org/dc/elements/1.1/"/>
    <ds:schemaRef ds:uri="5cb5a7e0-62c0-43be-a7ef-a8326ee3ed46"/>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fad5fd98-565c-4299-abfb-5f9ced7da4f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0C83570-3859-44D5-8295-851253D631C9}">
  <ds:schemaRefs>
    <ds:schemaRef ds:uri="http://schemas.microsoft.com/sharepoint/v3/contenttype/forms"/>
  </ds:schemaRefs>
</ds:datastoreItem>
</file>

<file path=customXml/itemProps4.xml><?xml version="1.0" encoding="utf-8"?>
<ds:datastoreItem xmlns:ds="http://schemas.openxmlformats.org/officeDocument/2006/customXml" ds:itemID="{3F9549A8-A469-41A3-95E0-33A8C5EE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1642</Words>
  <Characters>8929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Supplemental Questions for DOC/NOAA Customer Survey Clearance (OMB Control Number 0648-0342)</vt:lpstr>
    </vt:vector>
  </TitlesOfParts>
  <Company>ICAEW</Company>
  <LinksUpToDate>false</LinksUpToDate>
  <CharactersWithSpaces>10550</CharactersWithSpaces>
  <SharedDoc>false</SharedDoc>
  <HLinks>
    <vt:vector size="6" baseType="variant">
      <vt:variant>
        <vt:i4>6488091</vt:i4>
      </vt:variant>
      <vt:variant>
        <vt:i4>9</vt:i4>
      </vt:variant>
      <vt:variant>
        <vt:i4>0</vt:i4>
      </vt:variant>
      <vt:variant>
        <vt:i4>5</vt:i4>
      </vt:variant>
      <vt:variant>
        <vt:lpwstr>mailto:lou.nadeau@erg.com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Questions for DOC/NOAA Customer Survey Clearance (OMB Control Number 0648-0342)</dc:title>
  <dc:subject/>
  <dc:creator>Robin Birn</dc:creator>
  <cp:keywords/>
  <dc:description/>
  <cp:lastModifiedBy>Adrienne Thomas</cp:lastModifiedBy>
  <cp:revision>2</cp:revision>
  <cp:lastPrinted>2020-05-29T19:22:00Z</cp:lastPrinted>
  <dcterms:created xsi:type="dcterms:W3CDTF">2020-08-03T16:18:00Z</dcterms:created>
  <dcterms:modified xsi:type="dcterms:W3CDTF">2020-08-03T16:18:00Z</dcterms:modified>
</cp:coreProperties>
</file>