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8C54C" w14:textId="77777777" w:rsidR="00A8501F" w:rsidRPr="00BB1574" w:rsidRDefault="004437CE" w:rsidP="004437CE">
      <w:pPr>
        <w:jc w:val="center"/>
        <w:rPr>
          <w:b/>
          <w:sz w:val="24"/>
          <w:szCs w:val="24"/>
        </w:rPr>
      </w:pPr>
      <w:bookmarkStart w:id="0" w:name="_GoBack"/>
      <w:bookmarkEnd w:id="0"/>
      <w:r w:rsidRPr="00BB1574">
        <w:rPr>
          <w:b/>
          <w:sz w:val="24"/>
          <w:szCs w:val="24"/>
        </w:rPr>
        <w:t>OMB Control Number 0535-0226: Census of Agriculture</w:t>
      </w:r>
    </w:p>
    <w:p w14:paraId="4415B725" w14:textId="0EDA53F7" w:rsidR="0036795F" w:rsidRPr="00BB1574" w:rsidRDefault="0036795F" w:rsidP="004437CE">
      <w:pPr>
        <w:jc w:val="center"/>
        <w:rPr>
          <w:b/>
          <w:sz w:val="24"/>
          <w:szCs w:val="24"/>
        </w:rPr>
      </w:pPr>
      <w:r w:rsidRPr="00BB1574">
        <w:rPr>
          <w:b/>
          <w:sz w:val="24"/>
          <w:szCs w:val="24"/>
        </w:rPr>
        <w:t>Non-substantive Change</w:t>
      </w:r>
      <w:r w:rsidR="00294EE9">
        <w:rPr>
          <w:b/>
          <w:sz w:val="24"/>
          <w:szCs w:val="24"/>
        </w:rPr>
        <w:t xml:space="preserve"> Request</w:t>
      </w:r>
    </w:p>
    <w:p w14:paraId="101FEBAC" w14:textId="77777777" w:rsidR="0036795F" w:rsidRDefault="0036795F" w:rsidP="0036795F">
      <w:pPr>
        <w:rPr>
          <w:b/>
        </w:rPr>
      </w:pPr>
    </w:p>
    <w:p w14:paraId="33A0E82C" w14:textId="77777777" w:rsidR="0036795F" w:rsidRPr="00BB1574" w:rsidRDefault="0036795F" w:rsidP="0036795F">
      <w:pPr>
        <w:rPr>
          <w:b/>
          <w:sz w:val="24"/>
          <w:szCs w:val="24"/>
        </w:rPr>
      </w:pPr>
      <w:r w:rsidRPr="00BB1574">
        <w:rPr>
          <w:b/>
          <w:sz w:val="24"/>
          <w:szCs w:val="24"/>
        </w:rPr>
        <w:t>Background</w:t>
      </w:r>
    </w:p>
    <w:p w14:paraId="3EF7ACC9" w14:textId="3741F672" w:rsidR="00837E6D" w:rsidRDefault="0036795F" w:rsidP="00837E6D">
      <w:r w:rsidRPr="00BB1574">
        <w:t>The National Agricultural Statistics Service (NASS) is currently conducting the 2017 Census of Agriculture.  The original due</w:t>
      </w:r>
      <w:r w:rsidR="00B5673A">
        <w:t xml:space="preserve"> date for reporting to the </w:t>
      </w:r>
      <w:r w:rsidRPr="00BB1574">
        <w:t xml:space="preserve">Census of Agriculture was February 5, 2018.  </w:t>
      </w:r>
      <w:r w:rsidR="004C28EA">
        <w:t xml:space="preserve">All members of the </w:t>
      </w:r>
      <w:r w:rsidR="00A035ED">
        <w:t xml:space="preserve">Census of Agriculture </w:t>
      </w:r>
      <w:r w:rsidR="004C28EA">
        <w:t>mail list</w:t>
      </w:r>
      <w:r w:rsidR="0046505C">
        <w:t xml:space="preserve"> have</w:t>
      </w:r>
      <w:r w:rsidRPr="00BB1574">
        <w:t xml:space="preserve"> </w:t>
      </w:r>
      <w:r w:rsidR="00EA7934">
        <w:t>been mailed</w:t>
      </w:r>
      <w:r w:rsidRPr="00BB1574">
        <w:t xml:space="preserve"> up to three paper ques</w:t>
      </w:r>
      <w:r w:rsidR="004C28EA">
        <w:t>tionnaires and have been</w:t>
      </w:r>
      <w:r w:rsidRPr="00BB1574">
        <w:t xml:space="preserve"> provided opportunities to report on the web</w:t>
      </w:r>
      <w:r w:rsidR="0046505C">
        <w:t>.  As of April 2, 2018</w:t>
      </w:r>
      <w:r w:rsidR="00905179">
        <w:t>,</w:t>
      </w:r>
      <w:r w:rsidRPr="00BB1574">
        <w:t xml:space="preserve"> NASS has not received responses from </w:t>
      </w:r>
      <w:r w:rsidR="00335A4A">
        <w:t>over</w:t>
      </w:r>
      <w:r w:rsidRPr="00BB1574">
        <w:t xml:space="preserve"> </w:t>
      </w:r>
      <w:r w:rsidRPr="00335A4A">
        <w:t>one-third</w:t>
      </w:r>
      <w:r w:rsidRPr="00BB1574">
        <w:t xml:space="preserve"> of the initial Census of Agriculture mail list.  To ensure proper representation of various geographic areas and sub-populations in the results, NASS </w:t>
      </w:r>
      <w:r w:rsidR="0099162A">
        <w:t xml:space="preserve">is submitting this non-substantive change to </w:t>
      </w:r>
      <w:r w:rsidR="0046505C">
        <w:t xml:space="preserve">document an adjustment to the next phase of </w:t>
      </w:r>
      <w:r w:rsidR="0099162A">
        <w:t>non-response follow-up.  NASS will contact</w:t>
      </w:r>
      <w:r w:rsidRPr="00BB1574">
        <w:t xml:space="preserve"> </w:t>
      </w:r>
      <w:r w:rsidR="0099162A">
        <w:t xml:space="preserve">Census of Agriculture </w:t>
      </w:r>
      <w:r w:rsidRPr="00BB1574">
        <w:t>non-respondents by using both telephone and in-person interviews. NASS will also make an additional contact to non-respondents via mail to encourage response either by mail or on the web.  Due to budget and time limitations, contacting all non-respondents for interviews is not possible</w:t>
      </w:r>
      <w:r w:rsidR="00525E35">
        <w:t>; t</w:t>
      </w:r>
      <w:r w:rsidRPr="00BB1574">
        <w:t>herefore</w:t>
      </w:r>
      <w:r w:rsidR="00905179">
        <w:t>,</w:t>
      </w:r>
      <w:r w:rsidRPr="00BB1574">
        <w:t xml:space="preserve"> NASS will target its efforts on certain geographic areas and sub-populations</w:t>
      </w:r>
      <w:r w:rsidR="00905179">
        <w:t xml:space="preserve"> as detailed below</w:t>
      </w:r>
      <w:r w:rsidRPr="00BB1574">
        <w:t xml:space="preserve">. </w:t>
      </w:r>
      <w:r w:rsidR="00420472">
        <w:t xml:space="preserve"> </w:t>
      </w:r>
      <w:r w:rsidR="00837E6D">
        <w:t xml:space="preserve">NASS will use well-established statistical weighting and calibration techniques to ensure the results from the 2017 Census of Agriculture properly represent </w:t>
      </w:r>
      <w:r w:rsidR="00525E35">
        <w:t>the intended population of interest.</w:t>
      </w:r>
    </w:p>
    <w:p w14:paraId="7F34DAE0" w14:textId="76E92CEF" w:rsidR="00376979" w:rsidRDefault="00376979" w:rsidP="00837E6D">
      <w:r>
        <w:t>This non-substantiv</w:t>
      </w:r>
      <w:r w:rsidR="00C31B97">
        <w:t xml:space="preserve">e change request will address </w:t>
      </w:r>
      <w:r>
        <w:t xml:space="preserve">the allocation of respondents to the different </w:t>
      </w:r>
      <w:r w:rsidR="00C31B97">
        <w:t>non-response treatments</w:t>
      </w:r>
      <w:r>
        <w:t xml:space="preserve"> listed below.</w:t>
      </w:r>
      <w:r w:rsidR="00525E35">
        <w:t xml:space="preserve">  This request for additional non-response follow-up activities is not expected to result in any increase in respondent burden compared to the initial OMB approved amount, due to fewer than expected pre-survey outreach attempts.</w:t>
      </w:r>
    </w:p>
    <w:p w14:paraId="4018375E" w14:textId="6D799A77" w:rsidR="00FD48C2" w:rsidRPr="00FD48C2" w:rsidRDefault="00FD48C2" w:rsidP="00BB1574">
      <w:pPr>
        <w:rPr>
          <w:b/>
          <w:sz w:val="24"/>
          <w:szCs w:val="24"/>
        </w:rPr>
      </w:pPr>
      <w:r w:rsidRPr="00FD48C2">
        <w:rPr>
          <w:b/>
          <w:sz w:val="24"/>
          <w:szCs w:val="24"/>
        </w:rPr>
        <w:t>Web Response Push</w:t>
      </w:r>
    </w:p>
    <w:p w14:paraId="7C10D6C1" w14:textId="642A9C33" w:rsidR="002A15D7" w:rsidRDefault="002A15D7" w:rsidP="002A15D7">
      <w:pPr>
        <w:spacing w:after="240"/>
      </w:pPr>
      <w:r w:rsidRPr="00787FA5">
        <w:t>NAS</w:t>
      </w:r>
      <w:r w:rsidR="00FC748B">
        <w:t xml:space="preserve">S will send a </w:t>
      </w:r>
      <w:r w:rsidR="00376979">
        <w:t xml:space="preserve">second </w:t>
      </w:r>
      <w:r w:rsidR="0072208C">
        <w:t xml:space="preserve">letter to encourage </w:t>
      </w:r>
      <w:r w:rsidR="00376979">
        <w:t xml:space="preserve">web response </w:t>
      </w:r>
      <w:r w:rsidR="0072208C">
        <w:t xml:space="preserve">(called a </w:t>
      </w:r>
      <w:r w:rsidR="0072208C" w:rsidRPr="0072208C">
        <w:rPr>
          <w:i/>
        </w:rPr>
        <w:t xml:space="preserve">web response </w:t>
      </w:r>
      <w:r w:rsidR="00376979" w:rsidRPr="0072208C">
        <w:rPr>
          <w:i/>
        </w:rPr>
        <w:t>push</w:t>
      </w:r>
      <w:r w:rsidR="0072208C">
        <w:t>)</w:t>
      </w:r>
      <w:r w:rsidR="00376979">
        <w:t xml:space="preserve"> </w:t>
      </w:r>
      <w:r w:rsidR="00FC748B">
        <w:t xml:space="preserve">to </w:t>
      </w:r>
      <w:r w:rsidRPr="00787FA5">
        <w:t>all remaining non-res</w:t>
      </w:r>
      <w:r>
        <w:t xml:space="preserve">pondents, excluding those with the highest anticipated total value of production and those with </w:t>
      </w:r>
      <w:r w:rsidR="00EA7934">
        <w:t>a</w:t>
      </w:r>
      <w:r>
        <w:t xml:space="preserve"> high predicted propensity to respond</w:t>
      </w:r>
      <w:r w:rsidR="003A5D51">
        <w:rPr>
          <w:rStyle w:val="FootnoteReference"/>
        </w:rPr>
        <w:footnoteReference w:id="1"/>
      </w:r>
      <w:r>
        <w:t xml:space="preserve">.  </w:t>
      </w:r>
      <w:r w:rsidR="00FC748B">
        <w:t>This mailing will contain a message that explains that NASS has not yet received the recipient’s 2017 Census of Agriculture, which is required by law.  The message will also encourage the recipient to use the included URL and personal access-code to complete the Census of Agriculture on the web.</w:t>
      </w:r>
      <w:r w:rsidR="003B02A8">
        <w:t xml:space="preserve"> </w:t>
      </w:r>
    </w:p>
    <w:p w14:paraId="2D0BA080" w14:textId="71A0C77C" w:rsidR="002A15D7" w:rsidRDefault="002A15D7" w:rsidP="002A15D7">
      <w:pPr>
        <w:spacing w:after="240"/>
      </w:pPr>
      <w:r>
        <w:t>NA</w:t>
      </w:r>
      <w:r w:rsidR="00A73F62">
        <w:t>SS will send the</w:t>
      </w:r>
      <w:r>
        <w:t xml:space="preserve"> web response push mailing to an estimated </w:t>
      </w:r>
      <w:r w:rsidR="00544C83" w:rsidRPr="00011877">
        <w:t>500,000</w:t>
      </w:r>
      <w:r w:rsidRPr="00011877">
        <w:t xml:space="preserve"> Census</w:t>
      </w:r>
      <w:r>
        <w:t xml:space="preserve"> of Agriculture non-respondents.</w:t>
      </w:r>
      <w:r w:rsidR="00D16A5A">
        <w:t xml:space="preserve">  </w:t>
      </w:r>
      <w:r w:rsidR="00376979">
        <w:t xml:space="preserve">The respondent burden and contacts </w:t>
      </w:r>
      <w:r w:rsidR="003B02A8">
        <w:t>are</w:t>
      </w:r>
      <w:r w:rsidR="00376979">
        <w:t xml:space="preserve"> covered by the remainder of the burden not used for the auto</w:t>
      </w:r>
      <w:r w:rsidR="003B02A8">
        <w:t>-</w:t>
      </w:r>
      <w:r w:rsidR="00376979">
        <w:t xml:space="preserve">dial reminders </w:t>
      </w:r>
      <w:r w:rsidR="00D26308">
        <w:t>in the original clearance</w:t>
      </w:r>
      <w:r w:rsidR="00376979">
        <w:t>.</w:t>
      </w:r>
    </w:p>
    <w:p w14:paraId="3219280A" w14:textId="77777777" w:rsidR="00FD48C2" w:rsidRPr="00FD48C2" w:rsidRDefault="00BB2F5E" w:rsidP="00BB1574">
      <w:pPr>
        <w:rPr>
          <w:b/>
          <w:sz w:val="24"/>
          <w:szCs w:val="24"/>
        </w:rPr>
      </w:pPr>
      <w:r>
        <w:rPr>
          <w:b/>
          <w:sz w:val="24"/>
          <w:szCs w:val="24"/>
        </w:rPr>
        <w:t xml:space="preserve">Additional </w:t>
      </w:r>
      <w:r w:rsidR="00FD48C2" w:rsidRPr="00FD48C2">
        <w:rPr>
          <w:b/>
          <w:sz w:val="24"/>
          <w:szCs w:val="24"/>
        </w:rPr>
        <w:t>Non-Response Calling</w:t>
      </w:r>
    </w:p>
    <w:p w14:paraId="0A21E3CC" w14:textId="06CF583B" w:rsidR="00A8501F" w:rsidRDefault="000B0B19" w:rsidP="00BB1574">
      <w:r>
        <w:t>After allowing approximatel</w:t>
      </w:r>
      <w:r w:rsidR="008259DC">
        <w:t>y two to three weeks for an</w:t>
      </w:r>
      <w:r>
        <w:t xml:space="preserve"> auto-dialer</w:t>
      </w:r>
      <w:r w:rsidR="00AD4E39">
        <w:rPr>
          <w:rStyle w:val="FootnoteReference"/>
        </w:rPr>
        <w:footnoteReference w:id="2"/>
      </w:r>
      <w:r w:rsidR="00AD4E39">
        <w:t xml:space="preserve"> </w:t>
      </w:r>
      <w:r>
        <w:t>and web response push contacts to elicit response, NASS will contact</w:t>
      </w:r>
      <w:r w:rsidR="007B30C9">
        <w:t xml:space="preserve"> by telephone (and possibly a limited number of in-person interviews)</w:t>
      </w:r>
      <w:r>
        <w:t xml:space="preserve"> a </w:t>
      </w:r>
      <w:r>
        <w:lastRenderedPageBreak/>
        <w:t>sample of the non-respondents who received one of these treatments to</w:t>
      </w:r>
      <w:r w:rsidR="007B30C9">
        <w:t xml:space="preserve"> attempt a final appeal to respond to the Census of Agriculture.</w:t>
      </w:r>
      <w:r>
        <w:t xml:space="preserve"> </w:t>
      </w:r>
    </w:p>
    <w:p w14:paraId="512CCC9E" w14:textId="0F85565F" w:rsidR="00837E6D" w:rsidRDefault="00837E6D" w:rsidP="00837E6D">
      <w:r>
        <w:t>NASS will use historical data to prioritize which non-respondents to contact.  Priority will be given to non-respondents: in low-response counties; those believed to produce commodi</w:t>
      </w:r>
      <w:r w:rsidR="007B771F">
        <w:t>ties with low-coverage in past Censuses of A</w:t>
      </w:r>
      <w:r>
        <w:t xml:space="preserve">griculture; those believed to produce commodities or perform production practices NASS will target in future Census of Agriculture follow-on studies; or those believed to be members of minority groups, which are also known to have lower coverage in previous censuses of agriculture.  </w:t>
      </w:r>
      <w:r w:rsidR="00824315">
        <w:t>After the non-respondents meeting these criteria are identified, p</w:t>
      </w:r>
      <w:r>
        <w:t xml:space="preserve">riority </w:t>
      </w:r>
      <w:r w:rsidR="00824315">
        <w:t xml:space="preserve">for calling </w:t>
      </w:r>
      <w:r>
        <w:t>will be given to those with a higher response likelihood based on previous contact for NASS censuses and surveys.</w:t>
      </w:r>
    </w:p>
    <w:p w14:paraId="3EB2BC7D" w14:textId="3C131E34" w:rsidR="003016C8" w:rsidRDefault="003016C8" w:rsidP="00813CA7">
      <w:pPr>
        <w:spacing w:after="240"/>
      </w:pPr>
      <w:r>
        <w:t xml:space="preserve">Specifically, the following </w:t>
      </w:r>
      <w:r w:rsidR="00605C86">
        <w:t xml:space="preserve">high-priority </w:t>
      </w:r>
      <w:r>
        <w:t>items/characteristics</w:t>
      </w:r>
      <w:r w:rsidR="00605C86">
        <w:t xml:space="preserve"> will be used to identify</w:t>
      </w:r>
      <w:r>
        <w:t xml:space="preserve"> non-respondents to contact</w:t>
      </w:r>
      <w:r w:rsidR="009E473F">
        <w:t xml:space="preserve"> by telephone</w:t>
      </w:r>
      <w:r w:rsidR="003E02BD">
        <w:t xml:space="preserve"> (or limited in-person interviews)</w:t>
      </w:r>
      <w:r>
        <w:t xml:space="preserve">. </w:t>
      </w:r>
      <w:r w:rsidR="001D7BD9">
        <w:t xml:space="preserve"> </w:t>
      </w:r>
      <w:r>
        <w:t>The expected presence of each item/characteristic is based on data NASS acquired during previous census/survey contacts.</w:t>
      </w:r>
    </w:p>
    <w:tbl>
      <w:tblPr>
        <w:tblStyle w:val="TableGrid"/>
        <w:tblW w:w="0" w:type="auto"/>
        <w:jc w:val="center"/>
        <w:tblLook w:val="04A0" w:firstRow="1" w:lastRow="0" w:firstColumn="1" w:lastColumn="0" w:noHBand="0" w:noVBand="1"/>
      </w:tblPr>
      <w:tblGrid>
        <w:gridCol w:w="7465"/>
      </w:tblGrid>
      <w:tr w:rsidR="003016C8" w14:paraId="18CF25ED" w14:textId="77777777" w:rsidTr="00012F9D">
        <w:trPr>
          <w:jc w:val="center"/>
        </w:trPr>
        <w:tc>
          <w:tcPr>
            <w:tcW w:w="7465" w:type="dxa"/>
            <w:shd w:val="clear" w:color="auto" w:fill="E2EFD9" w:themeFill="accent6" w:themeFillTint="33"/>
            <w:tcMar>
              <w:left w:w="29" w:type="dxa"/>
              <w:right w:w="29" w:type="dxa"/>
            </w:tcMar>
          </w:tcPr>
          <w:p w14:paraId="69F5E13F" w14:textId="77777777" w:rsidR="003016C8" w:rsidRDefault="00D063E4" w:rsidP="00D063E4">
            <w:pPr>
              <w:jc w:val="center"/>
            </w:pPr>
            <w:r>
              <w:t xml:space="preserve">High-Priority Items/Characteristics </w:t>
            </w:r>
            <w:r w:rsidRPr="00D063E4">
              <w:rPr>
                <w:vertAlign w:val="superscript"/>
              </w:rPr>
              <w:t>1/</w:t>
            </w:r>
          </w:p>
        </w:tc>
      </w:tr>
      <w:tr w:rsidR="006E5CC8" w14:paraId="181939A8" w14:textId="77777777" w:rsidTr="00813CA7">
        <w:trPr>
          <w:jc w:val="center"/>
        </w:trPr>
        <w:tc>
          <w:tcPr>
            <w:tcW w:w="7465" w:type="dxa"/>
            <w:tcMar>
              <w:left w:w="58" w:type="dxa"/>
              <w:right w:w="29" w:type="dxa"/>
            </w:tcMar>
          </w:tcPr>
          <w:p w14:paraId="7441B713" w14:textId="1AC5AF49" w:rsidR="006E5CC8" w:rsidRDefault="006E5CC8" w:rsidP="00837E6D">
            <w:r>
              <w:t>Low-response Counties</w:t>
            </w:r>
          </w:p>
        </w:tc>
      </w:tr>
      <w:tr w:rsidR="003016C8" w14:paraId="27B4A1DA" w14:textId="77777777" w:rsidTr="00813CA7">
        <w:trPr>
          <w:jc w:val="center"/>
        </w:trPr>
        <w:tc>
          <w:tcPr>
            <w:tcW w:w="7465" w:type="dxa"/>
            <w:tcMar>
              <w:left w:w="58" w:type="dxa"/>
              <w:right w:w="29" w:type="dxa"/>
            </w:tcMar>
          </w:tcPr>
          <w:p w14:paraId="5DEEA81F" w14:textId="77777777" w:rsidR="003016C8" w:rsidRDefault="003016C8" w:rsidP="00837E6D">
            <w:r>
              <w:t>Organic Operations</w:t>
            </w:r>
          </w:p>
        </w:tc>
      </w:tr>
      <w:tr w:rsidR="003016C8" w14:paraId="60E87D41" w14:textId="77777777" w:rsidTr="00813CA7">
        <w:trPr>
          <w:jc w:val="center"/>
        </w:trPr>
        <w:tc>
          <w:tcPr>
            <w:tcW w:w="7465" w:type="dxa"/>
            <w:tcMar>
              <w:left w:w="58" w:type="dxa"/>
              <w:right w:w="29" w:type="dxa"/>
            </w:tcMar>
          </w:tcPr>
          <w:p w14:paraId="57B1F3F2" w14:textId="77777777" w:rsidR="003016C8" w:rsidRDefault="003016C8" w:rsidP="00837E6D">
            <w:r>
              <w:t>Goat Operations</w:t>
            </w:r>
          </w:p>
        </w:tc>
      </w:tr>
      <w:tr w:rsidR="003016C8" w14:paraId="4B9E67A8" w14:textId="77777777" w:rsidTr="00813CA7">
        <w:trPr>
          <w:jc w:val="center"/>
        </w:trPr>
        <w:tc>
          <w:tcPr>
            <w:tcW w:w="7465" w:type="dxa"/>
            <w:tcMar>
              <w:left w:w="58" w:type="dxa"/>
              <w:right w:w="29" w:type="dxa"/>
            </w:tcMar>
          </w:tcPr>
          <w:p w14:paraId="521A077F" w14:textId="77777777" w:rsidR="003016C8" w:rsidRDefault="003016C8" w:rsidP="00837E6D">
            <w:r>
              <w:t>Aquaculture Operations</w:t>
            </w:r>
          </w:p>
        </w:tc>
      </w:tr>
      <w:tr w:rsidR="003016C8" w14:paraId="46AB50ED" w14:textId="77777777" w:rsidTr="00813CA7">
        <w:trPr>
          <w:jc w:val="center"/>
        </w:trPr>
        <w:tc>
          <w:tcPr>
            <w:tcW w:w="7465" w:type="dxa"/>
            <w:tcMar>
              <w:left w:w="58" w:type="dxa"/>
              <w:right w:w="29" w:type="dxa"/>
            </w:tcMar>
          </w:tcPr>
          <w:p w14:paraId="16FB6DAD" w14:textId="77777777" w:rsidR="003016C8" w:rsidRDefault="003016C8" w:rsidP="00837E6D">
            <w:r>
              <w:t>Christmas Tree Operations</w:t>
            </w:r>
          </w:p>
        </w:tc>
      </w:tr>
      <w:tr w:rsidR="003016C8" w14:paraId="5028219A" w14:textId="77777777" w:rsidTr="00813CA7">
        <w:trPr>
          <w:jc w:val="center"/>
        </w:trPr>
        <w:tc>
          <w:tcPr>
            <w:tcW w:w="7465" w:type="dxa"/>
            <w:tcMar>
              <w:left w:w="58" w:type="dxa"/>
              <w:right w:w="29" w:type="dxa"/>
            </w:tcMar>
          </w:tcPr>
          <w:p w14:paraId="354C6E16" w14:textId="77777777" w:rsidR="003016C8" w:rsidRDefault="003016C8" w:rsidP="00837E6D">
            <w:r>
              <w:t>Horticulture Operations</w:t>
            </w:r>
          </w:p>
        </w:tc>
      </w:tr>
      <w:tr w:rsidR="003016C8" w14:paraId="79F781B1" w14:textId="77777777" w:rsidTr="00813CA7">
        <w:trPr>
          <w:jc w:val="center"/>
        </w:trPr>
        <w:tc>
          <w:tcPr>
            <w:tcW w:w="7465" w:type="dxa"/>
            <w:tcMar>
              <w:left w:w="58" w:type="dxa"/>
              <w:right w:w="29" w:type="dxa"/>
            </w:tcMar>
          </w:tcPr>
          <w:p w14:paraId="2E9DE218" w14:textId="77777777" w:rsidR="003016C8" w:rsidRDefault="003016C8" w:rsidP="00837E6D">
            <w:r>
              <w:t>Local Foods Operations</w:t>
            </w:r>
          </w:p>
        </w:tc>
      </w:tr>
      <w:tr w:rsidR="003016C8" w14:paraId="0FC68215" w14:textId="77777777" w:rsidTr="00813CA7">
        <w:trPr>
          <w:jc w:val="center"/>
        </w:trPr>
        <w:tc>
          <w:tcPr>
            <w:tcW w:w="7465" w:type="dxa"/>
            <w:tcMar>
              <w:left w:w="58" w:type="dxa"/>
              <w:right w:w="29" w:type="dxa"/>
            </w:tcMar>
          </w:tcPr>
          <w:p w14:paraId="27374E60" w14:textId="77777777" w:rsidR="003016C8" w:rsidRDefault="003016C8" w:rsidP="00837E6D">
            <w:r>
              <w:t>Race – Black Producers</w:t>
            </w:r>
          </w:p>
        </w:tc>
      </w:tr>
      <w:tr w:rsidR="003016C8" w14:paraId="3B8805D5" w14:textId="77777777" w:rsidTr="00813CA7">
        <w:trPr>
          <w:jc w:val="center"/>
        </w:trPr>
        <w:tc>
          <w:tcPr>
            <w:tcW w:w="7465" w:type="dxa"/>
            <w:tcMar>
              <w:left w:w="58" w:type="dxa"/>
              <w:right w:w="29" w:type="dxa"/>
            </w:tcMar>
          </w:tcPr>
          <w:p w14:paraId="4D7924DD" w14:textId="77777777" w:rsidR="003016C8" w:rsidRDefault="003016C8" w:rsidP="00837E6D">
            <w:r>
              <w:t>Race – Asian Producers</w:t>
            </w:r>
          </w:p>
        </w:tc>
      </w:tr>
      <w:tr w:rsidR="003016C8" w14:paraId="015EF330" w14:textId="77777777" w:rsidTr="00813CA7">
        <w:trPr>
          <w:jc w:val="center"/>
        </w:trPr>
        <w:tc>
          <w:tcPr>
            <w:tcW w:w="7465" w:type="dxa"/>
            <w:tcMar>
              <w:left w:w="58" w:type="dxa"/>
              <w:right w:w="29" w:type="dxa"/>
            </w:tcMar>
          </w:tcPr>
          <w:p w14:paraId="6C548428" w14:textId="77777777" w:rsidR="003016C8" w:rsidRDefault="003016C8" w:rsidP="00837E6D">
            <w:r>
              <w:t>Race – Other Non-White Producers</w:t>
            </w:r>
          </w:p>
        </w:tc>
      </w:tr>
      <w:tr w:rsidR="003016C8" w14:paraId="5E8349B3" w14:textId="77777777" w:rsidTr="00813CA7">
        <w:trPr>
          <w:jc w:val="center"/>
        </w:trPr>
        <w:tc>
          <w:tcPr>
            <w:tcW w:w="7465" w:type="dxa"/>
            <w:tcMar>
              <w:left w:w="58" w:type="dxa"/>
              <w:right w:w="29" w:type="dxa"/>
            </w:tcMar>
          </w:tcPr>
          <w:p w14:paraId="32A42745" w14:textId="77777777" w:rsidR="003016C8" w:rsidRDefault="003016C8" w:rsidP="00837E6D">
            <w:r>
              <w:t>Hispanic/Latino/Spanish Producers</w:t>
            </w:r>
          </w:p>
        </w:tc>
      </w:tr>
      <w:tr w:rsidR="003016C8" w14:paraId="281DD782" w14:textId="77777777" w:rsidTr="00813CA7">
        <w:trPr>
          <w:jc w:val="center"/>
        </w:trPr>
        <w:tc>
          <w:tcPr>
            <w:tcW w:w="7465" w:type="dxa"/>
            <w:tcMar>
              <w:left w:w="58" w:type="dxa"/>
              <w:right w:w="29" w:type="dxa"/>
            </w:tcMar>
          </w:tcPr>
          <w:p w14:paraId="702DCCFC" w14:textId="77777777" w:rsidR="003016C8" w:rsidRDefault="003016C8" w:rsidP="00837E6D">
            <w:r>
              <w:t>Age – Producers &lt;= 35 Years Old</w:t>
            </w:r>
          </w:p>
        </w:tc>
      </w:tr>
      <w:tr w:rsidR="003016C8" w14:paraId="317B5A86" w14:textId="77777777" w:rsidTr="00813CA7">
        <w:trPr>
          <w:jc w:val="center"/>
        </w:trPr>
        <w:tc>
          <w:tcPr>
            <w:tcW w:w="7465" w:type="dxa"/>
            <w:tcBorders>
              <w:bottom w:val="single" w:sz="4" w:space="0" w:color="auto"/>
            </w:tcBorders>
            <w:tcMar>
              <w:left w:w="58" w:type="dxa"/>
              <w:right w:w="29" w:type="dxa"/>
            </w:tcMar>
          </w:tcPr>
          <w:p w14:paraId="1BE168BA" w14:textId="77777777" w:rsidR="003016C8" w:rsidRDefault="003016C8" w:rsidP="00837E6D">
            <w:r>
              <w:t>Sex – Female Producers</w:t>
            </w:r>
          </w:p>
        </w:tc>
      </w:tr>
      <w:tr w:rsidR="00D063E4" w14:paraId="3085316B" w14:textId="77777777" w:rsidTr="00012F9D">
        <w:trPr>
          <w:jc w:val="center"/>
        </w:trPr>
        <w:tc>
          <w:tcPr>
            <w:tcW w:w="7465" w:type="dxa"/>
            <w:tcBorders>
              <w:left w:val="nil"/>
              <w:bottom w:val="nil"/>
              <w:right w:val="nil"/>
            </w:tcBorders>
            <w:tcMar>
              <w:left w:w="29" w:type="dxa"/>
              <w:right w:w="29" w:type="dxa"/>
            </w:tcMar>
          </w:tcPr>
          <w:p w14:paraId="67EE000F" w14:textId="7783BC06" w:rsidR="00D60AA7" w:rsidRPr="00D063E4" w:rsidRDefault="00D063E4" w:rsidP="00837E6D">
            <w:pPr>
              <w:rPr>
                <w:sz w:val="16"/>
                <w:szCs w:val="16"/>
              </w:rPr>
            </w:pPr>
            <w:r>
              <w:rPr>
                <w:sz w:val="16"/>
                <w:szCs w:val="16"/>
              </w:rPr>
              <w:t xml:space="preserve">1/ </w:t>
            </w:r>
            <w:r w:rsidR="007B771F">
              <w:rPr>
                <w:sz w:val="16"/>
                <w:szCs w:val="16"/>
              </w:rPr>
              <w:t>These items/characteristics are known to have low-coverage in past Censuses of Agriculture and/or will be used to identify samples for future Census of Agriculture follow-on studies.</w:t>
            </w:r>
          </w:p>
        </w:tc>
      </w:tr>
    </w:tbl>
    <w:p w14:paraId="00C593EA" w14:textId="2905B149" w:rsidR="003016C8" w:rsidRDefault="003016C8" w:rsidP="00837E6D"/>
    <w:p w14:paraId="6E8E2008" w14:textId="63814438" w:rsidR="00F241A4" w:rsidRDefault="00C217C3" w:rsidP="00BB2F5E">
      <w:pPr>
        <w:spacing w:after="240"/>
      </w:pPr>
      <w:r>
        <w:t xml:space="preserve">NASS will make </w:t>
      </w:r>
      <w:r w:rsidR="004C4FD4">
        <w:t>non-response calls</w:t>
      </w:r>
      <w:r>
        <w:t xml:space="preserve"> </w:t>
      </w:r>
      <w:r w:rsidR="004C4FD4">
        <w:t>(or limited in-person interviews</w:t>
      </w:r>
      <w:r w:rsidR="006E5CC8">
        <w:rPr>
          <w:rStyle w:val="FootnoteReference"/>
        </w:rPr>
        <w:footnoteReference w:id="3"/>
      </w:r>
      <w:r w:rsidR="004C4FD4">
        <w:t xml:space="preserve">) </w:t>
      </w:r>
      <w:r>
        <w:t xml:space="preserve">to an estimated </w:t>
      </w:r>
      <w:r w:rsidR="00B138A9" w:rsidRPr="00011877">
        <w:t>2</w:t>
      </w:r>
      <w:r w:rsidR="000A5BE0" w:rsidRPr="00011877">
        <w:t>00,000</w:t>
      </w:r>
      <w:r w:rsidRPr="00011877">
        <w:t xml:space="preserve"> Census</w:t>
      </w:r>
      <w:r>
        <w:t xml:space="preserve"> of Agriculture non-respondents.  </w:t>
      </w:r>
      <w:r w:rsidR="00F241A4">
        <w:t>In the original OMB approval</w:t>
      </w:r>
      <w:r w:rsidR="003B02A8">
        <w:t>, NASS was</w:t>
      </w:r>
      <w:r w:rsidR="00F241A4">
        <w:t xml:space="preserve"> approved to attempt 653,095 surveys by phone enumeration and 98,750 b</w:t>
      </w:r>
      <w:r w:rsidR="003B02A8">
        <w:t>y personal visit,</w:t>
      </w:r>
      <w:r w:rsidR="00F241A4">
        <w:t xml:space="preserve"> if funding and time permit.</w:t>
      </w:r>
      <w:r w:rsidR="006E1908">
        <w:t xml:space="preserve">  These 200,000 non-respondents, together with the follow-up attempts already planned (and covered by the original clearance) will not exceed the </w:t>
      </w:r>
      <w:r w:rsidR="00F73D1D">
        <w:t>follow-up attempts</w:t>
      </w:r>
      <w:r w:rsidR="006E1908">
        <w:t xml:space="preserve"> (and burden) in the original approval.</w:t>
      </w:r>
    </w:p>
    <w:sectPr w:rsidR="00F241A4" w:rsidSect="00364C7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DB08" w14:textId="77777777" w:rsidR="00525E35" w:rsidRDefault="00525E35" w:rsidP="008C26A3">
      <w:pPr>
        <w:spacing w:after="0"/>
      </w:pPr>
      <w:r>
        <w:separator/>
      </w:r>
    </w:p>
  </w:endnote>
  <w:endnote w:type="continuationSeparator" w:id="0">
    <w:p w14:paraId="763EBDFD" w14:textId="77777777" w:rsidR="00525E35" w:rsidRDefault="00525E35" w:rsidP="008C2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C0CFD" w14:textId="77777777" w:rsidR="00525E35" w:rsidRDefault="00525E35" w:rsidP="008C26A3">
      <w:pPr>
        <w:spacing w:after="0"/>
      </w:pPr>
      <w:r>
        <w:separator/>
      </w:r>
    </w:p>
  </w:footnote>
  <w:footnote w:type="continuationSeparator" w:id="0">
    <w:p w14:paraId="04B3C16D" w14:textId="77777777" w:rsidR="00525E35" w:rsidRDefault="00525E35" w:rsidP="008C26A3">
      <w:pPr>
        <w:spacing w:after="0"/>
      </w:pPr>
      <w:r>
        <w:continuationSeparator/>
      </w:r>
    </w:p>
  </w:footnote>
  <w:footnote w:id="1">
    <w:p w14:paraId="51B74C3C" w14:textId="2E121B2A" w:rsidR="00525E35" w:rsidRDefault="00525E35">
      <w:pPr>
        <w:pStyle w:val="FootnoteText"/>
      </w:pPr>
      <w:r>
        <w:rPr>
          <w:rStyle w:val="FootnoteReference"/>
        </w:rPr>
        <w:footnoteRef/>
      </w:r>
      <w:r>
        <w:t xml:space="preserve"> For each Census of Agriculture non-respondent who NASS has contacted in the past for censuses and/or sample surveys, NASS creates a response propensity based </w:t>
      </w:r>
      <w:r w:rsidRPr="008C26A3">
        <w:t xml:space="preserve">on previous </w:t>
      </w:r>
      <w:r>
        <w:t xml:space="preserve">NASS </w:t>
      </w:r>
      <w:r w:rsidRPr="008C26A3">
        <w:t>contact</w:t>
      </w:r>
      <w:r>
        <w:t>s</w:t>
      </w:r>
      <w:r w:rsidRPr="008C26A3">
        <w:t>.</w:t>
      </w:r>
      <w:r>
        <w:t xml:space="preserve"> These non-respondents are not part of this non-substantive change because NASS already planned to contact them by telephone interview in the original clearance (OMB Control Number 0535-0226).  </w:t>
      </w:r>
    </w:p>
  </w:footnote>
  <w:footnote w:id="2">
    <w:p w14:paraId="4DF049D0" w14:textId="0A8A2E15" w:rsidR="00AD4E39" w:rsidRDefault="00AD4E39">
      <w:pPr>
        <w:pStyle w:val="FootnoteText"/>
      </w:pPr>
      <w:r>
        <w:rPr>
          <w:rStyle w:val="FootnoteReference"/>
        </w:rPr>
        <w:footnoteRef/>
      </w:r>
      <w:r>
        <w:t xml:space="preserve"> Using a telephone auto-dialer, NASS will provide a message that explains NASS has not yet received the recipient’s 2017 Census of Agriculture (which is required by law) and encourages the person who answers the telephone to respond either on the web or by returning the paper questionnaire NASS previously sent.  The auto-dialer will leave a message if an answering machine is reached.  Use of an auto-dialer to encourage completing the Census of Agriculture was included in the original clearance (OMB Control Number 0535-0226).</w:t>
      </w:r>
    </w:p>
  </w:footnote>
  <w:footnote w:id="3">
    <w:p w14:paraId="7EF43454" w14:textId="4E90E053" w:rsidR="006E5CC8" w:rsidRDefault="006E5CC8">
      <w:pPr>
        <w:pStyle w:val="FootnoteText"/>
      </w:pPr>
      <w:r>
        <w:rPr>
          <w:rStyle w:val="FootnoteReference"/>
        </w:rPr>
        <w:footnoteRef/>
      </w:r>
      <w:r>
        <w:t xml:space="preserve"> In-person interviews will be limited to </w:t>
      </w:r>
      <w:r w:rsidR="00382366">
        <w:t>larger and more complex operations</w:t>
      </w:r>
      <w:r>
        <w:t xml:space="preserve">.  The total number of in-person interviews NASS will conduct for the 2017 Census of Agriculture will not exceed the number </w:t>
      </w:r>
      <w:r w:rsidRPr="006E5CC8">
        <w:t>in the original clearance (OMB Control Number 0535-0226).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CE"/>
    <w:rsid w:val="00001897"/>
    <w:rsid w:val="00011877"/>
    <w:rsid w:val="00012F9D"/>
    <w:rsid w:val="00071FC7"/>
    <w:rsid w:val="00072398"/>
    <w:rsid w:val="00097ECB"/>
    <w:rsid w:val="000A5BE0"/>
    <w:rsid w:val="000B0B19"/>
    <w:rsid w:val="0016793C"/>
    <w:rsid w:val="001D7BD9"/>
    <w:rsid w:val="00272694"/>
    <w:rsid w:val="00294EE9"/>
    <w:rsid w:val="002975FE"/>
    <w:rsid w:val="002A0888"/>
    <w:rsid w:val="002A15D7"/>
    <w:rsid w:val="002C0079"/>
    <w:rsid w:val="002D186F"/>
    <w:rsid w:val="003016C8"/>
    <w:rsid w:val="00306DA5"/>
    <w:rsid w:val="00324376"/>
    <w:rsid w:val="00335A4A"/>
    <w:rsid w:val="003532EB"/>
    <w:rsid w:val="00364C7F"/>
    <w:rsid w:val="0036795F"/>
    <w:rsid w:val="00376979"/>
    <w:rsid w:val="00382366"/>
    <w:rsid w:val="003A5D51"/>
    <w:rsid w:val="003B02A8"/>
    <w:rsid w:val="003E02BD"/>
    <w:rsid w:val="00405596"/>
    <w:rsid w:val="00420472"/>
    <w:rsid w:val="004437CE"/>
    <w:rsid w:val="0046505C"/>
    <w:rsid w:val="004C28EA"/>
    <w:rsid w:val="004C4FD4"/>
    <w:rsid w:val="004D7B9B"/>
    <w:rsid w:val="00525E35"/>
    <w:rsid w:val="00544C83"/>
    <w:rsid w:val="00605C86"/>
    <w:rsid w:val="006E1908"/>
    <w:rsid w:val="006E4546"/>
    <w:rsid w:val="006E5CC8"/>
    <w:rsid w:val="00700CC3"/>
    <w:rsid w:val="0072208C"/>
    <w:rsid w:val="00726977"/>
    <w:rsid w:val="007854E2"/>
    <w:rsid w:val="00787FA5"/>
    <w:rsid w:val="007A71FF"/>
    <w:rsid w:val="007B30C9"/>
    <w:rsid w:val="007B771F"/>
    <w:rsid w:val="007E4D9A"/>
    <w:rsid w:val="00813CA7"/>
    <w:rsid w:val="00824315"/>
    <w:rsid w:val="008259DC"/>
    <w:rsid w:val="00837E6D"/>
    <w:rsid w:val="00851BE8"/>
    <w:rsid w:val="00865028"/>
    <w:rsid w:val="008B2711"/>
    <w:rsid w:val="008C26A3"/>
    <w:rsid w:val="008F4942"/>
    <w:rsid w:val="00905179"/>
    <w:rsid w:val="00957634"/>
    <w:rsid w:val="0099162A"/>
    <w:rsid w:val="009E473F"/>
    <w:rsid w:val="00A035ED"/>
    <w:rsid w:val="00A66E36"/>
    <w:rsid w:val="00A7035E"/>
    <w:rsid w:val="00A73F62"/>
    <w:rsid w:val="00A8501F"/>
    <w:rsid w:val="00AD4E39"/>
    <w:rsid w:val="00B138A9"/>
    <w:rsid w:val="00B53F17"/>
    <w:rsid w:val="00B5673A"/>
    <w:rsid w:val="00BB1574"/>
    <w:rsid w:val="00BB2F5E"/>
    <w:rsid w:val="00BD6051"/>
    <w:rsid w:val="00C217C3"/>
    <w:rsid w:val="00C31B97"/>
    <w:rsid w:val="00D05917"/>
    <w:rsid w:val="00D063E4"/>
    <w:rsid w:val="00D16A5A"/>
    <w:rsid w:val="00D26308"/>
    <w:rsid w:val="00D60AA7"/>
    <w:rsid w:val="00E06AD4"/>
    <w:rsid w:val="00E73506"/>
    <w:rsid w:val="00E75F57"/>
    <w:rsid w:val="00EA4B3C"/>
    <w:rsid w:val="00EA7934"/>
    <w:rsid w:val="00EA7C0A"/>
    <w:rsid w:val="00F241A4"/>
    <w:rsid w:val="00F5442B"/>
    <w:rsid w:val="00F73D1D"/>
    <w:rsid w:val="00FA583E"/>
    <w:rsid w:val="00FC748B"/>
    <w:rsid w:val="00FD48C2"/>
    <w:rsid w:val="00FE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1F"/>
    <w:rPr>
      <w:color w:val="0563C1" w:themeColor="hyperlink"/>
      <w:u w:val="single"/>
    </w:rPr>
  </w:style>
  <w:style w:type="character" w:styleId="FollowedHyperlink">
    <w:name w:val="FollowedHyperlink"/>
    <w:basedOn w:val="DefaultParagraphFont"/>
    <w:uiPriority w:val="99"/>
    <w:semiHidden/>
    <w:unhideWhenUsed/>
    <w:rsid w:val="00FD48C2"/>
    <w:rPr>
      <w:color w:val="954F72" w:themeColor="followedHyperlink"/>
      <w:u w:val="single"/>
    </w:rPr>
  </w:style>
  <w:style w:type="paragraph" w:styleId="FootnoteText">
    <w:name w:val="footnote text"/>
    <w:basedOn w:val="Normal"/>
    <w:link w:val="FootnoteTextChar"/>
    <w:uiPriority w:val="99"/>
    <w:semiHidden/>
    <w:unhideWhenUsed/>
    <w:rsid w:val="008C26A3"/>
    <w:pPr>
      <w:spacing w:after="0"/>
    </w:pPr>
    <w:rPr>
      <w:sz w:val="20"/>
      <w:szCs w:val="20"/>
    </w:rPr>
  </w:style>
  <w:style w:type="character" w:customStyle="1" w:styleId="FootnoteTextChar">
    <w:name w:val="Footnote Text Char"/>
    <w:basedOn w:val="DefaultParagraphFont"/>
    <w:link w:val="FootnoteText"/>
    <w:uiPriority w:val="99"/>
    <w:semiHidden/>
    <w:rsid w:val="008C26A3"/>
    <w:rPr>
      <w:sz w:val="20"/>
      <w:szCs w:val="20"/>
    </w:rPr>
  </w:style>
  <w:style w:type="character" w:styleId="FootnoteReference">
    <w:name w:val="footnote reference"/>
    <w:basedOn w:val="DefaultParagraphFont"/>
    <w:uiPriority w:val="99"/>
    <w:semiHidden/>
    <w:unhideWhenUsed/>
    <w:rsid w:val="008C26A3"/>
    <w:rPr>
      <w:vertAlign w:val="superscript"/>
    </w:rPr>
  </w:style>
  <w:style w:type="table" w:styleId="TableGrid">
    <w:name w:val="Table Grid"/>
    <w:basedOn w:val="TableNormal"/>
    <w:uiPriority w:val="39"/>
    <w:rsid w:val="003016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917"/>
    <w:rPr>
      <w:sz w:val="16"/>
      <w:szCs w:val="16"/>
    </w:rPr>
  </w:style>
  <w:style w:type="paragraph" w:styleId="CommentText">
    <w:name w:val="annotation text"/>
    <w:basedOn w:val="Normal"/>
    <w:link w:val="CommentTextChar"/>
    <w:uiPriority w:val="99"/>
    <w:semiHidden/>
    <w:unhideWhenUsed/>
    <w:rsid w:val="00D05917"/>
    <w:rPr>
      <w:sz w:val="20"/>
      <w:szCs w:val="20"/>
    </w:rPr>
  </w:style>
  <w:style w:type="character" w:customStyle="1" w:styleId="CommentTextChar">
    <w:name w:val="Comment Text Char"/>
    <w:basedOn w:val="DefaultParagraphFont"/>
    <w:link w:val="CommentText"/>
    <w:uiPriority w:val="99"/>
    <w:semiHidden/>
    <w:rsid w:val="00D05917"/>
    <w:rPr>
      <w:sz w:val="20"/>
      <w:szCs w:val="20"/>
    </w:rPr>
  </w:style>
  <w:style w:type="paragraph" w:styleId="CommentSubject">
    <w:name w:val="annotation subject"/>
    <w:basedOn w:val="CommentText"/>
    <w:next w:val="CommentText"/>
    <w:link w:val="CommentSubjectChar"/>
    <w:uiPriority w:val="99"/>
    <w:semiHidden/>
    <w:unhideWhenUsed/>
    <w:rsid w:val="00D05917"/>
    <w:rPr>
      <w:b/>
      <w:bCs/>
    </w:rPr>
  </w:style>
  <w:style w:type="character" w:customStyle="1" w:styleId="CommentSubjectChar">
    <w:name w:val="Comment Subject Char"/>
    <w:basedOn w:val="CommentTextChar"/>
    <w:link w:val="CommentSubject"/>
    <w:uiPriority w:val="99"/>
    <w:semiHidden/>
    <w:rsid w:val="00D05917"/>
    <w:rPr>
      <w:b/>
      <w:bCs/>
      <w:sz w:val="20"/>
      <w:szCs w:val="20"/>
    </w:rPr>
  </w:style>
  <w:style w:type="paragraph" w:styleId="BalloonText">
    <w:name w:val="Balloon Text"/>
    <w:basedOn w:val="Normal"/>
    <w:link w:val="BalloonTextChar"/>
    <w:uiPriority w:val="99"/>
    <w:semiHidden/>
    <w:unhideWhenUsed/>
    <w:rsid w:val="00D059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1F"/>
    <w:rPr>
      <w:color w:val="0563C1" w:themeColor="hyperlink"/>
      <w:u w:val="single"/>
    </w:rPr>
  </w:style>
  <w:style w:type="character" w:styleId="FollowedHyperlink">
    <w:name w:val="FollowedHyperlink"/>
    <w:basedOn w:val="DefaultParagraphFont"/>
    <w:uiPriority w:val="99"/>
    <w:semiHidden/>
    <w:unhideWhenUsed/>
    <w:rsid w:val="00FD48C2"/>
    <w:rPr>
      <w:color w:val="954F72" w:themeColor="followedHyperlink"/>
      <w:u w:val="single"/>
    </w:rPr>
  </w:style>
  <w:style w:type="paragraph" w:styleId="FootnoteText">
    <w:name w:val="footnote text"/>
    <w:basedOn w:val="Normal"/>
    <w:link w:val="FootnoteTextChar"/>
    <w:uiPriority w:val="99"/>
    <w:semiHidden/>
    <w:unhideWhenUsed/>
    <w:rsid w:val="008C26A3"/>
    <w:pPr>
      <w:spacing w:after="0"/>
    </w:pPr>
    <w:rPr>
      <w:sz w:val="20"/>
      <w:szCs w:val="20"/>
    </w:rPr>
  </w:style>
  <w:style w:type="character" w:customStyle="1" w:styleId="FootnoteTextChar">
    <w:name w:val="Footnote Text Char"/>
    <w:basedOn w:val="DefaultParagraphFont"/>
    <w:link w:val="FootnoteText"/>
    <w:uiPriority w:val="99"/>
    <w:semiHidden/>
    <w:rsid w:val="008C26A3"/>
    <w:rPr>
      <w:sz w:val="20"/>
      <w:szCs w:val="20"/>
    </w:rPr>
  </w:style>
  <w:style w:type="character" w:styleId="FootnoteReference">
    <w:name w:val="footnote reference"/>
    <w:basedOn w:val="DefaultParagraphFont"/>
    <w:uiPriority w:val="99"/>
    <w:semiHidden/>
    <w:unhideWhenUsed/>
    <w:rsid w:val="008C26A3"/>
    <w:rPr>
      <w:vertAlign w:val="superscript"/>
    </w:rPr>
  </w:style>
  <w:style w:type="table" w:styleId="TableGrid">
    <w:name w:val="Table Grid"/>
    <w:basedOn w:val="TableNormal"/>
    <w:uiPriority w:val="39"/>
    <w:rsid w:val="003016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917"/>
    <w:rPr>
      <w:sz w:val="16"/>
      <w:szCs w:val="16"/>
    </w:rPr>
  </w:style>
  <w:style w:type="paragraph" w:styleId="CommentText">
    <w:name w:val="annotation text"/>
    <w:basedOn w:val="Normal"/>
    <w:link w:val="CommentTextChar"/>
    <w:uiPriority w:val="99"/>
    <w:semiHidden/>
    <w:unhideWhenUsed/>
    <w:rsid w:val="00D05917"/>
    <w:rPr>
      <w:sz w:val="20"/>
      <w:szCs w:val="20"/>
    </w:rPr>
  </w:style>
  <w:style w:type="character" w:customStyle="1" w:styleId="CommentTextChar">
    <w:name w:val="Comment Text Char"/>
    <w:basedOn w:val="DefaultParagraphFont"/>
    <w:link w:val="CommentText"/>
    <w:uiPriority w:val="99"/>
    <w:semiHidden/>
    <w:rsid w:val="00D05917"/>
    <w:rPr>
      <w:sz w:val="20"/>
      <w:szCs w:val="20"/>
    </w:rPr>
  </w:style>
  <w:style w:type="paragraph" w:styleId="CommentSubject">
    <w:name w:val="annotation subject"/>
    <w:basedOn w:val="CommentText"/>
    <w:next w:val="CommentText"/>
    <w:link w:val="CommentSubjectChar"/>
    <w:uiPriority w:val="99"/>
    <w:semiHidden/>
    <w:unhideWhenUsed/>
    <w:rsid w:val="00D05917"/>
    <w:rPr>
      <w:b/>
      <w:bCs/>
    </w:rPr>
  </w:style>
  <w:style w:type="character" w:customStyle="1" w:styleId="CommentSubjectChar">
    <w:name w:val="Comment Subject Char"/>
    <w:basedOn w:val="CommentTextChar"/>
    <w:link w:val="CommentSubject"/>
    <w:uiPriority w:val="99"/>
    <w:semiHidden/>
    <w:rsid w:val="00D05917"/>
    <w:rPr>
      <w:b/>
      <w:bCs/>
      <w:sz w:val="20"/>
      <w:szCs w:val="20"/>
    </w:rPr>
  </w:style>
  <w:style w:type="paragraph" w:styleId="BalloonText">
    <w:name w:val="Balloon Text"/>
    <w:basedOn w:val="Normal"/>
    <w:link w:val="BalloonTextChar"/>
    <w:uiPriority w:val="99"/>
    <w:semiHidden/>
    <w:unhideWhenUsed/>
    <w:rsid w:val="00D059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EC30-0418-409E-93E0-52EB0686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Beckler, Dan - NASS</dc:creator>
  <cp:keywords/>
  <dc:description/>
  <cp:lastModifiedBy>SYSTEM</cp:lastModifiedBy>
  <cp:revision>2</cp:revision>
  <dcterms:created xsi:type="dcterms:W3CDTF">2018-04-09T17:38:00Z</dcterms:created>
  <dcterms:modified xsi:type="dcterms:W3CDTF">2018-04-09T17:38:00Z</dcterms:modified>
</cp:coreProperties>
</file>