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F3" w:rsidRPr="00464FE3" w:rsidRDefault="00695EAF" w:rsidP="00695EAF">
      <w:pPr>
        <w:pStyle w:val="ListParagraph"/>
        <w:numPr>
          <w:ilvl w:val="0"/>
          <w:numId w:val="1"/>
        </w:numPr>
        <w:rPr>
          <w:b/>
        </w:rPr>
      </w:pPr>
      <w:bookmarkStart w:id="0" w:name="_GoBack"/>
      <w:bookmarkEnd w:id="0"/>
      <w:r w:rsidRPr="00464FE3">
        <w:rPr>
          <w:b/>
        </w:rPr>
        <w:t xml:space="preserve">Justification </w:t>
      </w:r>
    </w:p>
    <w:p w:rsidR="00DB3D2F" w:rsidRPr="00DB3D2F" w:rsidRDefault="00695EAF" w:rsidP="00DB3D2F">
      <w:pPr>
        <w:pStyle w:val="ListParagraph"/>
        <w:numPr>
          <w:ilvl w:val="1"/>
          <w:numId w:val="1"/>
        </w:numPr>
        <w:rPr>
          <w:i/>
          <w:color w:val="44546A" w:themeColor="text2"/>
        </w:rPr>
      </w:pPr>
      <w:r>
        <w:t xml:space="preserve">One method through which the Overseas Private Investment Corporation </w:t>
      </w:r>
      <w:r w:rsidR="00E4090F">
        <w:t>executes its mission is through t</w:t>
      </w:r>
      <w:r>
        <w:t>he Investment Fund</w:t>
      </w:r>
      <w:r w:rsidR="009C516A">
        <w:t>s</w:t>
      </w:r>
      <w:r>
        <w:t xml:space="preserve"> </w:t>
      </w:r>
      <w:r w:rsidR="009C516A">
        <w:t xml:space="preserve">Department </w:t>
      </w:r>
      <w:r>
        <w:t>(“IFD”)</w:t>
      </w:r>
      <w:r w:rsidR="00E4090F">
        <w:t xml:space="preserve">, </w:t>
      </w:r>
      <w:r w:rsidR="009C516A">
        <w:t xml:space="preserve">whereby  capital is allocated to private equity fund managers (“Managers”) who in-turn invest </w:t>
      </w:r>
      <w:r w:rsidR="00CD6DEB">
        <w:t xml:space="preserve">that capital </w:t>
      </w:r>
      <w:r w:rsidR="009C516A">
        <w:t>in</w:t>
      </w:r>
      <w:r w:rsidR="00CD6DEB">
        <w:t>to</w:t>
      </w:r>
      <w:r w:rsidR="009C516A">
        <w:t xml:space="preserve"> companies or projects that align with OPIC’s mission. IFD selects Managers through a </w:t>
      </w:r>
      <w:r w:rsidR="00902EF3">
        <w:t xml:space="preserve">quarterly </w:t>
      </w:r>
      <w:r>
        <w:t>call for proposals (the “Call”)</w:t>
      </w:r>
      <w:r w:rsidR="00F03E03">
        <w:t xml:space="preserve"> and through the quarterly IFIP (Innovative Financial Intermediaries Program)</w:t>
      </w:r>
      <w:r w:rsidR="009C516A">
        <w:t>. To select Manager(s)</w:t>
      </w:r>
      <w:r w:rsidR="00CD6DEB">
        <w:t>,</w:t>
      </w:r>
      <w:r w:rsidR="009C516A">
        <w:t xml:space="preserve"> IFD will assess </w:t>
      </w:r>
      <w:r w:rsidR="00CD6DEB">
        <w:t xml:space="preserve">each Manager and its respective investment thesis against a set of varying </w:t>
      </w:r>
      <w:r w:rsidR="009C516A">
        <w:t xml:space="preserve">criteria that </w:t>
      </w:r>
      <w:r w:rsidR="00CD6DEB">
        <w:t xml:space="preserve">will </w:t>
      </w:r>
      <w:r w:rsidR="009C516A">
        <w:t xml:space="preserve">include (inter-alia) </w:t>
      </w:r>
      <w:r w:rsidR="00DB3D2F">
        <w:t xml:space="preserve">(i) alignment </w:t>
      </w:r>
      <w:r w:rsidR="00CD6DEB">
        <w:t xml:space="preserve">to </w:t>
      </w:r>
      <w:r w:rsidR="00DB3D2F">
        <w:t xml:space="preserve">OPIC’s mission, (ii) </w:t>
      </w:r>
      <w:r w:rsidR="00CD6DEB">
        <w:t>t</w:t>
      </w:r>
      <w:r w:rsidR="009C516A">
        <w:t xml:space="preserve">eam </w:t>
      </w:r>
      <w:r w:rsidR="00CD6DEB">
        <w:t>c</w:t>
      </w:r>
      <w:r w:rsidR="009C516A">
        <w:t>ohesion</w:t>
      </w:r>
      <w:r w:rsidR="00DB3D2F">
        <w:t xml:space="preserve">, (iii) </w:t>
      </w:r>
      <w:r w:rsidR="00CD6DEB">
        <w:t xml:space="preserve">historical </w:t>
      </w:r>
      <w:r w:rsidR="00DB3D2F">
        <w:t>track record</w:t>
      </w:r>
      <w:r w:rsidR="00CD6DEB">
        <w:t>,</w:t>
      </w:r>
      <w:r w:rsidR="00DB3D2F">
        <w:t xml:space="preserve"> and (iv) credibility of investment thesis; </w:t>
      </w:r>
      <w:r w:rsidR="00CD6DEB">
        <w:t xml:space="preserve">the Funds Questionnaire will allow </w:t>
      </w:r>
      <w:r w:rsidR="00DB3D2F">
        <w:t xml:space="preserve">IFD to assess how well a given Manager adheres to this and other criteria. Authorization for the collection of this information is granted through </w:t>
      </w:r>
      <w:r w:rsidR="00DB3D2F" w:rsidRPr="00DB3D2F">
        <w:t>Sections 231, 234(b), and 239(d) of the Foreign Assistance Act of 1961, as amended</w:t>
      </w:r>
      <w:r w:rsidR="005D5A4F">
        <w:t>.</w:t>
      </w:r>
    </w:p>
    <w:p w:rsidR="00695EAF" w:rsidRPr="0007479D" w:rsidRDefault="00DB3D2F" w:rsidP="003C778F">
      <w:pPr>
        <w:pStyle w:val="ListParagraph"/>
        <w:numPr>
          <w:ilvl w:val="1"/>
          <w:numId w:val="1"/>
        </w:numPr>
        <w:rPr>
          <w:i/>
          <w:color w:val="44546A" w:themeColor="text2"/>
        </w:rPr>
      </w:pPr>
      <w:r w:rsidRPr="00DB3D2F">
        <w:t xml:space="preserve">The information </w:t>
      </w:r>
      <w:r w:rsidR="00F03E03">
        <w:t>is</w:t>
      </w:r>
      <w:r w:rsidRPr="00DB3D2F">
        <w:t xml:space="preserve"> collected </w:t>
      </w:r>
      <w:r>
        <w:t xml:space="preserve">by OPIC’s Investment Funds Department through a web based platform </w:t>
      </w:r>
      <w:r w:rsidR="00CD6DEB">
        <w:t xml:space="preserve">administered through </w:t>
      </w:r>
      <w:r>
        <w:t>OPIC’s website</w:t>
      </w:r>
      <w:r w:rsidR="00022C39">
        <w:t>, and</w:t>
      </w:r>
      <w:r>
        <w:t xml:space="preserve"> </w:t>
      </w:r>
      <w:r w:rsidR="00022C39">
        <w:t>t</w:t>
      </w:r>
      <w:r>
        <w:t xml:space="preserve">he information </w:t>
      </w:r>
      <w:r w:rsidR="00F03E03">
        <w:t>is</w:t>
      </w:r>
      <w:r w:rsidR="00CD6DEB">
        <w:t xml:space="preserve"> used by </w:t>
      </w:r>
      <w:r>
        <w:t xml:space="preserve">IFD </w:t>
      </w:r>
      <w:r w:rsidR="003C778F" w:rsidRPr="003C778F">
        <w:t xml:space="preserve">to determine </w:t>
      </w:r>
      <w:r w:rsidR="002A0ACA">
        <w:t>a Manager’s</w:t>
      </w:r>
      <w:r w:rsidR="003C778F" w:rsidRPr="003C778F">
        <w:t xml:space="preserve"> eligibility for OPIC </w:t>
      </w:r>
      <w:r w:rsidR="002A0ACA">
        <w:t>financing</w:t>
      </w:r>
      <w:r w:rsidR="003C778F" w:rsidRPr="003C778F">
        <w:t>, and to collect information for financial underwriting analysis</w:t>
      </w:r>
      <w:r w:rsidR="002A0ACA">
        <w:t>.</w:t>
      </w:r>
      <w:r w:rsidR="00CD6DEB">
        <w:t xml:space="preserve"> </w:t>
      </w:r>
    </w:p>
    <w:p w:rsidR="0007479D" w:rsidRPr="0007479D" w:rsidRDefault="0007479D" w:rsidP="0007479D">
      <w:pPr>
        <w:pStyle w:val="ListParagraph"/>
        <w:numPr>
          <w:ilvl w:val="1"/>
          <w:numId w:val="1"/>
        </w:numPr>
        <w:rPr>
          <w:i/>
          <w:color w:val="44546A" w:themeColor="text2"/>
        </w:rPr>
      </w:pPr>
      <w:r>
        <w:t xml:space="preserve">The information will be submitted and collected through a web based platform that will function on the OPIC website; all applications will thereafter be converted into a downloadable excel file, which will allow for easier data manipulation and analysis. Considering IFD anticipates approximately </w:t>
      </w:r>
      <w:r w:rsidR="00F03E03">
        <w:t xml:space="preserve">150 </w:t>
      </w:r>
      <w:r>
        <w:t xml:space="preserve">applications per year, this web-based platform represents a more efficient means of data and process management. </w:t>
      </w:r>
    </w:p>
    <w:p w:rsidR="0007479D" w:rsidRPr="0011680F" w:rsidRDefault="0007479D" w:rsidP="0007479D">
      <w:pPr>
        <w:pStyle w:val="ListParagraph"/>
        <w:numPr>
          <w:ilvl w:val="1"/>
          <w:numId w:val="1"/>
        </w:numPr>
        <w:rPr>
          <w:i/>
        </w:rPr>
      </w:pPr>
      <w:r>
        <w:rPr>
          <w:color w:val="44546A" w:themeColor="text2"/>
        </w:rPr>
        <w:t xml:space="preserve"> </w:t>
      </w:r>
      <w:r w:rsidRPr="00E333A5">
        <w:t xml:space="preserve">There will be </w:t>
      </w:r>
      <w:r w:rsidR="00E333A5" w:rsidRPr="00E333A5">
        <w:t>limited</w:t>
      </w:r>
      <w:r w:rsidRPr="00E333A5">
        <w:t xml:space="preserve"> duplication of data as a result of the administration of this Fund Questionnaire. </w:t>
      </w:r>
      <w:r w:rsidR="003A529E">
        <w:t>L</w:t>
      </w:r>
      <w:r w:rsidR="004B158F">
        <w:t xml:space="preserve">imited </w:t>
      </w:r>
      <w:r w:rsidRPr="0011680F">
        <w:t xml:space="preserve">information </w:t>
      </w:r>
      <w:r w:rsidR="003A529E">
        <w:t xml:space="preserve">that is </w:t>
      </w:r>
      <w:r w:rsidRPr="0011680F">
        <w:t xml:space="preserve">asked of a given Manager can be obtained through other repositories (e.g. private placement memorandums); however, </w:t>
      </w:r>
      <w:r w:rsidR="004B158F">
        <w:t xml:space="preserve">this particular information </w:t>
      </w:r>
      <w:r w:rsidR="003A529E">
        <w:t>will likely not be presented in a uniform manner,</w:t>
      </w:r>
      <w:r w:rsidR="004B158F">
        <w:t xml:space="preserve"> </w:t>
      </w:r>
      <w:r w:rsidR="003A529E">
        <w:t xml:space="preserve">and considering we anticipate </w:t>
      </w:r>
      <w:r w:rsidR="00F03E03">
        <w:t xml:space="preserve">150 </w:t>
      </w:r>
      <w:r w:rsidR="004B158F">
        <w:t>applications</w:t>
      </w:r>
      <w:r w:rsidR="003A529E">
        <w:t>,</w:t>
      </w:r>
      <w:r w:rsidR="004B158F">
        <w:t xml:space="preserve"> will prove difficult for OPIC to efficiently synthesize</w:t>
      </w:r>
      <w:r w:rsidR="003A529E">
        <w:t xml:space="preserve"> and analyze</w:t>
      </w:r>
      <w:r w:rsidR="004B158F">
        <w:t xml:space="preserve">. </w:t>
      </w:r>
      <w:r w:rsidR="003A529E">
        <w:t xml:space="preserve">To mitigate this limited potential for duplication, this form has been crafted </w:t>
      </w:r>
      <w:r w:rsidR="00E333A5">
        <w:t xml:space="preserve">with a keen focus on ease of completion </w:t>
      </w:r>
      <w:r w:rsidR="003A529E">
        <w:t>(</w:t>
      </w:r>
      <w:r w:rsidR="00E333A5">
        <w:t xml:space="preserve">i.e. </w:t>
      </w:r>
      <w:r w:rsidR="003A529E">
        <w:t xml:space="preserve">clear </w:t>
      </w:r>
      <w:r w:rsidR="00E333A5">
        <w:t xml:space="preserve">and close ended </w:t>
      </w:r>
      <w:r w:rsidR="003A529E">
        <w:t xml:space="preserve">questions </w:t>
      </w:r>
      <w:r w:rsidR="00E333A5">
        <w:t xml:space="preserve">with </w:t>
      </w:r>
      <w:r w:rsidR="003A529E">
        <w:t>drop down menus)</w:t>
      </w:r>
      <w:r w:rsidR="00E333A5">
        <w:t>.</w:t>
      </w:r>
      <w:r w:rsidR="003A529E">
        <w:t xml:space="preserve"> Th</w:t>
      </w:r>
      <w:r w:rsidR="004B158F">
        <w:t xml:space="preserve">e majority of information required by this form is not </w:t>
      </w:r>
      <w:r w:rsidR="003A529E">
        <w:t xml:space="preserve">duplicative </w:t>
      </w:r>
      <w:r w:rsidR="004B158F">
        <w:t>to an applicant</w:t>
      </w:r>
      <w:r w:rsidR="00E333A5">
        <w:t xml:space="preserve">; however even in this regard, the web </w:t>
      </w:r>
      <w:r w:rsidR="003A529E">
        <w:t>based format and clarity of questions will make the completion process more efficient for the applicant</w:t>
      </w:r>
      <w:r w:rsidR="00E333A5">
        <w:t xml:space="preserve">, </w:t>
      </w:r>
      <w:r w:rsidR="003A529E">
        <w:t>the analysis more efficient for OPIC</w:t>
      </w:r>
      <w:r w:rsidR="00E333A5">
        <w:t>, and the cost more reasonable for both parties</w:t>
      </w:r>
      <w:r w:rsidR="0011680F" w:rsidRPr="0011680F">
        <w:t>.</w:t>
      </w:r>
    </w:p>
    <w:p w:rsidR="0011680F" w:rsidRPr="0011680F" w:rsidRDefault="00E333A5" w:rsidP="0011680F">
      <w:pPr>
        <w:pStyle w:val="ListParagraph"/>
        <w:numPr>
          <w:ilvl w:val="1"/>
          <w:numId w:val="1"/>
        </w:numPr>
        <w:rPr>
          <w:i/>
          <w:color w:val="44546A" w:themeColor="text2"/>
        </w:rPr>
      </w:pPr>
      <w:r>
        <w:t>A wide range of applicants will submit an application; all applicants will be asked the same question</w:t>
      </w:r>
      <w:r w:rsidR="002157ED">
        <w:t>s</w:t>
      </w:r>
      <w:r>
        <w:t xml:space="preserve">. </w:t>
      </w:r>
    </w:p>
    <w:p w:rsidR="0011680F" w:rsidRDefault="001766FD" w:rsidP="0011680F">
      <w:pPr>
        <w:pStyle w:val="ListParagraph"/>
        <w:numPr>
          <w:ilvl w:val="1"/>
          <w:numId w:val="1"/>
        </w:numPr>
      </w:pPr>
      <w:r w:rsidRPr="001766FD">
        <w:t xml:space="preserve">Without the collection of this information, IFD is unable to efficiently carry out the mission of OPIC; more of a cost burden will be incurred by OPIC as a result of no collection or less frequent collection as IFD will be required to engage other more costly means of information collection. </w:t>
      </w:r>
    </w:p>
    <w:p w:rsidR="001766FD" w:rsidRPr="003A4D13" w:rsidRDefault="008C5C88" w:rsidP="008C5C88">
      <w:pPr>
        <w:pStyle w:val="ListParagraph"/>
        <w:numPr>
          <w:ilvl w:val="1"/>
          <w:numId w:val="1"/>
        </w:numPr>
        <w:rPr>
          <w:i/>
          <w:color w:val="44546A" w:themeColor="text2"/>
        </w:rPr>
      </w:pPr>
      <w:r>
        <w:t xml:space="preserve">A. </w:t>
      </w:r>
      <w:r w:rsidR="001766FD">
        <w:t>No such circumstance</w:t>
      </w:r>
      <w:r>
        <w:br/>
        <w:t>B. No such circumstance</w:t>
      </w:r>
      <w:r>
        <w:br/>
        <w:t>C.</w:t>
      </w:r>
      <w:r w:rsidRPr="008C5C88">
        <w:t xml:space="preserve"> </w:t>
      </w:r>
      <w:r>
        <w:t>No such circumstance</w:t>
      </w:r>
      <w:r>
        <w:br/>
        <w:t>D.</w:t>
      </w:r>
      <w:r w:rsidRPr="008C5C88">
        <w:t xml:space="preserve"> </w:t>
      </w:r>
      <w:r>
        <w:t>No such circumstance</w:t>
      </w:r>
      <w:r>
        <w:br/>
        <w:t>E.</w:t>
      </w:r>
      <w:r w:rsidRPr="008C5C88">
        <w:t xml:space="preserve"> </w:t>
      </w:r>
      <w:r>
        <w:t>No such circumstance</w:t>
      </w:r>
      <w:r>
        <w:br/>
      </w:r>
      <w:r>
        <w:lastRenderedPageBreak/>
        <w:t>F. No such circumstance</w:t>
      </w:r>
      <w:r>
        <w:br/>
        <w:t>G. No such circumstance</w:t>
      </w:r>
      <w:r>
        <w:br/>
        <w:t>H. No such circumstance</w:t>
      </w:r>
      <w:r>
        <w:br/>
      </w:r>
    </w:p>
    <w:p w:rsidR="001766FD" w:rsidRDefault="00C24C67" w:rsidP="00C402EB">
      <w:pPr>
        <w:pStyle w:val="ListParagraph"/>
        <w:numPr>
          <w:ilvl w:val="1"/>
          <w:numId w:val="1"/>
        </w:numPr>
      </w:pPr>
      <w:r>
        <w:t xml:space="preserve">The first 60 day Federal Register Notice was published on </w:t>
      </w:r>
      <w:r w:rsidR="00C402EB">
        <w:t>December 12, 2017</w:t>
      </w:r>
      <w:r>
        <w:t xml:space="preserve"> under the citation number of </w:t>
      </w:r>
      <w:r w:rsidR="00C402EB">
        <w:t>82</w:t>
      </w:r>
      <w:r w:rsidRPr="00C24C67">
        <w:t xml:space="preserve"> FR </w:t>
      </w:r>
      <w:r w:rsidR="00C402EB">
        <w:t>58456</w:t>
      </w:r>
      <w:r>
        <w:t xml:space="preserve">; </w:t>
      </w:r>
      <w:r w:rsidR="00C402EB">
        <w:t>OPIC received comments in response to the notice, regarding</w:t>
      </w:r>
      <w:r w:rsidR="00C402EB" w:rsidRPr="00C402EB">
        <w:t xml:space="preserve"> the information to be provided for Investment Policy &amp; ESG and Other-Miscellaneous documentation</w:t>
      </w:r>
      <w:r>
        <w:t>.</w:t>
      </w:r>
      <w:r w:rsidR="00C402EB">
        <w:t xml:space="preserve">  OPIC modified two questions to address the concerns in the comments.  The modifications should not impact the overall time needed for completed or reviewing the Form.</w:t>
      </w:r>
      <w:r>
        <w:t xml:space="preserve"> The second 30 day Federal Register Notice was published on </w:t>
      </w:r>
      <w:r w:rsidR="00C402EB">
        <w:t>March 2, 2018</w:t>
      </w:r>
      <w:r>
        <w:t xml:space="preserve"> under the citation number of </w:t>
      </w:r>
      <w:r w:rsidRPr="00C24C67">
        <w:t>8</w:t>
      </w:r>
      <w:r w:rsidR="00C402EB">
        <w:t xml:space="preserve">3 </w:t>
      </w:r>
      <w:r w:rsidRPr="00C24C67">
        <w:t xml:space="preserve">FR </w:t>
      </w:r>
      <w:r w:rsidR="00C402EB">
        <w:t>9031</w:t>
      </w:r>
      <w:r>
        <w:t xml:space="preserve">. </w:t>
      </w:r>
    </w:p>
    <w:p w:rsidR="003A4D13" w:rsidRPr="003C778F" w:rsidRDefault="00C24C67" w:rsidP="003A4D13">
      <w:pPr>
        <w:pStyle w:val="ListParagraph"/>
        <w:numPr>
          <w:ilvl w:val="1"/>
          <w:numId w:val="1"/>
        </w:numPr>
        <w:rPr>
          <w:i/>
          <w:color w:val="44546A" w:themeColor="text2"/>
        </w:rPr>
      </w:pPr>
      <w:r>
        <w:t xml:space="preserve">No payments or gifts are offered to respondents. </w:t>
      </w:r>
    </w:p>
    <w:p w:rsidR="003C778F" w:rsidRPr="003C778F" w:rsidRDefault="002C7EDD" w:rsidP="002C7EDD">
      <w:pPr>
        <w:pStyle w:val="ListParagraph"/>
        <w:numPr>
          <w:ilvl w:val="1"/>
          <w:numId w:val="1"/>
        </w:numPr>
      </w:pPr>
      <w:r w:rsidRPr="002C7EDD">
        <w:t>Client information contained in this questionnaire will be deemed designated as “confidential commercial information” in accordance with OPIC’s Freedom of Information Act (FOIA) regulations (22 CFR part 706) and will be treated as confidential to the extent permitted under law.  Personal information belonging to an individual will not be released under the FOIA unless the information is already public or if the public interest is greater than the private interest under 5 U.S.C. § 552(b</w:t>
      </w:r>
      <w:r>
        <w:t>)</w:t>
      </w:r>
      <w:r w:rsidRPr="002C7EDD">
        <w:t>(6).</w:t>
      </w:r>
    </w:p>
    <w:p w:rsidR="003C778F" w:rsidRPr="003C778F" w:rsidRDefault="00C24C67" w:rsidP="003C778F">
      <w:pPr>
        <w:pStyle w:val="ListParagraph"/>
        <w:numPr>
          <w:ilvl w:val="1"/>
          <w:numId w:val="1"/>
        </w:numPr>
        <w:rPr>
          <w:i/>
          <w:color w:val="44546A" w:themeColor="text2"/>
        </w:rPr>
      </w:pPr>
      <w:r>
        <w:t>None of the questions on this form are of a sensitive nature</w:t>
      </w:r>
      <w:r w:rsidR="003C778F">
        <w:t xml:space="preserve">. </w:t>
      </w:r>
    </w:p>
    <w:p w:rsidR="001F13D3" w:rsidRPr="00C402EB" w:rsidRDefault="00C402EB" w:rsidP="00C402EB">
      <w:pPr>
        <w:pStyle w:val="ListParagraph"/>
        <w:numPr>
          <w:ilvl w:val="1"/>
          <w:numId w:val="1"/>
        </w:numPr>
        <w:rPr>
          <w:i/>
          <w:color w:val="44546A" w:themeColor="text2"/>
        </w:rPr>
      </w:pPr>
      <w:r>
        <w:t>A. A</w:t>
      </w:r>
      <w:r w:rsidR="002A0ACA">
        <w:t>nticipation is for</w:t>
      </w:r>
      <w:r w:rsidR="002A0ACA" w:rsidRPr="002A0ACA">
        <w:t xml:space="preserve"> </w:t>
      </w:r>
      <w:r w:rsidR="000F1A4A" w:rsidRPr="002A0ACA">
        <w:t>1</w:t>
      </w:r>
      <w:r w:rsidR="000F1A4A">
        <w:t>50</w:t>
      </w:r>
      <w:r w:rsidR="000F1A4A" w:rsidRPr="002A0ACA">
        <w:t xml:space="preserve"> </w:t>
      </w:r>
      <w:r w:rsidR="002A0ACA" w:rsidRPr="002A0ACA">
        <w:t>respondents per information request (annual)</w:t>
      </w:r>
      <w:r w:rsidR="002A0ACA">
        <w:t>, and</w:t>
      </w:r>
      <w:r w:rsidR="002A0ACA" w:rsidRPr="002A0ACA">
        <w:t xml:space="preserve"> </w:t>
      </w:r>
      <w:r w:rsidR="002A0ACA">
        <w:t>e</w:t>
      </w:r>
      <w:r w:rsidR="002A0ACA" w:rsidRPr="002A0ACA">
        <w:t xml:space="preserve">ach respondent will spend </w:t>
      </w:r>
      <w:r w:rsidR="000F1A4A">
        <w:t>one hour</w:t>
      </w:r>
      <w:r w:rsidR="000F1A4A" w:rsidRPr="002A0ACA">
        <w:t xml:space="preserve"> </w:t>
      </w:r>
      <w:r w:rsidR="002A0ACA" w:rsidRPr="002A0ACA">
        <w:t xml:space="preserve">per response. The burden was </w:t>
      </w:r>
      <w:r w:rsidR="003E1238">
        <w:t>based on a survey of actual applicants</w:t>
      </w:r>
      <w:r w:rsidR="002A0ACA" w:rsidRPr="002A0ACA">
        <w:t xml:space="preserve"> and general historical knowledge of IFD staff. </w:t>
      </w:r>
      <w:r>
        <w:br/>
        <w:t xml:space="preserve">B. </w:t>
      </w:r>
      <w:r w:rsidR="002A0ACA" w:rsidRPr="002A0ACA">
        <w:t>Not applicable</w:t>
      </w:r>
      <w:r>
        <w:br/>
        <w:t xml:space="preserve">C. </w:t>
      </w:r>
      <w:r w:rsidR="001F13D3">
        <w:t xml:space="preserve">The estimated annualized cost to the respondents is </w:t>
      </w:r>
      <w:r w:rsidR="001F13D3" w:rsidRPr="000F1A4A">
        <w:t>$</w:t>
      </w:r>
      <w:r w:rsidR="000F1A4A">
        <w:t>11,250</w:t>
      </w:r>
      <w:r w:rsidR="001F13D3">
        <w:t xml:space="preserve">. This figure is based on the assumption (a) each application will require </w:t>
      </w:r>
      <w:r w:rsidR="000F1A4A">
        <w:t xml:space="preserve">one hour </w:t>
      </w:r>
      <w:r w:rsidR="001F13D3">
        <w:t xml:space="preserve">to </w:t>
      </w:r>
      <w:r w:rsidR="00E7209A">
        <w:t>complete</w:t>
      </w:r>
      <w:r w:rsidR="001F13D3">
        <w:t xml:space="preserve"> (b) the average hourly rate for each </w:t>
      </w:r>
      <w:r w:rsidR="00E7209A">
        <w:t>applicant</w:t>
      </w:r>
      <w:r w:rsidR="001F13D3">
        <w:t xml:space="preserve"> is $7</w:t>
      </w:r>
      <w:r w:rsidR="00C24C67">
        <w:t>5</w:t>
      </w:r>
      <w:r w:rsidR="001F13D3">
        <w:t xml:space="preserve"> per hour and (c) the number of anticipated applications (annually) is </w:t>
      </w:r>
      <w:r w:rsidR="000F1A4A">
        <w:t>150</w:t>
      </w:r>
      <w:r w:rsidR="001F13D3">
        <w:t>.</w:t>
      </w:r>
    </w:p>
    <w:p w:rsidR="003C376A" w:rsidRPr="001F13D3" w:rsidRDefault="003C376A" w:rsidP="003C376A">
      <w:pPr>
        <w:pStyle w:val="ListParagraph"/>
        <w:ind w:left="2250"/>
        <w:rPr>
          <w:i/>
          <w:color w:val="44546A" w:themeColor="text2"/>
        </w:rPr>
      </w:pPr>
    </w:p>
    <w:tbl>
      <w:tblPr>
        <w:tblStyle w:val="TableGrid"/>
        <w:tblW w:w="0" w:type="auto"/>
        <w:tblInd w:w="2395" w:type="dxa"/>
        <w:tblLook w:val="04A0" w:firstRow="1" w:lastRow="0" w:firstColumn="1" w:lastColumn="0" w:noHBand="0" w:noVBand="1"/>
      </w:tblPr>
      <w:tblGrid>
        <w:gridCol w:w="930"/>
        <w:gridCol w:w="3339"/>
        <w:gridCol w:w="1170"/>
      </w:tblGrid>
      <w:tr w:rsidR="00E7209A" w:rsidTr="00E7209A">
        <w:tc>
          <w:tcPr>
            <w:tcW w:w="930" w:type="dxa"/>
          </w:tcPr>
          <w:p w:rsidR="00E7209A" w:rsidRDefault="00E7209A" w:rsidP="00E7209A">
            <w:pPr>
              <w:pStyle w:val="ListParagraph"/>
              <w:ind w:left="0"/>
              <w:jc w:val="center"/>
            </w:pPr>
            <w:r>
              <w:t>A</w:t>
            </w:r>
          </w:p>
        </w:tc>
        <w:tc>
          <w:tcPr>
            <w:tcW w:w="3339" w:type="dxa"/>
          </w:tcPr>
          <w:p w:rsidR="00E7209A" w:rsidRPr="001F13D3" w:rsidRDefault="00E7209A" w:rsidP="00E7209A">
            <w:pPr>
              <w:pStyle w:val="ListParagraph"/>
              <w:ind w:left="0"/>
            </w:pPr>
            <w:r>
              <w:t>Number of respondents (annual)</w:t>
            </w:r>
          </w:p>
        </w:tc>
        <w:tc>
          <w:tcPr>
            <w:tcW w:w="1170" w:type="dxa"/>
          </w:tcPr>
          <w:p w:rsidR="00E7209A" w:rsidRPr="001F13D3" w:rsidRDefault="000F1A4A" w:rsidP="000F1A4A">
            <w:pPr>
              <w:pStyle w:val="ListParagraph"/>
              <w:ind w:left="0"/>
            </w:pPr>
            <w:r>
              <w:t>150</w:t>
            </w:r>
          </w:p>
        </w:tc>
      </w:tr>
      <w:tr w:rsidR="00E7209A" w:rsidTr="00E7209A">
        <w:tc>
          <w:tcPr>
            <w:tcW w:w="930" w:type="dxa"/>
          </w:tcPr>
          <w:p w:rsidR="00E7209A" w:rsidRDefault="00E7209A" w:rsidP="00E7209A">
            <w:pPr>
              <w:pStyle w:val="ListParagraph"/>
              <w:ind w:left="0"/>
              <w:jc w:val="center"/>
            </w:pPr>
            <w:r>
              <w:t>B</w:t>
            </w:r>
          </w:p>
        </w:tc>
        <w:tc>
          <w:tcPr>
            <w:tcW w:w="3339" w:type="dxa"/>
          </w:tcPr>
          <w:p w:rsidR="00E7209A" w:rsidRPr="001F13D3" w:rsidRDefault="00E7209A" w:rsidP="00C24C67">
            <w:pPr>
              <w:pStyle w:val="ListParagraph"/>
              <w:ind w:left="0"/>
            </w:pPr>
            <w:r>
              <w:t>Applications per respondent</w:t>
            </w:r>
          </w:p>
        </w:tc>
        <w:tc>
          <w:tcPr>
            <w:tcW w:w="1170" w:type="dxa"/>
          </w:tcPr>
          <w:p w:rsidR="00E7209A" w:rsidRPr="001F13D3" w:rsidRDefault="00E7209A" w:rsidP="000E15D4">
            <w:pPr>
              <w:pStyle w:val="ListParagraph"/>
              <w:ind w:left="0"/>
            </w:pPr>
            <w:r>
              <w:t>1</w:t>
            </w:r>
          </w:p>
        </w:tc>
      </w:tr>
      <w:tr w:rsidR="00E7209A" w:rsidTr="00E7209A">
        <w:tc>
          <w:tcPr>
            <w:tcW w:w="930" w:type="dxa"/>
          </w:tcPr>
          <w:p w:rsidR="00E7209A" w:rsidRPr="001F13D3" w:rsidRDefault="00E7209A" w:rsidP="00E7209A">
            <w:pPr>
              <w:pStyle w:val="ListParagraph"/>
              <w:ind w:left="0"/>
              <w:jc w:val="center"/>
            </w:pPr>
            <w:r>
              <w:t>A*B = C</w:t>
            </w:r>
          </w:p>
        </w:tc>
        <w:tc>
          <w:tcPr>
            <w:tcW w:w="3339" w:type="dxa"/>
          </w:tcPr>
          <w:p w:rsidR="00E7209A" w:rsidRPr="001F13D3" w:rsidRDefault="00E7209A" w:rsidP="00C24C67">
            <w:pPr>
              <w:pStyle w:val="ListParagraph"/>
              <w:ind w:left="0"/>
            </w:pPr>
            <w:r w:rsidRPr="001F13D3">
              <w:t>Number of applications (annual)</w:t>
            </w:r>
          </w:p>
        </w:tc>
        <w:tc>
          <w:tcPr>
            <w:tcW w:w="1170" w:type="dxa"/>
          </w:tcPr>
          <w:p w:rsidR="00E7209A" w:rsidRPr="001F13D3" w:rsidRDefault="000F1A4A" w:rsidP="000F1A4A">
            <w:pPr>
              <w:pStyle w:val="ListParagraph"/>
              <w:ind w:left="0"/>
            </w:pPr>
            <w:r w:rsidRPr="001F13D3">
              <w:t>1</w:t>
            </w:r>
            <w:r>
              <w:t>50</w:t>
            </w:r>
          </w:p>
        </w:tc>
      </w:tr>
      <w:tr w:rsidR="00E7209A" w:rsidTr="00E7209A">
        <w:tc>
          <w:tcPr>
            <w:tcW w:w="930" w:type="dxa"/>
          </w:tcPr>
          <w:p w:rsidR="00E7209A" w:rsidRDefault="00E7209A" w:rsidP="00E7209A">
            <w:pPr>
              <w:pStyle w:val="ListParagraph"/>
              <w:ind w:left="0"/>
              <w:jc w:val="center"/>
            </w:pPr>
            <w:r>
              <w:t>D</w:t>
            </w:r>
          </w:p>
        </w:tc>
        <w:tc>
          <w:tcPr>
            <w:tcW w:w="3339" w:type="dxa"/>
          </w:tcPr>
          <w:p w:rsidR="00E7209A" w:rsidRPr="001F13D3" w:rsidRDefault="00E7209A" w:rsidP="00E7209A">
            <w:pPr>
              <w:pStyle w:val="ListParagraph"/>
              <w:ind w:left="0"/>
            </w:pPr>
            <w:r>
              <w:t>Hours per average application</w:t>
            </w:r>
          </w:p>
        </w:tc>
        <w:tc>
          <w:tcPr>
            <w:tcW w:w="1170" w:type="dxa"/>
          </w:tcPr>
          <w:p w:rsidR="00E7209A" w:rsidRPr="001F13D3" w:rsidRDefault="000F1A4A" w:rsidP="00C24C67">
            <w:pPr>
              <w:pStyle w:val="ListParagraph"/>
              <w:ind w:left="0"/>
            </w:pPr>
            <w:r>
              <w:t>1.0</w:t>
            </w:r>
          </w:p>
        </w:tc>
      </w:tr>
      <w:tr w:rsidR="00E7209A" w:rsidTr="00E7209A">
        <w:tc>
          <w:tcPr>
            <w:tcW w:w="930" w:type="dxa"/>
          </w:tcPr>
          <w:p w:rsidR="00E7209A" w:rsidRDefault="00E7209A" w:rsidP="00E7209A">
            <w:pPr>
              <w:pStyle w:val="ListParagraph"/>
              <w:ind w:left="0"/>
              <w:jc w:val="center"/>
            </w:pPr>
            <w:r>
              <w:t>C*D = E</w:t>
            </w:r>
          </w:p>
        </w:tc>
        <w:tc>
          <w:tcPr>
            <w:tcW w:w="3339" w:type="dxa"/>
          </w:tcPr>
          <w:p w:rsidR="00E7209A" w:rsidRPr="001F13D3" w:rsidRDefault="00E7209A" w:rsidP="00C24C67">
            <w:pPr>
              <w:pStyle w:val="ListParagraph"/>
              <w:ind w:left="0"/>
            </w:pPr>
            <w:r>
              <w:t xml:space="preserve">Number of application hours (annual) </w:t>
            </w:r>
          </w:p>
        </w:tc>
        <w:tc>
          <w:tcPr>
            <w:tcW w:w="1170" w:type="dxa"/>
          </w:tcPr>
          <w:p w:rsidR="00E7209A" w:rsidRPr="001F13D3" w:rsidRDefault="000F1A4A" w:rsidP="00C24C67">
            <w:pPr>
              <w:pStyle w:val="ListParagraph"/>
              <w:ind w:left="0"/>
            </w:pPr>
            <w:r>
              <w:t>150</w:t>
            </w:r>
          </w:p>
        </w:tc>
      </w:tr>
      <w:tr w:rsidR="00E7209A" w:rsidTr="00E7209A">
        <w:tc>
          <w:tcPr>
            <w:tcW w:w="930" w:type="dxa"/>
          </w:tcPr>
          <w:p w:rsidR="00E7209A" w:rsidRDefault="00E7209A" w:rsidP="00E7209A">
            <w:pPr>
              <w:pStyle w:val="ListParagraph"/>
              <w:ind w:left="0"/>
              <w:jc w:val="center"/>
            </w:pPr>
            <w:r>
              <w:t>F</w:t>
            </w:r>
          </w:p>
        </w:tc>
        <w:tc>
          <w:tcPr>
            <w:tcW w:w="3339" w:type="dxa"/>
          </w:tcPr>
          <w:p w:rsidR="00E7209A" w:rsidRPr="001F13D3" w:rsidRDefault="00E7209A" w:rsidP="002157ED">
            <w:pPr>
              <w:pStyle w:val="ListParagraph"/>
              <w:ind w:left="0"/>
            </w:pPr>
            <w:r>
              <w:t xml:space="preserve">Cost per application hour </w:t>
            </w:r>
          </w:p>
        </w:tc>
        <w:tc>
          <w:tcPr>
            <w:tcW w:w="1170" w:type="dxa"/>
          </w:tcPr>
          <w:p w:rsidR="00E7209A" w:rsidRPr="001F13D3" w:rsidRDefault="00E7209A" w:rsidP="002157ED">
            <w:pPr>
              <w:pStyle w:val="ListParagraph"/>
              <w:ind w:left="0"/>
            </w:pPr>
            <w:r>
              <w:t>$</w:t>
            </w:r>
            <w:r w:rsidR="002157ED">
              <w:t>75.00</w:t>
            </w:r>
          </w:p>
        </w:tc>
      </w:tr>
      <w:tr w:rsidR="00E7209A" w:rsidTr="00E7209A">
        <w:tc>
          <w:tcPr>
            <w:tcW w:w="930" w:type="dxa"/>
          </w:tcPr>
          <w:p w:rsidR="00E7209A" w:rsidRPr="001F13D3" w:rsidRDefault="00E7209A" w:rsidP="00E7209A">
            <w:pPr>
              <w:pStyle w:val="ListParagraph"/>
              <w:ind w:left="0"/>
              <w:jc w:val="center"/>
            </w:pPr>
            <w:r>
              <w:t>E*F = G</w:t>
            </w:r>
          </w:p>
        </w:tc>
        <w:tc>
          <w:tcPr>
            <w:tcW w:w="3339" w:type="dxa"/>
          </w:tcPr>
          <w:p w:rsidR="00E7209A" w:rsidRPr="001F13D3" w:rsidRDefault="00E1761E" w:rsidP="00E1761E">
            <w:pPr>
              <w:pStyle w:val="ListParagraph"/>
              <w:ind w:left="0"/>
            </w:pPr>
            <w:r>
              <w:t>Total a</w:t>
            </w:r>
            <w:r w:rsidR="00E7209A" w:rsidRPr="001F13D3">
              <w:t xml:space="preserve">nnual </w:t>
            </w:r>
            <w:r>
              <w:t>application e</w:t>
            </w:r>
            <w:r w:rsidR="00E7209A" w:rsidRPr="001F13D3">
              <w:t xml:space="preserve">xpense </w:t>
            </w:r>
          </w:p>
        </w:tc>
        <w:tc>
          <w:tcPr>
            <w:tcW w:w="1170" w:type="dxa"/>
          </w:tcPr>
          <w:p w:rsidR="00E7209A" w:rsidRPr="001F13D3" w:rsidRDefault="00E7209A" w:rsidP="000F1A4A">
            <w:pPr>
              <w:pStyle w:val="ListParagraph"/>
              <w:ind w:left="0"/>
            </w:pPr>
            <w:r w:rsidRPr="001F13D3">
              <w:t>$</w:t>
            </w:r>
            <w:r w:rsidR="000F1A4A">
              <w:t>11,250</w:t>
            </w:r>
          </w:p>
        </w:tc>
      </w:tr>
    </w:tbl>
    <w:p w:rsidR="003C778F" w:rsidRPr="003C376A" w:rsidRDefault="003C778F" w:rsidP="003C376A">
      <w:pPr>
        <w:rPr>
          <w:i/>
          <w:color w:val="44546A" w:themeColor="text2"/>
        </w:rPr>
      </w:pPr>
    </w:p>
    <w:p w:rsidR="00FA0940" w:rsidRPr="00E1761E" w:rsidRDefault="00E1761E" w:rsidP="00E1761E">
      <w:pPr>
        <w:pStyle w:val="ListParagraph"/>
        <w:numPr>
          <w:ilvl w:val="1"/>
          <w:numId w:val="1"/>
        </w:numPr>
        <w:rPr>
          <w:i/>
          <w:color w:val="44546A" w:themeColor="text2"/>
        </w:rPr>
      </w:pPr>
      <w:r w:rsidRPr="00E1761E">
        <w:t>The estimated annualized cost to respondents is as follows: (a) Total capital and start-up costs = $0; (b) total operation and maintenance costs = $0. All costs associated with this form are part of the normal cost of doing business. Since all submissions will become electronic and stored on OPIC’s secure servers, there will be no postage or storage costs.</w:t>
      </w:r>
    </w:p>
    <w:p w:rsidR="003C778F" w:rsidRPr="00E1761E" w:rsidRDefault="00FA0940" w:rsidP="00FA0940">
      <w:pPr>
        <w:pStyle w:val="ListParagraph"/>
        <w:numPr>
          <w:ilvl w:val="1"/>
          <w:numId w:val="1"/>
        </w:numPr>
        <w:rPr>
          <w:i/>
          <w:color w:val="44546A" w:themeColor="text2"/>
        </w:rPr>
      </w:pPr>
      <w:r>
        <w:t>The estimated annualized cost to the Federal government is $</w:t>
      </w:r>
      <w:r w:rsidR="00AE06FA">
        <w:t>4,026</w:t>
      </w:r>
      <w:r>
        <w:t xml:space="preserve">. </w:t>
      </w:r>
      <w:r w:rsidR="001F13D3">
        <w:t xml:space="preserve">This figure is based on the assumption (a) each application will require </w:t>
      </w:r>
      <w:r w:rsidR="0016275E">
        <w:t xml:space="preserve">one hour </w:t>
      </w:r>
      <w:r w:rsidR="001F13D3">
        <w:t xml:space="preserve">to analyze (b) the average </w:t>
      </w:r>
      <w:r w:rsidR="001F13D3">
        <w:lastRenderedPageBreak/>
        <w:t>hourly rate for each reviewer is $5</w:t>
      </w:r>
      <w:r w:rsidR="0016275E">
        <w:t>4</w:t>
      </w:r>
      <w:r w:rsidR="001F13D3">
        <w:t xml:space="preserve"> per hour and (c) the number of anticipated applications (annually) is </w:t>
      </w:r>
      <w:r w:rsidR="0016275E">
        <w:t>150</w:t>
      </w:r>
      <w:r w:rsidR="001F13D3">
        <w:t xml:space="preserve">. </w:t>
      </w:r>
    </w:p>
    <w:p w:rsidR="00E1761E" w:rsidRPr="00E1761E" w:rsidRDefault="00E1761E" w:rsidP="00E1761E">
      <w:pPr>
        <w:pStyle w:val="ListParagraph"/>
        <w:ind w:left="1440"/>
        <w:rPr>
          <w:i/>
          <w:color w:val="44546A" w:themeColor="text2"/>
        </w:rPr>
      </w:pPr>
    </w:p>
    <w:tbl>
      <w:tblPr>
        <w:tblStyle w:val="TableGrid"/>
        <w:tblW w:w="0" w:type="auto"/>
        <w:tblInd w:w="2395" w:type="dxa"/>
        <w:tblLook w:val="04A0" w:firstRow="1" w:lastRow="0" w:firstColumn="1" w:lastColumn="0" w:noHBand="0" w:noVBand="1"/>
      </w:tblPr>
      <w:tblGrid>
        <w:gridCol w:w="930"/>
        <w:gridCol w:w="3339"/>
        <w:gridCol w:w="1170"/>
      </w:tblGrid>
      <w:tr w:rsidR="00E1761E" w:rsidTr="00902EF3">
        <w:tc>
          <w:tcPr>
            <w:tcW w:w="930" w:type="dxa"/>
          </w:tcPr>
          <w:p w:rsidR="00E1761E" w:rsidRDefault="00E1761E" w:rsidP="00902EF3">
            <w:pPr>
              <w:pStyle w:val="ListParagraph"/>
              <w:ind w:left="0"/>
              <w:jc w:val="center"/>
            </w:pPr>
            <w:r>
              <w:t>A</w:t>
            </w:r>
          </w:p>
        </w:tc>
        <w:tc>
          <w:tcPr>
            <w:tcW w:w="3339" w:type="dxa"/>
          </w:tcPr>
          <w:p w:rsidR="00E1761E" w:rsidRPr="001F13D3" w:rsidRDefault="00E1761E" w:rsidP="00902EF3">
            <w:pPr>
              <w:pStyle w:val="ListParagraph"/>
              <w:ind w:left="0"/>
            </w:pPr>
            <w:r>
              <w:t>Number of respondents (annual)</w:t>
            </w:r>
          </w:p>
        </w:tc>
        <w:tc>
          <w:tcPr>
            <w:tcW w:w="1170" w:type="dxa"/>
          </w:tcPr>
          <w:p w:rsidR="00E1761E" w:rsidRPr="001F13D3" w:rsidRDefault="0016275E" w:rsidP="0016275E">
            <w:pPr>
              <w:pStyle w:val="ListParagraph"/>
              <w:ind w:left="0"/>
            </w:pPr>
            <w:r>
              <w:t>150</w:t>
            </w:r>
          </w:p>
        </w:tc>
      </w:tr>
      <w:tr w:rsidR="00E1761E" w:rsidTr="00902EF3">
        <w:tc>
          <w:tcPr>
            <w:tcW w:w="930" w:type="dxa"/>
          </w:tcPr>
          <w:p w:rsidR="00E1761E" w:rsidRDefault="00E1761E" w:rsidP="00902EF3">
            <w:pPr>
              <w:pStyle w:val="ListParagraph"/>
              <w:ind w:left="0"/>
              <w:jc w:val="center"/>
            </w:pPr>
            <w:r>
              <w:t>B</w:t>
            </w:r>
          </w:p>
        </w:tc>
        <w:tc>
          <w:tcPr>
            <w:tcW w:w="3339" w:type="dxa"/>
          </w:tcPr>
          <w:p w:rsidR="00E1761E" w:rsidRPr="001F13D3" w:rsidRDefault="00E1761E" w:rsidP="00902EF3">
            <w:pPr>
              <w:pStyle w:val="ListParagraph"/>
              <w:ind w:left="0"/>
            </w:pPr>
            <w:r>
              <w:t>Applications per respondent</w:t>
            </w:r>
          </w:p>
        </w:tc>
        <w:tc>
          <w:tcPr>
            <w:tcW w:w="1170" w:type="dxa"/>
          </w:tcPr>
          <w:p w:rsidR="00E1761E" w:rsidRPr="001F13D3" w:rsidRDefault="00E1761E" w:rsidP="00902EF3">
            <w:pPr>
              <w:pStyle w:val="ListParagraph"/>
              <w:ind w:left="0"/>
            </w:pPr>
            <w:r>
              <w:t>1</w:t>
            </w:r>
          </w:p>
        </w:tc>
      </w:tr>
      <w:tr w:rsidR="00E1761E" w:rsidTr="00902EF3">
        <w:tc>
          <w:tcPr>
            <w:tcW w:w="930" w:type="dxa"/>
          </w:tcPr>
          <w:p w:rsidR="00E1761E" w:rsidRPr="001F13D3" w:rsidRDefault="00E1761E" w:rsidP="00902EF3">
            <w:pPr>
              <w:pStyle w:val="ListParagraph"/>
              <w:ind w:left="0"/>
              <w:jc w:val="center"/>
            </w:pPr>
            <w:r>
              <w:t>A*B = C</w:t>
            </w:r>
          </w:p>
        </w:tc>
        <w:tc>
          <w:tcPr>
            <w:tcW w:w="3339" w:type="dxa"/>
          </w:tcPr>
          <w:p w:rsidR="00E1761E" w:rsidRPr="001F13D3" w:rsidRDefault="00E1761E" w:rsidP="00902EF3">
            <w:pPr>
              <w:pStyle w:val="ListParagraph"/>
              <w:ind w:left="0"/>
            </w:pPr>
            <w:r w:rsidRPr="001F13D3">
              <w:t>Number of applications (annual)</w:t>
            </w:r>
          </w:p>
        </w:tc>
        <w:tc>
          <w:tcPr>
            <w:tcW w:w="1170" w:type="dxa"/>
          </w:tcPr>
          <w:p w:rsidR="00E1761E" w:rsidRPr="001F13D3" w:rsidRDefault="0016275E" w:rsidP="0016275E">
            <w:pPr>
              <w:pStyle w:val="ListParagraph"/>
              <w:ind w:left="0"/>
            </w:pPr>
            <w:r w:rsidRPr="001F13D3">
              <w:t>1</w:t>
            </w:r>
            <w:r>
              <w:t>50</w:t>
            </w:r>
          </w:p>
        </w:tc>
      </w:tr>
      <w:tr w:rsidR="00E1761E" w:rsidTr="00902EF3">
        <w:tc>
          <w:tcPr>
            <w:tcW w:w="930" w:type="dxa"/>
          </w:tcPr>
          <w:p w:rsidR="00E1761E" w:rsidRDefault="00E1761E" w:rsidP="00902EF3">
            <w:pPr>
              <w:pStyle w:val="ListParagraph"/>
              <w:ind w:left="0"/>
              <w:jc w:val="center"/>
            </w:pPr>
            <w:r>
              <w:t>D</w:t>
            </w:r>
          </w:p>
        </w:tc>
        <w:tc>
          <w:tcPr>
            <w:tcW w:w="3339" w:type="dxa"/>
          </w:tcPr>
          <w:p w:rsidR="00E1761E" w:rsidRPr="001F13D3" w:rsidRDefault="00E1761E" w:rsidP="00E1761E">
            <w:pPr>
              <w:pStyle w:val="ListParagraph"/>
              <w:ind w:left="0"/>
            </w:pPr>
            <w:r>
              <w:t>Hours per average review</w:t>
            </w:r>
          </w:p>
        </w:tc>
        <w:tc>
          <w:tcPr>
            <w:tcW w:w="1170" w:type="dxa"/>
          </w:tcPr>
          <w:p w:rsidR="00E1761E" w:rsidRPr="001F13D3" w:rsidRDefault="00AE06FA" w:rsidP="00902EF3">
            <w:pPr>
              <w:pStyle w:val="ListParagraph"/>
              <w:ind w:left="0"/>
            </w:pPr>
            <w:r>
              <w:t>0.5</w:t>
            </w:r>
          </w:p>
        </w:tc>
      </w:tr>
      <w:tr w:rsidR="00E1761E" w:rsidTr="00902EF3">
        <w:tc>
          <w:tcPr>
            <w:tcW w:w="930" w:type="dxa"/>
          </w:tcPr>
          <w:p w:rsidR="00E1761E" w:rsidRDefault="00E1761E" w:rsidP="00902EF3">
            <w:pPr>
              <w:pStyle w:val="ListParagraph"/>
              <w:ind w:left="0"/>
              <w:jc w:val="center"/>
            </w:pPr>
            <w:r>
              <w:t>C*D = E</w:t>
            </w:r>
          </w:p>
        </w:tc>
        <w:tc>
          <w:tcPr>
            <w:tcW w:w="3339" w:type="dxa"/>
          </w:tcPr>
          <w:p w:rsidR="00E1761E" w:rsidRPr="001F13D3" w:rsidRDefault="00E1761E" w:rsidP="00E1761E">
            <w:pPr>
              <w:pStyle w:val="ListParagraph"/>
              <w:ind w:left="0"/>
            </w:pPr>
            <w:r>
              <w:t xml:space="preserve">Number of review hours (annual) </w:t>
            </w:r>
          </w:p>
        </w:tc>
        <w:tc>
          <w:tcPr>
            <w:tcW w:w="1170" w:type="dxa"/>
          </w:tcPr>
          <w:p w:rsidR="00E1761E" w:rsidRPr="001F13D3" w:rsidRDefault="0016275E" w:rsidP="00902EF3">
            <w:pPr>
              <w:pStyle w:val="ListParagraph"/>
              <w:ind w:left="0"/>
            </w:pPr>
            <w:r>
              <w:t>150</w:t>
            </w:r>
          </w:p>
        </w:tc>
      </w:tr>
      <w:tr w:rsidR="00E1761E" w:rsidTr="00902EF3">
        <w:tc>
          <w:tcPr>
            <w:tcW w:w="930" w:type="dxa"/>
          </w:tcPr>
          <w:p w:rsidR="00E1761E" w:rsidRDefault="00E1761E" w:rsidP="00902EF3">
            <w:pPr>
              <w:pStyle w:val="ListParagraph"/>
              <w:ind w:left="0"/>
              <w:jc w:val="center"/>
            </w:pPr>
            <w:r>
              <w:t>F</w:t>
            </w:r>
          </w:p>
        </w:tc>
        <w:tc>
          <w:tcPr>
            <w:tcW w:w="3339" w:type="dxa"/>
          </w:tcPr>
          <w:p w:rsidR="00E1761E" w:rsidRPr="001F13D3" w:rsidRDefault="00E1761E" w:rsidP="002157ED">
            <w:pPr>
              <w:pStyle w:val="ListParagraph"/>
              <w:ind w:left="0"/>
            </w:pPr>
            <w:r>
              <w:t>Cost per hour of review  (</w:t>
            </w:r>
            <w:r w:rsidR="002157ED">
              <w:t>GS-14/1 DCB</w:t>
            </w:r>
            <w:r>
              <w:t>)</w:t>
            </w:r>
          </w:p>
        </w:tc>
        <w:tc>
          <w:tcPr>
            <w:tcW w:w="1170" w:type="dxa"/>
          </w:tcPr>
          <w:p w:rsidR="00E1761E" w:rsidRPr="001F13D3" w:rsidRDefault="00E1761E" w:rsidP="00E1761E">
            <w:pPr>
              <w:pStyle w:val="ListParagraph"/>
              <w:ind w:left="0"/>
            </w:pPr>
            <w:r>
              <w:t>$5</w:t>
            </w:r>
            <w:r w:rsidR="0016275E">
              <w:t>3.68</w:t>
            </w:r>
          </w:p>
        </w:tc>
      </w:tr>
      <w:tr w:rsidR="00E1761E" w:rsidTr="00902EF3">
        <w:tc>
          <w:tcPr>
            <w:tcW w:w="930" w:type="dxa"/>
          </w:tcPr>
          <w:p w:rsidR="00E1761E" w:rsidRPr="001F13D3" w:rsidRDefault="00E1761E" w:rsidP="00902EF3">
            <w:pPr>
              <w:pStyle w:val="ListParagraph"/>
              <w:ind w:left="0"/>
              <w:jc w:val="center"/>
            </w:pPr>
            <w:r>
              <w:t>E*F = G</w:t>
            </w:r>
          </w:p>
        </w:tc>
        <w:tc>
          <w:tcPr>
            <w:tcW w:w="3339" w:type="dxa"/>
          </w:tcPr>
          <w:p w:rsidR="00E1761E" w:rsidRPr="001F13D3" w:rsidRDefault="00E1761E" w:rsidP="00E1761E">
            <w:pPr>
              <w:pStyle w:val="ListParagraph"/>
              <w:ind w:left="0"/>
            </w:pPr>
            <w:r w:rsidRPr="001F13D3">
              <w:t xml:space="preserve">Total </w:t>
            </w:r>
            <w:r>
              <w:t>a</w:t>
            </w:r>
            <w:r w:rsidRPr="001F13D3">
              <w:t xml:space="preserve">nnual </w:t>
            </w:r>
            <w:r>
              <w:t>review e</w:t>
            </w:r>
            <w:r w:rsidRPr="001F13D3">
              <w:t xml:space="preserve">xpense </w:t>
            </w:r>
          </w:p>
        </w:tc>
        <w:tc>
          <w:tcPr>
            <w:tcW w:w="1170" w:type="dxa"/>
          </w:tcPr>
          <w:p w:rsidR="00E1761E" w:rsidRPr="001F13D3" w:rsidRDefault="00E1761E" w:rsidP="00AE06FA">
            <w:pPr>
              <w:pStyle w:val="ListParagraph"/>
              <w:ind w:left="0"/>
            </w:pPr>
            <w:r w:rsidRPr="001F13D3">
              <w:t>$</w:t>
            </w:r>
            <w:r w:rsidR="00AE06FA">
              <w:t>4,026</w:t>
            </w:r>
          </w:p>
        </w:tc>
      </w:tr>
    </w:tbl>
    <w:p w:rsidR="00E1761E" w:rsidRPr="00E1761E" w:rsidRDefault="00E1761E" w:rsidP="00E1761E">
      <w:pPr>
        <w:rPr>
          <w:i/>
          <w:color w:val="44546A" w:themeColor="text2"/>
        </w:rPr>
      </w:pPr>
    </w:p>
    <w:p w:rsidR="00464FE3" w:rsidRPr="008C5C88" w:rsidRDefault="007F5745" w:rsidP="007F5745">
      <w:pPr>
        <w:pStyle w:val="ListParagraph"/>
        <w:numPr>
          <w:ilvl w:val="1"/>
          <w:numId w:val="1"/>
        </w:numPr>
        <w:rPr>
          <w:color w:val="44546A" w:themeColor="text2"/>
        </w:rPr>
      </w:pPr>
      <w:r w:rsidRPr="008C5C88">
        <w:t>The total annual burden is somewhat increased due to the adjustment in the response time resulting from a survey of actual respondents</w:t>
      </w:r>
      <w:r w:rsidRPr="008C5C88">
        <w:rPr>
          <w:color w:val="44546A" w:themeColor="text2"/>
        </w:rPr>
        <w:t xml:space="preserve">.   </w:t>
      </w:r>
    </w:p>
    <w:p w:rsidR="00464FE3" w:rsidRPr="00464FE3" w:rsidRDefault="00E1761E" w:rsidP="00464FE3">
      <w:pPr>
        <w:pStyle w:val="ListParagraph"/>
        <w:numPr>
          <w:ilvl w:val="1"/>
          <w:numId w:val="1"/>
        </w:numPr>
        <w:rPr>
          <w:i/>
          <w:color w:val="44546A" w:themeColor="text2"/>
        </w:rPr>
      </w:pPr>
      <w:r>
        <w:t xml:space="preserve">Information provided through this form will not be published </w:t>
      </w:r>
      <w:r w:rsidR="00F724D7">
        <w:t>identifiable form</w:t>
      </w:r>
      <w:r w:rsidR="00464FE3">
        <w:t>.</w:t>
      </w:r>
    </w:p>
    <w:p w:rsidR="00464FE3" w:rsidRPr="00464FE3" w:rsidRDefault="00F724D7" w:rsidP="00464FE3">
      <w:pPr>
        <w:pStyle w:val="ListParagraph"/>
        <w:numPr>
          <w:ilvl w:val="1"/>
          <w:numId w:val="1"/>
        </w:numPr>
        <w:rPr>
          <w:i/>
          <w:color w:val="44546A" w:themeColor="text2"/>
        </w:rPr>
      </w:pPr>
      <w:r>
        <w:t>The OMB expiration date will be printed on each form.</w:t>
      </w:r>
      <w:r w:rsidR="00326A18" w:rsidRPr="00326A18">
        <w:t xml:space="preserve"> </w:t>
      </w:r>
    </w:p>
    <w:p w:rsidR="00464FE3" w:rsidRPr="00464FE3" w:rsidRDefault="00F724D7" w:rsidP="00464FE3">
      <w:pPr>
        <w:pStyle w:val="ListParagraph"/>
        <w:numPr>
          <w:ilvl w:val="1"/>
          <w:numId w:val="1"/>
        </w:numPr>
        <w:rPr>
          <w:i/>
          <w:color w:val="44546A" w:themeColor="text2"/>
        </w:rPr>
      </w:pPr>
      <w:r>
        <w:t>No exceptions are being requested.</w:t>
      </w:r>
      <w:r w:rsidR="00464FE3" w:rsidRPr="00464FE3">
        <w:rPr>
          <w:i/>
        </w:rPr>
        <w:t xml:space="preserve"> </w:t>
      </w:r>
    </w:p>
    <w:p w:rsidR="00464FE3" w:rsidRPr="00464FE3" w:rsidRDefault="00464FE3" w:rsidP="00464FE3">
      <w:pPr>
        <w:pStyle w:val="ListParagraph"/>
        <w:ind w:left="1440"/>
        <w:rPr>
          <w:i/>
          <w:color w:val="44546A" w:themeColor="text2"/>
        </w:rPr>
      </w:pPr>
    </w:p>
    <w:p w:rsidR="00464FE3" w:rsidRPr="00464FE3" w:rsidRDefault="00464FE3" w:rsidP="00464FE3">
      <w:pPr>
        <w:pStyle w:val="ListParagraph"/>
        <w:numPr>
          <w:ilvl w:val="0"/>
          <w:numId w:val="1"/>
        </w:numPr>
        <w:rPr>
          <w:b/>
        </w:rPr>
      </w:pPr>
      <w:r w:rsidRPr="00D969CC">
        <w:rPr>
          <w:b/>
        </w:rPr>
        <w:t>Collections of Information Employing Statistical Methods</w:t>
      </w:r>
      <w:r>
        <w:rPr>
          <w:b/>
        </w:rPr>
        <w:t xml:space="preserve"> (Not applicable)</w:t>
      </w:r>
    </w:p>
    <w:sectPr w:rsidR="00464FE3" w:rsidRPr="00464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83E1C"/>
    <w:multiLevelType w:val="hybridMultilevel"/>
    <w:tmpl w:val="25D23486"/>
    <w:lvl w:ilvl="0" w:tplc="04090015">
      <w:start w:val="1"/>
      <w:numFmt w:val="upperLetter"/>
      <w:lvlText w:val="%1."/>
      <w:lvlJc w:val="left"/>
      <w:pPr>
        <w:ind w:left="720" w:hanging="360"/>
      </w:pPr>
      <w:rPr>
        <w:rFonts w:hint="default"/>
      </w:rPr>
    </w:lvl>
    <w:lvl w:ilvl="1" w:tplc="6F9AD7AA">
      <w:start w:val="1"/>
      <w:numFmt w:val="decimal"/>
      <w:lvlText w:val="%2."/>
      <w:lvlJc w:val="left"/>
      <w:pPr>
        <w:ind w:left="1440" w:hanging="360"/>
      </w:pPr>
      <w:rPr>
        <w:rFonts w:hint="default"/>
        <w:i w:val="0"/>
        <w:color w:val="auto"/>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A4042"/>
    <w:multiLevelType w:val="hybridMultilevel"/>
    <w:tmpl w:val="E9867344"/>
    <w:lvl w:ilvl="0" w:tplc="04090015">
      <w:start w:val="1"/>
      <w:numFmt w:val="upperLetter"/>
      <w:lvlText w:val="%1."/>
      <w:lvlJc w:val="left"/>
      <w:pPr>
        <w:ind w:left="720" w:hanging="360"/>
      </w:pPr>
      <w:rPr>
        <w:rFonts w:hint="default"/>
      </w:rPr>
    </w:lvl>
    <w:lvl w:ilvl="1" w:tplc="6F9AD7AA">
      <w:start w:val="1"/>
      <w:numFmt w:val="decimal"/>
      <w:lvlText w:val="%2."/>
      <w:lvlJc w:val="left"/>
      <w:pPr>
        <w:ind w:left="1440" w:hanging="360"/>
      </w:pPr>
      <w:rPr>
        <w:rFonts w:hint="default"/>
        <w:i w:val="0"/>
        <w:color w:val="auto"/>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B155A"/>
    <w:multiLevelType w:val="hybridMultilevel"/>
    <w:tmpl w:val="99A623EC"/>
    <w:lvl w:ilvl="0" w:tplc="04090015">
      <w:start w:val="1"/>
      <w:numFmt w:val="upperLetter"/>
      <w:lvlText w:val="%1."/>
      <w:lvlJc w:val="left"/>
      <w:pPr>
        <w:ind w:left="720" w:hanging="360"/>
      </w:pPr>
      <w:rPr>
        <w:rFonts w:hint="default"/>
      </w:rPr>
    </w:lvl>
    <w:lvl w:ilvl="1" w:tplc="6F9AD7AA">
      <w:start w:val="1"/>
      <w:numFmt w:val="decimal"/>
      <w:lvlText w:val="%2."/>
      <w:lvlJc w:val="left"/>
      <w:pPr>
        <w:ind w:left="1440" w:hanging="360"/>
      </w:pPr>
      <w:rPr>
        <w:rFonts w:hint="default"/>
        <w:i w:val="0"/>
        <w:color w:val="auto"/>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AF"/>
    <w:rsid w:val="00022C39"/>
    <w:rsid w:val="0007479D"/>
    <w:rsid w:val="000E15D4"/>
    <w:rsid w:val="000F1A4A"/>
    <w:rsid w:val="0011680F"/>
    <w:rsid w:val="0016275E"/>
    <w:rsid w:val="001766FD"/>
    <w:rsid w:val="001E2F14"/>
    <w:rsid w:val="001F13D3"/>
    <w:rsid w:val="002157ED"/>
    <w:rsid w:val="002A0ACA"/>
    <w:rsid w:val="002C7EDD"/>
    <w:rsid w:val="00316399"/>
    <w:rsid w:val="00326A18"/>
    <w:rsid w:val="003A4D13"/>
    <w:rsid w:val="003A529E"/>
    <w:rsid w:val="003C376A"/>
    <w:rsid w:val="003C778F"/>
    <w:rsid w:val="003E1238"/>
    <w:rsid w:val="00464FE3"/>
    <w:rsid w:val="004B158F"/>
    <w:rsid w:val="005D5A4F"/>
    <w:rsid w:val="0060287B"/>
    <w:rsid w:val="00695EAF"/>
    <w:rsid w:val="00725694"/>
    <w:rsid w:val="00746220"/>
    <w:rsid w:val="007F5745"/>
    <w:rsid w:val="008B19F4"/>
    <w:rsid w:val="008C5C88"/>
    <w:rsid w:val="00902EF3"/>
    <w:rsid w:val="009C516A"/>
    <w:rsid w:val="00A6590C"/>
    <w:rsid w:val="00AE06FA"/>
    <w:rsid w:val="00B148C4"/>
    <w:rsid w:val="00C24C67"/>
    <w:rsid w:val="00C402EB"/>
    <w:rsid w:val="00CD6DEB"/>
    <w:rsid w:val="00DB3D2F"/>
    <w:rsid w:val="00DC45BC"/>
    <w:rsid w:val="00E1761E"/>
    <w:rsid w:val="00E333A5"/>
    <w:rsid w:val="00E4090F"/>
    <w:rsid w:val="00E7209A"/>
    <w:rsid w:val="00E761E8"/>
    <w:rsid w:val="00F03E03"/>
    <w:rsid w:val="00F724D7"/>
    <w:rsid w:val="00FA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EAF"/>
    <w:pPr>
      <w:ind w:left="720"/>
      <w:contextualSpacing/>
    </w:pPr>
  </w:style>
  <w:style w:type="table" w:styleId="TableGrid">
    <w:name w:val="Table Grid"/>
    <w:basedOn w:val="TableNormal"/>
    <w:uiPriority w:val="39"/>
    <w:rsid w:val="001F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DD"/>
    <w:rPr>
      <w:rFonts w:ascii="Segoe UI" w:hAnsi="Segoe UI" w:cs="Segoe UI"/>
      <w:sz w:val="18"/>
      <w:szCs w:val="18"/>
    </w:rPr>
  </w:style>
  <w:style w:type="character" w:styleId="CommentReference">
    <w:name w:val="annotation reference"/>
    <w:basedOn w:val="DefaultParagraphFont"/>
    <w:uiPriority w:val="99"/>
    <w:semiHidden/>
    <w:unhideWhenUsed/>
    <w:rsid w:val="00F03E03"/>
    <w:rPr>
      <w:sz w:val="16"/>
      <w:szCs w:val="16"/>
    </w:rPr>
  </w:style>
  <w:style w:type="paragraph" w:styleId="CommentText">
    <w:name w:val="annotation text"/>
    <w:basedOn w:val="Normal"/>
    <w:link w:val="CommentTextChar"/>
    <w:uiPriority w:val="99"/>
    <w:semiHidden/>
    <w:unhideWhenUsed/>
    <w:rsid w:val="00F03E03"/>
    <w:pPr>
      <w:spacing w:line="240" w:lineRule="auto"/>
    </w:pPr>
    <w:rPr>
      <w:sz w:val="20"/>
      <w:szCs w:val="20"/>
    </w:rPr>
  </w:style>
  <w:style w:type="character" w:customStyle="1" w:styleId="CommentTextChar">
    <w:name w:val="Comment Text Char"/>
    <w:basedOn w:val="DefaultParagraphFont"/>
    <w:link w:val="CommentText"/>
    <w:uiPriority w:val="99"/>
    <w:semiHidden/>
    <w:rsid w:val="00F03E03"/>
    <w:rPr>
      <w:sz w:val="20"/>
      <w:szCs w:val="20"/>
    </w:rPr>
  </w:style>
  <w:style w:type="paragraph" w:styleId="CommentSubject">
    <w:name w:val="annotation subject"/>
    <w:basedOn w:val="CommentText"/>
    <w:next w:val="CommentText"/>
    <w:link w:val="CommentSubjectChar"/>
    <w:uiPriority w:val="99"/>
    <w:semiHidden/>
    <w:unhideWhenUsed/>
    <w:rsid w:val="00F03E03"/>
    <w:rPr>
      <w:b/>
      <w:bCs/>
    </w:rPr>
  </w:style>
  <w:style w:type="character" w:customStyle="1" w:styleId="CommentSubjectChar">
    <w:name w:val="Comment Subject Char"/>
    <w:basedOn w:val="CommentTextChar"/>
    <w:link w:val="CommentSubject"/>
    <w:uiPriority w:val="99"/>
    <w:semiHidden/>
    <w:rsid w:val="00F03E0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EAF"/>
    <w:pPr>
      <w:ind w:left="720"/>
      <w:contextualSpacing/>
    </w:pPr>
  </w:style>
  <w:style w:type="table" w:styleId="TableGrid">
    <w:name w:val="Table Grid"/>
    <w:basedOn w:val="TableNormal"/>
    <w:uiPriority w:val="39"/>
    <w:rsid w:val="001F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DD"/>
    <w:rPr>
      <w:rFonts w:ascii="Segoe UI" w:hAnsi="Segoe UI" w:cs="Segoe UI"/>
      <w:sz w:val="18"/>
      <w:szCs w:val="18"/>
    </w:rPr>
  </w:style>
  <w:style w:type="character" w:styleId="CommentReference">
    <w:name w:val="annotation reference"/>
    <w:basedOn w:val="DefaultParagraphFont"/>
    <w:uiPriority w:val="99"/>
    <w:semiHidden/>
    <w:unhideWhenUsed/>
    <w:rsid w:val="00F03E03"/>
    <w:rPr>
      <w:sz w:val="16"/>
      <w:szCs w:val="16"/>
    </w:rPr>
  </w:style>
  <w:style w:type="paragraph" w:styleId="CommentText">
    <w:name w:val="annotation text"/>
    <w:basedOn w:val="Normal"/>
    <w:link w:val="CommentTextChar"/>
    <w:uiPriority w:val="99"/>
    <w:semiHidden/>
    <w:unhideWhenUsed/>
    <w:rsid w:val="00F03E03"/>
    <w:pPr>
      <w:spacing w:line="240" w:lineRule="auto"/>
    </w:pPr>
    <w:rPr>
      <w:sz w:val="20"/>
      <w:szCs w:val="20"/>
    </w:rPr>
  </w:style>
  <w:style w:type="character" w:customStyle="1" w:styleId="CommentTextChar">
    <w:name w:val="Comment Text Char"/>
    <w:basedOn w:val="DefaultParagraphFont"/>
    <w:link w:val="CommentText"/>
    <w:uiPriority w:val="99"/>
    <w:semiHidden/>
    <w:rsid w:val="00F03E03"/>
    <w:rPr>
      <w:sz w:val="20"/>
      <w:szCs w:val="20"/>
    </w:rPr>
  </w:style>
  <w:style w:type="paragraph" w:styleId="CommentSubject">
    <w:name w:val="annotation subject"/>
    <w:basedOn w:val="CommentText"/>
    <w:next w:val="CommentText"/>
    <w:link w:val="CommentSubjectChar"/>
    <w:uiPriority w:val="99"/>
    <w:semiHidden/>
    <w:unhideWhenUsed/>
    <w:rsid w:val="00F03E03"/>
    <w:rPr>
      <w:b/>
      <w:bCs/>
    </w:rPr>
  </w:style>
  <w:style w:type="character" w:customStyle="1" w:styleId="CommentSubjectChar">
    <w:name w:val="Comment Subject Char"/>
    <w:basedOn w:val="CommentTextChar"/>
    <w:link w:val="CommentSubject"/>
    <w:uiPriority w:val="99"/>
    <w:semiHidden/>
    <w:rsid w:val="00F03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Ejiasa, Akobundu C.</dc:creator>
  <cp:keywords/>
  <dc:description/>
  <cp:lastModifiedBy>SYSTEM</cp:lastModifiedBy>
  <cp:revision>2</cp:revision>
  <cp:lastPrinted>2015-01-28T14:40:00Z</cp:lastPrinted>
  <dcterms:created xsi:type="dcterms:W3CDTF">2018-03-07T20:08:00Z</dcterms:created>
  <dcterms:modified xsi:type="dcterms:W3CDTF">2018-03-07T20:08:00Z</dcterms:modified>
</cp:coreProperties>
</file>