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1F710" w14:textId="77777777" w:rsidR="00536D74" w:rsidRPr="00396742" w:rsidRDefault="00536D74" w:rsidP="00536D74">
      <w:pPr>
        <w:jc w:val="right"/>
      </w:pPr>
      <w:bookmarkStart w:id="0" w:name="_GoBack"/>
      <w:bookmarkEnd w:id="0"/>
    </w:p>
    <w:p w14:paraId="4D9FF555" w14:textId="77777777" w:rsidR="00536D74" w:rsidRPr="00396742" w:rsidRDefault="00536D74" w:rsidP="00536D74">
      <w:pPr>
        <w:jc w:val="center"/>
        <w:rPr>
          <w:sz w:val="22"/>
          <w:szCs w:val="22"/>
          <w:u w:val="single"/>
        </w:rPr>
      </w:pPr>
      <w:r w:rsidRPr="00396742">
        <w:rPr>
          <w:sz w:val="22"/>
          <w:szCs w:val="22"/>
          <w:u w:val="single"/>
        </w:rPr>
        <w:t>SUPPORTING STATEMENT</w:t>
      </w:r>
    </w:p>
    <w:p w14:paraId="0C939387" w14:textId="77777777" w:rsidR="00E953EA" w:rsidRPr="00396742" w:rsidRDefault="00E953EA" w:rsidP="00E953EA">
      <w:pPr>
        <w:jc w:val="center"/>
        <w:rPr>
          <w:sz w:val="22"/>
          <w:szCs w:val="22"/>
        </w:rPr>
      </w:pPr>
    </w:p>
    <w:p w14:paraId="148F46C3" w14:textId="77777777" w:rsidR="00867722" w:rsidRPr="00396742" w:rsidRDefault="00D33905" w:rsidP="00867722">
      <w:pPr>
        <w:rPr>
          <w:sz w:val="22"/>
          <w:szCs w:val="22"/>
        </w:rPr>
      </w:pPr>
      <w:r w:rsidRPr="00396742">
        <w:rPr>
          <w:sz w:val="22"/>
          <w:szCs w:val="22"/>
        </w:rPr>
        <w:t>The Federal Communications Commission (Commission) request</w:t>
      </w:r>
      <w:r w:rsidR="00947A27" w:rsidRPr="00396742">
        <w:rPr>
          <w:sz w:val="22"/>
          <w:szCs w:val="22"/>
        </w:rPr>
        <w:t>s</w:t>
      </w:r>
      <w:r w:rsidRPr="00396742">
        <w:rPr>
          <w:sz w:val="22"/>
          <w:szCs w:val="22"/>
        </w:rPr>
        <w:t xml:space="preserve"> an extension from the</w:t>
      </w:r>
      <w:r w:rsidR="00867722" w:rsidRPr="00396742">
        <w:rPr>
          <w:sz w:val="22"/>
          <w:szCs w:val="22"/>
        </w:rPr>
        <w:t xml:space="preserve"> O</w:t>
      </w:r>
      <w:r w:rsidR="00931511" w:rsidRPr="00396742">
        <w:rPr>
          <w:sz w:val="22"/>
          <w:szCs w:val="22"/>
        </w:rPr>
        <w:t xml:space="preserve">ffice of </w:t>
      </w:r>
      <w:r w:rsidR="00867722" w:rsidRPr="00396742">
        <w:rPr>
          <w:sz w:val="22"/>
          <w:szCs w:val="22"/>
        </w:rPr>
        <w:t>M</w:t>
      </w:r>
      <w:r w:rsidR="00931511" w:rsidRPr="00396742">
        <w:rPr>
          <w:sz w:val="22"/>
          <w:szCs w:val="22"/>
        </w:rPr>
        <w:t xml:space="preserve">anagement and </w:t>
      </w:r>
      <w:r w:rsidR="00867722" w:rsidRPr="00396742">
        <w:rPr>
          <w:sz w:val="22"/>
          <w:szCs w:val="22"/>
        </w:rPr>
        <w:t>B</w:t>
      </w:r>
      <w:r w:rsidR="00931511" w:rsidRPr="00396742">
        <w:rPr>
          <w:sz w:val="22"/>
          <w:szCs w:val="22"/>
        </w:rPr>
        <w:t>udget (OMB)</w:t>
      </w:r>
      <w:r w:rsidR="00867722" w:rsidRPr="00396742">
        <w:rPr>
          <w:sz w:val="22"/>
          <w:szCs w:val="22"/>
        </w:rPr>
        <w:t xml:space="preserve"> approval for</w:t>
      </w:r>
      <w:r w:rsidR="00065A9C" w:rsidRPr="00396742">
        <w:rPr>
          <w:sz w:val="22"/>
          <w:szCs w:val="22"/>
        </w:rPr>
        <w:t xml:space="preserve"> a</w:t>
      </w:r>
      <w:r w:rsidR="00867722" w:rsidRPr="00396742">
        <w:rPr>
          <w:sz w:val="22"/>
          <w:szCs w:val="22"/>
        </w:rPr>
        <w:t xml:space="preserve"> </w:t>
      </w:r>
      <w:r w:rsidRPr="00396742">
        <w:rPr>
          <w:sz w:val="22"/>
          <w:szCs w:val="22"/>
        </w:rPr>
        <w:t>currently approved</w:t>
      </w:r>
      <w:r w:rsidR="00867722" w:rsidRPr="00396742">
        <w:rPr>
          <w:sz w:val="22"/>
          <w:szCs w:val="22"/>
        </w:rPr>
        <w:t xml:space="preserve"> inf</w:t>
      </w:r>
      <w:r w:rsidR="00065A9C" w:rsidRPr="00396742">
        <w:rPr>
          <w:sz w:val="22"/>
          <w:szCs w:val="22"/>
        </w:rPr>
        <w:t xml:space="preserve">ormation collection </w:t>
      </w:r>
      <w:r w:rsidRPr="00396742">
        <w:rPr>
          <w:sz w:val="22"/>
          <w:szCs w:val="22"/>
        </w:rPr>
        <w:t>under OMB Control Number 3060-1242</w:t>
      </w:r>
      <w:r w:rsidR="00867722" w:rsidRPr="00396742">
        <w:rPr>
          <w:sz w:val="22"/>
          <w:szCs w:val="22"/>
        </w:rPr>
        <w:t>.</w:t>
      </w:r>
    </w:p>
    <w:p w14:paraId="579A5A77" w14:textId="77777777" w:rsidR="00310C58" w:rsidRPr="00396742" w:rsidRDefault="00310C58" w:rsidP="00536D74">
      <w:pPr>
        <w:jc w:val="center"/>
        <w:rPr>
          <w:b/>
          <w:sz w:val="22"/>
          <w:szCs w:val="22"/>
        </w:rPr>
      </w:pPr>
    </w:p>
    <w:p w14:paraId="578D66D6" w14:textId="77777777" w:rsidR="006B2CB2" w:rsidRPr="00396742" w:rsidRDefault="006B2CB2">
      <w:pPr>
        <w:pStyle w:val="Heading1"/>
        <w:rPr>
          <w:bCs w:val="0"/>
          <w:sz w:val="22"/>
          <w:szCs w:val="22"/>
        </w:rPr>
      </w:pPr>
      <w:r w:rsidRPr="00396742">
        <w:rPr>
          <w:bCs w:val="0"/>
          <w:sz w:val="22"/>
          <w:szCs w:val="22"/>
        </w:rPr>
        <w:t>Justification</w:t>
      </w:r>
      <w:r w:rsidR="00536D74" w:rsidRPr="00396742">
        <w:rPr>
          <w:bCs w:val="0"/>
          <w:sz w:val="22"/>
          <w:szCs w:val="22"/>
          <w:u w:val="none"/>
        </w:rPr>
        <w:t>:</w:t>
      </w:r>
    </w:p>
    <w:p w14:paraId="66AF1740" w14:textId="77777777" w:rsidR="00867722" w:rsidRPr="00396742" w:rsidRDefault="00867722" w:rsidP="00867722">
      <w:pPr>
        <w:rPr>
          <w:sz w:val="22"/>
          <w:szCs w:val="22"/>
        </w:rPr>
      </w:pPr>
    </w:p>
    <w:p w14:paraId="661BE796" w14:textId="77777777" w:rsidR="00A02291" w:rsidRPr="00396742" w:rsidRDefault="00FC3919" w:rsidP="00242039">
      <w:pPr>
        <w:ind w:left="360"/>
        <w:rPr>
          <w:i/>
          <w:sz w:val="22"/>
          <w:szCs w:val="22"/>
        </w:rPr>
      </w:pPr>
      <w:r w:rsidRPr="00396742">
        <w:rPr>
          <w:iCs/>
          <w:sz w:val="22"/>
          <w:szCs w:val="22"/>
        </w:rPr>
        <w:t>1.</w:t>
      </w:r>
      <w:r w:rsidRPr="00396742">
        <w:rPr>
          <w:i/>
          <w:iCs/>
          <w:sz w:val="22"/>
          <w:szCs w:val="22"/>
        </w:rPr>
        <w:tab/>
      </w:r>
      <w:r w:rsidR="002C644E" w:rsidRPr="00396742">
        <w:rPr>
          <w:i/>
          <w:iCs/>
          <w:sz w:val="22"/>
          <w:szCs w:val="22"/>
        </w:rPr>
        <w:t>Circumstances that make th</w:t>
      </w:r>
      <w:r w:rsidR="00CA6DFD" w:rsidRPr="00396742">
        <w:rPr>
          <w:i/>
          <w:iCs/>
          <w:sz w:val="22"/>
          <w:szCs w:val="22"/>
        </w:rPr>
        <w:t>is</w:t>
      </w:r>
      <w:r w:rsidR="002C644E" w:rsidRPr="00396742">
        <w:rPr>
          <w:i/>
          <w:iCs/>
          <w:sz w:val="22"/>
          <w:szCs w:val="22"/>
        </w:rPr>
        <w:t xml:space="preserve"> collection necessary.</w:t>
      </w:r>
      <w:r w:rsidR="00836022" w:rsidRPr="00396742">
        <w:rPr>
          <w:sz w:val="22"/>
          <w:szCs w:val="22"/>
        </w:rPr>
        <w:t xml:space="preserve"> </w:t>
      </w:r>
      <w:r w:rsidR="009E1ECD" w:rsidRPr="00396742">
        <w:rPr>
          <w:sz w:val="22"/>
          <w:szCs w:val="22"/>
        </w:rPr>
        <w:t xml:space="preserve"> </w:t>
      </w:r>
      <w:r w:rsidR="00DF013F" w:rsidRPr="00396742">
        <w:rPr>
          <w:sz w:val="22"/>
          <w:szCs w:val="22"/>
        </w:rPr>
        <w:t xml:space="preserve">Under this </w:t>
      </w:r>
      <w:r w:rsidR="00CA6DFD" w:rsidRPr="00396742">
        <w:rPr>
          <w:sz w:val="22"/>
          <w:szCs w:val="22"/>
        </w:rPr>
        <w:t xml:space="preserve">one-time data </w:t>
      </w:r>
      <w:r w:rsidR="00DF013F" w:rsidRPr="00396742">
        <w:rPr>
          <w:sz w:val="22"/>
          <w:szCs w:val="22"/>
        </w:rPr>
        <w:t xml:space="preserve">collection, the Commission </w:t>
      </w:r>
      <w:r w:rsidR="00414DB5" w:rsidRPr="00396742">
        <w:rPr>
          <w:sz w:val="22"/>
          <w:szCs w:val="22"/>
        </w:rPr>
        <w:t>will</w:t>
      </w:r>
      <w:r w:rsidR="00A53402" w:rsidRPr="00396742">
        <w:rPr>
          <w:sz w:val="22"/>
          <w:szCs w:val="22"/>
        </w:rPr>
        <w:t xml:space="preserve"> </w:t>
      </w:r>
      <w:r w:rsidR="00DF013F" w:rsidRPr="00396742">
        <w:rPr>
          <w:sz w:val="22"/>
          <w:szCs w:val="22"/>
        </w:rPr>
        <w:t xml:space="preserve">collect information </w:t>
      </w:r>
      <w:r w:rsidR="00CA6DFD" w:rsidRPr="00396742">
        <w:rPr>
          <w:sz w:val="22"/>
          <w:szCs w:val="22"/>
        </w:rPr>
        <w:t xml:space="preserve">from a limited number of providers </w:t>
      </w:r>
      <w:r w:rsidR="00A53402" w:rsidRPr="00396742">
        <w:rPr>
          <w:sz w:val="22"/>
          <w:szCs w:val="22"/>
        </w:rPr>
        <w:t xml:space="preserve">that </w:t>
      </w:r>
      <w:r w:rsidR="004401CF" w:rsidRPr="00396742">
        <w:rPr>
          <w:sz w:val="22"/>
          <w:szCs w:val="22"/>
        </w:rPr>
        <w:t xml:space="preserve">will be used </w:t>
      </w:r>
      <w:r w:rsidR="00D23108" w:rsidRPr="00396742">
        <w:rPr>
          <w:sz w:val="22"/>
          <w:szCs w:val="22"/>
        </w:rPr>
        <w:t>by the Commission to determine what areas are covered</w:t>
      </w:r>
      <w:r w:rsidR="00D23108" w:rsidRPr="00396742">
        <w:t xml:space="preserve"> </w:t>
      </w:r>
      <w:r w:rsidR="00D23108" w:rsidRPr="00396742">
        <w:rPr>
          <w:sz w:val="22"/>
          <w:szCs w:val="22"/>
        </w:rPr>
        <w:t xml:space="preserve">by qualified 4G LTE for purposes of </w:t>
      </w:r>
      <w:r w:rsidR="00C61D05" w:rsidRPr="00396742">
        <w:rPr>
          <w:sz w:val="22"/>
          <w:szCs w:val="22"/>
        </w:rPr>
        <w:t>compil</w:t>
      </w:r>
      <w:r w:rsidR="00D23108" w:rsidRPr="00396742">
        <w:rPr>
          <w:sz w:val="22"/>
          <w:szCs w:val="22"/>
        </w:rPr>
        <w:t>ing</w:t>
      </w:r>
      <w:r w:rsidR="00C61D05" w:rsidRPr="00396742">
        <w:rPr>
          <w:sz w:val="22"/>
          <w:szCs w:val="22"/>
        </w:rPr>
        <w:t xml:space="preserve"> the </w:t>
      </w:r>
      <w:r w:rsidR="00CA6DFD" w:rsidRPr="00396742">
        <w:rPr>
          <w:sz w:val="22"/>
          <w:szCs w:val="22"/>
        </w:rPr>
        <w:t>map of areas presumptively eligible for</w:t>
      </w:r>
      <w:r w:rsidR="00065A9C" w:rsidRPr="00396742">
        <w:rPr>
          <w:sz w:val="22"/>
          <w:szCs w:val="22"/>
        </w:rPr>
        <w:t xml:space="preserve"> MF</w:t>
      </w:r>
      <w:r w:rsidR="00CA6DFD" w:rsidRPr="00396742">
        <w:rPr>
          <w:sz w:val="22"/>
          <w:szCs w:val="22"/>
        </w:rPr>
        <w:t>-</w:t>
      </w:r>
      <w:r w:rsidR="00065A9C" w:rsidRPr="00396742">
        <w:rPr>
          <w:sz w:val="22"/>
          <w:szCs w:val="22"/>
        </w:rPr>
        <w:t>II support.</w:t>
      </w:r>
      <w:r w:rsidR="00A97136" w:rsidRPr="00396742">
        <w:rPr>
          <w:sz w:val="22"/>
          <w:szCs w:val="22"/>
        </w:rPr>
        <w:t xml:space="preserve"> The map will be t</w:t>
      </w:r>
      <w:r w:rsidR="000207B7" w:rsidRPr="00396742">
        <w:rPr>
          <w:sz w:val="22"/>
          <w:szCs w:val="22"/>
        </w:rPr>
        <w:t xml:space="preserve">he starting point for the MF-II </w:t>
      </w:r>
      <w:r w:rsidR="00026BAB" w:rsidRPr="00396742">
        <w:rPr>
          <w:sz w:val="22"/>
          <w:szCs w:val="22"/>
        </w:rPr>
        <w:t xml:space="preserve">challenge </w:t>
      </w:r>
      <w:r w:rsidR="00A97136" w:rsidRPr="00396742">
        <w:rPr>
          <w:sz w:val="22"/>
          <w:szCs w:val="22"/>
        </w:rPr>
        <w:t>process</w:t>
      </w:r>
      <w:r w:rsidR="00E53F6B" w:rsidRPr="00396742">
        <w:rPr>
          <w:sz w:val="22"/>
          <w:szCs w:val="22"/>
        </w:rPr>
        <w:t xml:space="preserve"> through which interested parties may challenge the</w:t>
      </w:r>
      <w:r w:rsidR="00C61D05" w:rsidRPr="00396742">
        <w:rPr>
          <w:sz w:val="22"/>
          <w:szCs w:val="22"/>
        </w:rPr>
        <w:t xml:space="preserve"> eligibility status of an area</w:t>
      </w:r>
      <w:r w:rsidR="00E53F6B" w:rsidRPr="00396742">
        <w:rPr>
          <w:sz w:val="22"/>
          <w:szCs w:val="22"/>
        </w:rPr>
        <w:t>.</w:t>
      </w:r>
    </w:p>
    <w:p w14:paraId="57905090" w14:textId="77777777" w:rsidR="00A02291" w:rsidRPr="00396742" w:rsidRDefault="00A02291" w:rsidP="00DF013F">
      <w:pPr>
        <w:ind w:left="360"/>
        <w:rPr>
          <w:sz w:val="22"/>
          <w:szCs w:val="22"/>
        </w:rPr>
      </w:pPr>
    </w:p>
    <w:p w14:paraId="566F93CE" w14:textId="77777777" w:rsidR="00EA636D" w:rsidRPr="00396742" w:rsidRDefault="00D17064" w:rsidP="00451D79">
      <w:pPr>
        <w:ind w:left="360"/>
        <w:rPr>
          <w:sz w:val="22"/>
          <w:szCs w:val="22"/>
        </w:rPr>
      </w:pPr>
      <w:r w:rsidRPr="00396742">
        <w:rPr>
          <w:sz w:val="22"/>
          <w:szCs w:val="22"/>
        </w:rPr>
        <w:t>In November 2011, the Commission adopted t</w:t>
      </w:r>
      <w:r w:rsidR="00065A9C" w:rsidRPr="00396742">
        <w:rPr>
          <w:sz w:val="22"/>
          <w:szCs w:val="22"/>
        </w:rPr>
        <w:t xml:space="preserve">he </w:t>
      </w:r>
      <w:r w:rsidR="00065A9C" w:rsidRPr="00396742">
        <w:rPr>
          <w:i/>
          <w:sz w:val="22"/>
          <w:szCs w:val="22"/>
        </w:rPr>
        <w:t>USF/ICC Transformation Order</w:t>
      </w:r>
      <w:r w:rsidRPr="00396742">
        <w:rPr>
          <w:sz w:val="22"/>
          <w:szCs w:val="22"/>
        </w:rPr>
        <w:t xml:space="preserve">, which </w:t>
      </w:r>
      <w:r w:rsidR="00A83AF6" w:rsidRPr="00396742">
        <w:rPr>
          <w:sz w:val="22"/>
          <w:szCs w:val="22"/>
        </w:rPr>
        <w:t xml:space="preserve">reformed and modernized the universal service and intercarrier compensation systems to ensure </w:t>
      </w:r>
      <w:r w:rsidR="00451D79" w:rsidRPr="00396742">
        <w:rPr>
          <w:rFonts w:eastAsia="Calibri"/>
          <w:sz w:val="22"/>
          <w:szCs w:val="22"/>
        </w:rPr>
        <w:t>that robust, affordable voice and broadband service, both fixed and mobile, are available to Americans throughout the nation</w:t>
      </w:r>
      <w:r w:rsidR="00A83AF6" w:rsidRPr="00396742">
        <w:rPr>
          <w:sz w:val="22"/>
          <w:szCs w:val="22"/>
        </w:rPr>
        <w:t xml:space="preserve">. </w:t>
      </w:r>
      <w:r w:rsidR="009E1ECD" w:rsidRPr="00396742">
        <w:rPr>
          <w:sz w:val="22"/>
          <w:szCs w:val="22"/>
        </w:rPr>
        <w:t xml:space="preserve"> </w:t>
      </w:r>
      <w:r w:rsidR="00EA636D" w:rsidRPr="00396742">
        <w:rPr>
          <w:i/>
          <w:sz w:val="22"/>
          <w:szCs w:val="22"/>
        </w:rPr>
        <w:t xml:space="preserve">See </w:t>
      </w:r>
      <w:r w:rsidR="00451D79" w:rsidRPr="00396742">
        <w:rPr>
          <w:i/>
          <w:sz w:val="22"/>
          <w:szCs w:val="22"/>
        </w:rPr>
        <w:t>Connect America Fund et al.</w:t>
      </w:r>
      <w:r w:rsidR="00451D79" w:rsidRPr="00396742">
        <w:rPr>
          <w:sz w:val="22"/>
          <w:szCs w:val="22"/>
        </w:rPr>
        <w:t>, Order and Further Notice of Proposed Rulemaking, 26 FCC Rcd 17663 (2011) (</w:t>
      </w:r>
      <w:r w:rsidR="00451D79" w:rsidRPr="00396742">
        <w:rPr>
          <w:i/>
          <w:sz w:val="22"/>
          <w:szCs w:val="22"/>
        </w:rPr>
        <w:t>USF/ICC Transformation Order and/or FNPRM</w:t>
      </w:r>
      <w:r w:rsidR="00451D79" w:rsidRPr="00396742">
        <w:rPr>
          <w:sz w:val="22"/>
          <w:szCs w:val="22"/>
        </w:rPr>
        <w:t>).  Among other things, t</w:t>
      </w:r>
      <w:r w:rsidR="00A83AF6" w:rsidRPr="00396742">
        <w:rPr>
          <w:sz w:val="22"/>
          <w:szCs w:val="22"/>
        </w:rPr>
        <w:t xml:space="preserve">he </w:t>
      </w:r>
      <w:r w:rsidRPr="00396742">
        <w:rPr>
          <w:i/>
          <w:sz w:val="22"/>
          <w:szCs w:val="22"/>
        </w:rPr>
        <w:t>USF/ICC Transformation Order</w:t>
      </w:r>
      <w:r w:rsidRPr="00396742">
        <w:rPr>
          <w:sz w:val="22"/>
          <w:szCs w:val="22"/>
        </w:rPr>
        <w:t xml:space="preserve"> established the </w:t>
      </w:r>
      <w:r w:rsidR="00A83AF6" w:rsidRPr="00396742">
        <w:rPr>
          <w:sz w:val="22"/>
          <w:szCs w:val="22"/>
        </w:rPr>
        <w:t xml:space="preserve">Mobility Fund to </w:t>
      </w:r>
      <w:r w:rsidR="001826D1" w:rsidRPr="00396742">
        <w:rPr>
          <w:sz w:val="22"/>
          <w:szCs w:val="22"/>
        </w:rPr>
        <w:t xml:space="preserve">ensure </w:t>
      </w:r>
      <w:r w:rsidR="00A83AF6" w:rsidRPr="00396742">
        <w:rPr>
          <w:sz w:val="22"/>
          <w:szCs w:val="22"/>
        </w:rPr>
        <w:t xml:space="preserve">the availability of mobile voice and broadband services in areas where a private-sector business case was lacking. </w:t>
      </w:r>
      <w:r w:rsidR="009E1ECD" w:rsidRPr="00396742">
        <w:rPr>
          <w:sz w:val="22"/>
          <w:szCs w:val="22"/>
        </w:rPr>
        <w:t xml:space="preserve"> </w:t>
      </w:r>
      <w:r w:rsidR="00CA6DFD" w:rsidRPr="00396742">
        <w:rPr>
          <w:sz w:val="22"/>
          <w:szCs w:val="22"/>
        </w:rPr>
        <w:t xml:space="preserve">The Mobility Fund </w:t>
      </w:r>
      <w:r w:rsidRPr="00396742">
        <w:rPr>
          <w:sz w:val="22"/>
          <w:szCs w:val="22"/>
        </w:rPr>
        <w:t>consists of</w:t>
      </w:r>
      <w:r w:rsidR="00CA6DFD" w:rsidRPr="00396742">
        <w:rPr>
          <w:sz w:val="22"/>
          <w:szCs w:val="22"/>
        </w:rPr>
        <w:t xml:space="preserve"> two phases.</w:t>
      </w:r>
      <w:r w:rsidR="00C52E40" w:rsidRPr="00396742">
        <w:rPr>
          <w:sz w:val="22"/>
          <w:szCs w:val="22"/>
        </w:rPr>
        <w:t xml:space="preserve">  </w:t>
      </w:r>
      <w:r w:rsidR="00CA6DFD" w:rsidRPr="00396742">
        <w:rPr>
          <w:sz w:val="22"/>
          <w:szCs w:val="22"/>
        </w:rPr>
        <w:t>Mobility Fund Phase I (MF-I)</w:t>
      </w:r>
      <w:r w:rsidR="00EA636D" w:rsidRPr="00396742">
        <w:rPr>
          <w:sz w:val="22"/>
          <w:szCs w:val="22"/>
        </w:rPr>
        <w:t xml:space="preserve"> </w:t>
      </w:r>
      <w:r w:rsidR="00C1443C" w:rsidRPr="00396742">
        <w:rPr>
          <w:sz w:val="22"/>
          <w:szCs w:val="22"/>
        </w:rPr>
        <w:t xml:space="preserve">provided </w:t>
      </w:r>
      <w:r w:rsidR="008E5B6C" w:rsidRPr="00396742">
        <w:rPr>
          <w:sz w:val="22"/>
          <w:szCs w:val="22"/>
        </w:rPr>
        <w:t xml:space="preserve">one-time </w:t>
      </w:r>
      <w:r w:rsidR="00744A24" w:rsidRPr="00396742">
        <w:rPr>
          <w:sz w:val="22"/>
          <w:szCs w:val="22"/>
        </w:rPr>
        <w:t xml:space="preserve">universal service </w:t>
      </w:r>
      <w:r w:rsidR="008E5B6C" w:rsidRPr="00396742">
        <w:rPr>
          <w:sz w:val="22"/>
          <w:szCs w:val="22"/>
        </w:rPr>
        <w:t>support</w:t>
      </w:r>
      <w:r w:rsidR="00FF3B93" w:rsidRPr="00396742">
        <w:rPr>
          <w:sz w:val="22"/>
          <w:szCs w:val="22"/>
        </w:rPr>
        <w:t xml:space="preserve"> payments</w:t>
      </w:r>
      <w:r w:rsidR="00C1443C" w:rsidRPr="00396742">
        <w:rPr>
          <w:sz w:val="22"/>
          <w:szCs w:val="22"/>
        </w:rPr>
        <w:t xml:space="preserve"> to immediately accelerate deployment of networks for mobile broadband in unserved areas</w:t>
      </w:r>
      <w:r w:rsidR="00EA636D" w:rsidRPr="00396742">
        <w:rPr>
          <w:sz w:val="22"/>
          <w:szCs w:val="22"/>
        </w:rPr>
        <w:t>.</w:t>
      </w:r>
      <w:r w:rsidR="00C52E40" w:rsidRPr="00396742">
        <w:rPr>
          <w:rStyle w:val="FootnoteReference"/>
          <w:szCs w:val="22"/>
        </w:rPr>
        <w:footnoteReference w:id="1"/>
      </w:r>
      <w:r w:rsidR="00C1443C" w:rsidRPr="00396742">
        <w:rPr>
          <w:sz w:val="22"/>
          <w:szCs w:val="22"/>
        </w:rPr>
        <w:t xml:space="preserve"> </w:t>
      </w:r>
      <w:r w:rsidR="00EA636D" w:rsidRPr="00396742">
        <w:rPr>
          <w:sz w:val="22"/>
          <w:szCs w:val="22"/>
        </w:rPr>
        <w:t xml:space="preserve"> </w:t>
      </w:r>
      <w:r w:rsidR="00FF3B93" w:rsidRPr="00396742">
        <w:rPr>
          <w:sz w:val="22"/>
          <w:szCs w:val="22"/>
        </w:rPr>
        <w:t>MF-II</w:t>
      </w:r>
      <w:r w:rsidR="00EA636D" w:rsidRPr="00396742">
        <w:rPr>
          <w:sz w:val="22"/>
          <w:szCs w:val="22"/>
        </w:rPr>
        <w:t xml:space="preserve"> will</w:t>
      </w:r>
      <w:r w:rsidR="004432FB" w:rsidRPr="00396742">
        <w:rPr>
          <w:sz w:val="22"/>
          <w:szCs w:val="22"/>
        </w:rPr>
        <w:t xml:space="preserve"> </w:t>
      </w:r>
      <w:r w:rsidR="0074475D" w:rsidRPr="00396742">
        <w:rPr>
          <w:sz w:val="22"/>
          <w:szCs w:val="22"/>
        </w:rPr>
        <w:t xml:space="preserve">use a reverse auction to </w:t>
      </w:r>
      <w:r w:rsidR="00C1443C" w:rsidRPr="00396742">
        <w:rPr>
          <w:sz w:val="22"/>
          <w:szCs w:val="22"/>
        </w:rPr>
        <w:t xml:space="preserve">provide ongoing </w:t>
      </w:r>
      <w:r w:rsidR="0074475D" w:rsidRPr="00396742">
        <w:rPr>
          <w:sz w:val="22"/>
          <w:szCs w:val="22"/>
        </w:rPr>
        <w:t xml:space="preserve">universal service </w:t>
      </w:r>
      <w:r w:rsidR="00C1443C" w:rsidRPr="00396742">
        <w:rPr>
          <w:sz w:val="22"/>
          <w:szCs w:val="22"/>
        </w:rPr>
        <w:t xml:space="preserve">support </w:t>
      </w:r>
      <w:r w:rsidR="00C52E40" w:rsidRPr="00396742">
        <w:rPr>
          <w:sz w:val="22"/>
          <w:szCs w:val="22"/>
        </w:rPr>
        <w:t xml:space="preserve">– including support to Tribal lands – </w:t>
      </w:r>
      <w:r w:rsidR="00EA636D" w:rsidRPr="00396742">
        <w:rPr>
          <w:sz w:val="22"/>
          <w:szCs w:val="22"/>
        </w:rPr>
        <w:t>to continue to advance deployment of such services</w:t>
      </w:r>
      <w:r w:rsidR="008E5B6C" w:rsidRPr="00396742">
        <w:rPr>
          <w:sz w:val="22"/>
          <w:szCs w:val="22"/>
        </w:rPr>
        <w:t xml:space="preserve">. </w:t>
      </w:r>
      <w:r w:rsidR="009E1ECD" w:rsidRPr="00396742">
        <w:rPr>
          <w:sz w:val="22"/>
          <w:szCs w:val="22"/>
        </w:rPr>
        <w:t xml:space="preserve"> </w:t>
      </w:r>
    </w:p>
    <w:p w14:paraId="11862A78" w14:textId="77777777" w:rsidR="00EA636D" w:rsidRPr="00396742" w:rsidRDefault="00EA636D" w:rsidP="00451D79">
      <w:pPr>
        <w:ind w:left="360"/>
        <w:rPr>
          <w:sz w:val="22"/>
          <w:szCs w:val="22"/>
        </w:rPr>
      </w:pPr>
    </w:p>
    <w:p w14:paraId="6317EEE5" w14:textId="77777777" w:rsidR="00EA636D" w:rsidRPr="00396742" w:rsidRDefault="00EA636D" w:rsidP="00451D79">
      <w:pPr>
        <w:ind w:left="360"/>
        <w:rPr>
          <w:sz w:val="22"/>
          <w:szCs w:val="22"/>
        </w:rPr>
      </w:pPr>
      <w:r w:rsidRPr="00396742">
        <w:rPr>
          <w:sz w:val="22"/>
          <w:szCs w:val="22"/>
        </w:rPr>
        <w:t xml:space="preserve">The Commission adopted the rules and framework for MF-I in the </w:t>
      </w:r>
      <w:r w:rsidRPr="00396742">
        <w:rPr>
          <w:i/>
          <w:iCs/>
          <w:sz w:val="22"/>
          <w:szCs w:val="22"/>
        </w:rPr>
        <w:t>USF/ICC Transformation Order</w:t>
      </w:r>
      <w:r w:rsidRPr="00396742">
        <w:rPr>
          <w:sz w:val="22"/>
          <w:szCs w:val="22"/>
        </w:rPr>
        <w:t xml:space="preserve">, and sought comment in the accompanying </w:t>
      </w:r>
      <w:r w:rsidRPr="00396742">
        <w:rPr>
          <w:i/>
          <w:sz w:val="22"/>
          <w:szCs w:val="22"/>
        </w:rPr>
        <w:t>USF/ICC Transformation FNPRM</w:t>
      </w:r>
      <w:r w:rsidRPr="00396742">
        <w:rPr>
          <w:sz w:val="22"/>
          <w:szCs w:val="22"/>
        </w:rPr>
        <w:t xml:space="preserve"> on the proposed framework for MF-II.   Since then, the Commission has </w:t>
      </w:r>
      <w:r w:rsidRPr="00396742">
        <w:rPr>
          <w:sz w:val="22"/>
          <w:szCs w:val="22"/>
          <w:lang w:val="en"/>
        </w:rPr>
        <w:t xml:space="preserve">worked to </w:t>
      </w:r>
      <w:r w:rsidRPr="00396742">
        <w:rPr>
          <w:sz w:val="22"/>
          <w:szCs w:val="22"/>
        </w:rPr>
        <w:t>develop a comprehensive, robust record on various issues related to the award of MF-II support—including how and where to target funding in terms of the level of service to be provided and the geographic areas eligible for support.</w:t>
      </w:r>
      <w:r w:rsidRPr="00396742">
        <w:rPr>
          <w:rStyle w:val="FootnoteReference"/>
          <w:szCs w:val="22"/>
        </w:rPr>
        <w:footnoteReference w:id="2"/>
      </w:r>
      <w:r w:rsidRPr="00396742">
        <w:rPr>
          <w:sz w:val="22"/>
          <w:szCs w:val="22"/>
        </w:rPr>
        <w:t> </w:t>
      </w:r>
    </w:p>
    <w:p w14:paraId="2834B4F7" w14:textId="6E93B5C2" w:rsidR="00B0265A" w:rsidRPr="00396742" w:rsidRDefault="00B0265A" w:rsidP="00D12C58">
      <w:pPr>
        <w:ind w:left="360"/>
        <w:rPr>
          <w:sz w:val="22"/>
          <w:szCs w:val="22"/>
        </w:rPr>
      </w:pPr>
      <w:r w:rsidRPr="00396742">
        <w:rPr>
          <w:sz w:val="22"/>
          <w:szCs w:val="22"/>
        </w:rPr>
        <w:t xml:space="preserve">This effort culminated in the Commission’s February 2017 </w:t>
      </w:r>
      <w:r w:rsidRPr="00396742">
        <w:rPr>
          <w:i/>
          <w:iCs/>
          <w:sz w:val="22"/>
          <w:szCs w:val="22"/>
        </w:rPr>
        <w:t>Mobility Fund II Report and Order</w:t>
      </w:r>
      <w:r w:rsidR="00DC62C0" w:rsidRPr="00396742">
        <w:rPr>
          <w:i/>
          <w:iCs/>
          <w:sz w:val="22"/>
          <w:szCs w:val="22"/>
        </w:rPr>
        <w:t xml:space="preserve"> and Further Notice of Proposed Rulemaking</w:t>
      </w:r>
      <w:r w:rsidRPr="00396742">
        <w:rPr>
          <w:i/>
          <w:iCs/>
          <w:sz w:val="22"/>
          <w:szCs w:val="22"/>
        </w:rPr>
        <w:t xml:space="preserve"> </w:t>
      </w:r>
      <w:r w:rsidRPr="00396742">
        <w:rPr>
          <w:sz w:val="22"/>
          <w:szCs w:val="22"/>
        </w:rPr>
        <w:t>(</w:t>
      </w:r>
      <w:r w:rsidRPr="00396742">
        <w:rPr>
          <w:i/>
          <w:iCs/>
          <w:sz w:val="22"/>
          <w:szCs w:val="22"/>
        </w:rPr>
        <w:t>MF-II Report and Order</w:t>
      </w:r>
      <w:r w:rsidR="00DC62C0" w:rsidRPr="00396742">
        <w:rPr>
          <w:i/>
          <w:iCs/>
          <w:sz w:val="22"/>
          <w:szCs w:val="22"/>
        </w:rPr>
        <w:t xml:space="preserve"> and/or FNPRM</w:t>
      </w:r>
      <w:r w:rsidRPr="00396742">
        <w:rPr>
          <w:sz w:val="22"/>
          <w:szCs w:val="22"/>
        </w:rPr>
        <w:t>), which established the rules and framework for moving forward expeditiously with the MF</w:t>
      </w:r>
      <w:r w:rsidRPr="00396742">
        <w:rPr>
          <w:sz w:val="22"/>
          <w:szCs w:val="22"/>
        </w:rPr>
        <w:noBreakHyphen/>
        <w:t xml:space="preserve">II auction to award up to $4.53 billion over the next ten years to advance the deployment of 4G Long Term Evolution (LTE) service to areas so costly that private sector has not yet deployed there and </w:t>
      </w:r>
      <w:r w:rsidR="002417F8" w:rsidRPr="00396742">
        <w:rPr>
          <w:sz w:val="22"/>
          <w:szCs w:val="22"/>
        </w:rPr>
        <w:t xml:space="preserve">to </w:t>
      </w:r>
      <w:r w:rsidRPr="00396742">
        <w:rPr>
          <w:sz w:val="22"/>
          <w:szCs w:val="22"/>
        </w:rPr>
        <w:t xml:space="preserve">preserve such service where it might not otherwise exist absent a subsidy.  </w:t>
      </w:r>
      <w:r w:rsidRPr="00396742">
        <w:rPr>
          <w:i/>
          <w:sz w:val="22"/>
          <w:szCs w:val="22"/>
        </w:rPr>
        <w:t xml:space="preserve">See Connect America </w:t>
      </w:r>
      <w:r w:rsidRPr="00396742">
        <w:rPr>
          <w:i/>
          <w:sz w:val="22"/>
          <w:szCs w:val="22"/>
        </w:rPr>
        <w:lastRenderedPageBreak/>
        <w:t>Fund; Universal Service Reform—</w:t>
      </w:r>
      <w:r w:rsidRPr="00396742">
        <w:rPr>
          <w:rStyle w:val="ALTSFOOTNOTECharChar"/>
          <w:i/>
          <w:sz w:val="22"/>
          <w:szCs w:val="22"/>
        </w:rPr>
        <w:t xml:space="preserve">Mobility Fund II, </w:t>
      </w:r>
      <w:r w:rsidRPr="00396742">
        <w:rPr>
          <w:rStyle w:val="ALTSFOOTNOTECharChar"/>
          <w:sz w:val="22"/>
          <w:szCs w:val="22"/>
        </w:rPr>
        <w:t>Report and Order and Further Notice of Proposed Rulemaking, 32 FCC Rcd 2152 (2017) (</w:t>
      </w:r>
      <w:r w:rsidRPr="00396742">
        <w:rPr>
          <w:i/>
          <w:sz w:val="22"/>
          <w:szCs w:val="22"/>
        </w:rPr>
        <w:t>MF-II Report and Order and/or FNPRM).</w:t>
      </w:r>
      <w:r w:rsidRPr="00396742">
        <w:rPr>
          <w:sz w:val="22"/>
          <w:szCs w:val="22"/>
        </w:rPr>
        <w:t xml:space="preserve">  Among other things, the Commission stated in the </w:t>
      </w:r>
      <w:r w:rsidRPr="00396742">
        <w:rPr>
          <w:i/>
          <w:iCs/>
          <w:sz w:val="22"/>
          <w:szCs w:val="22"/>
        </w:rPr>
        <w:t>MF-II Report and Order</w:t>
      </w:r>
      <w:r w:rsidRPr="00396742">
        <w:rPr>
          <w:sz w:val="22"/>
          <w:szCs w:val="22"/>
        </w:rPr>
        <w:t xml:space="preserve"> that, prior to the MF-II auction, it would use the most recently available FCC Form 477 mobile wireless coverage data </w:t>
      </w:r>
      <w:r w:rsidR="002417F8" w:rsidRPr="00396742">
        <w:rPr>
          <w:sz w:val="22"/>
          <w:szCs w:val="22"/>
        </w:rPr>
        <w:t xml:space="preserve">(together with high-cost disbursement data available from the Universal Service Administrative Company (USAC)) </w:t>
      </w:r>
      <w:r w:rsidRPr="00396742">
        <w:rPr>
          <w:sz w:val="22"/>
          <w:szCs w:val="22"/>
        </w:rPr>
        <w:t>to compile a map of areas presumptively eligible for MF-II support, and that it would provide a limited timeframe for parties to challenge those initial determinations during the pre-auction process.</w:t>
      </w:r>
    </w:p>
    <w:p w14:paraId="090F1F2E" w14:textId="77777777" w:rsidR="00B0265A" w:rsidRPr="00396742" w:rsidRDefault="00B0265A" w:rsidP="00D12C58">
      <w:pPr>
        <w:ind w:left="360"/>
        <w:rPr>
          <w:sz w:val="22"/>
          <w:szCs w:val="22"/>
        </w:rPr>
      </w:pPr>
    </w:p>
    <w:p w14:paraId="242BEB13" w14:textId="01AD2228" w:rsidR="002417F8" w:rsidRPr="00396742" w:rsidRDefault="002417F8" w:rsidP="002417F8">
      <w:pPr>
        <w:ind w:left="360"/>
        <w:rPr>
          <w:sz w:val="22"/>
          <w:szCs w:val="22"/>
        </w:rPr>
      </w:pPr>
      <w:r w:rsidRPr="00396742">
        <w:rPr>
          <w:sz w:val="22"/>
          <w:szCs w:val="22"/>
        </w:rPr>
        <w:t xml:space="preserve">The Commission received serval petitions for reconsideration of the </w:t>
      </w:r>
      <w:r w:rsidRPr="00396742">
        <w:rPr>
          <w:i/>
          <w:iCs/>
          <w:sz w:val="22"/>
          <w:szCs w:val="22"/>
        </w:rPr>
        <w:t>MF-II Report and Order</w:t>
      </w:r>
      <w:r w:rsidRPr="00396742">
        <w:rPr>
          <w:sz w:val="22"/>
          <w:szCs w:val="22"/>
        </w:rPr>
        <w:t>.  One such petition asked the Commission to reconsider its decision to use existing FCC Form 477 data as the basis for determining the map of areas presumptively eligible for MF-II support, and offered an industry consensus proposal asking the Commission to undertake a new, one-time data collection with specified data parameters tailored to MF-II to determine the areas in which there is deployment of qualified LTE. </w:t>
      </w:r>
      <w:r w:rsidR="0074475D" w:rsidRPr="00396742">
        <w:rPr>
          <w:sz w:val="22"/>
          <w:szCs w:val="22"/>
        </w:rPr>
        <w:t>O</w:t>
      </w:r>
      <w:r w:rsidRPr="00396742">
        <w:rPr>
          <w:sz w:val="22"/>
          <w:szCs w:val="22"/>
        </w:rPr>
        <w:t xml:space="preserve">n August 4, 2017, the Commission released an </w:t>
      </w:r>
      <w:r w:rsidRPr="00396742">
        <w:rPr>
          <w:i/>
          <w:iCs/>
          <w:sz w:val="22"/>
          <w:szCs w:val="22"/>
        </w:rPr>
        <w:t>Order on Reconsideration and Second Report and Order</w:t>
      </w:r>
      <w:r w:rsidRPr="00396742">
        <w:rPr>
          <w:sz w:val="22"/>
          <w:szCs w:val="22"/>
        </w:rPr>
        <w:t xml:space="preserve"> in which it, among other things, reconsidered its earlier decision to use FCC Form 477 data to compile the map of areas presumptively eligible for MF-II support.  </w:t>
      </w:r>
      <w:r w:rsidRPr="00396742">
        <w:rPr>
          <w:i/>
          <w:sz w:val="22"/>
          <w:szCs w:val="22"/>
        </w:rPr>
        <w:t>See Connect America Fund; Universal Service Reform—</w:t>
      </w:r>
      <w:r w:rsidRPr="00396742">
        <w:rPr>
          <w:rStyle w:val="ALTSFOOTNOTECharChar"/>
          <w:i/>
          <w:sz w:val="22"/>
          <w:szCs w:val="22"/>
        </w:rPr>
        <w:t xml:space="preserve">Mobility Fund II, </w:t>
      </w:r>
      <w:r w:rsidRPr="00396742">
        <w:rPr>
          <w:rStyle w:val="ALTSFOOTNOTECharChar"/>
          <w:sz w:val="22"/>
          <w:szCs w:val="22"/>
        </w:rPr>
        <w:t xml:space="preserve">Order on Reconsideration and Second Report and Order, WC Docket No. 10-90, WT Docket No. 10-208, </w:t>
      </w:r>
      <w:r w:rsidR="001C0EFD" w:rsidRPr="00396742">
        <w:rPr>
          <w:rStyle w:val="ALTSFOOTNOTECharChar"/>
          <w:sz w:val="22"/>
          <w:szCs w:val="22"/>
        </w:rPr>
        <w:t>FCC 17-1</w:t>
      </w:r>
      <w:r w:rsidRPr="00396742">
        <w:rPr>
          <w:rStyle w:val="ALTSFOOTNOTECharChar"/>
          <w:sz w:val="22"/>
          <w:szCs w:val="22"/>
        </w:rPr>
        <w:t>02 (rel. Aug. 4, 2017)</w:t>
      </w:r>
      <w:r w:rsidR="002B14D0" w:rsidRPr="00396742">
        <w:rPr>
          <w:rStyle w:val="ALTSFOOTNOTECharChar"/>
          <w:sz w:val="22"/>
          <w:szCs w:val="22"/>
        </w:rPr>
        <w:t xml:space="preserve"> (“</w:t>
      </w:r>
      <w:r w:rsidR="002B14D0" w:rsidRPr="00396742">
        <w:rPr>
          <w:rStyle w:val="ALTSFOOTNOTECharChar"/>
          <w:i/>
          <w:sz w:val="22"/>
          <w:szCs w:val="22"/>
        </w:rPr>
        <w:t>MF-II Challenge Process Order</w:t>
      </w:r>
      <w:r w:rsidR="002B14D0" w:rsidRPr="00396742">
        <w:rPr>
          <w:rStyle w:val="ALTSFOOTNOTECharChar"/>
          <w:sz w:val="22"/>
          <w:szCs w:val="22"/>
        </w:rPr>
        <w:t>”)</w:t>
      </w:r>
      <w:r w:rsidRPr="00396742">
        <w:rPr>
          <w:rStyle w:val="ALTSFOOTNOTECharChar"/>
          <w:sz w:val="22"/>
          <w:szCs w:val="22"/>
        </w:rPr>
        <w:t>.</w:t>
      </w:r>
      <w:r w:rsidRPr="00396742">
        <w:rPr>
          <w:rStyle w:val="ALTSFOOTNOTECharChar"/>
        </w:rPr>
        <w:t xml:space="preserve">  </w:t>
      </w:r>
      <w:r w:rsidRPr="00396742">
        <w:rPr>
          <w:sz w:val="22"/>
          <w:szCs w:val="22"/>
        </w:rPr>
        <w:t>The Commission decided it would instead conduct a new, one-time data collection of 4G LTE coverage data that will be used</w:t>
      </w:r>
      <w:r w:rsidR="002F7CF0" w:rsidRPr="00396742">
        <w:rPr>
          <w:sz w:val="22"/>
          <w:szCs w:val="22"/>
        </w:rPr>
        <w:t xml:space="preserve"> (together with high-cost disbursement data available from USAC)</w:t>
      </w:r>
      <w:r w:rsidRPr="00396742">
        <w:rPr>
          <w:sz w:val="22"/>
          <w:szCs w:val="22"/>
        </w:rPr>
        <w:t xml:space="preserve"> for this purpose, concluding that for purposes of implementing MF-II expeditiously, this approach will provide the Commission and interested parties with the best available starting point for the challenge process and should result in fewer and more narrowly-focused challenges regarding representations of coverage.</w:t>
      </w:r>
      <w:r w:rsidR="000E63EB" w:rsidRPr="00396742">
        <w:rPr>
          <w:sz w:val="22"/>
          <w:szCs w:val="22"/>
        </w:rPr>
        <w:t xml:space="preserve"> </w:t>
      </w:r>
    </w:p>
    <w:p w14:paraId="43E5F6B1" w14:textId="77777777" w:rsidR="00BC5E37" w:rsidRPr="00396742" w:rsidRDefault="00BC5E37" w:rsidP="002417F8">
      <w:pPr>
        <w:ind w:left="360"/>
        <w:rPr>
          <w:sz w:val="22"/>
          <w:szCs w:val="22"/>
        </w:rPr>
      </w:pPr>
    </w:p>
    <w:p w14:paraId="6835C661" w14:textId="77777777" w:rsidR="00BC5E37" w:rsidRPr="00396742" w:rsidRDefault="00BC5E37" w:rsidP="002417F8">
      <w:pPr>
        <w:ind w:left="360"/>
        <w:rPr>
          <w:sz w:val="22"/>
          <w:szCs w:val="22"/>
        </w:rPr>
      </w:pPr>
      <w:r w:rsidRPr="00396742">
        <w:rPr>
          <w:sz w:val="22"/>
          <w:szCs w:val="22"/>
        </w:rPr>
        <w:t xml:space="preserve">In </w:t>
      </w:r>
      <w:r w:rsidR="00A83FD0" w:rsidRPr="00396742">
        <w:rPr>
          <w:sz w:val="22"/>
          <w:szCs w:val="22"/>
        </w:rPr>
        <w:t>August</w:t>
      </w:r>
      <w:r w:rsidRPr="00396742">
        <w:rPr>
          <w:sz w:val="22"/>
          <w:szCs w:val="22"/>
        </w:rPr>
        <w:t xml:space="preserve"> 2017, the Commission sought approval from OMB under its Paperwork Reduction Act (PRA) emergency processing provisions, 5 U.S.C. § 1320.13, to permit the collection of information that will be used by the Commission to determine what areas are covered</w:t>
      </w:r>
      <w:r w:rsidRPr="00396742">
        <w:t xml:space="preserve"> </w:t>
      </w:r>
      <w:r w:rsidRPr="00396742">
        <w:rPr>
          <w:sz w:val="22"/>
          <w:szCs w:val="22"/>
        </w:rPr>
        <w:t xml:space="preserve">by qualified 4G LTE for purposes of compiling the map of areas presumptively eligible for MF-II support.  On September 27, 2017, the Commission received emergency approval from OMB for the information collection under OMB Control Number 3060-1242.  The information collection requirements </w:t>
      </w:r>
      <w:r w:rsidR="00A83FD0" w:rsidRPr="00396742">
        <w:rPr>
          <w:sz w:val="22"/>
          <w:szCs w:val="22"/>
        </w:rPr>
        <w:t xml:space="preserve">under OMB Control Number 3060-1242 </w:t>
      </w:r>
      <w:r w:rsidRPr="00396742">
        <w:rPr>
          <w:sz w:val="22"/>
          <w:szCs w:val="22"/>
        </w:rPr>
        <w:t xml:space="preserve">have not changed since the </w:t>
      </w:r>
      <w:r w:rsidR="00A83FD0" w:rsidRPr="00396742">
        <w:rPr>
          <w:sz w:val="22"/>
          <w:szCs w:val="22"/>
        </w:rPr>
        <w:t xml:space="preserve">Commission’s emergency PRA </w:t>
      </w:r>
      <w:r w:rsidRPr="00396742">
        <w:rPr>
          <w:sz w:val="22"/>
          <w:szCs w:val="22"/>
        </w:rPr>
        <w:t xml:space="preserve">request </w:t>
      </w:r>
      <w:r w:rsidR="00A83FD0" w:rsidRPr="00396742">
        <w:rPr>
          <w:sz w:val="22"/>
          <w:szCs w:val="22"/>
        </w:rPr>
        <w:t xml:space="preserve">was approved by OMB </w:t>
      </w:r>
      <w:r w:rsidRPr="00396742">
        <w:rPr>
          <w:sz w:val="22"/>
          <w:szCs w:val="22"/>
        </w:rPr>
        <w:t xml:space="preserve">on </w:t>
      </w:r>
      <w:r w:rsidR="00A83FD0" w:rsidRPr="00396742">
        <w:rPr>
          <w:sz w:val="22"/>
          <w:szCs w:val="22"/>
        </w:rPr>
        <w:t>September 27, 2017</w:t>
      </w:r>
      <w:r w:rsidRPr="00396742">
        <w:rPr>
          <w:sz w:val="22"/>
          <w:szCs w:val="22"/>
        </w:rPr>
        <w:t xml:space="preserve">.  The Commission is requesting continued OMB approval for the information collection requirements that were approved in the Commission’s </w:t>
      </w:r>
      <w:r w:rsidR="00A83FD0" w:rsidRPr="00396742">
        <w:rPr>
          <w:sz w:val="22"/>
          <w:szCs w:val="22"/>
        </w:rPr>
        <w:t>August</w:t>
      </w:r>
      <w:r w:rsidRPr="00396742">
        <w:rPr>
          <w:sz w:val="22"/>
          <w:szCs w:val="22"/>
        </w:rPr>
        <w:t xml:space="preserve"> </w:t>
      </w:r>
      <w:r w:rsidR="00A83FD0" w:rsidRPr="00396742">
        <w:rPr>
          <w:sz w:val="22"/>
          <w:szCs w:val="22"/>
        </w:rPr>
        <w:t xml:space="preserve">2017 </w:t>
      </w:r>
      <w:r w:rsidRPr="00396742">
        <w:rPr>
          <w:sz w:val="22"/>
          <w:szCs w:val="22"/>
        </w:rPr>
        <w:t>emergency submission.</w:t>
      </w:r>
    </w:p>
    <w:p w14:paraId="72086E85" w14:textId="77777777" w:rsidR="009275BF" w:rsidRPr="00396742" w:rsidRDefault="00820420" w:rsidP="00820420">
      <w:pPr>
        <w:ind w:left="360"/>
        <w:rPr>
          <w:sz w:val="22"/>
          <w:szCs w:val="22"/>
        </w:rPr>
      </w:pPr>
      <w:r w:rsidRPr="00396742">
        <w:rPr>
          <w:sz w:val="22"/>
          <w:szCs w:val="22"/>
        </w:rPr>
        <w:t xml:space="preserve"> </w:t>
      </w:r>
    </w:p>
    <w:p w14:paraId="4884EB1D" w14:textId="77777777" w:rsidR="00DF013F" w:rsidRPr="00396742" w:rsidRDefault="0049280D" w:rsidP="00B048EA">
      <w:pPr>
        <w:ind w:left="360"/>
        <w:rPr>
          <w:sz w:val="22"/>
          <w:szCs w:val="22"/>
        </w:rPr>
      </w:pPr>
      <w:r w:rsidRPr="00396742">
        <w:rPr>
          <w:sz w:val="22"/>
          <w:szCs w:val="22"/>
        </w:rPr>
        <w:t xml:space="preserve">Statutory authority for this information collection is contained in </w:t>
      </w:r>
      <w:r w:rsidR="00D740FC" w:rsidRPr="00396742">
        <w:rPr>
          <w:sz w:val="22"/>
          <w:szCs w:val="22"/>
        </w:rPr>
        <w:t xml:space="preserve">47 U.S.C. §§ 154, 254, 303(r). </w:t>
      </w:r>
    </w:p>
    <w:p w14:paraId="2E3C88AF" w14:textId="77777777" w:rsidR="00BE5A72" w:rsidRPr="00396742" w:rsidRDefault="00BE5A72" w:rsidP="0049280D">
      <w:pPr>
        <w:rPr>
          <w:sz w:val="22"/>
          <w:szCs w:val="22"/>
        </w:rPr>
      </w:pPr>
    </w:p>
    <w:p w14:paraId="6354708C" w14:textId="77777777" w:rsidR="00242039" w:rsidRPr="00396742" w:rsidRDefault="00C97852" w:rsidP="005C41AD">
      <w:pPr>
        <w:ind w:left="360"/>
        <w:rPr>
          <w:sz w:val="22"/>
          <w:szCs w:val="22"/>
        </w:rPr>
      </w:pPr>
      <w:r w:rsidRPr="00396742">
        <w:rPr>
          <w:sz w:val="22"/>
          <w:szCs w:val="22"/>
        </w:rPr>
        <w:t>2.</w:t>
      </w:r>
      <w:r w:rsidRPr="00396742">
        <w:rPr>
          <w:sz w:val="22"/>
          <w:szCs w:val="22"/>
        </w:rPr>
        <w:tab/>
      </w:r>
      <w:r w:rsidR="0058594C" w:rsidRPr="00396742">
        <w:rPr>
          <w:i/>
          <w:sz w:val="22"/>
          <w:szCs w:val="22"/>
        </w:rPr>
        <w:t>Use of Information.</w:t>
      </w:r>
      <w:r w:rsidR="00836022" w:rsidRPr="00396742">
        <w:rPr>
          <w:sz w:val="22"/>
          <w:szCs w:val="22"/>
        </w:rPr>
        <w:t xml:space="preserve"> </w:t>
      </w:r>
      <w:r w:rsidR="00821583" w:rsidRPr="00396742">
        <w:rPr>
          <w:sz w:val="22"/>
          <w:szCs w:val="22"/>
        </w:rPr>
        <w:t xml:space="preserve"> </w:t>
      </w:r>
      <w:r w:rsidR="00A06A9E" w:rsidRPr="00396742">
        <w:rPr>
          <w:sz w:val="22"/>
          <w:szCs w:val="22"/>
        </w:rPr>
        <w:t>In identifying the specific</w:t>
      </w:r>
      <w:r w:rsidR="0071056F" w:rsidRPr="00396742">
        <w:rPr>
          <w:sz w:val="22"/>
          <w:szCs w:val="22"/>
        </w:rPr>
        <w:t xml:space="preserve"> </w:t>
      </w:r>
      <w:r w:rsidR="008A7889" w:rsidRPr="00396742">
        <w:rPr>
          <w:sz w:val="22"/>
          <w:szCs w:val="22"/>
        </w:rPr>
        <w:t>areas of the country without 4G LTE coverage</w:t>
      </w:r>
      <w:r w:rsidR="00A06A9E" w:rsidRPr="00396742">
        <w:rPr>
          <w:sz w:val="22"/>
          <w:szCs w:val="22"/>
        </w:rPr>
        <w:t xml:space="preserve"> to determin</w:t>
      </w:r>
      <w:r w:rsidR="007B087E" w:rsidRPr="00396742">
        <w:rPr>
          <w:sz w:val="22"/>
          <w:szCs w:val="22"/>
        </w:rPr>
        <w:t>e</w:t>
      </w:r>
      <w:r w:rsidR="00A06A9E" w:rsidRPr="00396742">
        <w:rPr>
          <w:sz w:val="22"/>
          <w:szCs w:val="22"/>
        </w:rPr>
        <w:t xml:space="preserve"> the areas that may require ongoing support and </w:t>
      </w:r>
      <w:r w:rsidR="007D1166" w:rsidRPr="00396742">
        <w:rPr>
          <w:sz w:val="22"/>
          <w:szCs w:val="22"/>
        </w:rPr>
        <w:t xml:space="preserve">in </w:t>
      </w:r>
      <w:r w:rsidR="00A06A9E" w:rsidRPr="00396742">
        <w:rPr>
          <w:sz w:val="22"/>
          <w:szCs w:val="22"/>
        </w:rPr>
        <w:t xml:space="preserve">examining the current </w:t>
      </w:r>
      <w:r w:rsidR="0071056F" w:rsidRPr="00396742">
        <w:rPr>
          <w:sz w:val="22"/>
          <w:szCs w:val="22"/>
        </w:rPr>
        <w:t>distribution of high-cost support to assess the efficacy of that support</w:t>
      </w:r>
      <w:r w:rsidR="00A06A9E" w:rsidRPr="00396742">
        <w:rPr>
          <w:sz w:val="22"/>
          <w:szCs w:val="22"/>
        </w:rPr>
        <w:t>, the Commission found that</w:t>
      </w:r>
      <w:r w:rsidR="0084126E" w:rsidRPr="00396742">
        <w:rPr>
          <w:sz w:val="22"/>
          <w:szCs w:val="22"/>
        </w:rPr>
        <w:t xml:space="preserve"> </w:t>
      </w:r>
      <w:r w:rsidR="00172350" w:rsidRPr="00396742">
        <w:rPr>
          <w:sz w:val="22"/>
          <w:szCs w:val="22"/>
        </w:rPr>
        <w:t xml:space="preserve">a significant amount of support being distributed to mobile providers is being directed to areas where it is not needed, </w:t>
      </w:r>
      <w:r w:rsidR="009A2A5C" w:rsidRPr="00396742">
        <w:rPr>
          <w:sz w:val="22"/>
          <w:szCs w:val="22"/>
        </w:rPr>
        <w:t>while</w:t>
      </w:r>
      <w:r w:rsidR="00172350" w:rsidRPr="00396742">
        <w:rPr>
          <w:sz w:val="22"/>
          <w:szCs w:val="22"/>
        </w:rPr>
        <w:t xml:space="preserve"> areas </w:t>
      </w:r>
      <w:r w:rsidR="007D1166" w:rsidRPr="00396742">
        <w:rPr>
          <w:sz w:val="22"/>
          <w:szCs w:val="22"/>
        </w:rPr>
        <w:t>that either lack 4G LTE</w:t>
      </w:r>
      <w:r w:rsidR="00172350" w:rsidRPr="00396742">
        <w:rPr>
          <w:sz w:val="22"/>
          <w:szCs w:val="22"/>
        </w:rPr>
        <w:t xml:space="preserve"> or </w:t>
      </w:r>
      <w:r w:rsidR="009A2A5C" w:rsidRPr="00396742">
        <w:rPr>
          <w:sz w:val="22"/>
          <w:szCs w:val="22"/>
        </w:rPr>
        <w:t xml:space="preserve"> </w:t>
      </w:r>
      <w:r w:rsidR="007D1166" w:rsidRPr="00396742">
        <w:rPr>
          <w:sz w:val="22"/>
          <w:szCs w:val="22"/>
        </w:rPr>
        <w:t xml:space="preserve">are being served only by subsidized 4G LTE providers </w:t>
      </w:r>
      <w:r w:rsidR="009A2A5C" w:rsidRPr="00396742">
        <w:rPr>
          <w:sz w:val="22"/>
          <w:szCs w:val="22"/>
        </w:rPr>
        <w:t>are not receiving necessary support</w:t>
      </w:r>
      <w:r w:rsidR="00172350" w:rsidRPr="00396742">
        <w:rPr>
          <w:sz w:val="22"/>
          <w:szCs w:val="22"/>
        </w:rPr>
        <w:t xml:space="preserve">.  </w:t>
      </w:r>
      <w:r w:rsidR="00097AAE" w:rsidRPr="00396742">
        <w:rPr>
          <w:sz w:val="22"/>
          <w:szCs w:val="22"/>
        </w:rPr>
        <w:t xml:space="preserve">The </w:t>
      </w:r>
      <w:r w:rsidR="00242039" w:rsidRPr="00396742">
        <w:rPr>
          <w:sz w:val="22"/>
          <w:szCs w:val="22"/>
        </w:rPr>
        <w:t xml:space="preserve">information </w:t>
      </w:r>
      <w:r w:rsidR="00821583" w:rsidRPr="00396742">
        <w:rPr>
          <w:sz w:val="22"/>
          <w:szCs w:val="22"/>
        </w:rPr>
        <w:t xml:space="preserve">that will be </w:t>
      </w:r>
      <w:r w:rsidR="00242039" w:rsidRPr="00396742">
        <w:rPr>
          <w:sz w:val="22"/>
          <w:szCs w:val="22"/>
        </w:rPr>
        <w:t xml:space="preserve">collected </w:t>
      </w:r>
      <w:r w:rsidR="00821583" w:rsidRPr="00396742">
        <w:rPr>
          <w:sz w:val="22"/>
          <w:szCs w:val="22"/>
        </w:rPr>
        <w:t xml:space="preserve">under this one-time data collection </w:t>
      </w:r>
      <w:r w:rsidR="00242039" w:rsidRPr="00396742">
        <w:rPr>
          <w:sz w:val="22"/>
          <w:szCs w:val="22"/>
        </w:rPr>
        <w:t xml:space="preserve">is designed to ensure </w:t>
      </w:r>
      <w:r w:rsidR="005C41AD" w:rsidRPr="00396742">
        <w:rPr>
          <w:sz w:val="22"/>
          <w:szCs w:val="22"/>
        </w:rPr>
        <w:t xml:space="preserve">that the </w:t>
      </w:r>
      <w:r w:rsidR="00030C6A" w:rsidRPr="00396742">
        <w:rPr>
          <w:sz w:val="22"/>
          <w:szCs w:val="22"/>
        </w:rPr>
        <w:t xml:space="preserve">Commission’s </w:t>
      </w:r>
      <w:r w:rsidR="005C41AD" w:rsidRPr="00396742">
        <w:rPr>
          <w:sz w:val="22"/>
          <w:szCs w:val="22"/>
        </w:rPr>
        <w:t xml:space="preserve">limited </w:t>
      </w:r>
      <w:r w:rsidR="00D25811" w:rsidRPr="00396742">
        <w:rPr>
          <w:sz w:val="22"/>
          <w:szCs w:val="22"/>
        </w:rPr>
        <w:t>MF-II</w:t>
      </w:r>
      <w:r w:rsidR="00242039" w:rsidRPr="00396742">
        <w:rPr>
          <w:sz w:val="22"/>
          <w:szCs w:val="22"/>
        </w:rPr>
        <w:t xml:space="preserve"> </w:t>
      </w:r>
      <w:r w:rsidR="005C41AD" w:rsidRPr="00396742">
        <w:rPr>
          <w:sz w:val="22"/>
          <w:szCs w:val="22"/>
        </w:rPr>
        <w:t xml:space="preserve">funds are </w:t>
      </w:r>
      <w:r w:rsidR="00346F5F" w:rsidRPr="00396742">
        <w:rPr>
          <w:sz w:val="22"/>
          <w:szCs w:val="22"/>
        </w:rPr>
        <w:t>directed toward</w:t>
      </w:r>
      <w:r w:rsidR="005C41AD" w:rsidRPr="00396742">
        <w:rPr>
          <w:sz w:val="22"/>
          <w:szCs w:val="22"/>
        </w:rPr>
        <w:t xml:space="preserve"> expanding and maintaining </w:t>
      </w:r>
      <w:r w:rsidR="00B10248" w:rsidRPr="00396742">
        <w:rPr>
          <w:sz w:val="22"/>
          <w:szCs w:val="22"/>
        </w:rPr>
        <w:t xml:space="preserve">mobile broadband </w:t>
      </w:r>
      <w:r w:rsidR="005C41AD" w:rsidRPr="00396742">
        <w:rPr>
          <w:sz w:val="22"/>
          <w:szCs w:val="22"/>
        </w:rPr>
        <w:t>service in</w:t>
      </w:r>
      <w:r w:rsidR="007466B0" w:rsidRPr="00396742">
        <w:rPr>
          <w:sz w:val="22"/>
          <w:szCs w:val="22"/>
        </w:rPr>
        <w:t xml:space="preserve"> areas so costly that private sector has not yet deployed there and to preserve such service where it might not otherwise exist absent a subsidy</w:t>
      </w:r>
      <w:r w:rsidR="00242039" w:rsidRPr="00396742">
        <w:rPr>
          <w:sz w:val="22"/>
          <w:szCs w:val="22"/>
        </w:rPr>
        <w:t xml:space="preserve">. </w:t>
      </w:r>
      <w:r w:rsidR="00B836A5" w:rsidRPr="00396742">
        <w:rPr>
          <w:sz w:val="22"/>
          <w:szCs w:val="22"/>
        </w:rPr>
        <w:t xml:space="preserve">Using the information </w:t>
      </w:r>
      <w:r w:rsidR="006F787B" w:rsidRPr="00396742">
        <w:rPr>
          <w:sz w:val="22"/>
          <w:szCs w:val="22"/>
        </w:rPr>
        <w:t xml:space="preserve">collected </w:t>
      </w:r>
      <w:r w:rsidR="00821583" w:rsidRPr="00396742">
        <w:rPr>
          <w:sz w:val="22"/>
          <w:szCs w:val="22"/>
        </w:rPr>
        <w:t xml:space="preserve">under this new, one-time data collection </w:t>
      </w:r>
      <w:r w:rsidR="001343B4" w:rsidRPr="00396742">
        <w:rPr>
          <w:sz w:val="22"/>
          <w:szCs w:val="22"/>
        </w:rPr>
        <w:t xml:space="preserve">to create the map of areas presumptively eligible for MF-II support will provide the Commission and interested parties </w:t>
      </w:r>
      <w:r w:rsidR="001343B4" w:rsidRPr="00396742">
        <w:rPr>
          <w:sz w:val="22"/>
          <w:szCs w:val="22"/>
        </w:rPr>
        <w:lastRenderedPageBreak/>
        <w:t>with the best available starting point for the challenge process</w:t>
      </w:r>
      <w:r w:rsidR="00B836A5" w:rsidRPr="00396742">
        <w:rPr>
          <w:sz w:val="22"/>
          <w:szCs w:val="22"/>
        </w:rPr>
        <w:t>, thereby furthering the Commission’s goal of targeting MF-II support to areas that lack adequate mobile voice and broadband coverage absent subsidies</w:t>
      </w:r>
      <w:r w:rsidR="006F787B" w:rsidRPr="00396742">
        <w:rPr>
          <w:sz w:val="22"/>
          <w:szCs w:val="22"/>
        </w:rPr>
        <w:t xml:space="preserve">. </w:t>
      </w:r>
    </w:p>
    <w:p w14:paraId="396E95EF" w14:textId="77777777" w:rsidR="005B1D03" w:rsidRPr="00396742" w:rsidRDefault="005B1D03" w:rsidP="005B1D03">
      <w:pPr>
        <w:rPr>
          <w:sz w:val="22"/>
          <w:szCs w:val="22"/>
        </w:rPr>
      </w:pPr>
    </w:p>
    <w:p w14:paraId="627ABAF4" w14:textId="77777777" w:rsidR="00D25811" w:rsidRPr="00396742" w:rsidRDefault="00C97852" w:rsidP="00DE0940">
      <w:pPr>
        <w:ind w:left="360"/>
        <w:rPr>
          <w:sz w:val="22"/>
          <w:szCs w:val="22"/>
        </w:rPr>
      </w:pPr>
      <w:r w:rsidRPr="00396742">
        <w:rPr>
          <w:sz w:val="22"/>
          <w:szCs w:val="22"/>
        </w:rPr>
        <w:t>3.</w:t>
      </w:r>
      <w:r w:rsidRPr="00396742">
        <w:rPr>
          <w:sz w:val="22"/>
          <w:szCs w:val="22"/>
        </w:rPr>
        <w:tab/>
      </w:r>
      <w:r w:rsidR="00C73014" w:rsidRPr="00396742">
        <w:rPr>
          <w:i/>
          <w:sz w:val="22"/>
          <w:szCs w:val="22"/>
        </w:rPr>
        <w:t xml:space="preserve">Technological collection techniques. </w:t>
      </w:r>
      <w:r w:rsidR="00821583" w:rsidRPr="00396742">
        <w:rPr>
          <w:i/>
          <w:sz w:val="22"/>
          <w:szCs w:val="22"/>
        </w:rPr>
        <w:t xml:space="preserve"> </w:t>
      </w:r>
      <w:r w:rsidR="00DE0940" w:rsidRPr="00396742">
        <w:rPr>
          <w:sz w:val="22"/>
          <w:szCs w:val="22"/>
        </w:rPr>
        <w:t xml:space="preserve">Providers required to submit information under this one-time data collection will file the required information electronically.  </w:t>
      </w:r>
      <w:r w:rsidR="00821583" w:rsidRPr="00396742">
        <w:rPr>
          <w:sz w:val="22"/>
          <w:szCs w:val="22"/>
        </w:rPr>
        <w:t xml:space="preserve">This collection mechanism is being used to reduce the technological burden on the public and the Commission.  </w:t>
      </w:r>
      <w:r w:rsidR="00552D14" w:rsidRPr="00396742">
        <w:rPr>
          <w:sz w:val="22"/>
          <w:szCs w:val="22"/>
        </w:rPr>
        <w:t>In addition, t</w:t>
      </w:r>
      <w:r w:rsidR="00DE0940" w:rsidRPr="00396742">
        <w:rPr>
          <w:sz w:val="22"/>
          <w:szCs w:val="22"/>
        </w:rPr>
        <w:t xml:space="preserve">he </w:t>
      </w:r>
      <w:r w:rsidR="00907D23" w:rsidRPr="00396742">
        <w:rPr>
          <w:sz w:val="22"/>
          <w:szCs w:val="22"/>
        </w:rPr>
        <w:t>Commission’s Wireless Telecommunications Bureau (</w:t>
      </w:r>
      <w:r w:rsidR="00DE0940" w:rsidRPr="00396742">
        <w:rPr>
          <w:sz w:val="22"/>
          <w:szCs w:val="22"/>
        </w:rPr>
        <w:t>WTB</w:t>
      </w:r>
      <w:r w:rsidR="00907D23" w:rsidRPr="00396742">
        <w:rPr>
          <w:sz w:val="22"/>
          <w:szCs w:val="22"/>
        </w:rPr>
        <w:t>)</w:t>
      </w:r>
      <w:r w:rsidR="00DE0940" w:rsidRPr="00396742">
        <w:rPr>
          <w:sz w:val="22"/>
          <w:szCs w:val="22"/>
        </w:rPr>
        <w:t xml:space="preserve"> and </w:t>
      </w:r>
      <w:r w:rsidR="00907D23" w:rsidRPr="00396742">
        <w:rPr>
          <w:sz w:val="22"/>
          <w:szCs w:val="22"/>
        </w:rPr>
        <w:t>Wireline Competition Bureau (</w:t>
      </w:r>
      <w:r w:rsidR="00DE0940" w:rsidRPr="00396742">
        <w:rPr>
          <w:sz w:val="22"/>
          <w:szCs w:val="22"/>
        </w:rPr>
        <w:t>WCB</w:t>
      </w:r>
      <w:r w:rsidR="00907D23" w:rsidRPr="00396742">
        <w:rPr>
          <w:sz w:val="22"/>
          <w:szCs w:val="22"/>
        </w:rPr>
        <w:t>)</w:t>
      </w:r>
      <w:r w:rsidR="00DE0940" w:rsidRPr="00396742">
        <w:rPr>
          <w:sz w:val="22"/>
          <w:szCs w:val="22"/>
        </w:rPr>
        <w:t xml:space="preserve"> issue</w:t>
      </w:r>
      <w:r w:rsidR="00552D14" w:rsidRPr="00396742">
        <w:rPr>
          <w:sz w:val="22"/>
          <w:szCs w:val="22"/>
        </w:rPr>
        <w:t>d</w:t>
      </w:r>
      <w:r w:rsidR="00DE0940" w:rsidRPr="00396742">
        <w:rPr>
          <w:sz w:val="22"/>
          <w:szCs w:val="22"/>
        </w:rPr>
        <w:t xml:space="preserve"> a public notice </w:t>
      </w:r>
      <w:r w:rsidR="00EB207F" w:rsidRPr="00396742">
        <w:rPr>
          <w:sz w:val="22"/>
          <w:szCs w:val="22"/>
        </w:rPr>
        <w:t xml:space="preserve">in advance of the start of period within which providers must make their filings under this information collection </w:t>
      </w:r>
      <w:r w:rsidR="00552D14" w:rsidRPr="00396742">
        <w:rPr>
          <w:sz w:val="22"/>
          <w:szCs w:val="22"/>
        </w:rPr>
        <w:t>with</w:t>
      </w:r>
      <w:r w:rsidR="00DE0940" w:rsidRPr="00396742">
        <w:rPr>
          <w:sz w:val="22"/>
          <w:szCs w:val="22"/>
        </w:rPr>
        <w:t xml:space="preserve"> instructions</w:t>
      </w:r>
      <w:r w:rsidR="00A27F8F" w:rsidRPr="00396742">
        <w:rPr>
          <w:sz w:val="22"/>
          <w:szCs w:val="22"/>
        </w:rPr>
        <w:t xml:space="preserve"> and guidance</w:t>
      </w:r>
      <w:r w:rsidR="00DE0940" w:rsidRPr="00396742">
        <w:rPr>
          <w:sz w:val="22"/>
          <w:szCs w:val="22"/>
        </w:rPr>
        <w:t xml:space="preserve"> to these providers about how to file their </w:t>
      </w:r>
      <w:r w:rsidR="00EB207F" w:rsidRPr="00396742">
        <w:rPr>
          <w:sz w:val="22"/>
          <w:szCs w:val="22"/>
        </w:rPr>
        <w:t xml:space="preserve">data </w:t>
      </w:r>
      <w:r w:rsidR="00DE0940" w:rsidRPr="00396742">
        <w:rPr>
          <w:sz w:val="22"/>
          <w:szCs w:val="22"/>
        </w:rPr>
        <w:t>submissions, including a data specification, formatting information, and any other technical parameters that may be necessary for such filings</w:t>
      </w:r>
      <w:r w:rsidR="00552D14" w:rsidRPr="00396742">
        <w:rPr>
          <w:sz w:val="22"/>
          <w:szCs w:val="22"/>
        </w:rPr>
        <w:t xml:space="preserve"> (see DA 17-926)</w:t>
      </w:r>
      <w:r w:rsidR="00DE0940" w:rsidRPr="00396742">
        <w:rPr>
          <w:sz w:val="22"/>
          <w:szCs w:val="22"/>
        </w:rPr>
        <w:t>.</w:t>
      </w:r>
      <w:r w:rsidR="00D25811" w:rsidRPr="00396742">
        <w:rPr>
          <w:sz w:val="22"/>
          <w:szCs w:val="22"/>
        </w:rPr>
        <w:t xml:space="preserve"> </w:t>
      </w:r>
    </w:p>
    <w:p w14:paraId="19630746" w14:textId="77777777" w:rsidR="002C644E" w:rsidRPr="00396742" w:rsidRDefault="002C644E" w:rsidP="00C97852">
      <w:pPr>
        <w:ind w:left="360"/>
        <w:rPr>
          <w:sz w:val="22"/>
          <w:szCs w:val="22"/>
        </w:rPr>
      </w:pPr>
    </w:p>
    <w:p w14:paraId="071AB9BC" w14:textId="77777777" w:rsidR="00540323" w:rsidRPr="00396742" w:rsidRDefault="00540323" w:rsidP="00B048EA">
      <w:pPr>
        <w:pStyle w:val="ListParagraph"/>
        <w:numPr>
          <w:ilvl w:val="0"/>
          <w:numId w:val="26"/>
        </w:numPr>
        <w:ind w:left="360" w:firstLine="0"/>
        <w:rPr>
          <w:sz w:val="22"/>
          <w:szCs w:val="22"/>
        </w:rPr>
      </w:pPr>
      <w:r w:rsidRPr="00396742">
        <w:rPr>
          <w:i/>
          <w:sz w:val="22"/>
          <w:szCs w:val="22"/>
        </w:rPr>
        <w:t>Efforts to identify duplication.</w:t>
      </w:r>
      <w:r w:rsidR="00836022" w:rsidRPr="00396742">
        <w:rPr>
          <w:i/>
          <w:sz w:val="22"/>
          <w:szCs w:val="22"/>
        </w:rPr>
        <w:t xml:space="preserve"> </w:t>
      </w:r>
      <w:r w:rsidR="00146D4A" w:rsidRPr="00396742">
        <w:rPr>
          <w:i/>
          <w:sz w:val="22"/>
          <w:szCs w:val="22"/>
        </w:rPr>
        <w:t xml:space="preserve"> </w:t>
      </w:r>
      <w:r w:rsidR="00B1109B" w:rsidRPr="00396742">
        <w:rPr>
          <w:sz w:val="22"/>
          <w:szCs w:val="22"/>
        </w:rPr>
        <w:t>There will be no duplicative information collected.</w:t>
      </w:r>
      <w:r w:rsidR="00836022" w:rsidRPr="00396742">
        <w:rPr>
          <w:sz w:val="22"/>
          <w:szCs w:val="22"/>
        </w:rPr>
        <w:t xml:space="preserve"> </w:t>
      </w:r>
      <w:r w:rsidR="00146D4A" w:rsidRPr="00396742">
        <w:rPr>
          <w:sz w:val="22"/>
          <w:szCs w:val="22"/>
        </w:rPr>
        <w:t xml:space="preserve"> </w:t>
      </w:r>
      <w:r w:rsidR="00DE0940" w:rsidRPr="00396742">
        <w:rPr>
          <w:sz w:val="22"/>
          <w:szCs w:val="22"/>
        </w:rPr>
        <w:t>This information collection is a one-time data collection with specified data parameters tailored to MF-II.  Thus, the information being collected under this collection is</w:t>
      </w:r>
      <w:r w:rsidR="00026BAB" w:rsidRPr="00396742">
        <w:rPr>
          <w:sz w:val="22"/>
          <w:szCs w:val="22"/>
        </w:rPr>
        <w:t xml:space="preserve"> not already available.  </w:t>
      </w:r>
    </w:p>
    <w:p w14:paraId="275428B5" w14:textId="77777777" w:rsidR="00C714F6" w:rsidRPr="00396742" w:rsidRDefault="00C714F6" w:rsidP="00CE3B1E">
      <w:pPr>
        <w:ind w:left="360" w:hanging="360"/>
        <w:rPr>
          <w:sz w:val="22"/>
          <w:szCs w:val="22"/>
        </w:rPr>
      </w:pPr>
    </w:p>
    <w:p w14:paraId="62AA5F33" w14:textId="77777777" w:rsidR="002C644E" w:rsidRPr="00396742" w:rsidRDefault="00C73014" w:rsidP="00B048EA">
      <w:pPr>
        <w:pStyle w:val="ListParagraph"/>
        <w:numPr>
          <w:ilvl w:val="0"/>
          <w:numId w:val="26"/>
        </w:numPr>
        <w:tabs>
          <w:tab w:val="right" w:pos="360"/>
        </w:tabs>
        <w:ind w:left="360" w:firstLine="0"/>
        <w:rPr>
          <w:sz w:val="22"/>
          <w:szCs w:val="22"/>
        </w:rPr>
      </w:pPr>
      <w:r w:rsidRPr="00396742">
        <w:rPr>
          <w:i/>
          <w:sz w:val="22"/>
          <w:szCs w:val="22"/>
        </w:rPr>
        <w:t>Impact on small entities</w:t>
      </w:r>
      <w:r w:rsidRPr="00396742">
        <w:rPr>
          <w:sz w:val="22"/>
          <w:szCs w:val="22"/>
        </w:rPr>
        <w:t>.</w:t>
      </w:r>
      <w:r w:rsidR="00836022" w:rsidRPr="00396742">
        <w:rPr>
          <w:sz w:val="22"/>
          <w:szCs w:val="22"/>
        </w:rPr>
        <w:t xml:space="preserve"> </w:t>
      </w:r>
      <w:r w:rsidR="00146D4A" w:rsidRPr="00396742">
        <w:rPr>
          <w:sz w:val="22"/>
          <w:szCs w:val="22"/>
        </w:rPr>
        <w:t xml:space="preserve"> </w:t>
      </w:r>
      <w:r w:rsidR="00B1109B" w:rsidRPr="00396742">
        <w:rPr>
          <w:sz w:val="22"/>
          <w:szCs w:val="22"/>
        </w:rPr>
        <w:t>In conformance with the Paper</w:t>
      </w:r>
      <w:r w:rsidR="00A522EC" w:rsidRPr="00396742">
        <w:rPr>
          <w:sz w:val="22"/>
          <w:szCs w:val="22"/>
        </w:rPr>
        <w:t xml:space="preserve">work Reduction Act of 1995, the </w:t>
      </w:r>
      <w:r w:rsidR="00B1109B" w:rsidRPr="00396742">
        <w:rPr>
          <w:sz w:val="22"/>
          <w:szCs w:val="22"/>
        </w:rPr>
        <w:t xml:space="preserve">Commission has made an effort to minimize the burden on all respondents regardless of size by limiting the information </w:t>
      </w:r>
      <w:r w:rsidR="00863B17" w:rsidRPr="00396742">
        <w:rPr>
          <w:sz w:val="22"/>
          <w:szCs w:val="22"/>
        </w:rPr>
        <w:t>collected</w:t>
      </w:r>
      <w:r w:rsidR="00B1109B" w:rsidRPr="00396742">
        <w:rPr>
          <w:sz w:val="22"/>
          <w:szCs w:val="22"/>
        </w:rPr>
        <w:t xml:space="preserve"> </w:t>
      </w:r>
      <w:r w:rsidR="00346F5F" w:rsidRPr="00396742">
        <w:rPr>
          <w:sz w:val="22"/>
          <w:szCs w:val="22"/>
        </w:rPr>
        <w:t xml:space="preserve">under this collection </w:t>
      </w:r>
      <w:r w:rsidR="00B1109B" w:rsidRPr="00396742">
        <w:rPr>
          <w:sz w:val="22"/>
          <w:szCs w:val="22"/>
        </w:rPr>
        <w:t xml:space="preserve">to that which is necessary to </w:t>
      </w:r>
      <w:r w:rsidR="00346F5F" w:rsidRPr="00396742">
        <w:rPr>
          <w:sz w:val="22"/>
          <w:szCs w:val="22"/>
        </w:rPr>
        <w:t xml:space="preserve">obtain </w:t>
      </w:r>
      <w:r w:rsidR="00863B17" w:rsidRPr="00396742">
        <w:rPr>
          <w:sz w:val="22"/>
          <w:szCs w:val="22"/>
        </w:rPr>
        <w:t xml:space="preserve">the data </w:t>
      </w:r>
      <w:r w:rsidR="00346F5F" w:rsidRPr="00396742">
        <w:rPr>
          <w:sz w:val="22"/>
          <w:szCs w:val="22"/>
        </w:rPr>
        <w:t>needed</w:t>
      </w:r>
      <w:r w:rsidR="00863B17" w:rsidRPr="00396742">
        <w:rPr>
          <w:sz w:val="22"/>
          <w:szCs w:val="22"/>
        </w:rPr>
        <w:t xml:space="preserve"> to </w:t>
      </w:r>
      <w:r w:rsidR="00DE0940" w:rsidRPr="00396742">
        <w:rPr>
          <w:sz w:val="22"/>
          <w:szCs w:val="22"/>
        </w:rPr>
        <w:t>create the</w:t>
      </w:r>
      <w:r w:rsidR="00E53F6B" w:rsidRPr="00396742">
        <w:rPr>
          <w:sz w:val="22"/>
          <w:szCs w:val="22"/>
        </w:rPr>
        <w:t xml:space="preserve"> map </w:t>
      </w:r>
      <w:r w:rsidR="00863B17" w:rsidRPr="00396742">
        <w:rPr>
          <w:sz w:val="22"/>
          <w:szCs w:val="22"/>
        </w:rPr>
        <w:t>of areas</w:t>
      </w:r>
      <w:r w:rsidR="00E53F6B" w:rsidRPr="00396742">
        <w:rPr>
          <w:sz w:val="22"/>
          <w:szCs w:val="22"/>
        </w:rPr>
        <w:t xml:space="preserve"> presumptively</w:t>
      </w:r>
      <w:r w:rsidR="00863B17" w:rsidRPr="00396742">
        <w:rPr>
          <w:sz w:val="22"/>
          <w:szCs w:val="22"/>
        </w:rPr>
        <w:t xml:space="preserve"> eligible for MF</w:t>
      </w:r>
      <w:r w:rsidR="00D25811" w:rsidRPr="00396742">
        <w:rPr>
          <w:sz w:val="22"/>
          <w:szCs w:val="22"/>
        </w:rPr>
        <w:t>-</w:t>
      </w:r>
      <w:r w:rsidR="00863B17" w:rsidRPr="00396742">
        <w:rPr>
          <w:sz w:val="22"/>
          <w:szCs w:val="22"/>
        </w:rPr>
        <w:t xml:space="preserve">II support. </w:t>
      </w:r>
      <w:r w:rsidR="00146D4A" w:rsidRPr="00396742">
        <w:rPr>
          <w:sz w:val="22"/>
          <w:szCs w:val="22"/>
        </w:rPr>
        <w:t xml:space="preserve"> </w:t>
      </w:r>
      <w:r w:rsidR="00EA249A" w:rsidRPr="00396742">
        <w:rPr>
          <w:sz w:val="22"/>
          <w:szCs w:val="22"/>
        </w:rPr>
        <w:t>Moreover, t</w:t>
      </w:r>
      <w:r w:rsidR="00D25811" w:rsidRPr="00396742">
        <w:rPr>
          <w:sz w:val="22"/>
          <w:szCs w:val="22"/>
        </w:rPr>
        <w:t xml:space="preserve">he </w:t>
      </w:r>
      <w:r w:rsidR="00B10248" w:rsidRPr="00396742">
        <w:rPr>
          <w:sz w:val="22"/>
          <w:szCs w:val="22"/>
        </w:rPr>
        <w:t xml:space="preserve">requirement to submit information under this collection is limited to only those providers that previously reported 4G LTE coverage </w:t>
      </w:r>
      <w:r w:rsidR="00585220" w:rsidRPr="00396742">
        <w:rPr>
          <w:sz w:val="22"/>
          <w:szCs w:val="22"/>
        </w:rPr>
        <w:t>i</w:t>
      </w:r>
      <w:r w:rsidR="00B10248" w:rsidRPr="00396742">
        <w:rPr>
          <w:sz w:val="22"/>
          <w:szCs w:val="22"/>
        </w:rPr>
        <w:t xml:space="preserve">n their FCC Form 477 filings and have qualified 4G LTE coverage. </w:t>
      </w:r>
      <w:r w:rsidR="00A27F8F" w:rsidRPr="00396742">
        <w:rPr>
          <w:sz w:val="22"/>
          <w:szCs w:val="22"/>
        </w:rPr>
        <w:t xml:space="preserve"> </w:t>
      </w:r>
      <w:r w:rsidR="00473F12" w:rsidRPr="00396742">
        <w:rPr>
          <w:sz w:val="22"/>
          <w:szCs w:val="22"/>
        </w:rPr>
        <w:t xml:space="preserve">In addition, the WTB and </w:t>
      </w:r>
      <w:r w:rsidR="00CB7B71" w:rsidRPr="00396742">
        <w:rPr>
          <w:sz w:val="22"/>
          <w:szCs w:val="22"/>
        </w:rPr>
        <w:t>W</w:t>
      </w:r>
      <w:r w:rsidR="00473F12" w:rsidRPr="00396742">
        <w:rPr>
          <w:sz w:val="22"/>
          <w:szCs w:val="22"/>
        </w:rPr>
        <w:t>CB issue</w:t>
      </w:r>
      <w:r w:rsidR="00907D23" w:rsidRPr="00396742">
        <w:rPr>
          <w:sz w:val="22"/>
          <w:szCs w:val="22"/>
        </w:rPr>
        <w:t>d</w:t>
      </w:r>
      <w:r w:rsidR="00473F12" w:rsidRPr="00396742">
        <w:rPr>
          <w:sz w:val="22"/>
          <w:szCs w:val="22"/>
        </w:rPr>
        <w:t xml:space="preserve"> a </w:t>
      </w:r>
      <w:r w:rsidR="00D25811" w:rsidRPr="00396742">
        <w:rPr>
          <w:sz w:val="22"/>
          <w:szCs w:val="22"/>
        </w:rPr>
        <w:t xml:space="preserve">public notice </w:t>
      </w:r>
      <w:r w:rsidR="00A27F8F" w:rsidRPr="00396742">
        <w:rPr>
          <w:sz w:val="22"/>
          <w:szCs w:val="22"/>
        </w:rPr>
        <w:t xml:space="preserve">in advance of the start of period within which providers must make their filings under this information collection </w:t>
      </w:r>
      <w:r w:rsidR="00907D23" w:rsidRPr="00396742">
        <w:rPr>
          <w:sz w:val="22"/>
          <w:szCs w:val="22"/>
        </w:rPr>
        <w:t>with</w:t>
      </w:r>
      <w:r w:rsidR="00D25811" w:rsidRPr="00396742">
        <w:rPr>
          <w:sz w:val="22"/>
          <w:szCs w:val="22"/>
        </w:rPr>
        <w:t xml:space="preserve"> instructions </w:t>
      </w:r>
      <w:r w:rsidR="00B10248" w:rsidRPr="00396742">
        <w:rPr>
          <w:sz w:val="22"/>
          <w:szCs w:val="22"/>
        </w:rPr>
        <w:t xml:space="preserve">and guidance to such providers </w:t>
      </w:r>
      <w:r w:rsidR="00D25811" w:rsidRPr="00396742">
        <w:rPr>
          <w:sz w:val="22"/>
          <w:szCs w:val="22"/>
        </w:rPr>
        <w:t xml:space="preserve">about how to </w:t>
      </w:r>
      <w:r w:rsidR="00A27F8F" w:rsidRPr="00396742">
        <w:rPr>
          <w:sz w:val="22"/>
          <w:szCs w:val="22"/>
        </w:rPr>
        <w:t xml:space="preserve">file </w:t>
      </w:r>
      <w:r w:rsidR="00D25811" w:rsidRPr="00396742">
        <w:rPr>
          <w:sz w:val="22"/>
          <w:szCs w:val="22"/>
        </w:rPr>
        <w:t>the</w:t>
      </w:r>
      <w:r w:rsidR="00A27F8F" w:rsidRPr="00396742">
        <w:rPr>
          <w:sz w:val="22"/>
          <w:szCs w:val="22"/>
        </w:rPr>
        <w:t>ir data submissions</w:t>
      </w:r>
      <w:r w:rsidR="00B10248" w:rsidRPr="00396742">
        <w:rPr>
          <w:sz w:val="22"/>
          <w:szCs w:val="22"/>
        </w:rPr>
        <w:t>,</w:t>
      </w:r>
      <w:r w:rsidR="00D25811" w:rsidRPr="00396742">
        <w:rPr>
          <w:sz w:val="22"/>
          <w:szCs w:val="22"/>
        </w:rPr>
        <w:t xml:space="preserve"> thereby </w:t>
      </w:r>
      <w:r w:rsidR="006C4797" w:rsidRPr="00396742">
        <w:rPr>
          <w:sz w:val="22"/>
          <w:szCs w:val="22"/>
        </w:rPr>
        <w:t xml:space="preserve">further </w:t>
      </w:r>
      <w:r w:rsidR="00D25811" w:rsidRPr="00396742">
        <w:rPr>
          <w:sz w:val="22"/>
          <w:szCs w:val="22"/>
        </w:rPr>
        <w:t>mi</w:t>
      </w:r>
      <w:r w:rsidR="009152B7" w:rsidRPr="00396742">
        <w:rPr>
          <w:sz w:val="22"/>
          <w:szCs w:val="22"/>
        </w:rPr>
        <w:t>nimizing the burden on all respondent</w:t>
      </w:r>
      <w:r w:rsidR="00D25811" w:rsidRPr="00396742">
        <w:rPr>
          <w:sz w:val="22"/>
          <w:szCs w:val="22"/>
        </w:rPr>
        <w:t xml:space="preserve">s, including small entities, related to this one-time data collection. </w:t>
      </w:r>
    </w:p>
    <w:p w14:paraId="3D131140" w14:textId="77777777" w:rsidR="002C644E" w:rsidRPr="00396742" w:rsidRDefault="002C644E" w:rsidP="002C644E">
      <w:pPr>
        <w:rPr>
          <w:sz w:val="22"/>
          <w:szCs w:val="22"/>
        </w:rPr>
      </w:pPr>
    </w:p>
    <w:p w14:paraId="1F89A968" w14:textId="77777777" w:rsidR="00B453A5" w:rsidRPr="00396742" w:rsidRDefault="00C73014" w:rsidP="00E60172">
      <w:pPr>
        <w:numPr>
          <w:ilvl w:val="0"/>
          <w:numId w:val="5"/>
        </w:numPr>
        <w:tabs>
          <w:tab w:val="clear" w:pos="1080"/>
          <w:tab w:val="num" w:pos="360"/>
        </w:tabs>
        <w:ind w:left="360" w:firstLine="0"/>
        <w:rPr>
          <w:sz w:val="22"/>
          <w:szCs w:val="22"/>
        </w:rPr>
      </w:pPr>
      <w:r w:rsidRPr="00396742">
        <w:rPr>
          <w:i/>
          <w:sz w:val="22"/>
          <w:szCs w:val="22"/>
        </w:rPr>
        <w:t>Consequences if information is not collected.</w:t>
      </w:r>
      <w:r w:rsidR="00836022" w:rsidRPr="00396742">
        <w:rPr>
          <w:i/>
          <w:sz w:val="22"/>
          <w:szCs w:val="22"/>
        </w:rPr>
        <w:t xml:space="preserve"> </w:t>
      </w:r>
      <w:r w:rsidR="00146D4A" w:rsidRPr="00396742">
        <w:rPr>
          <w:i/>
          <w:sz w:val="22"/>
          <w:szCs w:val="22"/>
        </w:rPr>
        <w:t xml:space="preserve"> </w:t>
      </w:r>
      <w:r w:rsidR="00872529" w:rsidRPr="00396742">
        <w:rPr>
          <w:sz w:val="22"/>
          <w:szCs w:val="22"/>
        </w:rPr>
        <w:t xml:space="preserve">As the Commission noted in the </w:t>
      </w:r>
      <w:r w:rsidR="00872529" w:rsidRPr="00396742">
        <w:rPr>
          <w:i/>
          <w:iCs/>
          <w:sz w:val="22"/>
          <w:szCs w:val="22"/>
        </w:rPr>
        <w:t>Order on Reconsideration and Second Report and Order</w:t>
      </w:r>
      <w:r w:rsidR="00872529" w:rsidRPr="00396742">
        <w:rPr>
          <w:sz w:val="22"/>
          <w:szCs w:val="22"/>
        </w:rPr>
        <w:t>, w</w:t>
      </w:r>
      <w:r w:rsidR="00B453A5" w:rsidRPr="00396742">
        <w:rPr>
          <w:sz w:val="22"/>
          <w:szCs w:val="22"/>
        </w:rPr>
        <w:t xml:space="preserve">hile the mobile deployment data collected on FCC Form 477 represent an improvement over the deployment data previously available on a national scale, the various uses of the FCC Form 477 broadband deployment data identified by the Commission </w:t>
      </w:r>
      <w:r w:rsidR="0000003B" w:rsidRPr="00396742">
        <w:rPr>
          <w:sz w:val="22"/>
          <w:szCs w:val="22"/>
        </w:rPr>
        <w:t xml:space="preserve">to date </w:t>
      </w:r>
      <w:r w:rsidR="00B453A5" w:rsidRPr="00396742">
        <w:rPr>
          <w:sz w:val="22"/>
          <w:szCs w:val="22"/>
        </w:rPr>
        <w:t xml:space="preserve">do not include determining areas eligible for MF-II.  </w:t>
      </w:r>
      <w:r w:rsidR="0000003B" w:rsidRPr="00396742">
        <w:rPr>
          <w:sz w:val="22"/>
          <w:szCs w:val="22"/>
        </w:rPr>
        <w:t xml:space="preserve">This </w:t>
      </w:r>
      <w:r w:rsidR="004E6870" w:rsidRPr="00396742">
        <w:rPr>
          <w:sz w:val="22"/>
          <w:szCs w:val="22"/>
        </w:rPr>
        <w:t xml:space="preserve">concern </w:t>
      </w:r>
      <w:r w:rsidR="001E74AF" w:rsidRPr="00396742">
        <w:rPr>
          <w:sz w:val="22"/>
          <w:szCs w:val="22"/>
        </w:rPr>
        <w:t>prompted</w:t>
      </w:r>
      <w:r w:rsidR="004E6870" w:rsidRPr="00396742">
        <w:rPr>
          <w:sz w:val="22"/>
          <w:szCs w:val="22"/>
        </w:rPr>
        <w:t xml:space="preserve"> the</w:t>
      </w:r>
      <w:r w:rsidR="00872529" w:rsidRPr="00396742">
        <w:rPr>
          <w:sz w:val="22"/>
          <w:szCs w:val="22"/>
        </w:rPr>
        <w:t xml:space="preserve"> </w:t>
      </w:r>
      <w:r w:rsidR="0063073C" w:rsidRPr="00396742">
        <w:rPr>
          <w:sz w:val="22"/>
          <w:szCs w:val="22"/>
        </w:rPr>
        <w:t xml:space="preserve">filing of the </w:t>
      </w:r>
      <w:r w:rsidR="0000003B" w:rsidRPr="00396742">
        <w:rPr>
          <w:sz w:val="22"/>
          <w:szCs w:val="22"/>
        </w:rPr>
        <w:t xml:space="preserve">petition for reconsideration of the </w:t>
      </w:r>
      <w:r w:rsidR="00872529" w:rsidRPr="00396742">
        <w:rPr>
          <w:sz w:val="22"/>
          <w:szCs w:val="22"/>
        </w:rPr>
        <w:t>Commission’s decision to use FCC Form 477 data as the basis for determining areas presumptively eligible for MF-II support</w:t>
      </w:r>
      <w:r w:rsidR="0000003B" w:rsidRPr="00396742">
        <w:rPr>
          <w:i/>
          <w:sz w:val="22"/>
          <w:szCs w:val="22"/>
        </w:rPr>
        <w:t xml:space="preserve"> </w:t>
      </w:r>
      <w:r w:rsidR="0000003B" w:rsidRPr="00396742">
        <w:rPr>
          <w:sz w:val="22"/>
          <w:szCs w:val="22"/>
        </w:rPr>
        <w:t xml:space="preserve">and </w:t>
      </w:r>
      <w:r w:rsidR="00EA249A" w:rsidRPr="00396742">
        <w:rPr>
          <w:sz w:val="22"/>
          <w:szCs w:val="22"/>
        </w:rPr>
        <w:t xml:space="preserve">the </w:t>
      </w:r>
      <w:r w:rsidR="0000003B" w:rsidRPr="00396742">
        <w:rPr>
          <w:sz w:val="22"/>
          <w:szCs w:val="22"/>
        </w:rPr>
        <w:t xml:space="preserve">industry consensus proposal </w:t>
      </w:r>
      <w:r w:rsidR="00872529" w:rsidRPr="00396742">
        <w:rPr>
          <w:sz w:val="22"/>
          <w:szCs w:val="22"/>
        </w:rPr>
        <w:t xml:space="preserve">asking </w:t>
      </w:r>
      <w:r w:rsidR="00EA249A" w:rsidRPr="00396742">
        <w:rPr>
          <w:sz w:val="22"/>
          <w:szCs w:val="22"/>
        </w:rPr>
        <w:t>the Commission</w:t>
      </w:r>
      <w:r w:rsidR="0063073C" w:rsidRPr="00396742">
        <w:rPr>
          <w:sz w:val="22"/>
          <w:szCs w:val="22"/>
        </w:rPr>
        <w:t xml:space="preserve"> to</w:t>
      </w:r>
      <w:r w:rsidR="00EA249A" w:rsidRPr="00396742">
        <w:rPr>
          <w:sz w:val="22"/>
          <w:szCs w:val="22"/>
        </w:rPr>
        <w:t xml:space="preserve"> undertake a new, one-time data collection with specified data parameters tailored to MF-II</w:t>
      </w:r>
      <w:r w:rsidR="006A35A9" w:rsidRPr="00396742">
        <w:rPr>
          <w:sz w:val="22"/>
          <w:szCs w:val="22"/>
        </w:rPr>
        <w:t xml:space="preserve"> to be used for that purpose</w:t>
      </w:r>
      <w:r w:rsidR="00EA249A" w:rsidRPr="00396742">
        <w:rPr>
          <w:sz w:val="22"/>
          <w:szCs w:val="22"/>
        </w:rPr>
        <w:t xml:space="preserve">.  </w:t>
      </w:r>
      <w:r w:rsidR="00B453A5" w:rsidRPr="00396742">
        <w:rPr>
          <w:sz w:val="22"/>
          <w:szCs w:val="22"/>
        </w:rPr>
        <w:t>Creating the map of areas presumptively el</w:t>
      </w:r>
      <w:r w:rsidR="00EA34F8" w:rsidRPr="00396742">
        <w:rPr>
          <w:sz w:val="22"/>
          <w:szCs w:val="22"/>
        </w:rPr>
        <w:t>igible for MF-II support using data</w:t>
      </w:r>
      <w:r w:rsidR="00B453A5" w:rsidRPr="00396742">
        <w:rPr>
          <w:sz w:val="22"/>
          <w:szCs w:val="22"/>
        </w:rPr>
        <w:t xml:space="preserve"> specifically tailored </w:t>
      </w:r>
      <w:r w:rsidR="00CA0709" w:rsidRPr="00396742">
        <w:rPr>
          <w:sz w:val="22"/>
          <w:szCs w:val="22"/>
        </w:rPr>
        <w:t>to</w:t>
      </w:r>
      <w:r w:rsidR="00B453A5" w:rsidRPr="00396742">
        <w:rPr>
          <w:sz w:val="22"/>
          <w:szCs w:val="22"/>
        </w:rPr>
        <w:t xml:space="preserve"> MF-II under this information collection will provide the Commission and interested parties with the best available starting point for the challenge process, resulting in fewer and more narrowly-focused challenges regarding representations of coverage.  Without </w:t>
      </w:r>
      <w:r w:rsidR="00276C84" w:rsidRPr="00396742">
        <w:rPr>
          <w:sz w:val="22"/>
          <w:szCs w:val="22"/>
        </w:rPr>
        <w:t>the</w:t>
      </w:r>
      <w:r w:rsidR="00B453A5" w:rsidRPr="00396742">
        <w:rPr>
          <w:sz w:val="22"/>
          <w:szCs w:val="22"/>
        </w:rPr>
        <w:t xml:space="preserve"> data</w:t>
      </w:r>
      <w:r w:rsidR="00276C84" w:rsidRPr="00396742">
        <w:rPr>
          <w:sz w:val="22"/>
          <w:szCs w:val="22"/>
        </w:rPr>
        <w:t xml:space="preserve"> collected under this information collection</w:t>
      </w:r>
      <w:r w:rsidR="00B453A5" w:rsidRPr="00396742">
        <w:rPr>
          <w:sz w:val="22"/>
          <w:szCs w:val="22"/>
        </w:rPr>
        <w:t xml:space="preserve">, the challenge process will be significantly longer and less efficient, </w:t>
      </w:r>
      <w:r w:rsidR="00B453A5" w:rsidRPr="00396742">
        <w:rPr>
          <w:bCs/>
          <w:sz w:val="22"/>
          <w:szCs w:val="22"/>
        </w:rPr>
        <w:t>which would substantially delay completing the challenge process, establishing the final map of areas eligible for MF-II support and, ultimately, the start of the MF-II auction process—resulting in a corresponding delay in the distribution of MF-II support and harm to the program and the public.</w:t>
      </w:r>
    </w:p>
    <w:p w14:paraId="7F34B67F" w14:textId="77777777" w:rsidR="00C71F39" w:rsidRPr="00396742" w:rsidRDefault="00C71F39" w:rsidP="00CE3B1E">
      <w:pPr>
        <w:tabs>
          <w:tab w:val="num" w:pos="360"/>
        </w:tabs>
        <w:ind w:left="360" w:hanging="360"/>
        <w:rPr>
          <w:sz w:val="22"/>
          <w:szCs w:val="22"/>
        </w:rPr>
      </w:pPr>
    </w:p>
    <w:p w14:paraId="244A1D6D" w14:textId="77777777" w:rsidR="002C644E" w:rsidRPr="00396742" w:rsidRDefault="002C644E" w:rsidP="00C97852">
      <w:pPr>
        <w:tabs>
          <w:tab w:val="num" w:pos="360"/>
        </w:tabs>
        <w:ind w:left="360"/>
        <w:rPr>
          <w:sz w:val="22"/>
          <w:szCs w:val="22"/>
        </w:rPr>
      </w:pPr>
      <w:r w:rsidRPr="00396742">
        <w:rPr>
          <w:sz w:val="22"/>
          <w:szCs w:val="22"/>
        </w:rPr>
        <w:t>7.</w:t>
      </w:r>
      <w:r w:rsidR="006B7D65" w:rsidRPr="00396742">
        <w:rPr>
          <w:sz w:val="22"/>
          <w:szCs w:val="22"/>
        </w:rPr>
        <w:tab/>
      </w:r>
      <w:r w:rsidR="00C73014" w:rsidRPr="00396742">
        <w:rPr>
          <w:i/>
          <w:sz w:val="22"/>
          <w:szCs w:val="22"/>
        </w:rPr>
        <w:t>Special circumstances.</w:t>
      </w:r>
      <w:r w:rsidR="00836022" w:rsidRPr="00396742">
        <w:rPr>
          <w:sz w:val="22"/>
          <w:szCs w:val="22"/>
        </w:rPr>
        <w:t xml:space="preserve"> </w:t>
      </w:r>
      <w:r w:rsidR="00146D4A" w:rsidRPr="00396742">
        <w:rPr>
          <w:sz w:val="22"/>
          <w:szCs w:val="22"/>
        </w:rPr>
        <w:t xml:space="preserve"> </w:t>
      </w:r>
      <w:r w:rsidR="00E34D9A" w:rsidRPr="00396742">
        <w:rPr>
          <w:sz w:val="22"/>
          <w:szCs w:val="22"/>
        </w:rPr>
        <w:t>Th</w:t>
      </w:r>
      <w:r w:rsidR="00C046ED" w:rsidRPr="00396742">
        <w:rPr>
          <w:sz w:val="22"/>
          <w:szCs w:val="22"/>
        </w:rPr>
        <w:t>is</w:t>
      </w:r>
      <w:r w:rsidR="00E34D9A" w:rsidRPr="00396742">
        <w:rPr>
          <w:sz w:val="22"/>
          <w:szCs w:val="22"/>
        </w:rPr>
        <w:t xml:space="preserve"> </w:t>
      </w:r>
      <w:r w:rsidR="00C046ED" w:rsidRPr="00396742">
        <w:rPr>
          <w:sz w:val="22"/>
          <w:szCs w:val="22"/>
        </w:rPr>
        <w:t>information</w:t>
      </w:r>
      <w:r w:rsidR="00414DB5" w:rsidRPr="00396742">
        <w:rPr>
          <w:sz w:val="22"/>
          <w:szCs w:val="22"/>
        </w:rPr>
        <w:t xml:space="preserve"> </w:t>
      </w:r>
      <w:r w:rsidR="004F4367" w:rsidRPr="00396742">
        <w:rPr>
          <w:sz w:val="22"/>
          <w:szCs w:val="22"/>
        </w:rPr>
        <w:t>collection</w:t>
      </w:r>
      <w:r w:rsidR="00C046ED" w:rsidRPr="00396742">
        <w:rPr>
          <w:sz w:val="22"/>
          <w:szCs w:val="22"/>
        </w:rPr>
        <w:t xml:space="preserve"> as currently approved</w:t>
      </w:r>
      <w:r w:rsidR="00E34D9A" w:rsidRPr="00396742">
        <w:rPr>
          <w:sz w:val="22"/>
          <w:szCs w:val="22"/>
        </w:rPr>
        <w:t xml:space="preserve"> does not have any of the characteristics that would require separate justification under 5 C.F.R. § 1320.5(d)(2).</w:t>
      </w:r>
    </w:p>
    <w:p w14:paraId="4A5798AB" w14:textId="77777777" w:rsidR="00C73014" w:rsidRPr="00396742" w:rsidRDefault="00C73014" w:rsidP="00CE3B1E">
      <w:pPr>
        <w:tabs>
          <w:tab w:val="num" w:pos="360"/>
        </w:tabs>
        <w:ind w:left="360" w:hanging="360"/>
        <w:rPr>
          <w:sz w:val="22"/>
          <w:szCs w:val="22"/>
        </w:rPr>
      </w:pPr>
    </w:p>
    <w:p w14:paraId="0B097479" w14:textId="3250CA87" w:rsidR="006709CE" w:rsidRPr="00396742" w:rsidRDefault="00971F8A" w:rsidP="006709CE">
      <w:r w:rsidRPr="00396742">
        <w:rPr>
          <w:sz w:val="22"/>
          <w:szCs w:val="22"/>
        </w:rPr>
        <w:t>8.</w:t>
      </w:r>
      <w:r w:rsidRPr="00396742">
        <w:rPr>
          <w:sz w:val="22"/>
          <w:szCs w:val="22"/>
        </w:rPr>
        <w:tab/>
      </w:r>
      <w:bookmarkStart w:id="1" w:name="_Hlk501443905"/>
      <w:r w:rsidR="00EC775C" w:rsidRPr="00396742">
        <w:rPr>
          <w:i/>
          <w:iCs/>
          <w:sz w:val="22"/>
          <w:szCs w:val="22"/>
        </w:rPr>
        <w:t>Federal Register notice; efforts to consult with persons outside the</w:t>
      </w:r>
      <w:r w:rsidR="003F5EB6" w:rsidRPr="00396742">
        <w:rPr>
          <w:i/>
          <w:iCs/>
          <w:sz w:val="22"/>
          <w:szCs w:val="22"/>
        </w:rPr>
        <w:t xml:space="preserve"> Commission.</w:t>
      </w:r>
      <w:r w:rsidR="00146D4A" w:rsidRPr="00396742">
        <w:rPr>
          <w:iCs/>
          <w:sz w:val="22"/>
          <w:szCs w:val="22"/>
        </w:rPr>
        <w:t xml:space="preserve"> </w:t>
      </w:r>
      <w:r w:rsidR="00836022" w:rsidRPr="00396742">
        <w:rPr>
          <w:i/>
          <w:iCs/>
          <w:sz w:val="22"/>
          <w:szCs w:val="22"/>
        </w:rPr>
        <w:t xml:space="preserve"> </w:t>
      </w:r>
      <w:r w:rsidR="008253ED" w:rsidRPr="00396742">
        <w:rPr>
          <w:sz w:val="22"/>
          <w:szCs w:val="22"/>
        </w:rPr>
        <w:t>Pursuant to 5 C.F.R. § 1320.8,</w:t>
      </w:r>
      <w:r w:rsidR="00EC775C" w:rsidRPr="00396742">
        <w:rPr>
          <w:sz w:val="22"/>
          <w:szCs w:val="22"/>
        </w:rPr>
        <w:t xml:space="preserve"> the Commission </w:t>
      </w:r>
      <w:r w:rsidR="008253ED" w:rsidRPr="00396742">
        <w:rPr>
          <w:sz w:val="22"/>
          <w:szCs w:val="22"/>
        </w:rPr>
        <w:t>published a</w:t>
      </w:r>
      <w:r w:rsidR="00EC775C" w:rsidRPr="00396742">
        <w:rPr>
          <w:sz w:val="22"/>
          <w:szCs w:val="22"/>
        </w:rPr>
        <w:t xml:space="preserve"> </w:t>
      </w:r>
      <w:r w:rsidR="006C4797" w:rsidRPr="00396742">
        <w:rPr>
          <w:sz w:val="22"/>
          <w:szCs w:val="22"/>
        </w:rPr>
        <w:t>60</w:t>
      </w:r>
      <w:r w:rsidR="00EC775C" w:rsidRPr="00396742">
        <w:rPr>
          <w:sz w:val="22"/>
          <w:szCs w:val="22"/>
        </w:rPr>
        <w:t xml:space="preserve">-day notice </w:t>
      </w:r>
      <w:r w:rsidR="003F5EB6" w:rsidRPr="00396742">
        <w:rPr>
          <w:sz w:val="22"/>
          <w:szCs w:val="22"/>
        </w:rPr>
        <w:t xml:space="preserve">in the Federal Register </w:t>
      </w:r>
      <w:r w:rsidR="008253ED" w:rsidRPr="00396742">
        <w:rPr>
          <w:sz w:val="22"/>
          <w:szCs w:val="22"/>
        </w:rPr>
        <w:t>regarding the extension of the</w:t>
      </w:r>
      <w:r w:rsidR="003F5EB6" w:rsidRPr="00396742">
        <w:rPr>
          <w:sz w:val="22"/>
          <w:szCs w:val="22"/>
        </w:rPr>
        <w:t xml:space="preserve"> information collection </w:t>
      </w:r>
      <w:r w:rsidR="008253ED" w:rsidRPr="00396742">
        <w:rPr>
          <w:sz w:val="22"/>
          <w:szCs w:val="22"/>
        </w:rPr>
        <w:t>requirements under OMB Control Number 3060-1242</w:t>
      </w:r>
      <w:r w:rsidR="006709CE" w:rsidRPr="00396742">
        <w:rPr>
          <w:sz w:val="22"/>
          <w:szCs w:val="22"/>
        </w:rPr>
        <w:t xml:space="preserve"> prior to its submitting its extension request to OMB</w:t>
      </w:r>
      <w:r w:rsidR="00EC775C" w:rsidRPr="00396742">
        <w:rPr>
          <w:sz w:val="22"/>
          <w:szCs w:val="22"/>
        </w:rPr>
        <w:t>.</w:t>
      </w:r>
      <w:r w:rsidR="006709CE" w:rsidRPr="00396742">
        <w:rPr>
          <w:rStyle w:val="FootnoteReference"/>
          <w:szCs w:val="22"/>
        </w:rPr>
        <w:footnoteReference w:id="3"/>
      </w:r>
      <w:r w:rsidR="00836022" w:rsidRPr="00396742">
        <w:rPr>
          <w:sz w:val="22"/>
          <w:szCs w:val="22"/>
        </w:rPr>
        <w:t xml:space="preserve"> </w:t>
      </w:r>
      <w:r w:rsidR="00902774" w:rsidRPr="00396742">
        <w:rPr>
          <w:sz w:val="22"/>
          <w:szCs w:val="22"/>
        </w:rPr>
        <w:t xml:space="preserve"> </w:t>
      </w:r>
      <w:bookmarkEnd w:id="1"/>
      <w:r w:rsidR="006709CE" w:rsidRPr="00396742">
        <w:rPr>
          <w:sz w:val="22"/>
          <w:szCs w:val="22"/>
        </w:rPr>
        <w:t>Competitive Carrier Association (CCA) filed</w:t>
      </w:r>
      <w:r w:rsidR="00902774" w:rsidRPr="00396742">
        <w:rPr>
          <w:sz w:val="22"/>
          <w:szCs w:val="22"/>
        </w:rPr>
        <w:t xml:space="preserve"> comments in response to this notice</w:t>
      </w:r>
      <w:r w:rsidR="00502A3D" w:rsidRPr="00396742">
        <w:rPr>
          <w:sz w:val="22"/>
          <w:szCs w:val="22"/>
        </w:rPr>
        <w:t>.</w:t>
      </w:r>
      <w:r w:rsidR="006709CE" w:rsidRPr="00396742">
        <w:rPr>
          <w:rStyle w:val="FootnoteReference"/>
          <w:szCs w:val="22"/>
        </w:rPr>
        <w:footnoteReference w:id="4"/>
      </w:r>
      <w:r w:rsidR="006709CE" w:rsidRPr="00396742">
        <w:rPr>
          <w:sz w:val="22"/>
          <w:szCs w:val="22"/>
        </w:rPr>
        <w:t xml:space="preserve">  In its comments, CCA states that the Commission’s time and resource estimates for this information collection do not reflect a realistic understanding of the burdens associated with this data collection and should be adjusted before they are submitted to OMB</w:t>
      </w:r>
      <w:r w:rsidR="009D11B3" w:rsidRPr="00396742">
        <w:rPr>
          <w:sz w:val="22"/>
          <w:szCs w:val="22"/>
        </w:rPr>
        <w:t>.</w:t>
      </w:r>
      <w:r w:rsidR="006709CE" w:rsidRPr="00396742">
        <w:rPr>
          <w:rStyle w:val="FootnoteReference"/>
          <w:szCs w:val="22"/>
        </w:rPr>
        <w:footnoteReference w:id="5"/>
      </w:r>
      <w:r w:rsidR="00845A42" w:rsidRPr="00396742">
        <w:rPr>
          <w:sz w:val="22"/>
          <w:szCs w:val="22"/>
        </w:rPr>
        <w:t xml:space="preserve">  </w:t>
      </w:r>
      <w:r w:rsidR="009D11B3" w:rsidRPr="00396742">
        <w:rPr>
          <w:sz w:val="22"/>
          <w:szCs w:val="22"/>
        </w:rPr>
        <w:t xml:space="preserve">CCA also </w:t>
      </w:r>
      <w:r w:rsidR="006709CE" w:rsidRPr="00396742">
        <w:rPr>
          <w:sz w:val="22"/>
          <w:szCs w:val="22"/>
        </w:rPr>
        <w:t xml:space="preserve">advocates </w:t>
      </w:r>
      <w:r w:rsidR="00FA0B07" w:rsidRPr="00396742">
        <w:rPr>
          <w:sz w:val="22"/>
          <w:szCs w:val="22"/>
        </w:rPr>
        <w:t xml:space="preserve">for </w:t>
      </w:r>
      <w:r w:rsidR="006709CE" w:rsidRPr="00396742">
        <w:rPr>
          <w:sz w:val="22"/>
          <w:szCs w:val="22"/>
        </w:rPr>
        <w:t>an extension of the deadline for submitting the data required under this information collection to account for the PRA procedural review timeframe.</w:t>
      </w:r>
      <w:r w:rsidR="006709CE" w:rsidRPr="00396742">
        <w:rPr>
          <w:rStyle w:val="FootnoteReference"/>
          <w:szCs w:val="22"/>
        </w:rPr>
        <w:footnoteReference w:id="6"/>
      </w:r>
      <w:r w:rsidR="006709CE" w:rsidRPr="00396742">
        <w:rPr>
          <w:sz w:val="22"/>
          <w:szCs w:val="22"/>
        </w:rPr>
        <w:t xml:space="preserve">  We decline to adjust the estimated burden hours and cost estimates for this collection</w:t>
      </w:r>
      <w:r w:rsidR="000551AD" w:rsidRPr="00396742">
        <w:rPr>
          <w:sz w:val="22"/>
          <w:szCs w:val="22"/>
        </w:rPr>
        <w:t xml:space="preserve"> and decline to </w:t>
      </w:r>
      <w:r w:rsidR="006709CE" w:rsidRPr="00396742">
        <w:rPr>
          <w:sz w:val="22"/>
          <w:szCs w:val="22"/>
        </w:rPr>
        <w:t xml:space="preserve">extend the deadline for responding to this information collection.  </w:t>
      </w:r>
    </w:p>
    <w:p w14:paraId="04C609EC" w14:textId="77777777" w:rsidR="006709CE" w:rsidRPr="00396742" w:rsidRDefault="006709CE" w:rsidP="006709CE">
      <w:pPr>
        <w:rPr>
          <w:sz w:val="22"/>
          <w:szCs w:val="22"/>
        </w:rPr>
      </w:pPr>
    </w:p>
    <w:p w14:paraId="3C774C8B" w14:textId="6C1E892A" w:rsidR="006709CE" w:rsidRPr="00396742" w:rsidRDefault="006709CE" w:rsidP="006709CE">
      <w:pPr>
        <w:pStyle w:val="Default"/>
        <w:rPr>
          <w:color w:val="auto"/>
          <w:sz w:val="22"/>
          <w:szCs w:val="22"/>
        </w:rPr>
      </w:pPr>
      <w:r w:rsidRPr="00396742">
        <w:rPr>
          <w:color w:val="auto"/>
          <w:sz w:val="22"/>
          <w:szCs w:val="22"/>
        </w:rPr>
        <w:t>As required by the PRA and OMB’s rules, the Commission published a 30-day notice in the Federal Register soliciting comment on its request for emergency approval of this information collection,</w:t>
      </w:r>
      <w:r w:rsidRPr="00396742">
        <w:rPr>
          <w:rStyle w:val="FootnoteReference"/>
          <w:szCs w:val="22"/>
        </w:rPr>
        <w:footnoteReference w:id="7"/>
      </w:r>
      <w:r w:rsidRPr="00396742">
        <w:rPr>
          <w:color w:val="auto"/>
          <w:sz w:val="22"/>
          <w:szCs w:val="22"/>
        </w:rPr>
        <w:t xml:space="preserve"> and concurrently submitted to OMB a supporting statement that contained information regarding the estimated hours burden and the associated internal and external costs for the collection.  The Commission received comments from ATN International, Inc. (ATN), Buffalo-Lake Erie Wireless (Blue Wireless), and CTIA in response to the 30-day Federal Register notice.</w:t>
      </w:r>
      <w:r w:rsidRPr="00396742">
        <w:rPr>
          <w:rStyle w:val="FootnoteReference"/>
          <w:szCs w:val="22"/>
        </w:rPr>
        <w:footnoteReference w:id="8"/>
      </w:r>
      <w:r w:rsidRPr="00396742">
        <w:rPr>
          <w:color w:val="auto"/>
          <w:sz w:val="22"/>
          <w:szCs w:val="22"/>
        </w:rPr>
        <w:t xml:space="preserve">  ATN and Blue Wireless are service providers to which this information collection applies.  CTIA is a wireless industry association composed of service providers that are potential respondents to this information collection.  None of these commenters voiced concerns about the collection or the burden and cost estimates associated with it.  On the contrary, ATN, Blue Wireless, and CTIA expressed unqualified support for approval of the collection.</w:t>
      </w:r>
      <w:r w:rsidRPr="00396742">
        <w:rPr>
          <w:rStyle w:val="FootnoteReference"/>
          <w:szCs w:val="22"/>
        </w:rPr>
        <w:footnoteReference w:id="9"/>
      </w:r>
    </w:p>
    <w:p w14:paraId="47C057F9" w14:textId="77777777" w:rsidR="006709CE" w:rsidRPr="00396742" w:rsidRDefault="006709CE" w:rsidP="006709CE">
      <w:pPr>
        <w:pStyle w:val="Default"/>
        <w:rPr>
          <w:color w:val="auto"/>
          <w:sz w:val="22"/>
          <w:szCs w:val="22"/>
        </w:rPr>
      </w:pPr>
    </w:p>
    <w:p w14:paraId="38FBBF61" w14:textId="76285A74" w:rsidR="006709CE" w:rsidRPr="00396742" w:rsidRDefault="006709CE" w:rsidP="006709CE">
      <w:pPr>
        <w:pStyle w:val="Default"/>
        <w:rPr>
          <w:color w:val="auto"/>
          <w:sz w:val="22"/>
          <w:szCs w:val="22"/>
        </w:rPr>
      </w:pPr>
      <w:r w:rsidRPr="00396742">
        <w:rPr>
          <w:color w:val="auto"/>
          <w:sz w:val="22"/>
          <w:szCs w:val="22"/>
        </w:rPr>
        <w:t xml:space="preserve">The estimated burden hours to respondents for this information collection (including the associated estimated “in-house” cost) and the estimated annual cost burden for this collection (which reflects the external cost to respondents) contained in the Commission’s 30-day Federal Register notice and August 2017 supporting statement related to the emergency PRA request are </w:t>
      </w:r>
      <w:r w:rsidRPr="00396742">
        <w:rPr>
          <w:i/>
          <w:color w:val="auto"/>
          <w:sz w:val="22"/>
          <w:szCs w:val="22"/>
        </w:rPr>
        <w:t>identical</w:t>
      </w:r>
      <w:r w:rsidRPr="00396742">
        <w:rPr>
          <w:color w:val="auto"/>
          <w:sz w:val="22"/>
          <w:szCs w:val="22"/>
        </w:rPr>
        <w:t xml:space="preserve"> to those contained in the 60-day Federal Register notice published by the Commission in October 2017 and the instant supporting statement concerning the Commission’s request for an extension of this information collection</w:t>
      </w:r>
      <w:r w:rsidR="00A1053E" w:rsidRPr="00396742">
        <w:rPr>
          <w:color w:val="auto"/>
          <w:sz w:val="22"/>
          <w:szCs w:val="22"/>
        </w:rPr>
        <w:t>.</w:t>
      </w:r>
      <w:r w:rsidR="00621572" w:rsidRPr="00396742">
        <w:rPr>
          <w:rStyle w:val="FootnoteReference"/>
          <w:szCs w:val="22"/>
        </w:rPr>
        <w:footnoteReference w:id="10"/>
      </w:r>
      <w:r w:rsidR="00853F77" w:rsidRPr="00396742">
        <w:rPr>
          <w:color w:val="auto"/>
          <w:sz w:val="22"/>
          <w:szCs w:val="22"/>
        </w:rPr>
        <w:t xml:space="preserve">  </w:t>
      </w:r>
      <w:r w:rsidRPr="00396742">
        <w:rPr>
          <w:color w:val="auto"/>
          <w:sz w:val="22"/>
          <w:szCs w:val="22"/>
        </w:rPr>
        <w:t xml:space="preserve">Since neither the estimated burden hours and associated “in house cost” nor the estimated external costs for this collection have changed since the Commission’s emergency PRA request was reviewed and approved by OMB, </w:t>
      </w:r>
      <w:r w:rsidR="00D67838" w:rsidRPr="00396742">
        <w:rPr>
          <w:color w:val="auto"/>
          <w:sz w:val="22"/>
          <w:szCs w:val="22"/>
        </w:rPr>
        <w:t xml:space="preserve">and </w:t>
      </w:r>
      <w:r w:rsidR="00853F77" w:rsidRPr="00396742">
        <w:rPr>
          <w:color w:val="auto"/>
        </w:rPr>
        <w:t xml:space="preserve">since </w:t>
      </w:r>
      <w:r w:rsidR="00853F77" w:rsidRPr="00396742">
        <w:rPr>
          <w:color w:val="auto"/>
          <w:sz w:val="22"/>
          <w:szCs w:val="22"/>
        </w:rPr>
        <w:t xml:space="preserve">this collection has been underway without issue since the Commission published notice of OMB’s approval of its emergency request in October 2017, the Commission concludes that no adjustments to the burden estimates are necessary or warranted in connection with its request for </w:t>
      </w:r>
      <w:r w:rsidRPr="00396742">
        <w:rPr>
          <w:color w:val="auto"/>
          <w:sz w:val="22"/>
          <w:szCs w:val="22"/>
        </w:rPr>
        <w:t xml:space="preserve">an extension (without change) of this information collection.        </w:t>
      </w:r>
    </w:p>
    <w:p w14:paraId="2CE9B080" w14:textId="77777777" w:rsidR="006709CE" w:rsidRPr="00396742" w:rsidRDefault="006709CE" w:rsidP="006709CE">
      <w:pPr>
        <w:pStyle w:val="Default"/>
        <w:rPr>
          <w:color w:val="auto"/>
          <w:sz w:val="22"/>
          <w:szCs w:val="22"/>
        </w:rPr>
      </w:pPr>
    </w:p>
    <w:p w14:paraId="1C24E430" w14:textId="5D2E34DC" w:rsidR="006709CE" w:rsidRPr="00396742" w:rsidRDefault="006709CE" w:rsidP="006709CE">
      <w:pPr>
        <w:pStyle w:val="Default"/>
        <w:rPr>
          <w:color w:val="auto"/>
          <w:sz w:val="22"/>
          <w:szCs w:val="22"/>
        </w:rPr>
      </w:pPr>
      <w:r w:rsidRPr="00396742">
        <w:rPr>
          <w:color w:val="auto"/>
          <w:sz w:val="22"/>
          <w:szCs w:val="22"/>
        </w:rPr>
        <w:t>CCA claims, based on a review of the Commission’s 60-day Federal Register notice, that the Commission has estimated a 64-hour per response burden to respondents for this information collection but has estimated a total cost for preparing a response to be zero without any justification for arriving at this estimate.</w:t>
      </w:r>
      <w:r w:rsidRPr="00396742">
        <w:rPr>
          <w:rStyle w:val="FootnoteReference"/>
          <w:szCs w:val="22"/>
        </w:rPr>
        <w:footnoteReference w:id="11"/>
      </w:r>
      <w:r w:rsidRPr="00396742">
        <w:rPr>
          <w:color w:val="auto"/>
          <w:sz w:val="22"/>
          <w:szCs w:val="22"/>
        </w:rPr>
        <w:t xml:space="preserve">  However, CCA’s statement that the Commission has assigned a zero-cost estimate to this information collection is incorrect because it conflates the Commission’s estimate of the </w:t>
      </w:r>
      <w:r w:rsidRPr="00396742">
        <w:rPr>
          <w:i/>
          <w:color w:val="auto"/>
          <w:sz w:val="22"/>
          <w:szCs w:val="22"/>
        </w:rPr>
        <w:t xml:space="preserve">external </w:t>
      </w:r>
      <w:r w:rsidRPr="00396742">
        <w:rPr>
          <w:color w:val="auto"/>
          <w:sz w:val="22"/>
          <w:szCs w:val="22"/>
        </w:rPr>
        <w:t xml:space="preserve">costs to respondents (which is zero) with the </w:t>
      </w:r>
      <w:r w:rsidRPr="00396742">
        <w:rPr>
          <w:i/>
          <w:color w:val="auto"/>
          <w:sz w:val="22"/>
          <w:szCs w:val="22"/>
        </w:rPr>
        <w:t>“in-house”</w:t>
      </w:r>
      <w:r w:rsidRPr="00396742">
        <w:rPr>
          <w:color w:val="auto"/>
          <w:sz w:val="22"/>
          <w:szCs w:val="22"/>
        </w:rPr>
        <w:t xml:space="preserve"> cost associated with the Commission’s estimated burden hours for this collection (which is $130,128).   Thus, CCA’s claim that Commission is “misguided” in rationalizing that that time spent complying with this collection would cost nothing in either direct or third-party costs</w:t>
      </w:r>
      <w:r w:rsidRPr="00396742">
        <w:rPr>
          <w:rStyle w:val="FootnoteReference"/>
          <w:szCs w:val="22"/>
        </w:rPr>
        <w:footnoteReference w:id="12"/>
      </w:r>
      <w:r w:rsidRPr="00396742">
        <w:rPr>
          <w:color w:val="auto"/>
          <w:sz w:val="22"/>
          <w:szCs w:val="22"/>
        </w:rPr>
        <w:t xml:space="preserve"> is itself misguided because the Commission has clearly assigned a direct (i.e., in-house) cost to the 64-hour per response burden estimate for this collection. </w:t>
      </w:r>
    </w:p>
    <w:p w14:paraId="4E52B611" w14:textId="77777777" w:rsidR="006709CE" w:rsidRPr="00396742" w:rsidRDefault="006709CE" w:rsidP="006709CE">
      <w:pPr>
        <w:pStyle w:val="Default"/>
        <w:rPr>
          <w:color w:val="auto"/>
          <w:sz w:val="22"/>
          <w:szCs w:val="22"/>
        </w:rPr>
      </w:pPr>
    </w:p>
    <w:p w14:paraId="561F7F98" w14:textId="0A0F2BBB" w:rsidR="006709CE" w:rsidRPr="00396742" w:rsidRDefault="006709CE" w:rsidP="002A3AE8">
      <w:pPr>
        <w:pStyle w:val="Default"/>
        <w:tabs>
          <w:tab w:val="left" w:pos="4410"/>
        </w:tabs>
        <w:rPr>
          <w:color w:val="auto"/>
          <w:sz w:val="22"/>
          <w:szCs w:val="22"/>
        </w:rPr>
      </w:pPr>
      <w:r w:rsidRPr="00396742">
        <w:rPr>
          <w:color w:val="auto"/>
          <w:sz w:val="22"/>
          <w:szCs w:val="22"/>
        </w:rPr>
        <w:t xml:space="preserve">As noted in the Commission’s August 2017 supporting statement, and as reiterated in Item 1 above, the Commission initially stated it would use FCC Form 477 data as the basis for determining the map of areas presumptively eligible for MF-II support, but reconsidered that decision based on petitions for reconsideration from affected parties regarding the use of that data for MF-II purposes.  Instead, the Commission adopted in large part an industry consensus proposal asking the Commission </w:t>
      </w:r>
      <w:r w:rsidR="00FD2025" w:rsidRPr="00396742">
        <w:rPr>
          <w:color w:val="auto"/>
          <w:sz w:val="22"/>
          <w:szCs w:val="22"/>
        </w:rPr>
        <w:t xml:space="preserve">to </w:t>
      </w:r>
      <w:r w:rsidRPr="00396742">
        <w:rPr>
          <w:color w:val="auto"/>
          <w:sz w:val="22"/>
          <w:szCs w:val="22"/>
        </w:rPr>
        <w:t>undertake a new, one-time data collection with specified data parameters tailored to MF-II to determine the areas in which there is deployment of qualified 4G LTE.</w:t>
      </w:r>
      <w:r w:rsidRPr="00396742">
        <w:rPr>
          <w:rStyle w:val="FootnoteReference"/>
          <w:szCs w:val="22"/>
        </w:rPr>
        <w:footnoteReference w:id="13"/>
      </w:r>
      <w:r w:rsidRPr="00396742">
        <w:rPr>
          <w:color w:val="auto"/>
          <w:sz w:val="22"/>
          <w:szCs w:val="22"/>
        </w:rPr>
        <w:t xml:space="preserve">  To reduce the burden on service providers that do not offer 4G LTE service at or above the applicable speed benchmark and from which new data will not affect the number of eligible areas, the Commission limited the scope of respondents required to respond to this collection to only those providers that previously reported 4G LTE coverage on FCC Form 477 and have qualified 4G LTE coverage based on the data specifications described in the </w:t>
      </w:r>
      <w:r w:rsidRPr="00396742">
        <w:rPr>
          <w:rStyle w:val="ALTSFOOTNOTECharChar"/>
          <w:i/>
          <w:color w:val="auto"/>
          <w:sz w:val="22"/>
          <w:szCs w:val="22"/>
        </w:rPr>
        <w:t>MF-II Challenge Process Order</w:t>
      </w:r>
      <w:r w:rsidRPr="00396742">
        <w:rPr>
          <w:color w:val="auto"/>
          <w:sz w:val="22"/>
          <w:szCs w:val="22"/>
        </w:rPr>
        <w:t>.</w:t>
      </w:r>
      <w:r w:rsidRPr="00396742">
        <w:rPr>
          <w:rStyle w:val="FootnoteReference"/>
          <w:szCs w:val="22"/>
        </w:rPr>
        <w:footnoteReference w:id="14"/>
      </w:r>
      <w:r w:rsidRPr="00396742">
        <w:rPr>
          <w:color w:val="auto"/>
          <w:sz w:val="22"/>
          <w:szCs w:val="22"/>
        </w:rPr>
        <w:t xml:space="preserve">  Given the limited scope of respondents to which this collection applies, the affected service providers and the nature of their respective business operations are generally known to the Commission in other contexts (e.g., FCC Form 477 filings, etc.).  In addition, because this information collection involves the submission of qualified 4G LTE of data that is similar to data that the service providers subject to this information collection are separately required to submit on FCC Form 477, the respondents are familiar with the type of data that must be submitted in response to this collection.  We therefore believe that the service providers to which this collection applies have sufficient in-house expertise and resources to prepare and submit responses to this collection, and that the information needed to comply should be generally available and maintained as part of the customary and usual business or private practice of the respondent.  The Commission took the above-described information into account in arriving at the estimated hours burden for this collection, and maintain</w:t>
      </w:r>
      <w:r w:rsidR="00E661F6" w:rsidRPr="00396742">
        <w:rPr>
          <w:color w:val="auto"/>
          <w:sz w:val="22"/>
          <w:szCs w:val="22"/>
        </w:rPr>
        <w:t>s</w:t>
      </w:r>
      <w:r w:rsidRPr="00396742">
        <w:rPr>
          <w:color w:val="auto"/>
          <w:sz w:val="22"/>
          <w:szCs w:val="22"/>
        </w:rPr>
        <w:t xml:space="preserve"> that 64 hours is sufficient to allow the average service provider required to respond to this collection to provide, in the specified format, the required data based on their familiarity with the type of data that must be provided.</w:t>
      </w:r>
      <w:r w:rsidRPr="00396742">
        <w:rPr>
          <w:rStyle w:val="FootnoteReference"/>
          <w:szCs w:val="22"/>
        </w:rPr>
        <w:footnoteReference w:id="15"/>
      </w:r>
      <w:r w:rsidR="00FA0B07" w:rsidRPr="00396742">
        <w:rPr>
          <w:color w:val="auto"/>
          <w:sz w:val="22"/>
          <w:szCs w:val="22"/>
        </w:rPr>
        <w:t xml:space="preserve">   </w:t>
      </w:r>
      <w:r w:rsidRPr="00396742">
        <w:rPr>
          <w:color w:val="auto"/>
          <w:sz w:val="22"/>
          <w:szCs w:val="22"/>
        </w:rPr>
        <w:t xml:space="preserve">     </w:t>
      </w:r>
    </w:p>
    <w:p w14:paraId="08D5C7BA" w14:textId="77777777" w:rsidR="006709CE" w:rsidRPr="00396742" w:rsidRDefault="006709CE" w:rsidP="006709CE">
      <w:pPr>
        <w:tabs>
          <w:tab w:val="num" w:pos="360"/>
        </w:tabs>
        <w:rPr>
          <w:rFonts w:eastAsiaTheme="minorHAnsi"/>
          <w:sz w:val="22"/>
          <w:szCs w:val="22"/>
          <w:lang w:bidi="ar-SA"/>
        </w:rPr>
      </w:pPr>
    </w:p>
    <w:p w14:paraId="1D88A932" w14:textId="6D9904F9" w:rsidR="00EC775C" w:rsidRPr="00396742" w:rsidRDefault="006709CE" w:rsidP="006709CE">
      <w:pPr>
        <w:tabs>
          <w:tab w:val="num" w:pos="360"/>
        </w:tabs>
        <w:rPr>
          <w:sz w:val="22"/>
          <w:szCs w:val="22"/>
        </w:rPr>
      </w:pPr>
      <w:r w:rsidRPr="00396742">
        <w:rPr>
          <w:sz w:val="22"/>
          <w:szCs w:val="22"/>
        </w:rPr>
        <w:t xml:space="preserve">Because this is an extension (without change) of a </w:t>
      </w:r>
      <w:r w:rsidR="00113E91">
        <w:rPr>
          <w:sz w:val="22"/>
          <w:szCs w:val="22"/>
        </w:rPr>
        <w:t>currently</w:t>
      </w:r>
      <w:r w:rsidRPr="00396742">
        <w:rPr>
          <w:sz w:val="22"/>
          <w:szCs w:val="22"/>
        </w:rPr>
        <w:t xml:space="preserve"> approved collection, </w:t>
      </w:r>
      <w:r w:rsidR="00FA0B07" w:rsidRPr="00396742">
        <w:rPr>
          <w:sz w:val="22"/>
          <w:szCs w:val="22"/>
        </w:rPr>
        <w:t xml:space="preserve">we conclude </w:t>
      </w:r>
      <w:r w:rsidRPr="00396742">
        <w:rPr>
          <w:sz w:val="22"/>
          <w:szCs w:val="22"/>
        </w:rPr>
        <w:t xml:space="preserve">there are no procedural considerations that warrant or necessitate extending the response deadline.   Indeed, the record regarding this collection supports just the opposite </w:t>
      </w:r>
      <w:r w:rsidR="00DD556B" w:rsidRPr="00396742">
        <w:rPr>
          <w:sz w:val="22"/>
          <w:szCs w:val="22"/>
        </w:rPr>
        <w:t xml:space="preserve">conclusion, </w:t>
      </w:r>
      <w:r w:rsidRPr="00396742">
        <w:rPr>
          <w:sz w:val="22"/>
          <w:szCs w:val="22"/>
        </w:rPr>
        <w:t>so as not to delay administering an efficient and effective challenge process and in turn conducting an auction to award MF-II support.</w:t>
      </w:r>
      <w:r w:rsidRPr="00396742">
        <w:rPr>
          <w:rStyle w:val="FootnoteReference"/>
          <w:szCs w:val="22"/>
        </w:rPr>
        <w:footnoteReference w:id="16"/>
      </w:r>
    </w:p>
    <w:p w14:paraId="1ECFAB2C" w14:textId="77777777" w:rsidR="00CE3B1E" w:rsidRPr="00396742" w:rsidRDefault="00CE3B1E" w:rsidP="00CE3B1E">
      <w:pPr>
        <w:ind w:left="360"/>
        <w:rPr>
          <w:sz w:val="22"/>
          <w:szCs w:val="22"/>
        </w:rPr>
      </w:pPr>
    </w:p>
    <w:p w14:paraId="1FE67FD1" w14:textId="77777777" w:rsidR="002C644E" w:rsidRPr="00396742" w:rsidRDefault="002C644E" w:rsidP="0010481B">
      <w:pPr>
        <w:rPr>
          <w:sz w:val="22"/>
          <w:szCs w:val="22"/>
        </w:rPr>
      </w:pPr>
      <w:r w:rsidRPr="00396742">
        <w:rPr>
          <w:sz w:val="22"/>
          <w:szCs w:val="22"/>
        </w:rPr>
        <w:t>9.</w:t>
      </w:r>
      <w:r w:rsidRPr="00396742">
        <w:rPr>
          <w:sz w:val="22"/>
          <w:szCs w:val="22"/>
        </w:rPr>
        <w:tab/>
      </w:r>
      <w:r w:rsidR="00C73014" w:rsidRPr="00396742">
        <w:rPr>
          <w:i/>
          <w:sz w:val="22"/>
          <w:szCs w:val="22"/>
        </w:rPr>
        <w:t>Payments or gifts to respondents.</w:t>
      </w:r>
      <w:r w:rsidR="00836022" w:rsidRPr="00396742">
        <w:rPr>
          <w:i/>
          <w:sz w:val="22"/>
          <w:szCs w:val="22"/>
        </w:rPr>
        <w:t xml:space="preserve"> </w:t>
      </w:r>
      <w:r w:rsidR="00146D4A" w:rsidRPr="00396742">
        <w:rPr>
          <w:i/>
          <w:sz w:val="22"/>
          <w:szCs w:val="22"/>
        </w:rPr>
        <w:t xml:space="preserve"> </w:t>
      </w:r>
      <w:r w:rsidR="00CE3B1E" w:rsidRPr="00396742">
        <w:rPr>
          <w:sz w:val="22"/>
          <w:szCs w:val="22"/>
        </w:rPr>
        <w:t>The Commission does not anticipate providing any payment or gifts to respondents.</w:t>
      </w:r>
    </w:p>
    <w:p w14:paraId="68C23DAE" w14:textId="77777777" w:rsidR="002C644E" w:rsidRPr="00396742" w:rsidRDefault="002C644E" w:rsidP="00CE3B1E">
      <w:pPr>
        <w:ind w:left="360" w:hanging="360"/>
        <w:rPr>
          <w:sz w:val="22"/>
          <w:szCs w:val="22"/>
        </w:rPr>
      </w:pPr>
    </w:p>
    <w:p w14:paraId="7EC5245C" w14:textId="4B16BBB5" w:rsidR="00E34D9A" w:rsidRPr="00396742" w:rsidRDefault="00657514" w:rsidP="00657514">
      <w:pPr>
        <w:rPr>
          <w:sz w:val="22"/>
          <w:szCs w:val="22"/>
        </w:rPr>
      </w:pPr>
      <w:r w:rsidRPr="00396742">
        <w:rPr>
          <w:sz w:val="22"/>
          <w:szCs w:val="22"/>
        </w:rPr>
        <w:t xml:space="preserve">10.  </w:t>
      </w:r>
      <w:r w:rsidR="00C7376A" w:rsidRPr="00396742">
        <w:rPr>
          <w:i/>
          <w:sz w:val="22"/>
          <w:szCs w:val="22"/>
        </w:rPr>
        <w:t>Assurance of confidentiality.</w:t>
      </w:r>
      <w:r w:rsidR="00C73014" w:rsidRPr="00396742">
        <w:rPr>
          <w:i/>
          <w:sz w:val="22"/>
          <w:szCs w:val="22"/>
        </w:rPr>
        <w:t xml:space="preserve"> </w:t>
      </w:r>
      <w:r w:rsidR="00146D4A" w:rsidRPr="00396742">
        <w:rPr>
          <w:i/>
          <w:sz w:val="22"/>
          <w:szCs w:val="22"/>
        </w:rPr>
        <w:t xml:space="preserve"> </w:t>
      </w:r>
      <w:r w:rsidR="00206AE9" w:rsidRPr="00396742">
        <w:rPr>
          <w:sz w:val="22"/>
          <w:szCs w:val="22"/>
        </w:rPr>
        <w:t xml:space="preserve">The information collected under this collection </w:t>
      </w:r>
      <w:r w:rsidR="00467CB2" w:rsidRPr="00396742">
        <w:rPr>
          <w:sz w:val="22"/>
          <w:szCs w:val="22"/>
        </w:rPr>
        <w:t xml:space="preserve">is confidential and </w:t>
      </w:r>
      <w:r w:rsidR="00206AE9" w:rsidRPr="00396742">
        <w:rPr>
          <w:sz w:val="22"/>
          <w:szCs w:val="22"/>
        </w:rPr>
        <w:t>will not be made public</w:t>
      </w:r>
      <w:r w:rsidR="00467CB2" w:rsidRPr="00396742">
        <w:rPr>
          <w:sz w:val="22"/>
          <w:szCs w:val="22"/>
        </w:rPr>
        <w:t>ly available</w:t>
      </w:r>
      <w:r w:rsidR="00206AE9" w:rsidRPr="00396742">
        <w:rPr>
          <w:sz w:val="22"/>
          <w:szCs w:val="22"/>
        </w:rPr>
        <w:t xml:space="preserve">.  </w:t>
      </w:r>
    </w:p>
    <w:p w14:paraId="6C10C9B1" w14:textId="77777777" w:rsidR="00C7376A" w:rsidRPr="00396742" w:rsidRDefault="00C7376A" w:rsidP="00CE3B1E">
      <w:pPr>
        <w:tabs>
          <w:tab w:val="left" w:pos="-720"/>
        </w:tabs>
        <w:suppressAutoHyphens/>
        <w:ind w:left="360" w:hanging="360"/>
        <w:rPr>
          <w:sz w:val="22"/>
          <w:szCs w:val="22"/>
        </w:rPr>
      </w:pPr>
    </w:p>
    <w:p w14:paraId="5B167745" w14:textId="49BF26A6" w:rsidR="002C644E" w:rsidRPr="00396742" w:rsidRDefault="00657514" w:rsidP="00657514">
      <w:pPr>
        <w:rPr>
          <w:sz w:val="22"/>
          <w:szCs w:val="22"/>
        </w:rPr>
      </w:pPr>
      <w:r w:rsidRPr="00396742">
        <w:rPr>
          <w:sz w:val="22"/>
          <w:szCs w:val="22"/>
        </w:rPr>
        <w:t xml:space="preserve">11.  </w:t>
      </w:r>
      <w:r w:rsidR="00C7376A" w:rsidRPr="00396742">
        <w:rPr>
          <w:i/>
          <w:sz w:val="22"/>
          <w:szCs w:val="22"/>
        </w:rPr>
        <w:t>Questions of a sensitive nature</w:t>
      </w:r>
      <w:r w:rsidR="00C7376A" w:rsidRPr="00396742">
        <w:rPr>
          <w:sz w:val="22"/>
          <w:szCs w:val="22"/>
        </w:rPr>
        <w:t>.</w:t>
      </w:r>
      <w:r w:rsidR="003F5CE3" w:rsidRPr="00396742">
        <w:rPr>
          <w:sz w:val="22"/>
          <w:szCs w:val="22"/>
        </w:rPr>
        <w:t xml:space="preserve"> </w:t>
      </w:r>
      <w:r w:rsidR="00146D4A" w:rsidRPr="00396742">
        <w:rPr>
          <w:sz w:val="22"/>
          <w:szCs w:val="22"/>
        </w:rPr>
        <w:t xml:space="preserve"> </w:t>
      </w:r>
      <w:r w:rsidR="00CE3B1E" w:rsidRPr="00396742">
        <w:rPr>
          <w:sz w:val="22"/>
          <w:szCs w:val="22"/>
        </w:rPr>
        <w:t>The</w:t>
      </w:r>
      <w:r w:rsidR="00E9553C" w:rsidRPr="00396742">
        <w:rPr>
          <w:sz w:val="22"/>
          <w:szCs w:val="22"/>
        </w:rPr>
        <w:t xml:space="preserve"> information collection </w:t>
      </w:r>
      <w:r w:rsidR="00414DB5" w:rsidRPr="00396742">
        <w:rPr>
          <w:sz w:val="22"/>
          <w:szCs w:val="22"/>
        </w:rPr>
        <w:t xml:space="preserve">requirements </w:t>
      </w:r>
      <w:r w:rsidR="00E9553C" w:rsidRPr="00396742">
        <w:rPr>
          <w:sz w:val="22"/>
          <w:szCs w:val="22"/>
        </w:rPr>
        <w:t xml:space="preserve">do not </w:t>
      </w:r>
      <w:r w:rsidR="00585220" w:rsidRPr="00396742">
        <w:rPr>
          <w:sz w:val="22"/>
          <w:szCs w:val="22"/>
        </w:rPr>
        <w:t xml:space="preserve">ask questions </w:t>
      </w:r>
      <w:r w:rsidR="00E9553C" w:rsidRPr="00396742">
        <w:rPr>
          <w:sz w:val="22"/>
          <w:szCs w:val="22"/>
        </w:rPr>
        <w:t>of a sensitive nature</w:t>
      </w:r>
      <w:r w:rsidR="00CE3B1E" w:rsidRPr="00396742">
        <w:rPr>
          <w:sz w:val="22"/>
          <w:szCs w:val="22"/>
        </w:rPr>
        <w:t>.</w:t>
      </w:r>
    </w:p>
    <w:p w14:paraId="07EA8888" w14:textId="77777777" w:rsidR="008B410E" w:rsidRPr="00396742" w:rsidRDefault="008B410E" w:rsidP="00CE3B1E">
      <w:pPr>
        <w:ind w:left="360" w:hanging="360"/>
        <w:rPr>
          <w:sz w:val="22"/>
          <w:szCs w:val="22"/>
        </w:rPr>
      </w:pPr>
    </w:p>
    <w:p w14:paraId="4B84838D" w14:textId="2FC05D16" w:rsidR="004D61C1" w:rsidRPr="00396742" w:rsidRDefault="00657514" w:rsidP="00657514">
      <w:pPr>
        <w:rPr>
          <w:sz w:val="22"/>
          <w:szCs w:val="22"/>
        </w:rPr>
      </w:pPr>
      <w:r w:rsidRPr="00396742">
        <w:rPr>
          <w:sz w:val="22"/>
          <w:szCs w:val="22"/>
        </w:rPr>
        <w:t xml:space="preserve">12.  </w:t>
      </w:r>
      <w:r w:rsidR="00C7376A" w:rsidRPr="00396742">
        <w:rPr>
          <w:i/>
          <w:sz w:val="22"/>
          <w:szCs w:val="22"/>
        </w:rPr>
        <w:t>Estimates of the hour burden of the collection to respondents.</w:t>
      </w:r>
      <w:r w:rsidR="00836022" w:rsidRPr="00396742">
        <w:rPr>
          <w:i/>
          <w:sz w:val="22"/>
          <w:szCs w:val="22"/>
        </w:rPr>
        <w:t xml:space="preserve"> </w:t>
      </w:r>
      <w:r w:rsidR="00146D4A" w:rsidRPr="00396742">
        <w:rPr>
          <w:i/>
          <w:sz w:val="22"/>
          <w:szCs w:val="22"/>
        </w:rPr>
        <w:t xml:space="preserve"> </w:t>
      </w:r>
      <w:r w:rsidR="00585220" w:rsidRPr="00396742">
        <w:rPr>
          <w:sz w:val="22"/>
          <w:szCs w:val="22"/>
        </w:rPr>
        <w:t>T</w:t>
      </w:r>
      <w:r w:rsidR="00CE3B1E" w:rsidRPr="00396742">
        <w:rPr>
          <w:sz w:val="22"/>
          <w:szCs w:val="22"/>
        </w:rPr>
        <w:t xml:space="preserve">he following represents the hour burden </w:t>
      </w:r>
      <w:r w:rsidR="00027BF0" w:rsidRPr="00396742">
        <w:rPr>
          <w:sz w:val="22"/>
          <w:szCs w:val="22"/>
        </w:rPr>
        <w:t xml:space="preserve">for </w:t>
      </w:r>
      <w:r w:rsidR="0038308C" w:rsidRPr="00396742">
        <w:rPr>
          <w:sz w:val="22"/>
          <w:szCs w:val="22"/>
        </w:rPr>
        <w:t>this</w:t>
      </w:r>
      <w:r w:rsidR="00EC3023" w:rsidRPr="00396742">
        <w:rPr>
          <w:sz w:val="22"/>
          <w:szCs w:val="22"/>
        </w:rPr>
        <w:t xml:space="preserve"> information</w:t>
      </w:r>
      <w:r w:rsidR="003F5CE3" w:rsidRPr="00396742">
        <w:rPr>
          <w:sz w:val="22"/>
          <w:szCs w:val="22"/>
        </w:rPr>
        <w:t xml:space="preserve"> </w:t>
      </w:r>
      <w:r w:rsidR="00CE3B1E" w:rsidRPr="00396742">
        <w:rPr>
          <w:sz w:val="22"/>
          <w:szCs w:val="22"/>
        </w:rPr>
        <w:t>collection:</w:t>
      </w:r>
      <w:r w:rsidR="00836022" w:rsidRPr="00396742">
        <w:rPr>
          <w:i/>
          <w:sz w:val="22"/>
          <w:szCs w:val="22"/>
        </w:rPr>
        <w:t xml:space="preserve"> </w:t>
      </w:r>
    </w:p>
    <w:p w14:paraId="35B79044" w14:textId="77777777" w:rsidR="001237B4" w:rsidRPr="00396742" w:rsidRDefault="001237B4" w:rsidP="001237B4">
      <w:pPr>
        <w:rPr>
          <w:sz w:val="22"/>
          <w:szCs w:val="22"/>
        </w:rPr>
      </w:pPr>
    </w:p>
    <w:p w14:paraId="5E264496" w14:textId="77777777" w:rsidR="00A9718E" w:rsidRPr="00396742" w:rsidRDefault="00A9718E" w:rsidP="00657514">
      <w:pPr>
        <w:pStyle w:val="ListParagraph"/>
        <w:numPr>
          <w:ilvl w:val="1"/>
          <w:numId w:val="7"/>
        </w:numPr>
        <w:ind w:left="720"/>
        <w:rPr>
          <w:sz w:val="22"/>
          <w:szCs w:val="22"/>
        </w:rPr>
      </w:pPr>
      <w:r w:rsidRPr="00396742">
        <w:rPr>
          <w:sz w:val="22"/>
          <w:szCs w:val="22"/>
          <w:u w:val="single"/>
        </w:rPr>
        <w:t xml:space="preserve">Number of </w:t>
      </w:r>
      <w:r w:rsidR="005205D8" w:rsidRPr="00396742">
        <w:rPr>
          <w:sz w:val="22"/>
          <w:szCs w:val="22"/>
          <w:u w:val="single"/>
        </w:rPr>
        <w:t xml:space="preserve">estimated </w:t>
      </w:r>
      <w:r w:rsidR="00027BF0" w:rsidRPr="00396742">
        <w:rPr>
          <w:sz w:val="22"/>
          <w:szCs w:val="22"/>
          <w:u w:val="single"/>
        </w:rPr>
        <w:t xml:space="preserve">annual </w:t>
      </w:r>
      <w:r w:rsidRPr="00396742">
        <w:rPr>
          <w:sz w:val="22"/>
          <w:szCs w:val="22"/>
          <w:u w:val="single"/>
        </w:rPr>
        <w:t>respondents</w:t>
      </w:r>
      <w:r w:rsidRPr="00396742">
        <w:rPr>
          <w:sz w:val="22"/>
          <w:szCs w:val="22"/>
        </w:rPr>
        <w:t>:</w:t>
      </w:r>
      <w:r w:rsidR="00836022" w:rsidRPr="00396742">
        <w:rPr>
          <w:sz w:val="22"/>
          <w:szCs w:val="22"/>
        </w:rPr>
        <w:t xml:space="preserve"> </w:t>
      </w:r>
      <w:r w:rsidRPr="00396742">
        <w:rPr>
          <w:sz w:val="22"/>
          <w:szCs w:val="22"/>
        </w:rPr>
        <w:t xml:space="preserve">Approximately </w:t>
      </w:r>
      <w:r w:rsidR="00D52898" w:rsidRPr="00396742">
        <w:rPr>
          <w:sz w:val="22"/>
          <w:szCs w:val="22"/>
        </w:rPr>
        <w:t>50</w:t>
      </w:r>
      <w:r w:rsidRPr="00396742">
        <w:rPr>
          <w:sz w:val="22"/>
          <w:szCs w:val="22"/>
        </w:rPr>
        <w:t>.</w:t>
      </w:r>
      <w:r w:rsidR="00CE3B1E" w:rsidRPr="00396742">
        <w:rPr>
          <w:sz w:val="22"/>
          <w:szCs w:val="22"/>
        </w:rPr>
        <w:t xml:space="preserve"> </w:t>
      </w:r>
      <w:r w:rsidR="00942C70" w:rsidRPr="00396742">
        <w:rPr>
          <w:sz w:val="22"/>
          <w:szCs w:val="22"/>
        </w:rPr>
        <w:t xml:space="preserve"> </w:t>
      </w:r>
      <w:r w:rsidR="00D52898" w:rsidRPr="00396742">
        <w:rPr>
          <w:sz w:val="22"/>
          <w:szCs w:val="22"/>
        </w:rPr>
        <w:t>Only</w:t>
      </w:r>
      <w:r w:rsidR="003F5CE3" w:rsidRPr="00396742">
        <w:rPr>
          <w:sz w:val="22"/>
          <w:szCs w:val="22"/>
        </w:rPr>
        <w:t xml:space="preserve"> </w:t>
      </w:r>
      <w:r w:rsidR="00585220" w:rsidRPr="00396742">
        <w:rPr>
          <w:sz w:val="22"/>
          <w:szCs w:val="22"/>
        </w:rPr>
        <w:t xml:space="preserve">those </w:t>
      </w:r>
      <w:r w:rsidR="00634BC4" w:rsidRPr="00396742">
        <w:rPr>
          <w:sz w:val="22"/>
          <w:szCs w:val="22"/>
        </w:rPr>
        <w:t xml:space="preserve">providers </w:t>
      </w:r>
      <w:r w:rsidR="00D52898" w:rsidRPr="00396742">
        <w:rPr>
          <w:sz w:val="22"/>
          <w:szCs w:val="22"/>
        </w:rPr>
        <w:t>that</w:t>
      </w:r>
      <w:r w:rsidR="00634BC4" w:rsidRPr="00396742">
        <w:rPr>
          <w:sz w:val="22"/>
          <w:szCs w:val="22"/>
        </w:rPr>
        <w:t xml:space="preserve"> have previ</w:t>
      </w:r>
      <w:r w:rsidR="00585220" w:rsidRPr="00396742">
        <w:rPr>
          <w:sz w:val="22"/>
          <w:szCs w:val="22"/>
        </w:rPr>
        <w:t>ously reported 4G LTE coverage i</w:t>
      </w:r>
      <w:r w:rsidR="00634BC4" w:rsidRPr="00396742">
        <w:rPr>
          <w:sz w:val="22"/>
          <w:szCs w:val="22"/>
        </w:rPr>
        <w:t xml:space="preserve">n </w:t>
      </w:r>
      <w:r w:rsidR="00585220" w:rsidRPr="00396742">
        <w:rPr>
          <w:sz w:val="22"/>
          <w:szCs w:val="22"/>
        </w:rPr>
        <w:t xml:space="preserve">their FCC </w:t>
      </w:r>
      <w:r w:rsidR="00634BC4" w:rsidRPr="00396742">
        <w:rPr>
          <w:sz w:val="22"/>
          <w:szCs w:val="22"/>
        </w:rPr>
        <w:t xml:space="preserve">Form 477 </w:t>
      </w:r>
      <w:r w:rsidR="00A800CA" w:rsidRPr="00396742">
        <w:rPr>
          <w:sz w:val="22"/>
          <w:szCs w:val="22"/>
        </w:rPr>
        <w:t xml:space="preserve">filings </w:t>
      </w:r>
      <w:r w:rsidR="00634BC4" w:rsidRPr="00396742">
        <w:rPr>
          <w:sz w:val="22"/>
          <w:szCs w:val="22"/>
        </w:rPr>
        <w:t xml:space="preserve">and have qualified 4G LTE coverage </w:t>
      </w:r>
      <w:r w:rsidR="003F5CE3" w:rsidRPr="00396742">
        <w:rPr>
          <w:sz w:val="22"/>
          <w:szCs w:val="22"/>
        </w:rPr>
        <w:t xml:space="preserve">will be required to </w:t>
      </w:r>
      <w:r w:rsidR="00D52898" w:rsidRPr="00396742">
        <w:rPr>
          <w:sz w:val="22"/>
          <w:szCs w:val="22"/>
        </w:rPr>
        <w:t xml:space="preserve">submit information under </w:t>
      </w:r>
      <w:r w:rsidR="003F5CE3" w:rsidRPr="00396742">
        <w:rPr>
          <w:sz w:val="22"/>
          <w:szCs w:val="22"/>
        </w:rPr>
        <w:t>this one-time data collection.</w:t>
      </w:r>
    </w:p>
    <w:p w14:paraId="7D221E0F" w14:textId="77777777" w:rsidR="00A9718E" w:rsidRPr="00396742" w:rsidRDefault="00A9718E" w:rsidP="00A9718E">
      <w:pPr>
        <w:rPr>
          <w:sz w:val="22"/>
          <w:szCs w:val="22"/>
        </w:rPr>
      </w:pPr>
    </w:p>
    <w:p w14:paraId="20E8110C" w14:textId="77777777" w:rsidR="0061354B" w:rsidRPr="00396742" w:rsidRDefault="00A9718E" w:rsidP="00657514">
      <w:pPr>
        <w:pStyle w:val="ListParagraph"/>
        <w:numPr>
          <w:ilvl w:val="1"/>
          <w:numId w:val="7"/>
        </w:numPr>
        <w:ind w:left="720"/>
        <w:rPr>
          <w:sz w:val="22"/>
          <w:szCs w:val="22"/>
        </w:rPr>
      </w:pPr>
      <w:r w:rsidRPr="00396742">
        <w:rPr>
          <w:sz w:val="22"/>
          <w:szCs w:val="22"/>
        </w:rPr>
        <w:t xml:space="preserve"> </w:t>
      </w:r>
      <w:r w:rsidRPr="00396742">
        <w:rPr>
          <w:sz w:val="22"/>
          <w:szCs w:val="22"/>
          <w:u w:val="single"/>
        </w:rPr>
        <w:t>Frequency of response</w:t>
      </w:r>
      <w:r w:rsidRPr="00396742">
        <w:rPr>
          <w:sz w:val="22"/>
          <w:szCs w:val="22"/>
        </w:rPr>
        <w:t>:</w:t>
      </w:r>
      <w:r w:rsidR="00836022" w:rsidRPr="00396742">
        <w:rPr>
          <w:sz w:val="22"/>
          <w:szCs w:val="22"/>
        </w:rPr>
        <w:t xml:space="preserve"> </w:t>
      </w:r>
      <w:r w:rsidR="00CE3B1E" w:rsidRPr="00396742">
        <w:rPr>
          <w:sz w:val="22"/>
          <w:szCs w:val="22"/>
        </w:rPr>
        <w:t>One-time.</w:t>
      </w:r>
      <w:r w:rsidR="003F5CE3" w:rsidRPr="00396742">
        <w:rPr>
          <w:sz w:val="22"/>
          <w:szCs w:val="22"/>
        </w:rPr>
        <w:t xml:space="preserve"> A</w:t>
      </w:r>
      <w:r w:rsidR="00185DA7" w:rsidRPr="00396742">
        <w:rPr>
          <w:sz w:val="22"/>
          <w:szCs w:val="22"/>
        </w:rPr>
        <w:t xml:space="preserve"> </w:t>
      </w:r>
      <w:r w:rsidR="003F5CE3" w:rsidRPr="00396742">
        <w:rPr>
          <w:sz w:val="22"/>
          <w:szCs w:val="22"/>
        </w:rPr>
        <w:t>respondent</w:t>
      </w:r>
      <w:r w:rsidR="00185DA7" w:rsidRPr="00396742">
        <w:rPr>
          <w:sz w:val="22"/>
          <w:szCs w:val="22"/>
        </w:rPr>
        <w:t xml:space="preserve"> will </w:t>
      </w:r>
      <w:r w:rsidR="00CE3B1E" w:rsidRPr="00396742">
        <w:rPr>
          <w:sz w:val="22"/>
          <w:szCs w:val="22"/>
        </w:rPr>
        <w:t xml:space="preserve">submit </w:t>
      </w:r>
      <w:r w:rsidR="003F5CE3" w:rsidRPr="00396742">
        <w:rPr>
          <w:sz w:val="22"/>
          <w:szCs w:val="22"/>
        </w:rPr>
        <w:t>data once</w:t>
      </w:r>
      <w:r w:rsidR="00CE3B1E" w:rsidRPr="00396742">
        <w:rPr>
          <w:sz w:val="22"/>
          <w:szCs w:val="22"/>
        </w:rPr>
        <w:t>.</w:t>
      </w:r>
    </w:p>
    <w:p w14:paraId="01E2CCE9" w14:textId="77777777" w:rsidR="0061354B" w:rsidRPr="00396742" w:rsidRDefault="0061354B" w:rsidP="00A9718E">
      <w:pPr>
        <w:rPr>
          <w:sz w:val="22"/>
          <w:szCs w:val="22"/>
        </w:rPr>
      </w:pPr>
    </w:p>
    <w:p w14:paraId="74DBA80F" w14:textId="77777777" w:rsidR="005205D8" w:rsidRPr="00396742" w:rsidRDefault="00A9718E" w:rsidP="00657514">
      <w:pPr>
        <w:pStyle w:val="ListParagraph"/>
        <w:numPr>
          <w:ilvl w:val="1"/>
          <w:numId w:val="7"/>
        </w:numPr>
        <w:ind w:left="720"/>
        <w:rPr>
          <w:sz w:val="22"/>
          <w:szCs w:val="22"/>
        </w:rPr>
      </w:pPr>
      <w:r w:rsidRPr="00396742">
        <w:rPr>
          <w:sz w:val="22"/>
          <w:szCs w:val="22"/>
        </w:rPr>
        <w:t xml:space="preserve"> </w:t>
      </w:r>
      <w:r w:rsidR="005205D8" w:rsidRPr="00396742">
        <w:rPr>
          <w:sz w:val="22"/>
          <w:szCs w:val="22"/>
          <w:u w:val="single"/>
        </w:rPr>
        <w:t xml:space="preserve">Total estimated </w:t>
      </w:r>
      <w:r w:rsidR="00027BF0" w:rsidRPr="00396742">
        <w:rPr>
          <w:sz w:val="22"/>
          <w:szCs w:val="22"/>
          <w:u w:val="single"/>
        </w:rPr>
        <w:t xml:space="preserve">annual </w:t>
      </w:r>
      <w:r w:rsidR="005205D8" w:rsidRPr="00396742">
        <w:rPr>
          <w:sz w:val="22"/>
          <w:szCs w:val="22"/>
          <w:u w:val="single"/>
        </w:rPr>
        <w:t>b</w:t>
      </w:r>
      <w:r w:rsidRPr="00396742">
        <w:rPr>
          <w:sz w:val="22"/>
          <w:szCs w:val="22"/>
          <w:u w:val="single"/>
        </w:rPr>
        <w:t>urden</w:t>
      </w:r>
      <w:r w:rsidR="00856633" w:rsidRPr="00396742">
        <w:rPr>
          <w:sz w:val="22"/>
          <w:szCs w:val="22"/>
        </w:rPr>
        <w:t>: 64</w:t>
      </w:r>
      <w:r w:rsidRPr="00396742">
        <w:rPr>
          <w:sz w:val="22"/>
          <w:szCs w:val="22"/>
        </w:rPr>
        <w:t xml:space="preserve"> hours</w:t>
      </w:r>
      <w:r w:rsidR="00CE3B1E" w:rsidRPr="00396742">
        <w:rPr>
          <w:sz w:val="22"/>
          <w:szCs w:val="22"/>
        </w:rPr>
        <w:t xml:space="preserve"> per </w:t>
      </w:r>
      <w:r w:rsidR="005205D8" w:rsidRPr="00396742">
        <w:rPr>
          <w:sz w:val="22"/>
          <w:szCs w:val="22"/>
        </w:rPr>
        <w:t xml:space="preserve">respondent for approximately </w:t>
      </w:r>
      <w:r w:rsidR="00D52898" w:rsidRPr="00396742">
        <w:rPr>
          <w:sz w:val="22"/>
          <w:szCs w:val="22"/>
        </w:rPr>
        <w:t>50</w:t>
      </w:r>
      <w:r w:rsidR="00CE3B1E" w:rsidRPr="00396742">
        <w:rPr>
          <w:sz w:val="22"/>
          <w:szCs w:val="22"/>
        </w:rPr>
        <w:t xml:space="preserve"> </w:t>
      </w:r>
      <w:r w:rsidR="003F5CE3" w:rsidRPr="00396742">
        <w:rPr>
          <w:sz w:val="22"/>
          <w:szCs w:val="22"/>
        </w:rPr>
        <w:t>respondents</w:t>
      </w:r>
      <w:r w:rsidR="00CE3B1E" w:rsidRPr="00396742">
        <w:rPr>
          <w:sz w:val="22"/>
          <w:szCs w:val="22"/>
        </w:rPr>
        <w:t xml:space="preserve"> filing once.</w:t>
      </w:r>
      <w:r w:rsidR="00836022" w:rsidRPr="00396742">
        <w:rPr>
          <w:sz w:val="22"/>
          <w:szCs w:val="22"/>
        </w:rPr>
        <w:t xml:space="preserve"> </w:t>
      </w:r>
      <w:r w:rsidR="00CE3B1E" w:rsidRPr="00396742">
        <w:rPr>
          <w:sz w:val="22"/>
          <w:szCs w:val="22"/>
        </w:rPr>
        <w:t xml:space="preserve">Total </w:t>
      </w:r>
      <w:r w:rsidR="005205D8" w:rsidRPr="00396742">
        <w:rPr>
          <w:sz w:val="22"/>
          <w:szCs w:val="22"/>
        </w:rPr>
        <w:t xml:space="preserve">estimated </w:t>
      </w:r>
      <w:r w:rsidR="007D0577" w:rsidRPr="00396742">
        <w:rPr>
          <w:sz w:val="22"/>
          <w:szCs w:val="22"/>
        </w:rPr>
        <w:t xml:space="preserve">annual </w:t>
      </w:r>
      <w:r w:rsidR="00CE3B1E" w:rsidRPr="00396742">
        <w:rPr>
          <w:sz w:val="22"/>
          <w:szCs w:val="22"/>
        </w:rPr>
        <w:t>hour</w:t>
      </w:r>
      <w:r w:rsidR="00D47D6C" w:rsidRPr="00396742">
        <w:rPr>
          <w:sz w:val="22"/>
          <w:szCs w:val="22"/>
        </w:rPr>
        <w:t>s</w:t>
      </w:r>
      <w:r w:rsidR="00CE3B1E" w:rsidRPr="00396742">
        <w:rPr>
          <w:sz w:val="22"/>
          <w:szCs w:val="22"/>
        </w:rPr>
        <w:t xml:space="preserve"> burden is calculated as follows: </w:t>
      </w:r>
    </w:p>
    <w:p w14:paraId="29CB481B" w14:textId="77777777" w:rsidR="005205D8" w:rsidRPr="00396742" w:rsidRDefault="005205D8" w:rsidP="00F856F4">
      <w:pPr>
        <w:ind w:left="360"/>
        <w:rPr>
          <w:sz w:val="22"/>
          <w:szCs w:val="22"/>
        </w:rPr>
      </w:pPr>
    </w:p>
    <w:p w14:paraId="7699F990" w14:textId="77777777" w:rsidR="00A9718E" w:rsidRPr="00396742" w:rsidRDefault="00D52898" w:rsidP="003515D6">
      <w:pPr>
        <w:ind w:left="720"/>
        <w:rPr>
          <w:b/>
          <w:sz w:val="22"/>
          <w:szCs w:val="22"/>
        </w:rPr>
      </w:pPr>
      <w:r w:rsidRPr="00396742">
        <w:rPr>
          <w:b/>
          <w:sz w:val="22"/>
          <w:szCs w:val="22"/>
        </w:rPr>
        <w:t>50</w:t>
      </w:r>
      <w:r w:rsidR="00484562" w:rsidRPr="00396742">
        <w:rPr>
          <w:b/>
          <w:sz w:val="22"/>
          <w:szCs w:val="22"/>
        </w:rPr>
        <w:t xml:space="preserve"> </w:t>
      </w:r>
      <w:r w:rsidR="005205D8" w:rsidRPr="00396742">
        <w:rPr>
          <w:b/>
          <w:sz w:val="22"/>
          <w:szCs w:val="22"/>
        </w:rPr>
        <w:t xml:space="preserve">estimated </w:t>
      </w:r>
      <w:r w:rsidR="003F5CE3" w:rsidRPr="00396742">
        <w:rPr>
          <w:b/>
          <w:sz w:val="22"/>
          <w:szCs w:val="22"/>
        </w:rPr>
        <w:t>responses</w:t>
      </w:r>
      <w:r w:rsidR="00484562" w:rsidRPr="00396742">
        <w:rPr>
          <w:b/>
          <w:sz w:val="22"/>
          <w:szCs w:val="22"/>
        </w:rPr>
        <w:t xml:space="preserve"> x </w:t>
      </w:r>
      <w:r w:rsidR="00585220" w:rsidRPr="00396742">
        <w:rPr>
          <w:b/>
          <w:sz w:val="22"/>
          <w:szCs w:val="22"/>
        </w:rPr>
        <w:t>64</w:t>
      </w:r>
      <w:r w:rsidR="00CE3B1E" w:rsidRPr="00396742">
        <w:rPr>
          <w:b/>
          <w:sz w:val="22"/>
          <w:szCs w:val="22"/>
        </w:rPr>
        <w:t xml:space="preserve"> hours</w:t>
      </w:r>
      <w:r w:rsidR="005205D8" w:rsidRPr="00396742">
        <w:rPr>
          <w:b/>
          <w:sz w:val="22"/>
          <w:szCs w:val="22"/>
        </w:rPr>
        <w:t xml:space="preserve"> per response</w:t>
      </w:r>
      <w:r w:rsidR="00CE3B1E" w:rsidRPr="00396742">
        <w:rPr>
          <w:b/>
          <w:sz w:val="22"/>
          <w:szCs w:val="22"/>
        </w:rPr>
        <w:t xml:space="preserve"> = </w:t>
      </w:r>
      <w:r w:rsidR="00585220" w:rsidRPr="00396742">
        <w:rPr>
          <w:b/>
          <w:sz w:val="22"/>
          <w:szCs w:val="22"/>
        </w:rPr>
        <w:t>3,200</w:t>
      </w:r>
      <w:r w:rsidR="00CE3B1E" w:rsidRPr="00396742">
        <w:rPr>
          <w:b/>
          <w:sz w:val="22"/>
          <w:szCs w:val="22"/>
        </w:rPr>
        <w:t xml:space="preserve"> total </w:t>
      </w:r>
      <w:r w:rsidR="005205D8" w:rsidRPr="00396742">
        <w:rPr>
          <w:b/>
          <w:sz w:val="22"/>
          <w:szCs w:val="22"/>
        </w:rPr>
        <w:t xml:space="preserve">estimated </w:t>
      </w:r>
      <w:r w:rsidR="00C5161F" w:rsidRPr="00396742">
        <w:rPr>
          <w:b/>
          <w:sz w:val="22"/>
          <w:szCs w:val="22"/>
        </w:rPr>
        <w:t xml:space="preserve">burden </w:t>
      </w:r>
      <w:r w:rsidR="00CE3B1E" w:rsidRPr="00396742">
        <w:rPr>
          <w:b/>
          <w:sz w:val="22"/>
          <w:szCs w:val="22"/>
        </w:rPr>
        <w:t>hours</w:t>
      </w:r>
      <w:r w:rsidR="00C5161F" w:rsidRPr="00396742">
        <w:rPr>
          <w:b/>
          <w:sz w:val="22"/>
          <w:szCs w:val="22"/>
        </w:rPr>
        <w:t>.</w:t>
      </w:r>
      <w:r w:rsidR="00836022" w:rsidRPr="00396742">
        <w:rPr>
          <w:sz w:val="22"/>
          <w:szCs w:val="22"/>
        </w:rPr>
        <w:t xml:space="preserve"> </w:t>
      </w:r>
    </w:p>
    <w:p w14:paraId="0C080DA4" w14:textId="77777777" w:rsidR="00A9718E" w:rsidRPr="00396742" w:rsidRDefault="00A9718E" w:rsidP="00A9718E">
      <w:pPr>
        <w:rPr>
          <w:sz w:val="22"/>
          <w:szCs w:val="22"/>
        </w:rPr>
      </w:pPr>
    </w:p>
    <w:p w14:paraId="2BFFF7AA" w14:textId="5F2EF1E0" w:rsidR="00A9718E" w:rsidRPr="00396742" w:rsidRDefault="00A9718E" w:rsidP="00657514">
      <w:pPr>
        <w:pStyle w:val="ListParagraph"/>
        <w:numPr>
          <w:ilvl w:val="1"/>
          <w:numId w:val="7"/>
        </w:numPr>
        <w:ind w:left="720"/>
        <w:rPr>
          <w:sz w:val="22"/>
          <w:szCs w:val="22"/>
        </w:rPr>
      </w:pPr>
      <w:r w:rsidRPr="00396742">
        <w:rPr>
          <w:sz w:val="22"/>
          <w:szCs w:val="22"/>
        </w:rPr>
        <w:t xml:space="preserve"> </w:t>
      </w:r>
      <w:r w:rsidRPr="00396742">
        <w:rPr>
          <w:sz w:val="22"/>
          <w:szCs w:val="22"/>
          <w:u w:val="single"/>
        </w:rPr>
        <w:t xml:space="preserve">Total estimate of </w:t>
      </w:r>
      <w:r w:rsidR="00027BF0" w:rsidRPr="00396742">
        <w:rPr>
          <w:sz w:val="22"/>
          <w:szCs w:val="22"/>
          <w:u w:val="single"/>
        </w:rPr>
        <w:t xml:space="preserve">annual </w:t>
      </w:r>
      <w:r w:rsidR="005256CB" w:rsidRPr="00396742">
        <w:rPr>
          <w:sz w:val="22"/>
          <w:szCs w:val="22"/>
          <w:u w:val="single"/>
        </w:rPr>
        <w:t xml:space="preserve">in-house </w:t>
      </w:r>
      <w:r w:rsidRPr="00396742">
        <w:rPr>
          <w:sz w:val="22"/>
          <w:szCs w:val="22"/>
          <w:u w:val="single"/>
        </w:rPr>
        <w:t>cost to respondents for the hour</w:t>
      </w:r>
      <w:r w:rsidR="00D47D6C" w:rsidRPr="00396742">
        <w:rPr>
          <w:sz w:val="22"/>
          <w:szCs w:val="22"/>
          <w:u w:val="single"/>
        </w:rPr>
        <w:t>s</w:t>
      </w:r>
      <w:r w:rsidRPr="00396742">
        <w:rPr>
          <w:sz w:val="22"/>
          <w:szCs w:val="22"/>
          <w:u w:val="single"/>
        </w:rPr>
        <w:t xml:space="preserve"> burden</w:t>
      </w:r>
      <w:r w:rsidR="0061354B" w:rsidRPr="00396742">
        <w:rPr>
          <w:sz w:val="22"/>
          <w:szCs w:val="22"/>
        </w:rPr>
        <w:t>:</w:t>
      </w:r>
      <w:r w:rsidR="00836022" w:rsidRPr="00396742">
        <w:rPr>
          <w:sz w:val="22"/>
          <w:szCs w:val="22"/>
        </w:rPr>
        <w:t xml:space="preserve"> </w:t>
      </w:r>
      <w:r w:rsidR="00484562" w:rsidRPr="00396742">
        <w:rPr>
          <w:sz w:val="22"/>
          <w:szCs w:val="22"/>
        </w:rPr>
        <w:t>$</w:t>
      </w:r>
      <w:r w:rsidR="00691A69" w:rsidRPr="00396742">
        <w:rPr>
          <w:sz w:val="22"/>
          <w:szCs w:val="22"/>
        </w:rPr>
        <w:t>130,128</w:t>
      </w:r>
      <w:r w:rsidR="00484562" w:rsidRPr="00396742">
        <w:rPr>
          <w:sz w:val="22"/>
          <w:szCs w:val="22"/>
        </w:rPr>
        <w:t>.</w:t>
      </w:r>
      <w:r w:rsidR="00836022" w:rsidRPr="00396742">
        <w:rPr>
          <w:sz w:val="22"/>
          <w:szCs w:val="22"/>
        </w:rPr>
        <w:t xml:space="preserve"> </w:t>
      </w:r>
    </w:p>
    <w:p w14:paraId="15CCF93F" w14:textId="77777777" w:rsidR="00484562" w:rsidRPr="00396742" w:rsidRDefault="00484562" w:rsidP="00F856F4">
      <w:pPr>
        <w:tabs>
          <w:tab w:val="left" w:pos="-720"/>
        </w:tabs>
        <w:suppressAutoHyphens/>
        <w:ind w:left="360"/>
        <w:rPr>
          <w:spacing w:val="-3"/>
          <w:sz w:val="22"/>
          <w:szCs w:val="22"/>
        </w:rPr>
      </w:pPr>
    </w:p>
    <w:p w14:paraId="73829A1C" w14:textId="77777777" w:rsidR="00587D6C" w:rsidRPr="00396742" w:rsidRDefault="00484562" w:rsidP="00657514">
      <w:pPr>
        <w:pStyle w:val="ListParagraph"/>
        <w:numPr>
          <w:ilvl w:val="1"/>
          <w:numId w:val="7"/>
        </w:numPr>
        <w:ind w:left="720"/>
        <w:rPr>
          <w:sz w:val="22"/>
          <w:szCs w:val="22"/>
        </w:rPr>
      </w:pPr>
      <w:r w:rsidRPr="00396742">
        <w:rPr>
          <w:spacing w:val="-3"/>
          <w:sz w:val="22"/>
          <w:szCs w:val="22"/>
        </w:rPr>
        <w:t xml:space="preserve"> </w:t>
      </w:r>
      <w:r w:rsidRPr="00396742">
        <w:rPr>
          <w:spacing w:val="-3"/>
          <w:sz w:val="22"/>
          <w:szCs w:val="22"/>
          <w:u w:val="single"/>
        </w:rPr>
        <w:t>Explanation of calculation</w:t>
      </w:r>
      <w:r w:rsidRPr="00396742">
        <w:rPr>
          <w:spacing w:val="-3"/>
          <w:sz w:val="22"/>
          <w:szCs w:val="22"/>
        </w:rPr>
        <w:t xml:space="preserve">: </w:t>
      </w:r>
      <w:r w:rsidR="00C55C6A" w:rsidRPr="00396742">
        <w:rPr>
          <w:spacing w:val="-3"/>
          <w:sz w:val="22"/>
          <w:szCs w:val="22"/>
        </w:rPr>
        <w:t xml:space="preserve">The Commission </w:t>
      </w:r>
      <w:r w:rsidR="00C55C6A" w:rsidRPr="00396742">
        <w:rPr>
          <w:sz w:val="22"/>
          <w:szCs w:val="22"/>
        </w:rPr>
        <w:t>estimates that</w:t>
      </w:r>
      <w:r w:rsidR="00587D6C" w:rsidRPr="00396742">
        <w:rPr>
          <w:sz w:val="22"/>
          <w:szCs w:val="22"/>
        </w:rPr>
        <w:t xml:space="preserve"> </w:t>
      </w:r>
      <w:r w:rsidR="00346BB8" w:rsidRPr="00396742">
        <w:rPr>
          <w:sz w:val="22"/>
          <w:szCs w:val="22"/>
        </w:rPr>
        <w:t xml:space="preserve">the data required to be submitted under this collection </w:t>
      </w:r>
      <w:r w:rsidR="003F5CE3" w:rsidRPr="00396742">
        <w:rPr>
          <w:sz w:val="22"/>
          <w:szCs w:val="22"/>
        </w:rPr>
        <w:t>will</w:t>
      </w:r>
      <w:r w:rsidR="00587D6C" w:rsidRPr="00396742">
        <w:rPr>
          <w:sz w:val="22"/>
          <w:szCs w:val="22"/>
        </w:rPr>
        <w:t xml:space="preserve"> typically be prepared by </w:t>
      </w:r>
      <w:r w:rsidR="00C96511" w:rsidRPr="00396742">
        <w:rPr>
          <w:sz w:val="22"/>
          <w:szCs w:val="22"/>
        </w:rPr>
        <w:t xml:space="preserve">respondents </w:t>
      </w:r>
      <w:r w:rsidR="00587D6C" w:rsidRPr="00396742">
        <w:rPr>
          <w:sz w:val="22"/>
          <w:szCs w:val="22"/>
        </w:rPr>
        <w:t>using</w:t>
      </w:r>
      <w:r w:rsidR="00C55C6A" w:rsidRPr="00396742">
        <w:rPr>
          <w:sz w:val="22"/>
          <w:szCs w:val="22"/>
        </w:rPr>
        <w:t xml:space="preserve"> </w:t>
      </w:r>
      <w:r w:rsidR="00587D6C" w:rsidRPr="00396742">
        <w:rPr>
          <w:sz w:val="22"/>
          <w:szCs w:val="22"/>
        </w:rPr>
        <w:t xml:space="preserve">existing in-house </w:t>
      </w:r>
      <w:r w:rsidR="006B148D" w:rsidRPr="00396742">
        <w:rPr>
          <w:sz w:val="22"/>
          <w:szCs w:val="22"/>
        </w:rPr>
        <w:t xml:space="preserve">technical/engineering staff.  The Commission estimates that it will take four in-house engineers approximately 16 hours each to prepare the </w:t>
      </w:r>
      <w:r w:rsidR="00346BB8" w:rsidRPr="00396742">
        <w:rPr>
          <w:sz w:val="22"/>
          <w:szCs w:val="22"/>
        </w:rPr>
        <w:t xml:space="preserve">required </w:t>
      </w:r>
      <w:r w:rsidR="006B148D" w:rsidRPr="00396742">
        <w:rPr>
          <w:sz w:val="22"/>
          <w:szCs w:val="22"/>
        </w:rPr>
        <w:t xml:space="preserve">data, with two of these engineers </w:t>
      </w:r>
      <w:r w:rsidR="00587D6C" w:rsidRPr="00396742">
        <w:rPr>
          <w:sz w:val="22"/>
          <w:szCs w:val="22"/>
        </w:rPr>
        <w:t xml:space="preserve">at a rate </w:t>
      </w:r>
      <w:r w:rsidR="00C55C6A" w:rsidRPr="00396742">
        <w:rPr>
          <w:sz w:val="22"/>
          <w:szCs w:val="22"/>
        </w:rPr>
        <w:t xml:space="preserve">equivalent to </w:t>
      </w:r>
      <w:r w:rsidR="00587D6C" w:rsidRPr="00396742">
        <w:rPr>
          <w:sz w:val="22"/>
          <w:szCs w:val="22"/>
        </w:rPr>
        <w:t xml:space="preserve">the hourly rate of </w:t>
      </w:r>
      <w:r w:rsidR="00C55C6A" w:rsidRPr="00396742">
        <w:rPr>
          <w:sz w:val="22"/>
          <w:szCs w:val="22"/>
        </w:rPr>
        <w:t>a GS-</w:t>
      </w:r>
      <w:r w:rsidR="00030C6A" w:rsidRPr="00396742">
        <w:rPr>
          <w:sz w:val="22"/>
          <w:szCs w:val="22"/>
        </w:rPr>
        <w:t>9</w:t>
      </w:r>
      <w:r w:rsidR="00587D6C" w:rsidRPr="00396742">
        <w:rPr>
          <w:sz w:val="22"/>
          <w:szCs w:val="22"/>
        </w:rPr>
        <w:t xml:space="preserve">, </w:t>
      </w:r>
      <w:r w:rsidR="00C55C6A" w:rsidRPr="00396742">
        <w:rPr>
          <w:sz w:val="22"/>
          <w:szCs w:val="22"/>
        </w:rPr>
        <w:t xml:space="preserve">Step </w:t>
      </w:r>
      <w:r w:rsidR="00D47D6C" w:rsidRPr="00396742">
        <w:rPr>
          <w:sz w:val="22"/>
          <w:szCs w:val="22"/>
        </w:rPr>
        <w:t>5</w:t>
      </w:r>
      <w:r w:rsidR="00030C6A" w:rsidRPr="00396742">
        <w:rPr>
          <w:sz w:val="22"/>
          <w:szCs w:val="22"/>
        </w:rPr>
        <w:t xml:space="preserve"> </w:t>
      </w:r>
      <w:r w:rsidR="00587D6C" w:rsidRPr="00396742">
        <w:rPr>
          <w:sz w:val="22"/>
          <w:szCs w:val="22"/>
        </w:rPr>
        <w:t>government staff member</w:t>
      </w:r>
      <w:r w:rsidR="00C55C6A" w:rsidRPr="00396742">
        <w:rPr>
          <w:sz w:val="22"/>
          <w:szCs w:val="22"/>
        </w:rPr>
        <w:t xml:space="preserve"> ($</w:t>
      </w:r>
      <w:r w:rsidR="00D47D6C" w:rsidRPr="00396742">
        <w:rPr>
          <w:sz w:val="22"/>
          <w:szCs w:val="22"/>
        </w:rPr>
        <w:t>29.85</w:t>
      </w:r>
      <w:r w:rsidR="00C55C6A" w:rsidRPr="00396742">
        <w:rPr>
          <w:sz w:val="22"/>
          <w:szCs w:val="22"/>
        </w:rPr>
        <w:t>/hour)</w:t>
      </w:r>
      <w:r w:rsidR="00030C6A" w:rsidRPr="00396742">
        <w:rPr>
          <w:sz w:val="22"/>
          <w:szCs w:val="22"/>
        </w:rPr>
        <w:t xml:space="preserve"> and </w:t>
      </w:r>
      <w:r w:rsidR="006B148D" w:rsidRPr="00396742">
        <w:rPr>
          <w:sz w:val="22"/>
          <w:szCs w:val="22"/>
        </w:rPr>
        <w:t xml:space="preserve">two at a rate equivalent to the hourly rate of a </w:t>
      </w:r>
      <w:r w:rsidR="00030C6A" w:rsidRPr="00396742">
        <w:rPr>
          <w:sz w:val="22"/>
          <w:szCs w:val="22"/>
        </w:rPr>
        <w:t xml:space="preserve">GS-13, Step </w:t>
      </w:r>
      <w:r w:rsidR="00BE3525" w:rsidRPr="00396742">
        <w:rPr>
          <w:sz w:val="22"/>
          <w:szCs w:val="22"/>
        </w:rPr>
        <w:t>5</w:t>
      </w:r>
      <w:r w:rsidR="00030C6A" w:rsidRPr="00396742">
        <w:rPr>
          <w:sz w:val="22"/>
          <w:szCs w:val="22"/>
        </w:rPr>
        <w:t xml:space="preserve"> </w:t>
      </w:r>
      <w:r w:rsidR="00DD05D7" w:rsidRPr="00396742">
        <w:rPr>
          <w:sz w:val="22"/>
          <w:szCs w:val="22"/>
        </w:rPr>
        <w:t>government staff member ($</w:t>
      </w:r>
      <w:r w:rsidR="00D47D6C" w:rsidRPr="00396742">
        <w:rPr>
          <w:sz w:val="22"/>
          <w:szCs w:val="22"/>
        </w:rPr>
        <w:t>51.48</w:t>
      </w:r>
      <w:r w:rsidR="00030C6A" w:rsidRPr="00396742">
        <w:rPr>
          <w:sz w:val="22"/>
          <w:szCs w:val="22"/>
        </w:rPr>
        <w:t>/hour)</w:t>
      </w:r>
      <w:r w:rsidR="00587D6C" w:rsidRPr="00396742">
        <w:rPr>
          <w:sz w:val="22"/>
          <w:szCs w:val="22"/>
        </w:rPr>
        <w:t>.</w:t>
      </w:r>
      <w:r w:rsidR="00836022" w:rsidRPr="00396742">
        <w:rPr>
          <w:sz w:val="22"/>
          <w:szCs w:val="22"/>
        </w:rPr>
        <w:t xml:space="preserve"> </w:t>
      </w:r>
      <w:r w:rsidR="00587D6C" w:rsidRPr="00396742">
        <w:rPr>
          <w:sz w:val="22"/>
          <w:szCs w:val="22"/>
        </w:rPr>
        <w:t xml:space="preserve">Therefore, the </w:t>
      </w:r>
      <w:r w:rsidR="00D47D6C" w:rsidRPr="00396742">
        <w:rPr>
          <w:sz w:val="22"/>
          <w:szCs w:val="22"/>
        </w:rPr>
        <w:t xml:space="preserve">estimated </w:t>
      </w:r>
      <w:r w:rsidR="00027BF0" w:rsidRPr="00396742">
        <w:rPr>
          <w:sz w:val="22"/>
          <w:szCs w:val="22"/>
        </w:rPr>
        <w:t xml:space="preserve">annual </w:t>
      </w:r>
      <w:r w:rsidR="00587D6C" w:rsidRPr="00396742">
        <w:rPr>
          <w:sz w:val="22"/>
          <w:szCs w:val="22"/>
        </w:rPr>
        <w:t>in-house cost is as follows:</w:t>
      </w:r>
    </w:p>
    <w:p w14:paraId="745F1529" w14:textId="77777777" w:rsidR="005205D8" w:rsidRPr="00396742" w:rsidRDefault="005205D8" w:rsidP="00484562">
      <w:pPr>
        <w:tabs>
          <w:tab w:val="left" w:pos="-720"/>
        </w:tabs>
        <w:suppressAutoHyphens/>
        <w:ind w:left="360"/>
        <w:rPr>
          <w:sz w:val="22"/>
          <w:szCs w:val="22"/>
        </w:rPr>
      </w:pPr>
    </w:p>
    <w:p w14:paraId="7EBBC2CC" w14:textId="77777777" w:rsidR="00C55C6A" w:rsidRPr="00396742" w:rsidRDefault="00AA46BC" w:rsidP="003515D6">
      <w:pPr>
        <w:tabs>
          <w:tab w:val="left" w:pos="-720"/>
        </w:tabs>
        <w:suppressAutoHyphens/>
        <w:ind w:left="720" w:right="-630"/>
        <w:rPr>
          <w:sz w:val="22"/>
          <w:szCs w:val="22"/>
        </w:rPr>
      </w:pPr>
      <w:r w:rsidRPr="00396742">
        <w:rPr>
          <w:sz w:val="22"/>
          <w:szCs w:val="22"/>
        </w:rPr>
        <w:t>2 engineers at $</w:t>
      </w:r>
      <w:r w:rsidR="00D47D6C" w:rsidRPr="00396742">
        <w:rPr>
          <w:sz w:val="22"/>
          <w:szCs w:val="22"/>
        </w:rPr>
        <w:t>29.85</w:t>
      </w:r>
      <w:r w:rsidRPr="00396742">
        <w:rPr>
          <w:sz w:val="22"/>
          <w:szCs w:val="22"/>
        </w:rPr>
        <w:t xml:space="preserve">/hour each x </w:t>
      </w:r>
      <w:r w:rsidR="000A0543" w:rsidRPr="00396742">
        <w:rPr>
          <w:sz w:val="22"/>
          <w:szCs w:val="22"/>
        </w:rPr>
        <w:t>16</w:t>
      </w:r>
      <w:r w:rsidRPr="00396742">
        <w:rPr>
          <w:sz w:val="22"/>
          <w:szCs w:val="22"/>
        </w:rPr>
        <w:t xml:space="preserve"> hours</w:t>
      </w:r>
      <w:r w:rsidR="000A0543" w:rsidRPr="00396742">
        <w:rPr>
          <w:sz w:val="22"/>
          <w:szCs w:val="22"/>
        </w:rPr>
        <w:t xml:space="preserve"> </w:t>
      </w:r>
      <w:r w:rsidRPr="00396742">
        <w:rPr>
          <w:sz w:val="22"/>
          <w:szCs w:val="22"/>
        </w:rPr>
        <w:t xml:space="preserve">per </w:t>
      </w:r>
      <w:r w:rsidR="000A0543" w:rsidRPr="00396742">
        <w:rPr>
          <w:sz w:val="22"/>
          <w:szCs w:val="22"/>
        </w:rPr>
        <w:t xml:space="preserve">engineer per </w:t>
      </w:r>
      <w:r w:rsidRPr="00396742">
        <w:rPr>
          <w:sz w:val="22"/>
          <w:szCs w:val="22"/>
        </w:rPr>
        <w:t xml:space="preserve">response x </w:t>
      </w:r>
      <w:r w:rsidR="002107B7" w:rsidRPr="00396742">
        <w:rPr>
          <w:sz w:val="22"/>
          <w:szCs w:val="22"/>
        </w:rPr>
        <w:t>50</w:t>
      </w:r>
      <w:r w:rsidR="00484562" w:rsidRPr="00396742">
        <w:rPr>
          <w:sz w:val="22"/>
          <w:szCs w:val="22"/>
        </w:rPr>
        <w:t xml:space="preserve"> </w:t>
      </w:r>
      <w:r w:rsidR="00C5161F" w:rsidRPr="00396742">
        <w:rPr>
          <w:sz w:val="22"/>
          <w:szCs w:val="22"/>
        </w:rPr>
        <w:t xml:space="preserve">estimated </w:t>
      </w:r>
      <w:r w:rsidR="00F73489" w:rsidRPr="00396742">
        <w:rPr>
          <w:sz w:val="22"/>
          <w:szCs w:val="22"/>
        </w:rPr>
        <w:t>respondents</w:t>
      </w:r>
      <w:r w:rsidR="000A0543" w:rsidRPr="00396742">
        <w:rPr>
          <w:sz w:val="22"/>
          <w:szCs w:val="22"/>
        </w:rPr>
        <w:t>/responses</w:t>
      </w:r>
      <w:r w:rsidR="00484562" w:rsidRPr="00396742">
        <w:rPr>
          <w:sz w:val="22"/>
          <w:szCs w:val="22"/>
        </w:rPr>
        <w:t xml:space="preserve"> </w:t>
      </w:r>
      <w:r w:rsidR="00C55C6A" w:rsidRPr="00396742">
        <w:rPr>
          <w:sz w:val="22"/>
          <w:szCs w:val="22"/>
        </w:rPr>
        <w:t>= $</w:t>
      </w:r>
      <w:r w:rsidR="002107B7" w:rsidRPr="00396742">
        <w:rPr>
          <w:sz w:val="22"/>
          <w:szCs w:val="22"/>
        </w:rPr>
        <w:t>4</w:t>
      </w:r>
      <w:r w:rsidR="007113F0" w:rsidRPr="00396742">
        <w:rPr>
          <w:sz w:val="22"/>
          <w:szCs w:val="22"/>
        </w:rPr>
        <w:t>7</w:t>
      </w:r>
      <w:r w:rsidR="002107B7" w:rsidRPr="00396742">
        <w:rPr>
          <w:sz w:val="22"/>
          <w:szCs w:val="22"/>
        </w:rPr>
        <w:t>,</w:t>
      </w:r>
      <w:r w:rsidR="007113F0" w:rsidRPr="00396742">
        <w:rPr>
          <w:sz w:val="22"/>
          <w:szCs w:val="22"/>
        </w:rPr>
        <w:t>760</w:t>
      </w:r>
      <w:r w:rsidR="00836022" w:rsidRPr="00396742">
        <w:rPr>
          <w:sz w:val="22"/>
          <w:szCs w:val="22"/>
        </w:rPr>
        <w:t xml:space="preserve"> </w:t>
      </w:r>
    </w:p>
    <w:p w14:paraId="042D0486" w14:textId="77777777" w:rsidR="00AA46BC" w:rsidRPr="00396742" w:rsidRDefault="00AA46BC" w:rsidP="00AA46BC">
      <w:pPr>
        <w:tabs>
          <w:tab w:val="left" w:pos="-720"/>
        </w:tabs>
        <w:suppressAutoHyphens/>
        <w:ind w:left="1080" w:right="-540"/>
        <w:rPr>
          <w:sz w:val="22"/>
          <w:szCs w:val="22"/>
        </w:rPr>
      </w:pPr>
    </w:p>
    <w:p w14:paraId="4E133842" w14:textId="77777777" w:rsidR="002107B7" w:rsidRPr="00396742" w:rsidRDefault="00AA46BC" w:rsidP="003515D6">
      <w:pPr>
        <w:tabs>
          <w:tab w:val="left" w:pos="-720"/>
        </w:tabs>
        <w:suppressAutoHyphens/>
        <w:ind w:left="720" w:right="-540"/>
        <w:rPr>
          <w:sz w:val="22"/>
          <w:szCs w:val="22"/>
        </w:rPr>
      </w:pPr>
      <w:r w:rsidRPr="00396742">
        <w:rPr>
          <w:sz w:val="22"/>
          <w:szCs w:val="22"/>
        </w:rPr>
        <w:t>2 engineers at $</w:t>
      </w:r>
      <w:r w:rsidR="00D47D6C" w:rsidRPr="00396742">
        <w:rPr>
          <w:sz w:val="22"/>
          <w:szCs w:val="22"/>
        </w:rPr>
        <w:t>51.48</w:t>
      </w:r>
      <w:r w:rsidRPr="00396742">
        <w:rPr>
          <w:sz w:val="22"/>
          <w:szCs w:val="22"/>
        </w:rPr>
        <w:t xml:space="preserve">/hour each x </w:t>
      </w:r>
      <w:r w:rsidR="000A0543" w:rsidRPr="00396742">
        <w:rPr>
          <w:sz w:val="22"/>
          <w:szCs w:val="22"/>
        </w:rPr>
        <w:t xml:space="preserve">16 hours per engineer per response </w:t>
      </w:r>
      <w:r w:rsidR="002107B7" w:rsidRPr="00396742">
        <w:rPr>
          <w:sz w:val="22"/>
          <w:szCs w:val="22"/>
        </w:rPr>
        <w:t xml:space="preserve">x </w:t>
      </w:r>
      <w:r w:rsidRPr="00396742">
        <w:rPr>
          <w:sz w:val="22"/>
          <w:szCs w:val="22"/>
        </w:rPr>
        <w:t>50 estimated respondents</w:t>
      </w:r>
      <w:r w:rsidR="000A0543" w:rsidRPr="00396742">
        <w:rPr>
          <w:sz w:val="22"/>
          <w:szCs w:val="22"/>
        </w:rPr>
        <w:t>/responses</w:t>
      </w:r>
      <w:r w:rsidRPr="00396742">
        <w:rPr>
          <w:sz w:val="22"/>
          <w:szCs w:val="22"/>
        </w:rPr>
        <w:t xml:space="preserve"> </w:t>
      </w:r>
      <w:r w:rsidR="002107B7" w:rsidRPr="00396742">
        <w:rPr>
          <w:sz w:val="22"/>
          <w:szCs w:val="22"/>
        </w:rPr>
        <w:t>= $</w:t>
      </w:r>
      <w:r w:rsidR="007113F0" w:rsidRPr="00396742">
        <w:rPr>
          <w:sz w:val="22"/>
          <w:szCs w:val="22"/>
        </w:rPr>
        <w:t>82,368</w:t>
      </w:r>
    </w:p>
    <w:p w14:paraId="526222ED" w14:textId="77777777" w:rsidR="00AA46BC" w:rsidRPr="00396742" w:rsidRDefault="00AA46BC" w:rsidP="00AA46BC">
      <w:pPr>
        <w:tabs>
          <w:tab w:val="left" w:pos="-720"/>
        </w:tabs>
        <w:suppressAutoHyphens/>
        <w:ind w:left="1080" w:right="-540"/>
        <w:rPr>
          <w:b/>
          <w:sz w:val="22"/>
          <w:szCs w:val="22"/>
        </w:rPr>
      </w:pPr>
    </w:p>
    <w:p w14:paraId="19E2CDF8" w14:textId="77777777" w:rsidR="00AA46BC" w:rsidRPr="00396742" w:rsidRDefault="00AA46BC" w:rsidP="003515D6">
      <w:pPr>
        <w:tabs>
          <w:tab w:val="left" w:pos="-720"/>
        </w:tabs>
        <w:suppressAutoHyphens/>
        <w:ind w:left="720" w:right="-540"/>
        <w:rPr>
          <w:sz w:val="22"/>
          <w:szCs w:val="22"/>
        </w:rPr>
      </w:pPr>
      <w:r w:rsidRPr="00396742">
        <w:rPr>
          <w:b/>
          <w:sz w:val="22"/>
          <w:szCs w:val="22"/>
        </w:rPr>
        <w:t>Total Cost:  $4</w:t>
      </w:r>
      <w:r w:rsidR="007113F0" w:rsidRPr="00396742">
        <w:rPr>
          <w:b/>
          <w:sz w:val="22"/>
          <w:szCs w:val="22"/>
        </w:rPr>
        <w:t>7</w:t>
      </w:r>
      <w:r w:rsidRPr="00396742">
        <w:rPr>
          <w:b/>
          <w:sz w:val="22"/>
          <w:szCs w:val="22"/>
        </w:rPr>
        <w:t>,</w:t>
      </w:r>
      <w:r w:rsidR="007113F0" w:rsidRPr="00396742">
        <w:rPr>
          <w:b/>
          <w:sz w:val="22"/>
          <w:szCs w:val="22"/>
        </w:rPr>
        <w:t>760</w:t>
      </w:r>
      <w:r w:rsidRPr="00396742">
        <w:rPr>
          <w:b/>
          <w:sz w:val="22"/>
          <w:szCs w:val="22"/>
        </w:rPr>
        <w:t xml:space="preserve"> + $</w:t>
      </w:r>
      <w:r w:rsidR="007113F0" w:rsidRPr="00396742">
        <w:rPr>
          <w:b/>
          <w:sz w:val="22"/>
          <w:szCs w:val="22"/>
        </w:rPr>
        <w:t>8</w:t>
      </w:r>
      <w:r w:rsidRPr="00396742">
        <w:rPr>
          <w:b/>
          <w:sz w:val="22"/>
          <w:szCs w:val="22"/>
        </w:rPr>
        <w:t>2,</w:t>
      </w:r>
      <w:r w:rsidR="007113F0" w:rsidRPr="00396742">
        <w:rPr>
          <w:b/>
          <w:sz w:val="22"/>
          <w:szCs w:val="22"/>
        </w:rPr>
        <w:t>368</w:t>
      </w:r>
      <w:r w:rsidRPr="00396742">
        <w:rPr>
          <w:b/>
          <w:sz w:val="22"/>
          <w:szCs w:val="22"/>
        </w:rPr>
        <w:t xml:space="preserve"> = $1</w:t>
      </w:r>
      <w:r w:rsidR="007113F0" w:rsidRPr="00396742">
        <w:rPr>
          <w:b/>
          <w:sz w:val="22"/>
          <w:szCs w:val="22"/>
        </w:rPr>
        <w:t>30,128</w:t>
      </w:r>
      <w:r w:rsidRPr="00396742">
        <w:rPr>
          <w:b/>
          <w:sz w:val="22"/>
          <w:szCs w:val="22"/>
        </w:rPr>
        <w:t>.</w:t>
      </w:r>
    </w:p>
    <w:p w14:paraId="2D045DD7" w14:textId="77777777" w:rsidR="00C55C6A" w:rsidRPr="00396742" w:rsidRDefault="00C55C6A" w:rsidP="00C55C6A">
      <w:pPr>
        <w:tabs>
          <w:tab w:val="left" w:pos="-720"/>
        </w:tabs>
        <w:suppressAutoHyphens/>
        <w:ind w:left="360" w:hanging="360"/>
        <w:rPr>
          <w:b/>
          <w:sz w:val="22"/>
          <w:szCs w:val="22"/>
        </w:rPr>
      </w:pPr>
      <w:r w:rsidRPr="00396742">
        <w:rPr>
          <w:b/>
          <w:sz w:val="22"/>
          <w:szCs w:val="22"/>
        </w:rPr>
        <w:tab/>
      </w:r>
      <w:r w:rsidRPr="00396742">
        <w:rPr>
          <w:b/>
          <w:sz w:val="22"/>
          <w:szCs w:val="22"/>
        </w:rPr>
        <w:tab/>
      </w:r>
      <w:r w:rsidRPr="00396742">
        <w:rPr>
          <w:b/>
          <w:sz w:val="22"/>
          <w:szCs w:val="22"/>
        </w:rPr>
        <w:tab/>
      </w:r>
      <w:r w:rsidR="00836022" w:rsidRPr="00396742">
        <w:rPr>
          <w:b/>
          <w:sz w:val="22"/>
          <w:szCs w:val="22"/>
        </w:rPr>
        <w:t xml:space="preserve">     </w:t>
      </w:r>
    </w:p>
    <w:p w14:paraId="1B90C42B" w14:textId="3C029284" w:rsidR="00942C70" w:rsidRPr="00396742" w:rsidRDefault="003515D6" w:rsidP="003515D6">
      <w:pPr>
        <w:suppressAutoHyphens/>
        <w:ind w:left="360" w:hanging="360"/>
        <w:rPr>
          <w:sz w:val="22"/>
          <w:szCs w:val="22"/>
        </w:rPr>
      </w:pPr>
      <w:r w:rsidRPr="00396742">
        <w:rPr>
          <w:sz w:val="22"/>
          <w:szCs w:val="22"/>
        </w:rPr>
        <w:t>13.</w:t>
      </w:r>
      <w:r w:rsidRPr="00396742">
        <w:rPr>
          <w:i/>
          <w:sz w:val="22"/>
          <w:szCs w:val="22"/>
        </w:rPr>
        <w:t xml:space="preserve">  </w:t>
      </w:r>
      <w:r w:rsidR="00031818" w:rsidRPr="00396742">
        <w:rPr>
          <w:i/>
          <w:sz w:val="22"/>
          <w:szCs w:val="22"/>
        </w:rPr>
        <w:t xml:space="preserve">Estimates of the </w:t>
      </w:r>
      <w:r w:rsidR="00027BF0" w:rsidRPr="00396742">
        <w:rPr>
          <w:i/>
          <w:sz w:val="22"/>
          <w:szCs w:val="22"/>
        </w:rPr>
        <w:t xml:space="preserve">annual </w:t>
      </w:r>
      <w:r w:rsidR="00031818" w:rsidRPr="00396742">
        <w:rPr>
          <w:i/>
          <w:sz w:val="22"/>
          <w:szCs w:val="22"/>
        </w:rPr>
        <w:t>cost burden of the collection to respondents</w:t>
      </w:r>
      <w:r w:rsidR="00031818" w:rsidRPr="00396742">
        <w:rPr>
          <w:sz w:val="22"/>
          <w:szCs w:val="22"/>
        </w:rPr>
        <w:t>.</w:t>
      </w:r>
      <w:r w:rsidR="00942C70" w:rsidRPr="00396742">
        <w:rPr>
          <w:sz w:val="22"/>
          <w:szCs w:val="22"/>
        </w:rPr>
        <w:t xml:space="preserve"> </w:t>
      </w:r>
      <w:r w:rsidR="00031818" w:rsidRPr="00396742">
        <w:rPr>
          <w:sz w:val="22"/>
          <w:szCs w:val="22"/>
        </w:rPr>
        <w:t xml:space="preserve"> </w:t>
      </w:r>
      <w:r w:rsidR="00512B46" w:rsidRPr="00396742">
        <w:rPr>
          <w:sz w:val="22"/>
          <w:szCs w:val="22"/>
        </w:rPr>
        <w:t xml:space="preserve">There is no external cost to respondents. </w:t>
      </w:r>
      <w:r w:rsidR="00942C70" w:rsidRPr="00396742">
        <w:rPr>
          <w:sz w:val="22"/>
          <w:szCs w:val="22"/>
        </w:rPr>
        <w:t xml:space="preserve"> Also, respondents should not incur capital and start-up costs or operation and maintenance of purchase of services in connection with responding to </w:t>
      </w:r>
      <w:r w:rsidR="00F94720" w:rsidRPr="00396742">
        <w:rPr>
          <w:sz w:val="22"/>
          <w:szCs w:val="22"/>
        </w:rPr>
        <w:t>this</w:t>
      </w:r>
      <w:r w:rsidR="00942C70" w:rsidRPr="00396742">
        <w:rPr>
          <w:sz w:val="22"/>
          <w:szCs w:val="22"/>
        </w:rPr>
        <w:t xml:space="preserve"> one-time </w:t>
      </w:r>
      <w:r w:rsidR="006B148D" w:rsidRPr="00396742">
        <w:rPr>
          <w:sz w:val="22"/>
          <w:szCs w:val="22"/>
        </w:rPr>
        <w:t xml:space="preserve">information </w:t>
      </w:r>
      <w:r w:rsidR="00942C70" w:rsidRPr="00396742">
        <w:rPr>
          <w:sz w:val="22"/>
          <w:szCs w:val="22"/>
        </w:rPr>
        <w:t xml:space="preserve">collection.  The information collected should be available and maintained as part of the customary and usual business or private practice of the respondent. </w:t>
      </w:r>
    </w:p>
    <w:p w14:paraId="1BC26EE7" w14:textId="77777777" w:rsidR="00512B46" w:rsidRPr="00396742" w:rsidRDefault="00512B46" w:rsidP="00B048EA">
      <w:pPr>
        <w:rPr>
          <w:sz w:val="22"/>
          <w:szCs w:val="22"/>
        </w:rPr>
      </w:pPr>
    </w:p>
    <w:p w14:paraId="0D256020" w14:textId="77777777" w:rsidR="00AC039E" w:rsidRPr="00396742" w:rsidRDefault="00AE464E" w:rsidP="00AE464E">
      <w:pPr>
        <w:ind w:left="360"/>
        <w:rPr>
          <w:b/>
          <w:sz w:val="22"/>
          <w:szCs w:val="22"/>
        </w:rPr>
      </w:pPr>
      <w:r w:rsidRPr="00396742">
        <w:rPr>
          <w:b/>
          <w:sz w:val="22"/>
          <w:szCs w:val="22"/>
        </w:rPr>
        <w:t>TOTAL CAPITAL AND START-UP COSTS</w:t>
      </w:r>
      <w:r w:rsidR="00AC039E" w:rsidRPr="00396742">
        <w:rPr>
          <w:b/>
          <w:sz w:val="22"/>
          <w:szCs w:val="22"/>
        </w:rPr>
        <w:t>:  $0.</w:t>
      </w:r>
    </w:p>
    <w:p w14:paraId="6DE554AF" w14:textId="77777777" w:rsidR="00AC039E" w:rsidRPr="00396742" w:rsidRDefault="00AC039E" w:rsidP="00AE464E">
      <w:pPr>
        <w:ind w:left="360"/>
        <w:rPr>
          <w:b/>
          <w:sz w:val="22"/>
          <w:szCs w:val="22"/>
        </w:rPr>
      </w:pPr>
    </w:p>
    <w:p w14:paraId="11EEAC19" w14:textId="77777777" w:rsidR="00AE464E" w:rsidRPr="00396742" w:rsidRDefault="00AC039E" w:rsidP="00AE464E">
      <w:pPr>
        <w:ind w:left="360"/>
        <w:rPr>
          <w:sz w:val="22"/>
          <w:szCs w:val="22"/>
        </w:rPr>
      </w:pPr>
      <w:r w:rsidRPr="00396742">
        <w:rPr>
          <w:b/>
          <w:sz w:val="22"/>
          <w:szCs w:val="22"/>
        </w:rPr>
        <w:t xml:space="preserve">TOTAL </w:t>
      </w:r>
      <w:r w:rsidR="00AE464E" w:rsidRPr="00396742">
        <w:rPr>
          <w:b/>
          <w:sz w:val="22"/>
          <w:szCs w:val="22"/>
        </w:rPr>
        <w:t>OPERATION AND MAINTENANCE (O&amp;M)</w:t>
      </w:r>
      <w:r w:rsidRPr="00396742">
        <w:rPr>
          <w:b/>
          <w:sz w:val="22"/>
          <w:szCs w:val="22"/>
        </w:rPr>
        <w:t xml:space="preserve"> COSTS</w:t>
      </w:r>
      <w:r w:rsidR="00AE464E" w:rsidRPr="00396742">
        <w:rPr>
          <w:b/>
          <w:sz w:val="22"/>
          <w:szCs w:val="22"/>
        </w:rPr>
        <w:t>:</w:t>
      </w:r>
      <w:r w:rsidR="00AE464E" w:rsidRPr="00396742">
        <w:rPr>
          <w:sz w:val="22"/>
          <w:szCs w:val="22"/>
        </w:rPr>
        <w:t xml:space="preserve"> </w:t>
      </w:r>
      <w:r w:rsidRPr="00396742">
        <w:rPr>
          <w:sz w:val="22"/>
          <w:szCs w:val="22"/>
        </w:rPr>
        <w:t xml:space="preserve"> </w:t>
      </w:r>
      <w:r w:rsidR="00AE464E" w:rsidRPr="00396742">
        <w:rPr>
          <w:b/>
          <w:sz w:val="22"/>
          <w:szCs w:val="22"/>
        </w:rPr>
        <w:t>$</w:t>
      </w:r>
      <w:r w:rsidR="00A800CA" w:rsidRPr="00396742">
        <w:rPr>
          <w:b/>
          <w:sz w:val="22"/>
          <w:szCs w:val="22"/>
        </w:rPr>
        <w:t>0</w:t>
      </w:r>
      <w:r w:rsidR="00AE464E" w:rsidRPr="00396742">
        <w:rPr>
          <w:sz w:val="22"/>
          <w:szCs w:val="22"/>
        </w:rPr>
        <w:t>.</w:t>
      </w:r>
    </w:p>
    <w:p w14:paraId="0C4CEB90" w14:textId="77777777" w:rsidR="00AE464E" w:rsidRPr="00396742" w:rsidRDefault="00AE464E" w:rsidP="00AE464E">
      <w:pPr>
        <w:suppressAutoHyphens/>
        <w:ind w:left="360"/>
        <w:rPr>
          <w:sz w:val="22"/>
          <w:szCs w:val="22"/>
        </w:rPr>
      </w:pPr>
    </w:p>
    <w:p w14:paraId="7DF5BACA" w14:textId="0FCE1B16" w:rsidR="008C27ED" w:rsidRPr="00396742" w:rsidRDefault="003515D6" w:rsidP="003515D6">
      <w:pPr>
        <w:suppressAutoHyphens/>
        <w:ind w:left="360" w:hanging="360"/>
        <w:rPr>
          <w:sz w:val="22"/>
          <w:szCs w:val="22"/>
        </w:rPr>
      </w:pPr>
      <w:r w:rsidRPr="00396742">
        <w:rPr>
          <w:sz w:val="22"/>
          <w:szCs w:val="22"/>
        </w:rPr>
        <w:t xml:space="preserve">14.  </w:t>
      </w:r>
      <w:r w:rsidR="00031818" w:rsidRPr="00396742">
        <w:rPr>
          <w:i/>
          <w:sz w:val="22"/>
          <w:szCs w:val="22"/>
        </w:rPr>
        <w:t xml:space="preserve">Estimates of the </w:t>
      </w:r>
      <w:r w:rsidR="00C270B1" w:rsidRPr="00396742">
        <w:rPr>
          <w:i/>
          <w:sz w:val="22"/>
          <w:szCs w:val="22"/>
        </w:rPr>
        <w:t xml:space="preserve">annual </w:t>
      </w:r>
      <w:r w:rsidR="00031818" w:rsidRPr="00396742">
        <w:rPr>
          <w:i/>
          <w:sz w:val="22"/>
          <w:szCs w:val="22"/>
        </w:rPr>
        <w:t>cost burden to the Commission.</w:t>
      </w:r>
      <w:r w:rsidR="00836022" w:rsidRPr="00396742">
        <w:rPr>
          <w:i/>
          <w:sz w:val="22"/>
          <w:szCs w:val="22"/>
        </w:rPr>
        <w:t xml:space="preserve"> </w:t>
      </w:r>
      <w:r w:rsidR="00942C70" w:rsidRPr="00396742">
        <w:rPr>
          <w:i/>
          <w:sz w:val="22"/>
          <w:szCs w:val="22"/>
        </w:rPr>
        <w:t xml:space="preserve"> </w:t>
      </w:r>
      <w:r w:rsidR="0034756D" w:rsidRPr="00396742">
        <w:rPr>
          <w:sz w:val="22"/>
          <w:szCs w:val="22"/>
        </w:rPr>
        <w:t>This one-time data collection will be administered by economists, GIS experts, analysts, and support specialists at several GS levels with the assistance of senior managers and attorneys.  Based on its extensive experience managing similar data collections, including the data collection on FCC Form 477</w:t>
      </w:r>
      <w:r w:rsidR="00FB1663" w:rsidRPr="00396742">
        <w:rPr>
          <w:sz w:val="22"/>
          <w:szCs w:val="22"/>
        </w:rPr>
        <w:t>,</w:t>
      </w:r>
      <w:r w:rsidR="0034756D" w:rsidRPr="00396742">
        <w:rPr>
          <w:sz w:val="22"/>
          <w:szCs w:val="22"/>
        </w:rPr>
        <w:t xml:space="preserve"> t</w:t>
      </w:r>
      <w:r w:rsidR="00E60172" w:rsidRPr="00396742">
        <w:rPr>
          <w:sz w:val="22"/>
          <w:szCs w:val="22"/>
        </w:rPr>
        <w:t xml:space="preserve">he Commission estimates that </w:t>
      </w:r>
      <w:r w:rsidR="004A03A3" w:rsidRPr="00396742">
        <w:rPr>
          <w:sz w:val="22"/>
          <w:szCs w:val="22"/>
        </w:rPr>
        <w:t xml:space="preserve">administering </w:t>
      </w:r>
      <w:r w:rsidR="00E60172" w:rsidRPr="00396742">
        <w:rPr>
          <w:sz w:val="22"/>
          <w:szCs w:val="22"/>
        </w:rPr>
        <w:t>this</w:t>
      </w:r>
      <w:r w:rsidR="0034756D" w:rsidRPr="00396742">
        <w:rPr>
          <w:sz w:val="22"/>
          <w:szCs w:val="22"/>
        </w:rPr>
        <w:t xml:space="preserve"> </w:t>
      </w:r>
      <w:r w:rsidR="00E60172" w:rsidRPr="00396742">
        <w:rPr>
          <w:sz w:val="22"/>
          <w:szCs w:val="22"/>
        </w:rPr>
        <w:t>one-time collection</w:t>
      </w:r>
      <w:r w:rsidR="0034756D" w:rsidRPr="00396742">
        <w:rPr>
          <w:sz w:val="22"/>
          <w:szCs w:val="22"/>
        </w:rPr>
        <w:t xml:space="preserve"> will cost it $50,000.  The program does not envision other costs, e.g., personnel or other resources from other government agencies or from the private sector.</w:t>
      </w:r>
      <w:r w:rsidR="00836022" w:rsidRPr="00396742">
        <w:rPr>
          <w:sz w:val="22"/>
          <w:szCs w:val="22"/>
        </w:rPr>
        <w:t xml:space="preserve"> </w:t>
      </w:r>
    </w:p>
    <w:p w14:paraId="570BE286" w14:textId="77777777" w:rsidR="004801B6" w:rsidRPr="00396742" w:rsidRDefault="004801B6" w:rsidP="004801B6">
      <w:pPr>
        <w:suppressAutoHyphens/>
        <w:ind w:left="360"/>
        <w:rPr>
          <w:sz w:val="22"/>
          <w:szCs w:val="22"/>
        </w:rPr>
      </w:pPr>
    </w:p>
    <w:p w14:paraId="7DFE145B" w14:textId="400FA697" w:rsidR="00325BCE" w:rsidRPr="00396742" w:rsidRDefault="00BB097F" w:rsidP="00BB097F">
      <w:pPr>
        <w:suppressAutoHyphens/>
        <w:ind w:left="360" w:hanging="360"/>
        <w:rPr>
          <w:sz w:val="22"/>
          <w:szCs w:val="22"/>
        </w:rPr>
      </w:pPr>
      <w:r w:rsidRPr="00396742">
        <w:rPr>
          <w:sz w:val="22"/>
          <w:szCs w:val="22"/>
        </w:rPr>
        <w:t xml:space="preserve">15.  </w:t>
      </w:r>
      <w:r w:rsidR="00031818" w:rsidRPr="00396742">
        <w:rPr>
          <w:i/>
          <w:sz w:val="22"/>
          <w:szCs w:val="22"/>
        </w:rPr>
        <w:t>Program changes or adjustment.</w:t>
      </w:r>
      <w:r w:rsidR="00836022" w:rsidRPr="00396742">
        <w:rPr>
          <w:i/>
          <w:sz w:val="22"/>
          <w:szCs w:val="22"/>
        </w:rPr>
        <w:t xml:space="preserve"> </w:t>
      </w:r>
      <w:r w:rsidR="00942C70" w:rsidRPr="00396742">
        <w:rPr>
          <w:i/>
          <w:sz w:val="22"/>
          <w:szCs w:val="22"/>
        </w:rPr>
        <w:t xml:space="preserve"> </w:t>
      </w:r>
      <w:r w:rsidR="00D31D67" w:rsidRPr="00396742">
        <w:rPr>
          <w:sz w:val="22"/>
          <w:szCs w:val="22"/>
        </w:rPr>
        <w:t>The Commission is reporting no change in burden for the collection.  Therefore, there are no program changes or adjustments to this collection</w:t>
      </w:r>
      <w:r w:rsidR="00031818" w:rsidRPr="00396742">
        <w:rPr>
          <w:sz w:val="22"/>
          <w:szCs w:val="22"/>
        </w:rPr>
        <w:t>.</w:t>
      </w:r>
    </w:p>
    <w:p w14:paraId="175FD38F" w14:textId="77777777" w:rsidR="00325BCE" w:rsidRPr="00396742" w:rsidRDefault="00325BCE" w:rsidP="00325BCE">
      <w:pPr>
        <w:pStyle w:val="ListParagraph"/>
        <w:rPr>
          <w:i/>
          <w:sz w:val="22"/>
          <w:szCs w:val="22"/>
        </w:rPr>
      </w:pPr>
    </w:p>
    <w:p w14:paraId="5243C906" w14:textId="24A01011" w:rsidR="00624353" w:rsidRPr="00396742" w:rsidRDefault="00BB097F" w:rsidP="00BB097F">
      <w:pPr>
        <w:suppressAutoHyphens/>
        <w:ind w:left="360" w:hanging="360"/>
        <w:rPr>
          <w:sz w:val="22"/>
          <w:szCs w:val="22"/>
        </w:rPr>
      </w:pPr>
      <w:r w:rsidRPr="00396742">
        <w:rPr>
          <w:sz w:val="22"/>
          <w:szCs w:val="22"/>
        </w:rPr>
        <w:t xml:space="preserve">16.  </w:t>
      </w:r>
      <w:r w:rsidR="00031818" w:rsidRPr="00396742">
        <w:rPr>
          <w:i/>
          <w:sz w:val="22"/>
          <w:szCs w:val="22"/>
        </w:rPr>
        <w:t>Collections of information whose results will be published.</w:t>
      </w:r>
      <w:r w:rsidR="00836022" w:rsidRPr="00396742">
        <w:rPr>
          <w:i/>
          <w:sz w:val="22"/>
          <w:szCs w:val="22"/>
        </w:rPr>
        <w:t xml:space="preserve"> </w:t>
      </w:r>
      <w:r w:rsidR="00D867D2" w:rsidRPr="00396742">
        <w:rPr>
          <w:sz w:val="22"/>
          <w:szCs w:val="22"/>
        </w:rPr>
        <w:t xml:space="preserve">The information collection will not be published for statistical use. </w:t>
      </w:r>
      <w:r w:rsidR="00942C70" w:rsidRPr="00396742">
        <w:rPr>
          <w:sz w:val="22"/>
          <w:szCs w:val="22"/>
        </w:rPr>
        <w:t xml:space="preserve"> </w:t>
      </w:r>
    </w:p>
    <w:p w14:paraId="0D83CE3D" w14:textId="77777777" w:rsidR="00624353" w:rsidRPr="00396742" w:rsidRDefault="00624353" w:rsidP="00624353">
      <w:pPr>
        <w:pStyle w:val="ListParagraph"/>
        <w:rPr>
          <w:i/>
          <w:sz w:val="22"/>
          <w:szCs w:val="22"/>
        </w:rPr>
      </w:pPr>
    </w:p>
    <w:p w14:paraId="148BB296" w14:textId="2A7CF9CE" w:rsidR="00624353" w:rsidRPr="00396742" w:rsidRDefault="00BB097F" w:rsidP="00BB097F">
      <w:pPr>
        <w:pStyle w:val="ListParagraph"/>
        <w:numPr>
          <w:ilvl w:val="0"/>
          <w:numId w:val="31"/>
        </w:numPr>
        <w:suppressAutoHyphens/>
        <w:ind w:left="360"/>
        <w:rPr>
          <w:sz w:val="22"/>
          <w:szCs w:val="22"/>
        </w:rPr>
      </w:pPr>
      <w:r w:rsidRPr="00396742">
        <w:rPr>
          <w:i/>
          <w:sz w:val="22"/>
          <w:szCs w:val="22"/>
        </w:rPr>
        <w:t xml:space="preserve"> </w:t>
      </w:r>
      <w:r w:rsidR="00031818" w:rsidRPr="00396742">
        <w:rPr>
          <w:i/>
          <w:sz w:val="22"/>
          <w:szCs w:val="22"/>
        </w:rPr>
        <w:t>Display of expiration date for OMB approval of information collection.</w:t>
      </w:r>
      <w:r w:rsidR="00942C70" w:rsidRPr="00396742">
        <w:rPr>
          <w:i/>
          <w:sz w:val="22"/>
          <w:szCs w:val="22"/>
        </w:rPr>
        <w:t xml:space="preserve"> </w:t>
      </w:r>
      <w:r w:rsidR="00836022" w:rsidRPr="00396742">
        <w:rPr>
          <w:i/>
          <w:sz w:val="22"/>
          <w:szCs w:val="22"/>
        </w:rPr>
        <w:t xml:space="preserve"> </w:t>
      </w:r>
      <w:r w:rsidR="00624353" w:rsidRPr="00396742">
        <w:rPr>
          <w:sz w:val="22"/>
          <w:szCs w:val="22"/>
        </w:rPr>
        <w:t xml:space="preserve">The Commission seeks </w:t>
      </w:r>
      <w:r w:rsidR="004B4A72" w:rsidRPr="00396742">
        <w:rPr>
          <w:sz w:val="22"/>
          <w:szCs w:val="22"/>
        </w:rPr>
        <w:t>continued approval not</w:t>
      </w:r>
      <w:r w:rsidR="00624353" w:rsidRPr="00396742">
        <w:rPr>
          <w:sz w:val="22"/>
          <w:szCs w:val="22"/>
        </w:rPr>
        <w:t xml:space="preserve"> to display the OMB expiration date </w:t>
      </w:r>
      <w:r w:rsidR="00B06DB6" w:rsidRPr="00396742">
        <w:rPr>
          <w:sz w:val="22"/>
          <w:szCs w:val="22"/>
        </w:rPr>
        <w:t>for this information</w:t>
      </w:r>
      <w:r w:rsidR="00624353" w:rsidRPr="00396742">
        <w:rPr>
          <w:sz w:val="22"/>
          <w:szCs w:val="22"/>
        </w:rPr>
        <w:t xml:space="preserve"> collection.</w:t>
      </w:r>
      <w:r w:rsidR="00836022" w:rsidRPr="00396742">
        <w:rPr>
          <w:sz w:val="22"/>
          <w:szCs w:val="22"/>
        </w:rPr>
        <w:t xml:space="preserve"> </w:t>
      </w:r>
      <w:r w:rsidR="00942C70" w:rsidRPr="00396742">
        <w:rPr>
          <w:sz w:val="22"/>
          <w:szCs w:val="22"/>
        </w:rPr>
        <w:t xml:space="preserve"> </w:t>
      </w:r>
      <w:r w:rsidR="00624353" w:rsidRPr="00396742">
        <w:rPr>
          <w:sz w:val="22"/>
          <w:szCs w:val="22"/>
        </w:rPr>
        <w:t>The Commission publishes a list of all OMB-approved information collections</w:t>
      </w:r>
      <w:r w:rsidR="005E252E" w:rsidRPr="00396742">
        <w:rPr>
          <w:sz w:val="22"/>
          <w:szCs w:val="22"/>
        </w:rPr>
        <w:t xml:space="preserve"> and their corresponding expiration dates</w:t>
      </w:r>
      <w:r w:rsidR="00624353" w:rsidRPr="00396742">
        <w:rPr>
          <w:sz w:val="22"/>
          <w:szCs w:val="22"/>
        </w:rPr>
        <w:t xml:space="preserve"> in 47 C.F.R. 0.408 of the Commission’s rules</w:t>
      </w:r>
      <w:r w:rsidR="0010531B" w:rsidRPr="00396742">
        <w:rPr>
          <w:sz w:val="22"/>
          <w:szCs w:val="22"/>
        </w:rPr>
        <w:t>, 47 C.F.R. § 0.408</w:t>
      </w:r>
      <w:r w:rsidR="005E252E" w:rsidRPr="00396742">
        <w:rPr>
          <w:sz w:val="22"/>
          <w:szCs w:val="22"/>
        </w:rPr>
        <w:t xml:space="preserve">, and will </w:t>
      </w:r>
      <w:r w:rsidR="004B4A72" w:rsidRPr="00396742">
        <w:rPr>
          <w:sz w:val="22"/>
          <w:szCs w:val="22"/>
        </w:rPr>
        <w:t xml:space="preserve">continue to </w:t>
      </w:r>
      <w:r w:rsidR="005E252E" w:rsidRPr="00396742">
        <w:rPr>
          <w:sz w:val="22"/>
          <w:szCs w:val="22"/>
        </w:rPr>
        <w:t>publish the OMB control number and OMB expiration date for this collection in the list contained in section 0.408 of its rules.</w:t>
      </w:r>
    </w:p>
    <w:p w14:paraId="4E4ECF5A" w14:textId="77777777" w:rsidR="00624353" w:rsidRPr="00396742" w:rsidRDefault="00624353" w:rsidP="0010531B">
      <w:pPr>
        <w:rPr>
          <w:i/>
          <w:sz w:val="22"/>
          <w:szCs w:val="22"/>
        </w:rPr>
      </w:pPr>
    </w:p>
    <w:p w14:paraId="407585A3" w14:textId="53D785D9" w:rsidR="00031818" w:rsidRPr="00396742" w:rsidRDefault="00BB097F" w:rsidP="00BB097F">
      <w:pPr>
        <w:pStyle w:val="ListParagraph"/>
        <w:numPr>
          <w:ilvl w:val="0"/>
          <w:numId w:val="31"/>
        </w:numPr>
        <w:suppressAutoHyphens/>
        <w:ind w:left="360"/>
        <w:rPr>
          <w:sz w:val="22"/>
          <w:szCs w:val="22"/>
        </w:rPr>
      </w:pPr>
      <w:r w:rsidRPr="00396742">
        <w:rPr>
          <w:i/>
          <w:sz w:val="22"/>
          <w:szCs w:val="22"/>
        </w:rPr>
        <w:t xml:space="preserve"> </w:t>
      </w:r>
      <w:r w:rsidR="00031818" w:rsidRPr="00396742">
        <w:rPr>
          <w:i/>
          <w:sz w:val="22"/>
          <w:szCs w:val="22"/>
        </w:rPr>
        <w:t>Exception to certification statement for Paperwork Reduction Act submissions</w:t>
      </w:r>
      <w:r w:rsidR="00031818" w:rsidRPr="00396742">
        <w:rPr>
          <w:sz w:val="22"/>
          <w:szCs w:val="22"/>
        </w:rPr>
        <w:t>.</w:t>
      </w:r>
      <w:r w:rsidR="00836022" w:rsidRPr="00396742">
        <w:rPr>
          <w:sz w:val="22"/>
          <w:szCs w:val="22"/>
        </w:rPr>
        <w:t xml:space="preserve"> </w:t>
      </w:r>
      <w:r w:rsidR="00942C70" w:rsidRPr="00396742">
        <w:rPr>
          <w:sz w:val="22"/>
          <w:szCs w:val="22"/>
        </w:rPr>
        <w:t xml:space="preserve"> </w:t>
      </w:r>
      <w:r w:rsidR="00624353" w:rsidRPr="00396742">
        <w:rPr>
          <w:sz w:val="22"/>
          <w:szCs w:val="22"/>
        </w:rPr>
        <w:t xml:space="preserve">There are </w:t>
      </w:r>
      <w:r w:rsidR="00C070DC" w:rsidRPr="00396742">
        <w:rPr>
          <w:sz w:val="22"/>
          <w:szCs w:val="22"/>
        </w:rPr>
        <w:t xml:space="preserve">no </w:t>
      </w:r>
      <w:r w:rsidR="00624353" w:rsidRPr="00396742">
        <w:rPr>
          <w:sz w:val="22"/>
          <w:szCs w:val="22"/>
        </w:rPr>
        <w:t xml:space="preserve">exceptions to </w:t>
      </w:r>
      <w:r w:rsidR="00CB4CAA" w:rsidRPr="00396742">
        <w:rPr>
          <w:sz w:val="22"/>
          <w:szCs w:val="22"/>
        </w:rPr>
        <w:t xml:space="preserve">the </w:t>
      </w:r>
      <w:r w:rsidR="00C6435B" w:rsidRPr="00396742">
        <w:rPr>
          <w:sz w:val="22"/>
          <w:szCs w:val="22"/>
        </w:rPr>
        <w:t>certification statement</w:t>
      </w:r>
      <w:r w:rsidR="00624353" w:rsidRPr="00396742">
        <w:rPr>
          <w:sz w:val="22"/>
          <w:szCs w:val="22"/>
        </w:rPr>
        <w:t>.</w:t>
      </w:r>
      <w:r w:rsidR="00836022" w:rsidRPr="00396742">
        <w:rPr>
          <w:sz w:val="22"/>
          <w:szCs w:val="22"/>
        </w:rPr>
        <w:t xml:space="preserve"> </w:t>
      </w:r>
    </w:p>
    <w:p w14:paraId="7794A52A" w14:textId="77777777" w:rsidR="000D4817" w:rsidRPr="00396742" w:rsidRDefault="000D4817" w:rsidP="000D4817">
      <w:pPr>
        <w:ind w:left="720"/>
        <w:rPr>
          <w:sz w:val="22"/>
          <w:szCs w:val="22"/>
        </w:rPr>
      </w:pPr>
    </w:p>
    <w:p w14:paraId="1C912C21" w14:textId="77777777" w:rsidR="002C644E" w:rsidRPr="00396742" w:rsidRDefault="000D4817" w:rsidP="000D4817">
      <w:pPr>
        <w:pStyle w:val="Heading1"/>
        <w:rPr>
          <w:sz w:val="22"/>
          <w:szCs w:val="22"/>
        </w:rPr>
      </w:pPr>
      <w:r w:rsidRPr="00396742">
        <w:rPr>
          <w:sz w:val="22"/>
          <w:szCs w:val="22"/>
        </w:rPr>
        <w:t xml:space="preserve"> </w:t>
      </w:r>
      <w:r w:rsidR="002C644E" w:rsidRPr="00396742">
        <w:rPr>
          <w:sz w:val="22"/>
          <w:szCs w:val="22"/>
        </w:rPr>
        <w:t>Collections of Information Employing Statistical Methods:</w:t>
      </w:r>
    </w:p>
    <w:p w14:paraId="0856A8D0" w14:textId="77777777" w:rsidR="002C644E" w:rsidRPr="00396742" w:rsidRDefault="002C644E" w:rsidP="002C644E">
      <w:pPr>
        <w:rPr>
          <w:sz w:val="22"/>
          <w:szCs w:val="22"/>
        </w:rPr>
      </w:pPr>
    </w:p>
    <w:p w14:paraId="7F96D73A" w14:textId="77777777" w:rsidR="00484562" w:rsidRPr="00396742" w:rsidRDefault="00624353" w:rsidP="00B048EA">
      <w:pPr>
        <w:ind w:left="360"/>
        <w:rPr>
          <w:sz w:val="22"/>
          <w:szCs w:val="22"/>
        </w:rPr>
      </w:pPr>
      <w:r w:rsidRPr="00396742">
        <w:rPr>
          <w:sz w:val="22"/>
          <w:szCs w:val="22"/>
        </w:rPr>
        <w:t xml:space="preserve">The Commission </w:t>
      </w:r>
      <w:r w:rsidR="004B4A72" w:rsidRPr="00396742">
        <w:rPr>
          <w:sz w:val="22"/>
          <w:szCs w:val="22"/>
        </w:rPr>
        <w:t xml:space="preserve">information </w:t>
      </w:r>
      <w:r w:rsidRPr="00396742">
        <w:rPr>
          <w:sz w:val="22"/>
          <w:szCs w:val="22"/>
        </w:rPr>
        <w:t xml:space="preserve">collection will </w:t>
      </w:r>
      <w:r w:rsidR="004B4A72" w:rsidRPr="00396742">
        <w:rPr>
          <w:sz w:val="22"/>
          <w:szCs w:val="22"/>
        </w:rPr>
        <w:t xml:space="preserve">not </w:t>
      </w:r>
      <w:r w:rsidRPr="00396742">
        <w:rPr>
          <w:sz w:val="22"/>
          <w:szCs w:val="22"/>
        </w:rPr>
        <w:t>employ statistical methods</w:t>
      </w:r>
      <w:r w:rsidR="00DE312B" w:rsidRPr="00396742">
        <w:rPr>
          <w:sz w:val="22"/>
          <w:szCs w:val="22"/>
        </w:rPr>
        <w:t>, and the use of such methods would not reduce the burden or improve accuracy of results</w:t>
      </w:r>
      <w:r w:rsidRPr="00396742">
        <w:rPr>
          <w:sz w:val="22"/>
          <w:szCs w:val="22"/>
        </w:rPr>
        <w:t>.</w:t>
      </w:r>
    </w:p>
    <w:sectPr w:rsidR="00484562" w:rsidRPr="00396742" w:rsidSect="007A3812">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FDA86" w14:textId="77777777" w:rsidR="00CC5443" w:rsidRDefault="00CC5443">
      <w:r>
        <w:separator/>
      </w:r>
    </w:p>
  </w:endnote>
  <w:endnote w:type="continuationSeparator" w:id="0">
    <w:p w14:paraId="0BD3F564" w14:textId="77777777" w:rsidR="00CC5443" w:rsidRDefault="00CC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B5646" w14:textId="77777777" w:rsidR="00E60172" w:rsidRDefault="00E601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B9A84E" w14:textId="77777777" w:rsidR="00E60172" w:rsidRDefault="00E601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9A127" w14:textId="260EDE00" w:rsidR="00E60172" w:rsidRPr="00491393" w:rsidRDefault="00E60172">
    <w:pPr>
      <w:pStyle w:val="Footer"/>
      <w:framePr w:wrap="around" w:vAnchor="text" w:hAnchor="margin" w:xAlign="center" w:y="1"/>
      <w:rPr>
        <w:rStyle w:val="PageNumber"/>
        <w:sz w:val="22"/>
        <w:szCs w:val="22"/>
      </w:rPr>
    </w:pPr>
    <w:r w:rsidRPr="00491393">
      <w:rPr>
        <w:rStyle w:val="PageNumber"/>
        <w:sz w:val="22"/>
        <w:szCs w:val="22"/>
      </w:rPr>
      <w:fldChar w:fldCharType="begin"/>
    </w:r>
    <w:r w:rsidRPr="00491393">
      <w:rPr>
        <w:rStyle w:val="PageNumber"/>
        <w:sz w:val="22"/>
        <w:szCs w:val="22"/>
      </w:rPr>
      <w:instrText xml:space="preserve">PAGE  </w:instrText>
    </w:r>
    <w:r w:rsidRPr="00491393">
      <w:rPr>
        <w:rStyle w:val="PageNumber"/>
        <w:sz w:val="22"/>
        <w:szCs w:val="22"/>
      </w:rPr>
      <w:fldChar w:fldCharType="separate"/>
    </w:r>
    <w:r w:rsidR="008468F5">
      <w:rPr>
        <w:rStyle w:val="PageNumber"/>
        <w:noProof/>
        <w:sz w:val="22"/>
        <w:szCs w:val="22"/>
      </w:rPr>
      <w:t>2</w:t>
    </w:r>
    <w:r w:rsidRPr="00491393">
      <w:rPr>
        <w:rStyle w:val="PageNumber"/>
        <w:sz w:val="22"/>
        <w:szCs w:val="22"/>
      </w:rPr>
      <w:fldChar w:fldCharType="end"/>
    </w:r>
  </w:p>
  <w:p w14:paraId="7B480B56" w14:textId="77777777" w:rsidR="00E60172" w:rsidRDefault="00E60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0DAE5" w14:textId="77777777" w:rsidR="00CC5443" w:rsidRDefault="00CC5443">
      <w:r>
        <w:separator/>
      </w:r>
    </w:p>
  </w:footnote>
  <w:footnote w:type="continuationSeparator" w:id="0">
    <w:p w14:paraId="52002F00" w14:textId="77777777" w:rsidR="00CC5443" w:rsidRDefault="00CC5443">
      <w:r>
        <w:continuationSeparator/>
      </w:r>
    </w:p>
  </w:footnote>
  <w:footnote w:id="1">
    <w:p w14:paraId="6F547896" w14:textId="77777777" w:rsidR="00E60172" w:rsidRDefault="00E60172" w:rsidP="00C52E40">
      <w:pPr>
        <w:pStyle w:val="FootnoteText"/>
      </w:pPr>
      <w:r>
        <w:rPr>
          <w:rStyle w:val="FootnoteReference"/>
        </w:rPr>
        <w:footnoteRef/>
      </w:r>
      <w:r>
        <w:t xml:space="preserve"> </w:t>
      </w:r>
      <w:r w:rsidRPr="00FF086B">
        <w:rPr>
          <w:szCs w:val="24"/>
        </w:rPr>
        <w:t xml:space="preserve">The Commission also established </w:t>
      </w:r>
      <w:r w:rsidRPr="00FF086B">
        <w:rPr>
          <w:rFonts w:eastAsia="Calibri"/>
          <w:szCs w:val="24"/>
        </w:rPr>
        <w:t xml:space="preserve">a separate and complementary one-time Tribal Mobility Fund Phase I to award additional universal service funding to Tribal lands to accelerate mobile voice and broadband availability in these remote and underserved areas. </w:t>
      </w:r>
      <w:r>
        <w:t xml:space="preserve">On September 27, 2012, the Commission completed a nationwide reverse auction for MF-I support, with 33 winning bidders deemed eligible to receive a total of $299,998,632.25 in one-time support.  On September 25, 2014, the Commission completed a reverse auction for Tribal Mobility Fund Phase I support, with five winning bidders deemed eligible to receive a total of $49,806,874 in support.  </w:t>
      </w:r>
      <w:r w:rsidRPr="00FF086B">
        <w:rPr>
          <w:rFonts w:eastAsia="Calibri"/>
          <w:szCs w:val="24"/>
        </w:rPr>
        <w:t xml:space="preserve"> </w:t>
      </w:r>
    </w:p>
  </w:footnote>
  <w:footnote w:id="2">
    <w:p w14:paraId="16A30523" w14:textId="77777777" w:rsidR="00E60172" w:rsidRPr="00EA636D" w:rsidRDefault="00E60172">
      <w:pPr>
        <w:pStyle w:val="FootnoteText"/>
        <w:rPr>
          <w:i/>
        </w:rPr>
      </w:pPr>
      <w:r w:rsidRPr="00EA636D">
        <w:rPr>
          <w:rStyle w:val="FootnoteReference"/>
          <w:sz w:val="20"/>
        </w:rPr>
        <w:footnoteRef/>
      </w:r>
      <w:r w:rsidRPr="00EA636D">
        <w:t xml:space="preserve"> </w:t>
      </w:r>
      <w:r w:rsidRPr="00EA636D">
        <w:rPr>
          <w:i/>
        </w:rPr>
        <w:t>See Further Inquiry Into Issues Related to Mobility Fund Phase II</w:t>
      </w:r>
      <w:r w:rsidRPr="00EA636D">
        <w:t xml:space="preserve">, Public Notice, 27 FCC Rcd 14798 (WTB/WCB 2012); </w:t>
      </w:r>
      <w:r w:rsidRPr="00EA636D">
        <w:rPr>
          <w:i/>
        </w:rPr>
        <w:t>Connect America Fund et al.</w:t>
      </w:r>
      <w:r w:rsidRPr="00EA636D">
        <w:t xml:space="preserve">, Report and Order, Declaratory Ruling, Order, Memorandum Opinion and Order, Seventh Order on Reconsideration, and Further Notice of Proposed Rulemaking, 29 FCC Rcd 7051 (2014); FCC, Wireless Telecommunications Bureau, </w:t>
      </w:r>
      <w:r w:rsidRPr="00EA636D">
        <w:rPr>
          <w:i/>
        </w:rPr>
        <w:t>Working Toward Mobility Fund II: Mobile Broadband Coverage Data and Analysis</w:t>
      </w:r>
      <w:r w:rsidRPr="00EA636D">
        <w:t>, Docket No. 10-208 (WTB 2016)</w:t>
      </w:r>
      <w:r>
        <w:t xml:space="preserve"> (</w:t>
      </w:r>
      <w:r w:rsidRPr="00EA636D">
        <w:rPr>
          <w:i/>
        </w:rPr>
        <w:t>Mobile Broadband Coverage Data and Analysis</w:t>
      </w:r>
      <w:r w:rsidRPr="00030C6A">
        <w:t>)</w:t>
      </w:r>
      <w:r w:rsidRPr="00EA636D">
        <w:t xml:space="preserve"> (available at  </w:t>
      </w:r>
      <w:hyperlink r:id="rId1" w:history="1">
        <w:r w:rsidRPr="00EA636D">
          <w:rPr>
            <w:rStyle w:val="Hyperlink"/>
          </w:rPr>
          <w:t>https://apps.fcc.gov/edocs_public/attachmatch/DOC-341539A1.pdf</w:t>
        </w:r>
      </w:hyperlink>
      <w:r w:rsidRPr="00EA636D">
        <w:rPr>
          <w:rStyle w:val="Hyperlink"/>
        </w:rPr>
        <w:t>).</w:t>
      </w:r>
    </w:p>
  </w:footnote>
  <w:footnote w:id="3">
    <w:p w14:paraId="24CCE01B" w14:textId="222FE5AA" w:rsidR="006709CE" w:rsidRDefault="006709CE">
      <w:pPr>
        <w:pStyle w:val="FootnoteText"/>
      </w:pPr>
      <w:r>
        <w:rPr>
          <w:rStyle w:val="FootnoteReference"/>
        </w:rPr>
        <w:footnoteRef/>
      </w:r>
      <w:r>
        <w:t xml:space="preserve"> </w:t>
      </w:r>
      <w:r>
        <w:rPr>
          <w:i/>
          <w:sz w:val="22"/>
          <w:szCs w:val="22"/>
        </w:rPr>
        <w:t>See</w:t>
      </w:r>
      <w:r w:rsidRPr="003B5440">
        <w:rPr>
          <w:sz w:val="22"/>
          <w:szCs w:val="22"/>
        </w:rPr>
        <w:t xml:space="preserve"> 82 FR </w:t>
      </w:r>
      <w:r>
        <w:rPr>
          <w:sz w:val="22"/>
          <w:szCs w:val="22"/>
        </w:rPr>
        <w:t>47735</w:t>
      </w:r>
      <w:r w:rsidRPr="00491393">
        <w:rPr>
          <w:sz w:val="22"/>
          <w:szCs w:val="22"/>
        </w:rPr>
        <w:t xml:space="preserve"> (</w:t>
      </w:r>
      <w:r>
        <w:rPr>
          <w:sz w:val="22"/>
          <w:szCs w:val="22"/>
        </w:rPr>
        <w:t xml:space="preserve">Oct. 13, </w:t>
      </w:r>
      <w:r w:rsidRPr="00491393">
        <w:rPr>
          <w:sz w:val="22"/>
          <w:szCs w:val="22"/>
        </w:rPr>
        <w:t>2017)</w:t>
      </w:r>
      <w:r>
        <w:rPr>
          <w:sz w:val="22"/>
          <w:szCs w:val="22"/>
        </w:rPr>
        <w:t>.</w:t>
      </w:r>
    </w:p>
  </w:footnote>
  <w:footnote w:id="4">
    <w:p w14:paraId="54600CBB" w14:textId="24484A5D" w:rsidR="006709CE" w:rsidRPr="005B6409" w:rsidRDefault="006709CE" w:rsidP="006709CE">
      <w:pPr>
        <w:pStyle w:val="FootnoteText"/>
      </w:pPr>
      <w:r w:rsidRPr="005B6409">
        <w:rPr>
          <w:rStyle w:val="FootnoteReference"/>
          <w:sz w:val="20"/>
        </w:rPr>
        <w:footnoteRef/>
      </w:r>
      <w:r w:rsidRPr="005B6409">
        <w:t xml:space="preserve"> Comments of Competitive Carriers Association, WT Docket 10-208, OMB Control Number 3060-1242, </w:t>
      </w:r>
      <w:r w:rsidR="00B626D8">
        <w:t xml:space="preserve">submitted </w:t>
      </w:r>
      <w:r w:rsidRPr="005B6409">
        <w:t xml:space="preserve">December 12, 2017 (CCA PRA Comments). </w:t>
      </w:r>
    </w:p>
  </w:footnote>
  <w:footnote w:id="5">
    <w:p w14:paraId="60A373B7" w14:textId="77777777" w:rsidR="006709CE" w:rsidRPr="005B6409" w:rsidRDefault="006709CE" w:rsidP="006709CE">
      <w:pPr>
        <w:pStyle w:val="FootnoteText"/>
      </w:pPr>
      <w:r w:rsidRPr="005B6409">
        <w:rPr>
          <w:rStyle w:val="FootnoteReference"/>
          <w:sz w:val="20"/>
        </w:rPr>
        <w:footnoteRef/>
      </w:r>
      <w:r w:rsidRPr="005B6409">
        <w:t xml:space="preserve"> </w:t>
      </w:r>
      <w:r w:rsidRPr="005B6409">
        <w:rPr>
          <w:i/>
        </w:rPr>
        <w:t xml:space="preserve">See </w:t>
      </w:r>
      <w:r w:rsidRPr="005B6409">
        <w:t>CCA PRA Comments at 2-3.</w:t>
      </w:r>
    </w:p>
  </w:footnote>
  <w:footnote w:id="6">
    <w:p w14:paraId="799B0F31" w14:textId="77777777" w:rsidR="006709CE" w:rsidRPr="005B6409" w:rsidRDefault="006709CE" w:rsidP="006709CE">
      <w:pPr>
        <w:pStyle w:val="FootnoteText"/>
      </w:pPr>
      <w:r w:rsidRPr="005B6409">
        <w:rPr>
          <w:rStyle w:val="FootnoteReference"/>
          <w:sz w:val="20"/>
        </w:rPr>
        <w:footnoteRef/>
      </w:r>
      <w:r w:rsidRPr="005B6409">
        <w:t xml:space="preserve"> </w:t>
      </w:r>
      <w:r w:rsidRPr="005B6409">
        <w:rPr>
          <w:i/>
        </w:rPr>
        <w:t xml:space="preserve">See </w:t>
      </w:r>
      <w:r w:rsidRPr="005B6409">
        <w:t>CCA PRA Comments at 6.</w:t>
      </w:r>
    </w:p>
  </w:footnote>
  <w:footnote w:id="7">
    <w:p w14:paraId="4CA2B13A" w14:textId="77777777" w:rsidR="006709CE" w:rsidRPr="005B6409" w:rsidRDefault="006709CE" w:rsidP="006709CE">
      <w:pPr>
        <w:pStyle w:val="Default"/>
        <w:spacing w:after="120"/>
        <w:rPr>
          <w:sz w:val="20"/>
          <w:szCs w:val="20"/>
        </w:rPr>
      </w:pPr>
      <w:r w:rsidRPr="005B6409">
        <w:rPr>
          <w:rStyle w:val="FootnoteReference"/>
          <w:sz w:val="20"/>
          <w:szCs w:val="20"/>
        </w:rPr>
        <w:footnoteRef/>
      </w:r>
      <w:r w:rsidRPr="005B6409">
        <w:rPr>
          <w:sz w:val="20"/>
          <w:szCs w:val="20"/>
        </w:rPr>
        <w:t xml:space="preserve"> </w:t>
      </w:r>
      <w:r w:rsidRPr="005B6409">
        <w:rPr>
          <w:i/>
          <w:iCs/>
          <w:sz w:val="20"/>
          <w:szCs w:val="20"/>
        </w:rPr>
        <w:t>See Information Collection Being Submitted to the Office of Management and Budget for Emergency Review and Approval</w:t>
      </w:r>
      <w:r w:rsidRPr="005B6409">
        <w:rPr>
          <w:sz w:val="20"/>
          <w:szCs w:val="20"/>
        </w:rPr>
        <w:t xml:space="preserve">, 82 FR 39425 (Aug. 18, 2017).  </w:t>
      </w:r>
    </w:p>
  </w:footnote>
  <w:footnote w:id="8">
    <w:p w14:paraId="1875E39A" w14:textId="4E4C4E42" w:rsidR="006709CE" w:rsidRPr="005B6409" w:rsidRDefault="006709CE" w:rsidP="006709CE">
      <w:pPr>
        <w:pStyle w:val="Default"/>
        <w:spacing w:after="120"/>
        <w:rPr>
          <w:sz w:val="20"/>
          <w:szCs w:val="20"/>
        </w:rPr>
      </w:pPr>
      <w:r w:rsidRPr="005B6409">
        <w:rPr>
          <w:rStyle w:val="FootnoteReference"/>
          <w:sz w:val="20"/>
          <w:szCs w:val="20"/>
        </w:rPr>
        <w:footnoteRef/>
      </w:r>
      <w:r w:rsidRPr="005B6409">
        <w:rPr>
          <w:sz w:val="20"/>
          <w:szCs w:val="20"/>
        </w:rPr>
        <w:t xml:space="preserve"> </w:t>
      </w:r>
      <w:r w:rsidRPr="005B6409">
        <w:rPr>
          <w:i/>
          <w:sz w:val="20"/>
          <w:szCs w:val="20"/>
        </w:rPr>
        <w:t>See</w:t>
      </w:r>
      <w:r w:rsidRPr="005B6409">
        <w:rPr>
          <w:sz w:val="20"/>
          <w:szCs w:val="20"/>
        </w:rPr>
        <w:t xml:space="preserve"> Comments of ATN International, Inc. and Buffalo-Lake Erie Wireless on Qualified 4G LTE Coverage Data Collection for Mobility Fund Phase II, FCC Request for Emergency Processing - Information Collection, </w:t>
      </w:r>
      <w:r w:rsidR="00B626D8">
        <w:rPr>
          <w:sz w:val="20"/>
          <w:szCs w:val="20"/>
        </w:rPr>
        <w:t>submitted</w:t>
      </w:r>
      <w:r w:rsidRPr="005B6409">
        <w:rPr>
          <w:sz w:val="20"/>
          <w:szCs w:val="20"/>
        </w:rPr>
        <w:t xml:space="preserve"> September 18, 2017 (ATN-Blue Wireless Joint</w:t>
      </w:r>
      <w:r>
        <w:rPr>
          <w:sz w:val="20"/>
          <w:szCs w:val="20"/>
        </w:rPr>
        <w:t xml:space="preserve"> PRA</w:t>
      </w:r>
      <w:r w:rsidRPr="005B6409">
        <w:rPr>
          <w:sz w:val="20"/>
          <w:szCs w:val="20"/>
        </w:rPr>
        <w:t xml:space="preserve"> Comments); </w:t>
      </w:r>
      <w:r w:rsidR="00AE2C0B">
        <w:rPr>
          <w:sz w:val="20"/>
          <w:szCs w:val="20"/>
        </w:rPr>
        <w:t>Comments of CTIA</w:t>
      </w:r>
      <w:r w:rsidR="0010532C">
        <w:rPr>
          <w:sz w:val="20"/>
          <w:szCs w:val="20"/>
        </w:rPr>
        <w:t xml:space="preserve"> on</w:t>
      </w:r>
      <w:r w:rsidR="00AE2C0B">
        <w:rPr>
          <w:sz w:val="20"/>
          <w:szCs w:val="20"/>
        </w:rPr>
        <w:t xml:space="preserve"> </w:t>
      </w:r>
      <w:r w:rsidRPr="005B6409">
        <w:rPr>
          <w:sz w:val="20"/>
          <w:szCs w:val="20"/>
        </w:rPr>
        <w:t>Qualified 4G LTE Coverage Data Collection for Mob</w:t>
      </w:r>
      <w:r w:rsidR="0020374C">
        <w:rPr>
          <w:sz w:val="20"/>
          <w:szCs w:val="20"/>
        </w:rPr>
        <w:t>ility Fund Phase II, OMB 3060-X</w:t>
      </w:r>
      <w:r w:rsidRPr="005B6409">
        <w:rPr>
          <w:sz w:val="20"/>
          <w:szCs w:val="20"/>
        </w:rPr>
        <w:t>XXX, Document No.</w:t>
      </w:r>
      <w:r w:rsidR="00AE2C0B">
        <w:rPr>
          <w:sz w:val="20"/>
          <w:szCs w:val="20"/>
        </w:rPr>
        <w:t xml:space="preserve"> </w:t>
      </w:r>
      <w:r w:rsidRPr="005B6409">
        <w:rPr>
          <w:sz w:val="20"/>
          <w:szCs w:val="20"/>
        </w:rPr>
        <w:t>2017-17439</w:t>
      </w:r>
      <w:r w:rsidR="00AE2C0B">
        <w:rPr>
          <w:sz w:val="20"/>
          <w:szCs w:val="20"/>
        </w:rPr>
        <w:t xml:space="preserve">, </w:t>
      </w:r>
      <w:r w:rsidR="00B626D8">
        <w:rPr>
          <w:sz w:val="20"/>
          <w:szCs w:val="20"/>
        </w:rPr>
        <w:t>submitted</w:t>
      </w:r>
      <w:r w:rsidR="00AE2C0B">
        <w:rPr>
          <w:sz w:val="20"/>
          <w:szCs w:val="20"/>
        </w:rPr>
        <w:t xml:space="preserve"> September 18, 2017</w:t>
      </w:r>
      <w:r w:rsidRPr="005B6409">
        <w:rPr>
          <w:sz w:val="20"/>
          <w:szCs w:val="20"/>
        </w:rPr>
        <w:t xml:space="preserve"> (CTIA</w:t>
      </w:r>
      <w:r>
        <w:rPr>
          <w:sz w:val="20"/>
          <w:szCs w:val="20"/>
        </w:rPr>
        <w:t xml:space="preserve"> PRA</w:t>
      </w:r>
      <w:r w:rsidRPr="005B6409">
        <w:rPr>
          <w:sz w:val="20"/>
          <w:szCs w:val="20"/>
        </w:rPr>
        <w:t xml:space="preserve"> Comments).</w:t>
      </w:r>
    </w:p>
  </w:footnote>
  <w:footnote w:id="9">
    <w:p w14:paraId="7DA94323" w14:textId="62983C5A" w:rsidR="006709CE" w:rsidRPr="005B6409" w:rsidRDefault="006709CE" w:rsidP="006709CE">
      <w:pPr>
        <w:pStyle w:val="FootnoteText"/>
      </w:pPr>
      <w:r w:rsidRPr="005B6409">
        <w:rPr>
          <w:rStyle w:val="FootnoteReference"/>
          <w:sz w:val="20"/>
        </w:rPr>
        <w:footnoteRef/>
      </w:r>
      <w:r w:rsidRPr="005B6409">
        <w:t xml:space="preserve"> </w:t>
      </w:r>
      <w:r w:rsidRPr="005B6409">
        <w:rPr>
          <w:i/>
        </w:rPr>
        <w:t xml:space="preserve">See </w:t>
      </w:r>
      <w:r w:rsidRPr="005B6409">
        <w:t xml:space="preserve">ATN-Blue Wireless Joint </w:t>
      </w:r>
      <w:r w:rsidR="00B626D8">
        <w:t xml:space="preserve">PRA </w:t>
      </w:r>
      <w:r w:rsidRPr="005B6409">
        <w:t xml:space="preserve">Comments at 2 (supporting the request for emergency processing of the information collection so the Commission can move forward with the MF-II auction as quickly as possible); CTIA </w:t>
      </w:r>
      <w:r w:rsidR="00B626D8">
        <w:t xml:space="preserve">PRA </w:t>
      </w:r>
      <w:r w:rsidRPr="005B6409">
        <w:t>Comments at 1, 5 (urging OMB to “move expeditiously to approve the Commission’s one-time collection of new wireless coverage data on an expedited basis” to enable the Commission to successfully conduct an auction for MF-II support).</w:t>
      </w:r>
    </w:p>
  </w:footnote>
  <w:footnote w:id="10">
    <w:p w14:paraId="0A0FC6D5" w14:textId="16A786CC" w:rsidR="00621572" w:rsidRDefault="00621572">
      <w:pPr>
        <w:pStyle w:val="FootnoteText"/>
      </w:pPr>
      <w:r>
        <w:rPr>
          <w:rStyle w:val="FootnoteReference"/>
        </w:rPr>
        <w:footnoteRef/>
      </w:r>
      <w:r>
        <w:t xml:space="preserve"> </w:t>
      </w:r>
      <w:r w:rsidRPr="00621572">
        <w:t>It is worth noting that CCA did not comment on the Commission’s burden estimates for this information collection when the collection was submitted to OMB for emergency approval.</w:t>
      </w:r>
    </w:p>
  </w:footnote>
  <w:footnote w:id="11">
    <w:p w14:paraId="61819EC2" w14:textId="77777777" w:rsidR="006709CE" w:rsidRPr="005B6409" w:rsidRDefault="006709CE" w:rsidP="006709CE">
      <w:pPr>
        <w:pStyle w:val="FootnoteText"/>
        <w:spacing w:before="120"/>
      </w:pPr>
      <w:r w:rsidRPr="005B6409">
        <w:rPr>
          <w:rStyle w:val="FootnoteReference"/>
          <w:sz w:val="20"/>
        </w:rPr>
        <w:footnoteRef/>
      </w:r>
      <w:r w:rsidRPr="005B6409">
        <w:t xml:space="preserve"> </w:t>
      </w:r>
      <w:r w:rsidRPr="005B6409">
        <w:rPr>
          <w:i/>
        </w:rPr>
        <w:t xml:space="preserve">See </w:t>
      </w:r>
      <w:r w:rsidRPr="005B6409">
        <w:t>CCA</w:t>
      </w:r>
      <w:r>
        <w:t xml:space="preserve"> PRA</w:t>
      </w:r>
      <w:r w:rsidRPr="005B6409">
        <w:t xml:space="preserve"> Comments at 2-3.</w:t>
      </w:r>
    </w:p>
  </w:footnote>
  <w:footnote w:id="12">
    <w:p w14:paraId="44B45ADC" w14:textId="77777777" w:rsidR="006709CE" w:rsidRDefault="006709CE" w:rsidP="006709CE">
      <w:pPr>
        <w:pStyle w:val="FootnoteText"/>
      </w:pPr>
      <w:r>
        <w:rPr>
          <w:rStyle w:val="FootnoteReference"/>
        </w:rPr>
        <w:footnoteRef/>
      </w:r>
      <w:r>
        <w:t xml:space="preserve"> </w:t>
      </w:r>
      <w:r w:rsidRPr="005B6409">
        <w:rPr>
          <w:i/>
        </w:rPr>
        <w:t xml:space="preserve">See </w:t>
      </w:r>
      <w:r w:rsidRPr="005B6409">
        <w:t xml:space="preserve">CCA </w:t>
      </w:r>
      <w:r>
        <w:t xml:space="preserve">PRA </w:t>
      </w:r>
      <w:r w:rsidRPr="005B6409">
        <w:t>Comments</w:t>
      </w:r>
      <w:r>
        <w:t xml:space="preserve"> at 5.</w:t>
      </w:r>
    </w:p>
  </w:footnote>
  <w:footnote w:id="13">
    <w:p w14:paraId="560E705A" w14:textId="77777777" w:rsidR="006709CE" w:rsidRPr="005B6409" w:rsidRDefault="006709CE" w:rsidP="006709CE">
      <w:pPr>
        <w:pStyle w:val="FootnoteText"/>
        <w:spacing w:before="120"/>
      </w:pPr>
      <w:r w:rsidRPr="005B6409">
        <w:rPr>
          <w:rStyle w:val="FootnoteReference"/>
          <w:sz w:val="20"/>
        </w:rPr>
        <w:footnoteRef/>
      </w:r>
      <w:r w:rsidRPr="005B6409">
        <w:t xml:space="preserve"> </w:t>
      </w:r>
      <w:r>
        <w:t xml:space="preserve">This industry consensus proposal was spearheaded by CTIA, and CCA was among the parties that filed comments in support of the proposal.  </w:t>
      </w:r>
      <w:r>
        <w:rPr>
          <w:i/>
        </w:rPr>
        <w:t>See</w:t>
      </w:r>
      <w:r>
        <w:t xml:space="preserve"> CCA </w:t>
      </w:r>
      <w:r w:rsidRPr="00A42FDE">
        <w:t>Mobility Fund II FNPRM</w:t>
      </w:r>
      <w:r>
        <w:t xml:space="preserve"> Reply Comments filed with the Commission on May 11, 2017 at 3 </w:t>
      </w:r>
      <w:r w:rsidRPr="007557DB">
        <w:t>(supporting the proposals in Stage I of Option C offered by CTIA to require provider data to be submitted using consistent settings and assumptions that are tailored to facilitate identification of unserved rural areas for MF-II purposes).</w:t>
      </w:r>
    </w:p>
  </w:footnote>
  <w:footnote w:id="14">
    <w:p w14:paraId="02F92303" w14:textId="0C12682E" w:rsidR="006709CE" w:rsidRPr="005B6409" w:rsidRDefault="006709CE" w:rsidP="006709CE">
      <w:pPr>
        <w:spacing w:before="120" w:after="120"/>
        <w:rPr>
          <w:sz w:val="20"/>
          <w:szCs w:val="20"/>
        </w:rPr>
      </w:pPr>
      <w:r w:rsidRPr="005B6409">
        <w:rPr>
          <w:rStyle w:val="FootnoteReference"/>
          <w:sz w:val="20"/>
          <w:szCs w:val="20"/>
        </w:rPr>
        <w:footnoteRef/>
      </w:r>
      <w:r w:rsidRPr="005B6409">
        <w:rPr>
          <w:sz w:val="20"/>
          <w:szCs w:val="20"/>
        </w:rPr>
        <w:t xml:space="preserve"> CCA claim</w:t>
      </w:r>
      <w:r>
        <w:rPr>
          <w:sz w:val="20"/>
          <w:szCs w:val="20"/>
        </w:rPr>
        <w:t>s</w:t>
      </w:r>
      <w:r w:rsidRPr="005B6409">
        <w:rPr>
          <w:sz w:val="20"/>
          <w:szCs w:val="20"/>
        </w:rPr>
        <w:t xml:space="preserve"> that service providers that </w:t>
      </w:r>
      <w:r>
        <w:rPr>
          <w:sz w:val="20"/>
          <w:szCs w:val="20"/>
        </w:rPr>
        <w:t>may</w:t>
      </w:r>
      <w:r w:rsidRPr="005B6409">
        <w:rPr>
          <w:sz w:val="20"/>
          <w:szCs w:val="20"/>
        </w:rPr>
        <w:t xml:space="preserve"> not fall within the scope of providers subject to this information collection may nonetheless attempt to submit data in response to this collection and that the Commission must “recognize this dynamic and account for these ‘voluntary’ filings in [its] burden estimates as well by increasing the number of respondents, the estimated total annual burden and associated costs</w:t>
      </w:r>
      <w:r>
        <w:rPr>
          <w:sz w:val="20"/>
          <w:szCs w:val="20"/>
        </w:rPr>
        <w:t xml:space="preserve">.”  </w:t>
      </w:r>
      <w:r>
        <w:rPr>
          <w:i/>
          <w:sz w:val="20"/>
          <w:szCs w:val="20"/>
        </w:rPr>
        <w:t>S</w:t>
      </w:r>
      <w:r w:rsidRPr="005B6409">
        <w:rPr>
          <w:i/>
          <w:sz w:val="20"/>
          <w:szCs w:val="20"/>
        </w:rPr>
        <w:t xml:space="preserve">ee </w:t>
      </w:r>
      <w:r w:rsidRPr="005B6409">
        <w:rPr>
          <w:sz w:val="20"/>
          <w:szCs w:val="20"/>
        </w:rPr>
        <w:t xml:space="preserve">CCA </w:t>
      </w:r>
      <w:r w:rsidR="008C28DD">
        <w:rPr>
          <w:sz w:val="20"/>
          <w:szCs w:val="20"/>
        </w:rPr>
        <w:t xml:space="preserve">PRA </w:t>
      </w:r>
      <w:r w:rsidRPr="005B6409">
        <w:rPr>
          <w:sz w:val="20"/>
          <w:szCs w:val="20"/>
        </w:rPr>
        <w:t xml:space="preserve">Comments at 3, n. 9.  </w:t>
      </w:r>
      <w:r>
        <w:rPr>
          <w:sz w:val="20"/>
          <w:szCs w:val="20"/>
        </w:rPr>
        <w:t>However, as</w:t>
      </w:r>
      <w:r w:rsidRPr="005B6409">
        <w:rPr>
          <w:sz w:val="20"/>
          <w:szCs w:val="20"/>
        </w:rPr>
        <w:t xml:space="preserve"> stated in the Public Notice providing instructions and guidance to providers subject to this information collection, “[w]ithin 15 days of the Commission’s publication of notice of OMB approval of this information collection request in the Federal Register, subject entities must submit contact information for this collection using a template that will be posted at </w:t>
      </w:r>
      <w:hyperlink r:id="rId2" w:history="1">
        <w:r w:rsidRPr="005B6409">
          <w:rPr>
            <w:rStyle w:val="Hyperlink"/>
            <w:sz w:val="20"/>
            <w:szCs w:val="20"/>
          </w:rPr>
          <w:t>www.fcc.gov/MF2-LTE-Collection</w:t>
        </w:r>
      </w:hyperlink>
      <w:r w:rsidRPr="005B6409">
        <w:rPr>
          <w:sz w:val="20"/>
          <w:szCs w:val="20"/>
        </w:rPr>
        <w:t>.</w:t>
      </w:r>
      <w:r w:rsidRPr="005B6409" w:rsidDel="0011254A">
        <w:rPr>
          <w:sz w:val="20"/>
          <w:szCs w:val="20"/>
        </w:rPr>
        <w:t xml:space="preserve"> </w:t>
      </w:r>
      <w:r w:rsidR="002A3AE8">
        <w:rPr>
          <w:sz w:val="20"/>
          <w:szCs w:val="20"/>
        </w:rPr>
        <w:t xml:space="preserve"> </w:t>
      </w:r>
      <w:r w:rsidRPr="005B6409">
        <w:rPr>
          <w:sz w:val="20"/>
          <w:szCs w:val="20"/>
        </w:rPr>
        <w:t xml:space="preserve">For each filing entity, based on the entity’s Form 477 FRN, Commission staff will establish a unique, secure, password-protected folder on box.com.  The Commission staff will then grant write privileges and send login credentials for the folder to the email address associated with the filer’s data contact.”  </w:t>
      </w:r>
      <w:r w:rsidRPr="005B6409">
        <w:rPr>
          <w:i/>
          <w:sz w:val="20"/>
          <w:szCs w:val="20"/>
        </w:rPr>
        <w:t>See Instructions for Filing 4G LTE Coverage Data to Determine Areas Presumptively Eligible for Mobility Fund II Support</w:t>
      </w:r>
      <w:r w:rsidRPr="005B6409">
        <w:rPr>
          <w:sz w:val="20"/>
          <w:szCs w:val="20"/>
        </w:rPr>
        <w:t xml:space="preserve">, Public Notice, 32 FCC Rcd 7023, </w:t>
      </w:r>
      <w:r w:rsidRPr="007A0381">
        <w:rPr>
          <w:sz w:val="20"/>
          <w:szCs w:val="20"/>
        </w:rPr>
        <w:t>7024-28 (WCB/WTB 2017) (</w:t>
      </w:r>
      <w:r w:rsidRPr="007A0381">
        <w:rPr>
          <w:i/>
          <w:sz w:val="20"/>
          <w:szCs w:val="20"/>
        </w:rPr>
        <w:t xml:space="preserve">4G LTE Collection Instructions </w:t>
      </w:r>
      <w:r>
        <w:rPr>
          <w:i/>
          <w:sz w:val="20"/>
          <w:szCs w:val="20"/>
        </w:rPr>
        <w:t>Pub</w:t>
      </w:r>
      <w:r w:rsidRPr="007A0381">
        <w:rPr>
          <w:i/>
          <w:sz w:val="20"/>
          <w:szCs w:val="20"/>
        </w:rPr>
        <w:t>lic Notice</w:t>
      </w:r>
      <w:r w:rsidRPr="007A0381">
        <w:rPr>
          <w:sz w:val="20"/>
          <w:szCs w:val="20"/>
        </w:rPr>
        <w:t>).  The aforementioned procedures for requesting and submitting data in response to this collection and internal Commission controls for granting login credentials and privileges to submit data are designed to ensure that only the service providers that should be responding to this collection are permitted to do so and thereby prevent any “voluntary” filers from submitting data.  Because the Commission has mechanisms in place that will not permit voluntary filings to be made, no adjustments to the total number of respondents, estimated hours burden, and/or the associated internal or external costs are necessary</w:t>
      </w:r>
      <w:r w:rsidRPr="005B6409">
        <w:rPr>
          <w:sz w:val="20"/>
          <w:szCs w:val="20"/>
        </w:rPr>
        <w:t>.</w:t>
      </w:r>
    </w:p>
  </w:footnote>
  <w:footnote w:id="15">
    <w:p w14:paraId="42EA01E5" w14:textId="2615676B" w:rsidR="006709CE" w:rsidRPr="005B6409" w:rsidRDefault="006709CE" w:rsidP="006709CE">
      <w:pPr>
        <w:pStyle w:val="FootnoteText"/>
        <w:spacing w:before="120"/>
      </w:pPr>
      <w:r w:rsidRPr="005B6409">
        <w:rPr>
          <w:rStyle w:val="FootnoteReference"/>
          <w:sz w:val="20"/>
        </w:rPr>
        <w:footnoteRef/>
      </w:r>
      <w:r w:rsidRPr="005B6409">
        <w:t xml:space="preserve"> </w:t>
      </w:r>
      <w:r w:rsidRPr="00CF75E1">
        <w:t xml:space="preserve">As with </w:t>
      </w:r>
      <w:r w:rsidRPr="00396742">
        <w:t>all</w:t>
      </w:r>
      <w:r w:rsidR="00E661F6" w:rsidRPr="00396742">
        <w:t xml:space="preserve"> PRA </w:t>
      </w:r>
      <w:r w:rsidRPr="00CF75E1">
        <w:t>burden estimates, the Commission’s hours burden is an estimate of the average amount of time it will take to respond to this collection across all respondents.  We recognize that the amount of time it takes for a particular respondent to comply may be less or greater than the Commission’s estimate depending on the service provider involved and the area(s) for which it is submitting qualified 4G LTE coverage data.</w:t>
      </w:r>
    </w:p>
  </w:footnote>
  <w:footnote w:id="16">
    <w:p w14:paraId="26578855" w14:textId="77777777" w:rsidR="006709CE" w:rsidRPr="007A3762" w:rsidRDefault="006709CE" w:rsidP="006709CE">
      <w:pPr>
        <w:pStyle w:val="FootnoteText"/>
        <w:spacing w:before="120"/>
        <w:rPr>
          <w:highlight w:val="yellow"/>
        </w:rPr>
      </w:pPr>
      <w:r w:rsidRPr="005B6409">
        <w:rPr>
          <w:rStyle w:val="FootnoteReference"/>
          <w:sz w:val="20"/>
        </w:rPr>
        <w:footnoteRef/>
      </w:r>
      <w:r w:rsidRPr="005B6409">
        <w:t xml:space="preserve"> </w:t>
      </w:r>
      <w:r>
        <w:rPr>
          <w:i/>
        </w:rPr>
        <w:t xml:space="preserve">See </w:t>
      </w:r>
      <w:r w:rsidRPr="007A3762">
        <w:t>CTIA PRA Comments at 7 (“delaying approval would cause public harm</w:t>
      </w:r>
      <w:r>
        <w:t xml:space="preserve"> . . . </w:t>
      </w:r>
      <w:r w:rsidRPr="007A3762">
        <w:t>OMB thus should mo</w:t>
      </w:r>
      <w:r>
        <w:t>v</w:t>
      </w:r>
      <w:r w:rsidRPr="007A3762">
        <w:t>e quickly to grant the Commission’s request which will ultimately enable providers to put MF-II support to work and deliver 4G LTE to unserved areas”); ATN-Blue Wireless Joint PRA Comments at 2 (“[e]very day that the Commission further delays the implementation of MF-II, millions of rural Americans continue to be denied the pub</w:t>
      </w:r>
      <w:r>
        <w:t>l</w:t>
      </w:r>
      <w:r w:rsidRPr="007A3762">
        <w:t>ic safety and economic benefits of new mobile services that MF-II will bring).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59301" w14:textId="3F0D3B47" w:rsidR="00E60172" w:rsidRPr="00A07630" w:rsidRDefault="00E60172" w:rsidP="000F5D4C">
    <w:pPr>
      <w:tabs>
        <w:tab w:val="center" w:pos="4320"/>
        <w:tab w:val="right" w:pos="9360"/>
      </w:tabs>
      <w:jc w:val="both"/>
      <w:rPr>
        <w:b/>
        <w:sz w:val="22"/>
        <w:szCs w:val="22"/>
      </w:rPr>
    </w:pPr>
    <w:r w:rsidRPr="00A07630">
      <w:rPr>
        <w:b/>
        <w:sz w:val="22"/>
        <w:szCs w:val="22"/>
      </w:rPr>
      <w:t>3060-</w:t>
    </w:r>
    <w:r w:rsidR="007B0439">
      <w:rPr>
        <w:b/>
        <w:sz w:val="22"/>
        <w:szCs w:val="22"/>
      </w:rPr>
      <w:t>1242</w:t>
    </w:r>
    <w:r w:rsidRPr="00A07630">
      <w:rPr>
        <w:b/>
        <w:sz w:val="22"/>
        <w:szCs w:val="22"/>
      </w:rPr>
      <w:tab/>
    </w:r>
    <w:r w:rsidRPr="00A07630">
      <w:rPr>
        <w:b/>
        <w:sz w:val="22"/>
        <w:szCs w:val="22"/>
      </w:rPr>
      <w:tab/>
    </w:r>
    <w:r w:rsidR="00374DB5">
      <w:rPr>
        <w:b/>
        <w:sz w:val="22"/>
        <w:szCs w:val="22"/>
      </w:rPr>
      <w:t>March 2018</w:t>
    </w:r>
  </w:p>
  <w:p w14:paraId="68454E40" w14:textId="77777777" w:rsidR="00E60172" w:rsidRPr="00A07630" w:rsidRDefault="00E60172" w:rsidP="0018703A">
    <w:pPr>
      <w:pStyle w:val="Header"/>
      <w:rPr>
        <w:b/>
        <w:sz w:val="22"/>
        <w:szCs w:val="22"/>
      </w:rPr>
    </w:pPr>
    <w:r w:rsidRPr="00A07630">
      <w:rPr>
        <w:b/>
        <w:sz w:val="22"/>
        <w:szCs w:val="22"/>
      </w:rPr>
      <w:t>Qualified 4G LTE Coverage Data Collection for Mobility Fund Phase II</w:t>
    </w:r>
  </w:p>
  <w:p w14:paraId="45D7D2A1" w14:textId="77777777" w:rsidR="00E60172" w:rsidRPr="007A3812" w:rsidRDefault="00E60172" w:rsidP="00B048EA">
    <w:pPr>
      <w:pStyle w:val="Header"/>
    </w:pPr>
    <w:r>
      <w:tab/>
    </w:r>
    <w:r>
      <w:tab/>
    </w:r>
  </w:p>
  <w:p w14:paraId="03B83B1D" w14:textId="77777777" w:rsidR="00E60172" w:rsidRDefault="00E601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70BA3" w14:textId="140A7B48" w:rsidR="00E60172" w:rsidRPr="00A07630" w:rsidRDefault="00E60172" w:rsidP="001919C8">
    <w:pPr>
      <w:tabs>
        <w:tab w:val="center" w:pos="4320"/>
        <w:tab w:val="right" w:pos="9360"/>
      </w:tabs>
      <w:jc w:val="both"/>
      <w:rPr>
        <w:b/>
        <w:sz w:val="22"/>
        <w:szCs w:val="22"/>
      </w:rPr>
    </w:pPr>
    <w:r w:rsidRPr="00A07630">
      <w:rPr>
        <w:b/>
        <w:sz w:val="22"/>
        <w:szCs w:val="22"/>
      </w:rPr>
      <w:t>3060-</w:t>
    </w:r>
    <w:r w:rsidR="00D33905">
      <w:rPr>
        <w:b/>
        <w:sz w:val="22"/>
        <w:szCs w:val="22"/>
      </w:rPr>
      <w:t>1242</w:t>
    </w:r>
    <w:r w:rsidRPr="00A07630">
      <w:rPr>
        <w:b/>
        <w:sz w:val="22"/>
        <w:szCs w:val="22"/>
      </w:rPr>
      <w:tab/>
    </w:r>
    <w:r w:rsidRPr="00A07630">
      <w:rPr>
        <w:b/>
        <w:sz w:val="22"/>
        <w:szCs w:val="22"/>
      </w:rPr>
      <w:tab/>
    </w:r>
    <w:r w:rsidR="00374DB5">
      <w:rPr>
        <w:b/>
        <w:sz w:val="22"/>
        <w:szCs w:val="22"/>
      </w:rPr>
      <w:t>March 2018</w:t>
    </w:r>
  </w:p>
  <w:p w14:paraId="581655DD" w14:textId="77777777" w:rsidR="00E60172" w:rsidRPr="00A07630" w:rsidRDefault="00E60172" w:rsidP="00491E1A">
    <w:pPr>
      <w:pStyle w:val="Header"/>
      <w:rPr>
        <w:b/>
        <w:sz w:val="22"/>
        <w:szCs w:val="22"/>
      </w:rPr>
    </w:pPr>
    <w:r w:rsidRPr="00A07630">
      <w:rPr>
        <w:b/>
        <w:sz w:val="22"/>
        <w:szCs w:val="22"/>
      </w:rPr>
      <w:t>Qualified 4G LTE Coverage Data Collection for Mobility Fund Phase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411"/>
    <w:multiLevelType w:val="multilevel"/>
    <w:tmpl w:val="3710CA8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74C9A"/>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51B69"/>
    <w:multiLevelType w:val="hybridMultilevel"/>
    <w:tmpl w:val="71321542"/>
    <w:lvl w:ilvl="0" w:tplc="6310CCB6">
      <w:start w:val="3"/>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13A13525"/>
    <w:multiLevelType w:val="hybridMultilevel"/>
    <w:tmpl w:val="251E659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4E42DA6"/>
    <w:multiLevelType w:val="hybridMultilevel"/>
    <w:tmpl w:val="7598CCCE"/>
    <w:lvl w:ilvl="0" w:tplc="653E8CE6">
      <w:start w:val="10"/>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0437FC"/>
    <w:multiLevelType w:val="hybridMultilevel"/>
    <w:tmpl w:val="75887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6E1978"/>
    <w:multiLevelType w:val="hybridMultilevel"/>
    <w:tmpl w:val="06487A50"/>
    <w:lvl w:ilvl="0" w:tplc="AA0E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511F8A"/>
    <w:multiLevelType w:val="multilevel"/>
    <w:tmpl w:val="254ACB6C"/>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sz w:val="24"/>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533F09"/>
    <w:multiLevelType w:val="hybridMultilevel"/>
    <w:tmpl w:val="BAF84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D83D08"/>
    <w:multiLevelType w:val="multilevel"/>
    <w:tmpl w:val="A0567AA2"/>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lvlText w:val="%2."/>
      <w:lvlJc w:val="left"/>
      <w:pPr>
        <w:tabs>
          <w:tab w:val="num" w:pos="1080"/>
        </w:tabs>
        <w:ind w:left="720" w:firstLine="0"/>
      </w:pPr>
    </w:lvl>
    <w:lvl w:ilvl="2">
      <w:start w:val="2"/>
      <w:numFmt w:val="decimal"/>
      <w:lvlRestart w:val="0"/>
      <w:lvlText w:val="%3."/>
      <w:lvlJc w:val="left"/>
      <w:pPr>
        <w:tabs>
          <w:tab w:val="num" w:pos="1260"/>
        </w:tabs>
        <w:ind w:left="180" w:firstLine="720"/>
      </w:pPr>
      <w:rPr>
        <w:rFonts w:ascii="Times New Roman" w:eastAsia="Times New Roman" w:hAnsi="Times New Roman" w:cs="Times New Roman"/>
        <w:b w:val="0"/>
        <w:i w:val="0"/>
        <w:sz w:val="22"/>
      </w:r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nsid w:val="426427C9"/>
    <w:multiLevelType w:val="hybridMultilevel"/>
    <w:tmpl w:val="0F601E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7802C5"/>
    <w:multiLevelType w:val="hybridMultilevel"/>
    <w:tmpl w:val="209C607C"/>
    <w:lvl w:ilvl="0" w:tplc="9182C7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7D58E1"/>
    <w:multiLevelType w:val="multilevel"/>
    <w:tmpl w:val="CD3C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8F13B6"/>
    <w:multiLevelType w:val="multilevel"/>
    <w:tmpl w:val="A274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03E257A"/>
    <w:multiLevelType w:val="hybridMultilevel"/>
    <w:tmpl w:val="DADA727C"/>
    <w:lvl w:ilvl="0" w:tplc="09D817A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50C84D40"/>
    <w:multiLevelType w:val="hybridMultilevel"/>
    <w:tmpl w:val="CBC0127C"/>
    <w:lvl w:ilvl="0" w:tplc="9F2A97F8">
      <w:start w:val="4"/>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32780D"/>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7234AB"/>
    <w:multiLevelType w:val="hybridMultilevel"/>
    <w:tmpl w:val="FA983886"/>
    <w:lvl w:ilvl="0" w:tplc="4B404218">
      <w:start w:val="1"/>
      <w:numFmt w:val="lowerLetter"/>
      <w:lvlText w:val="(%1)"/>
      <w:lvlJc w:val="left"/>
      <w:pPr>
        <w:ind w:left="1332" w:hanging="360"/>
      </w:pPr>
      <w:rPr>
        <w:rFonts w:hint="default"/>
        <w:sz w:val="24"/>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1">
    <w:nsid w:val="63173CCE"/>
    <w:multiLevelType w:val="hybridMultilevel"/>
    <w:tmpl w:val="C136A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4641520"/>
    <w:multiLevelType w:val="hybridMultilevel"/>
    <w:tmpl w:val="C2083E74"/>
    <w:lvl w:ilvl="0" w:tplc="04090019">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EA2D50"/>
    <w:multiLevelType w:val="hybridMultilevel"/>
    <w:tmpl w:val="3614E3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F3525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A020010"/>
    <w:multiLevelType w:val="hybridMultilevel"/>
    <w:tmpl w:val="E130983C"/>
    <w:lvl w:ilvl="0" w:tplc="C84219F4">
      <w:start w:val="1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03403E"/>
    <w:multiLevelType w:val="hybridMultilevel"/>
    <w:tmpl w:val="0004F2C8"/>
    <w:lvl w:ilvl="0" w:tplc="66FA0EBE">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8">
    <w:nsid w:val="7D531EDF"/>
    <w:multiLevelType w:val="hybridMultilevel"/>
    <w:tmpl w:val="F6A6E504"/>
    <w:lvl w:ilvl="0" w:tplc="CE7E51A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nsid w:val="7EEF6D4E"/>
    <w:multiLevelType w:val="hybridMultilevel"/>
    <w:tmpl w:val="ACEC69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7F52521E"/>
    <w:multiLevelType w:val="hybridMultilevel"/>
    <w:tmpl w:val="D90C27DE"/>
    <w:lvl w:ilvl="0" w:tplc="D5DA9ECC">
      <w:start w:val="1"/>
      <w:numFmt w:val="lowerLetter"/>
      <w:lvlText w:val="%1."/>
      <w:lvlJc w:val="left"/>
      <w:pPr>
        <w:tabs>
          <w:tab w:val="num" w:pos="360"/>
        </w:tabs>
        <w:ind w:left="360" w:hanging="360"/>
      </w:pPr>
      <w:rPr>
        <w:rFonts w:hint="default"/>
        <w:b w:val="0"/>
      </w:rPr>
    </w:lvl>
    <w:lvl w:ilvl="1" w:tplc="40649A42">
      <w:start w:val="1"/>
      <w:numFmt w:val="lowerLetter"/>
      <w:lvlText w:val="%2."/>
      <w:lvlJc w:val="left"/>
      <w:pPr>
        <w:tabs>
          <w:tab w:val="num" w:pos="1440"/>
        </w:tabs>
        <w:ind w:left="1440" w:hanging="360"/>
      </w:pPr>
      <w:rPr>
        <w:rFonts w:hint="default"/>
        <w:b w:val="0"/>
      </w:rPr>
    </w:lvl>
    <w:lvl w:ilvl="2" w:tplc="A04A9F24">
      <w:start w:val="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6"/>
  </w:num>
  <w:num w:numId="4">
    <w:abstractNumId w:val="23"/>
  </w:num>
  <w:num w:numId="5">
    <w:abstractNumId w:val="8"/>
  </w:num>
  <w:num w:numId="6">
    <w:abstractNumId w:val="30"/>
  </w:num>
  <w:num w:numId="7">
    <w:abstractNumId w:val="11"/>
  </w:num>
  <w:num w:numId="8">
    <w:abstractNumId w:val="29"/>
  </w:num>
  <w:num w:numId="9">
    <w:abstractNumId w:val="7"/>
  </w:num>
  <w:num w:numId="10">
    <w:abstractNumId w:val="19"/>
  </w:num>
  <w:num w:numId="11">
    <w:abstractNumId w:val="22"/>
  </w:num>
  <w:num w:numId="12">
    <w:abstractNumId w:val="10"/>
  </w:num>
  <w:num w:numId="13">
    <w:abstractNumId w:val="28"/>
  </w:num>
  <w:num w:numId="14">
    <w:abstractNumId w:val="0"/>
  </w:num>
  <w:num w:numId="15">
    <w:abstractNumId w:val="27"/>
  </w:num>
  <w:num w:numId="16">
    <w:abstractNumId w:val="20"/>
  </w:num>
  <w:num w:numId="17">
    <w:abstractNumId w:val="17"/>
  </w:num>
  <w:num w:numId="18">
    <w:abstractNumId w:val="16"/>
  </w:num>
  <w:num w:numId="19">
    <w:abstractNumId w:val="15"/>
  </w:num>
  <w:num w:numId="20">
    <w:abstractNumId w:val="14"/>
  </w:num>
  <w:num w:numId="21">
    <w:abstractNumId w:val="1"/>
  </w:num>
  <w:num w:numId="22">
    <w:abstractNumId w:val="21"/>
  </w:num>
  <w:num w:numId="23">
    <w:abstractNumId w:val="13"/>
  </w:num>
  <w:num w:numId="24">
    <w:abstractNumId w:val="25"/>
  </w:num>
  <w:num w:numId="25">
    <w:abstractNumId w:val="2"/>
  </w:num>
  <w:num w:numId="26">
    <w:abstractNumId w:val="18"/>
  </w:num>
  <w:num w:numId="27">
    <w:abstractNumId w:val="24"/>
  </w:num>
  <w:num w:numId="28">
    <w:abstractNumId w:val="9"/>
  </w:num>
  <w:num w:numId="29">
    <w:abstractNumId w:val="12"/>
  </w:num>
  <w:num w:numId="30">
    <w:abstractNumId w:val="26"/>
  </w:num>
  <w:num w:numId="3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11E"/>
    <w:rsid w:val="0000003B"/>
    <w:rsid w:val="00003C43"/>
    <w:rsid w:val="00004BB1"/>
    <w:rsid w:val="00011462"/>
    <w:rsid w:val="00014B0C"/>
    <w:rsid w:val="00014F58"/>
    <w:rsid w:val="00014F8E"/>
    <w:rsid w:val="00015710"/>
    <w:rsid w:val="00016D3B"/>
    <w:rsid w:val="000207B7"/>
    <w:rsid w:val="000246C1"/>
    <w:rsid w:val="00025636"/>
    <w:rsid w:val="000260A1"/>
    <w:rsid w:val="00026138"/>
    <w:rsid w:val="00026BAB"/>
    <w:rsid w:val="00027BF0"/>
    <w:rsid w:val="00030AC9"/>
    <w:rsid w:val="00030C6A"/>
    <w:rsid w:val="00031818"/>
    <w:rsid w:val="00034456"/>
    <w:rsid w:val="0004463B"/>
    <w:rsid w:val="0005107E"/>
    <w:rsid w:val="00052197"/>
    <w:rsid w:val="000551AD"/>
    <w:rsid w:val="0005607C"/>
    <w:rsid w:val="00057D93"/>
    <w:rsid w:val="000655CE"/>
    <w:rsid w:val="00065A9C"/>
    <w:rsid w:val="000669EE"/>
    <w:rsid w:val="00067563"/>
    <w:rsid w:val="00067D15"/>
    <w:rsid w:val="00072299"/>
    <w:rsid w:val="00076F5F"/>
    <w:rsid w:val="00077E76"/>
    <w:rsid w:val="000829D2"/>
    <w:rsid w:val="0009216A"/>
    <w:rsid w:val="00092D01"/>
    <w:rsid w:val="00097AAE"/>
    <w:rsid w:val="000A0543"/>
    <w:rsid w:val="000A2BC0"/>
    <w:rsid w:val="000A3410"/>
    <w:rsid w:val="000A4BA1"/>
    <w:rsid w:val="000A7878"/>
    <w:rsid w:val="000B05AB"/>
    <w:rsid w:val="000B31E2"/>
    <w:rsid w:val="000B4F54"/>
    <w:rsid w:val="000B78A7"/>
    <w:rsid w:val="000C1FFA"/>
    <w:rsid w:val="000C40B5"/>
    <w:rsid w:val="000C6946"/>
    <w:rsid w:val="000D0B06"/>
    <w:rsid w:val="000D41A0"/>
    <w:rsid w:val="000D4817"/>
    <w:rsid w:val="000E1641"/>
    <w:rsid w:val="000E196F"/>
    <w:rsid w:val="000E2B77"/>
    <w:rsid w:val="000E5642"/>
    <w:rsid w:val="000E5F01"/>
    <w:rsid w:val="000E5F5D"/>
    <w:rsid w:val="000E63EB"/>
    <w:rsid w:val="000E7935"/>
    <w:rsid w:val="000F07AE"/>
    <w:rsid w:val="000F34CF"/>
    <w:rsid w:val="000F34EB"/>
    <w:rsid w:val="000F5D4C"/>
    <w:rsid w:val="00102CCC"/>
    <w:rsid w:val="00102F1D"/>
    <w:rsid w:val="00104058"/>
    <w:rsid w:val="0010481B"/>
    <w:rsid w:val="0010531B"/>
    <w:rsid w:val="0010532C"/>
    <w:rsid w:val="001106F4"/>
    <w:rsid w:val="00111527"/>
    <w:rsid w:val="00113E91"/>
    <w:rsid w:val="001143F6"/>
    <w:rsid w:val="00116C39"/>
    <w:rsid w:val="00120CB2"/>
    <w:rsid w:val="00121F1A"/>
    <w:rsid w:val="00122AE6"/>
    <w:rsid w:val="001237B4"/>
    <w:rsid w:val="001343B4"/>
    <w:rsid w:val="00134832"/>
    <w:rsid w:val="00134A9E"/>
    <w:rsid w:val="00146D4A"/>
    <w:rsid w:val="00151B7B"/>
    <w:rsid w:val="00154041"/>
    <w:rsid w:val="00156B52"/>
    <w:rsid w:val="00160114"/>
    <w:rsid w:val="0017212C"/>
    <w:rsid w:val="00172350"/>
    <w:rsid w:val="0017360E"/>
    <w:rsid w:val="001738AF"/>
    <w:rsid w:val="001746C4"/>
    <w:rsid w:val="0017776A"/>
    <w:rsid w:val="001826A8"/>
    <w:rsid w:val="001826D1"/>
    <w:rsid w:val="00185DA7"/>
    <w:rsid w:val="0018703A"/>
    <w:rsid w:val="0018760E"/>
    <w:rsid w:val="00190F11"/>
    <w:rsid w:val="0019106A"/>
    <w:rsid w:val="001919C8"/>
    <w:rsid w:val="00193C1F"/>
    <w:rsid w:val="001A1B5E"/>
    <w:rsid w:val="001A2938"/>
    <w:rsid w:val="001A3857"/>
    <w:rsid w:val="001A3CF5"/>
    <w:rsid w:val="001A7475"/>
    <w:rsid w:val="001B0214"/>
    <w:rsid w:val="001B1286"/>
    <w:rsid w:val="001B3ED1"/>
    <w:rsid w:val="001B4279"/>
    <w:rsid w:val="001B4B6A"/>
    <w:rsid w:val="001B5A3E"/>
    <w:rsid w:val="001B6958"/>
    <w:rsid w:val="001C0EFD"/>
    <w:rsid w:val="001C24EE"/>
    <w:rsid w:val="001D11F3"/>
    <w:rsid w:val="001E74AF"/>
    <w:rsid w:val="001F1F98"/>
    <w:rsid w:val="001F3052"/>
    <w:rsid w:val="001F6F2F"/>
    <w:rsid w:val="0020374C"/>
    <w:rsid w:val="00205FD3"/>
    <w:rsid w:val="00206AE9"/>
    <w:rsid w:val="002107B7"/>
    <w:rsid w:val="0021170E"/>
    <w:rsid w:val="0021230A"/>
    <w:rsid w:val="0021468D"/>
    <w:rsid w:val="002148F6"/>
    <w:rsid w:val="002161A9"/>
    <w:rsid w:val="00216CF7"/>
    <w:rsid w:val="00217B5F"/>
    <w:rsid w:val="00220257"/>
    <w:rsid w:val="00222578"/>
    <w:rsid w:val="002255B3"/>
    <w:rsid w:val="00227746"/>
    <w:rsid w:val="00233772"/>
    <w:rsid w:val="00234808"/>
    <w:rsid w:val="00234DDB"/>
    <w:rsid w:val="00240E9B"/>
    <w:rsid w:val="002417F8"/>
    <w:rsid w:val="00242039"/>
    <w:rsid w:val="00243A58"/>
    <w:rsid w:val="00244DD1"/>
    <w:rsid w:val="002525B3"/>
    <w:rsid w:val="00252F54"/>
    <w:rsid w:val="00255E9A"/>
    <w:rsid w:val="0026029D"/>
    <w:rsid w:val="00260AF4"/>
    <w:rsid w:val="00260C3E"/>
    <w:rsid w:val="00261DA4"/>
    <w:rsid w:val="002679ED"/>
    <w:rsid w:val="002722B2"/>
    <w:rsid w:val="00276B7D"/>
    <w:rsid w:val="00276C84"/>
    <w:rsid w:val="00280C72"/>
    <w:rsid w:val="0028263F"/>
    <w:rsid w:val="00286C0D"/>
    <w:rsid w:val="00292382"/>
    <w:rsid w:val="002A129E"/>
    <w:rsid w:val="002A3AE8"/>
    <w:rsid w:val="002A5B1B"/>
    <w:rsid w:val="002B1016"/>
    <w:rsid w:val="002B14D0"/>
    <w:rsid w:val="002C5022"/>
    <w:rsid w:val="002C644E"/>
    <w:rsid w:val="002D72FF"/>
    <w:rsid w:val="002E2BF0"/>
    <w:rsid w:val="002E6E50"/>
    <w:rsid w:val="002E76F9"/>
    <w:rsid w:val="002F07FD"/>
    <w:rsid w:val="002F19B5"/>
    <w:rsid w:val="002F220A"/>
    <w:rsid w:val="002F361B"/>
    <w:rsid w:val="002F514D"/>
    <w:rsid w:val="002F566F"/>
    <w:rsid w:val="002F62A3"/>
    <w:rsid w:val="002F7CF0"/>
    <w:rsid w:val="00302ED3"/>
    <w:rsid w:val="003037A8"/>
    <w:rsid w:val="00310C58"/>
    <w:rsid w:val="00312D9B"/>
    <w:rsid w:val="00314D65"/>
    <w:rsid w:val="00316A62"/>
    <w:rsid w:val="0031783D"/>
    <w:rsid w:val="00322CBA"/>
    <w:rsid w:val="00324F1C"/>
    <w:rsid w:val="00325BCE"/>
    <w:rsid w:val="00327F4A"/>
    <w:rsid w:val="0033326C"/>
    <w:rsid w:val="0033359D"/>
    <w:rsid w:val="00334988"/>
    <w:rsid w:val="00334B25"/>
    <w:rsid w:val="0033604A"/>
    <w:rsid w:val="00346BB8"/>
    <w:rsid w:val="00346F5F"/>
    <w:rsid w:val="0034756D"/>
    <w:rsid w:val="003515D6"/>
    <w:rsid w:val="00354176"/>
    <w:rsid w:val="00355990"/>
    <w:rsid w:val="00355EE9"/>
    <w:rsid w:val="00357078"/>
    <w:rsid w:val="00364B54"/>
    <w:rsid w:val="00366826"/>
    <w:rsid w:val="00367F5D"/>
    <w:rsid w:val="00370BB3"/>
    <w:rsid w:val="00373455"/>
    <w:rsid w:val="00374DB5"/>
    <w:rsid w:val="00377AB5"/>
    <w:rsid w:val="00380BC0"/>
    <w:rsid w:val="0038308C"/>
    <w:rsid w:val="003831CD"/>
    <w:rsid w:val="0038370D"/>
    <w:rsid w:val="00387EF8"/>
    <w:rsid w:val="003960C1"/>
    <w:rsid w:val="00396212"/>
    <w:rsid w:val="00396742"/>
    <w:rsid w:val="003A564E"/>
    <w:rsid w:val="003B0505"/>
    <w:rsid w:val="003B5440"/>
    <w:rsid w:val="003B726D"/>
    <w:rsid w:val="003B729F"/>
    <w:rsid w:val="003C0752"/>
    <w:rsid w:val="003C2022"/>
    <w:rsid w:val="003C2A40"/>
    <w:rsid w:val="003D0671"/>
    <w:rsid w:val="003D15EA"/>
    <w:rsid w:val="003E1A85"/>
    <w:rsid w:val="003E1D99"/>
    <w:rsid w:val="003E3C47"/>
    <w:rsid w:val="003E3D5C"/>
    <w:rsid w:val="003E5961"/>
    <w:rsid w:val="003E75F1"/>
    <w:rsid w:val="003F0641"/>
    <w:rsid w:val="003F301F"/>
    <w:rsid w:val="003F4C24"/>
    <w:rsid w:val="003F4EE8"/>
    <w:rsid w:val="003F5CE3"/>
    <w:rsid w:val="003F5EB6"/>
    <w:rsid w:val="003F73D9"/>
    <w:rsid w:val="003F7865"/>
    <w:rsid w:val="00401037"/>
    <w:rsid w:val="00402F37"/>
    <w:rsid w:val="00405204"/>
    <w:rsid w:val="00405932"/>
    <w:rsid w:val="00406F40"/>
    <w:rsid w:val="00411C8F"/>
    <w:rsid w:val="004148B5"/>
    <w:rsid w:val="00414DB5"/>
    <w:rsid w:val="004150D8"/>
    <w:rsid w:val="00425951"/>
    <w:rsid w:val="00430C9B"/>
    <w:rsid w:val="004320D6"/>
    <w:rsid w:val="00432150"/>
    <w:rsid w:val="004329A5"/>
    <w:rsid w:val="004343FA"/>
    <w:rsid w:val="0043649E"/>
    <w:rsid w:val="004401CF"/>
    <w:rsid w:val="0044169D"/>
    <w:rsid w:val="00442D5C"/>
    <w:rsid w:val="004432FB"/>
    <w:rsid w:val="0044587A"/>
    <w:rsid w:val="00451D79"/>
    <w:rsid w:val="00453D4A"/>
    <w:rsid w:val="00456BB5"/>
    <w:rsid w:val="0045712E"/>
    <w:rsid w:val="0045716F"/>
    <w:rsid w:val="00457F8C"/>
    <w:rsid w:val="00463F44"/>
    <w:rsid w:val="00465601"/>
    <w:rsid w:val="004657BC"/>
    <w:rsid w:val="00466B2D"/>
    <w:rsid w:val="00467CB2"/>
    <w:rsid w:val="00473F12"/>
    <w:rsid w:val="004801B6"/>
    <w:rsid w:val="00481A6F"/>
    <w:rsid w:val="00484223"/>
    <w:rsid w:val="00484562"/>
    <w:rsid w:val="004900DA"/>
    <w:rsid w:val="00490EF8"/>
    <w:rsid w:val="00491393"/>
    <w:rsid w:val="00491E1A"/>
    <w:rsid w:val="0049280D"/>
    <w:rsid w:val="00494212"/>
    <w:rsid w:val="00497DAA"/>
    <w:rsid w:val="004A03A3"/>
    <w:rsid w:val="004A1168"/>
    <w:rsid w:val="004A675C"/>
    <w:rsid w:val="004B4A72"/>
    <w:rsid w:val="004C34B2"/>
    <w:rsid w:val="004C3783"/>
    <w:rsid w:val="004C3D4F"/>
    <w:rsid w:val="004C6243"/>
    <w:rsid w:val="004C64CC"/>
    <w:rsid w:val="004D130A"/>
    <w:rsid w:val="004D5256"/>
    <w:rsid w:val="004D6140"/>
    <w:rsid w:val="004D61C1"/>
    <w:rsid w:val="004D6757"/>
    <w:rsid w:val="004E1E54"/>
    <w:rsid w:val="004E1FE8"/>
    <w:rsid w:val="004E6870"/>
    <w:rsid w:val="004F1612"/>
    <w:rsid w:val="004F2F76"/>
    <w:rsid w:val="004F4367"/>
    <w:rsid w:val="004F7159"/>
    <w:rsid w:val="0050020E"/>
    <w:rsid w:val="00502A3D"/>
    <w:rsid w:val="00505CC4"/>
    <w:rsid w:val="005070E2"/>
    <w:rsid w:val="005117BC"/>
    <w:rsid w:val="005118A0"/>
    <w:rsid w:val="00512B46"/>
    <w:rsid w:val="00515C46"/>
    <w:rsid w:val="00515E99"/>
    <w:rsid w:val="00517175"/>
    <w:rsid w:val="005205D8"/>
    <w:rsid w:val="00520C60"/>
    <w:rsid w:val="00521104"/>
    <w:rsid w:val="00524E3E"/>
    <w:rsid w:val="005256CB"/>
    <w:rsid w:val="0052665E"/>
    <w:rsid w:val="0053100B"/>
    <w:rsid w:val="005325EA"/>
    <w:rsid w:val="00534A10"/>
    <w:rsid w:val="00536800"/>
    <w:rsid w:val="00536D74"/>
    <w:rsid w:val="00540323"/>
    <w:rsid w:val="0054070E"/>
    <w:rsid w:val="005408A8"/>
    <w:rsid w:val="005437CC"/>
    <w:rsid w:val="00544D01"/>
    <w:rsid w:val="00546BC4"/>
    <w:rsid w:val="00547693"/>
    <w:rsid w:val="00552181"/>
    <w:rsid w:val="00552D14"/>
    <w:rsid w:val="00553572"/>
    <w:rsid w:val="00556710"/>
    <w:rsid w:val="00556B93"/>
    <w:rsid w:val="00557A8F"/>
    <w:rsid w:val="00562F11"/>
    <w:rsid w:val="00573B06"/>
    <w:rsid w:val="00574BE9"/>
    <w:rsid w:val="00575F87"/>
    <w:rsid w:val="0057639E"/>
    <w:rsid w:val="005803A5"/>
    <w:rsid w:val="005821B3"/>
    <w:rsid w:val="00585220"/>
    <w:rsid w:val="00585410"/>
    <w:rsid w:val="0058594C"/>
    <w:rsid w:val="00587D6C"/>
    <w:rsid w:val="00590D86"/>
    <w:rsid w:val="00590DD9"/>
    <w:rsid w:val="005B0B33"/>
    <w:rsid w:val="005B1989"/>
    <w:rsid w:val="005B1D03"/>
    <w:rsid w:val="005B4DBB"/>
    <w:rsid w:val="005B5665"/>
    <w:rsid w:val="005B7CA8"/>
    <w:rsid w:val="005C41AD"/>
    <w:rsid w:val="005C4498"/>
    <w:rsid w:val="005C4A88"/>
    <w:rsid w:val="005C4CF0"/>
    <w:rsid w:val="005D1B1B"/>
    <w:rsid w:val="005D495C"/>
    <w:rsid w:val="005D5029"/>
    <w:rsid w:val="005E23D9"/>
    <w:rsid w:val="005E252E"/>
    <w:rsid w:val="005E3A4E"/>
    <w:rsid w:val="005E7728"/>
    <w:rsid w:val="005F262B"/>
    <w:rsid w:val="005F2B8C"/>
    <w:rsid w:val="005F2BF5"/>
    <w:rsid w:val="005F6AF4"/>
    <w:rsid w:val="005F6E97"/>
    <w:rsid w:val="00606081"/>
    <w:rsid w:val="0060663B"/>
    <w:rsid w:val="0060767A"/>
    <w:rsid w:val="006116D0"/>
    <w:rsid w:val="0061354B"/>
    <w:rsid w:val="00620827"/>
    <w:rsid w:val="00621572"/>
    <w:rsid w:val="0062379A"/>
    <w:rsid w:val="00624353"/>
    <w:rsid w:val="0062638C"/>
    <w:rsid w:val="006304B2"/>
    <w:rsid w:val="0063073C"/>
    <w:rsid w:val="00632749"/>
    <w:rsid w:val="00634BC4"/>
    <w:rsid w:val="00640F7A"/>
    <w:rsid w:val="00643472"/>
    <w:rsid w:val="006446B1"/>
    <w:rsid w:val="0064753E"/>
    <w:rsid w:val="00647C1F"/>
    <w:rsid w:val="0065096D"/>
    <w:rsid w:val="006523B1"/>
    <w:rsid w:val="00653C62"/>
    <w:rsid w:val="006555C7"/>
    <w:rsid w:val="00657514"/>
    <w:rsid w:val="006709CE"/>
    <w:rsid w:val="006716E7"/>
    <w:rsid w:val="006760FF"/>
    <w:rsid w:val="0068491B"/>
    <w:rsid w:val="00684E15"/>
    <w:rsid w:val="00686E74"/>
    <w:rsid w:val="00687D4A"/>
    <w:rsid w:val="00691A69"/>
    <w:rsid w:val="006950B4"/>
    <w:rsid w:val="00696611"/>
    <w:rsid w:val="0069793D"/>
    <w:rsid w:val="006A0AA8"/>
    <w:rsid w:val="006A25D7"/>
    <w:rsid w:val="006A2D4F"/>
    <w:rsid w:val="006A35A9"/>
    <w:rsid w:val="006A36F9"/>
    <w:rsid w:val="006A4B03"/>
    <w:rsid w:val="006A67A5"/>
    <w:rsid w:val="006B148D"/>
    <w:rsid w:val="006B1575"/>
    <w:rsid w:val="006B2CB2"/>
    <w:rsid w:val="006B6D01"/>
    <w:rsid w:val="006B7D65"/>
    <w:rsid w:val="006C3E50"/>
    <w:rsid w:val="006C4797"/>
    <w:rsid w:val="006C6B29"/>
    <w:rsid w:val="006C6FFD"/>
    <w:rsid w:val="006D0BFA"/>
    <w:rsid w:val="006D4246"/>
    <w:rsid w:val="006D5BD8"/>
    <w:rsid w:val="006D761F"/>
    <w:rsid w:val="006E129D"/>
    <w:rsid w:val="006E1922"/>
    <w:rsid w:val="006E6E55"/>
    <w:rsid w:val="006F08EE"/>
    <w:rsid w:val="006F0FC0"/>
    <w:rsid w:val="006F1636"/>
    <w:rsid w:val="006F1C6E"/>
    <w:rsid w:val="006F4CA6"/>
    <w:rsid w:val="006F7348"/>
    <w:rsid w:val="006F787B"/>
    <w:rsid w:val="00703CD3"/>
    <w:rsid w:val="00704347"/>
    <w:rsid w:val="0071056F"/>
    <w:rsid w:val="007113F0"/>
    <w:rsid w:val="0071306A"/>
    <w:rsid w:val="00713393"/>
    <w:rsid w:val="00713F57"/>
    <w:rsid w:val="00715DCD"/>
    <w:rsid w:val="0072226F"/>
    <w:rsid w:val="007239C9"/>
    <w:rsid w:val="00726408"/>
    <w:rsid w:val="00733CCF"/>
    <w:rsid w:val="00734289"/>
    <w:rsid w:val="00742B38"/>
    <w:rsid w:val="0074475D"/>
    <w:rsid w:val="00744A24"/>
    <w:rsid w:val="00746172"/>
    <w:rsid w:val="007466B0"/>
    <w:rsid w:val="00750133"/>
    <w:rsid w:val="0075364B"/>
    <w:rsid w:val="007631B4"/>
    <w:rsid w:val="007645E9"/>
    <w:rsid w:val="00770FEA"/>
    <w:rsid w:val="00771E00"/>
    <w:rsid w:val="00774711"/>
    <w:rsid w:val="007810EB"/>
    <w:rsid w:val="0078233A"/>
    <w:rsid w:val="0079068A"/>
    <w:rsid w:val="007915A6"/>
    <w:rsid w:val="007920F2"/>
    <w:rsid w:val="0079647D"/>
    <w:rsid w:val="0079777A"/>
    <w:rsid w:val="007A3203"/>
    <w:rsid w:val="007A3812"/>
    <w:rsid w:val="007B0439"/>
    <w:rsid w:val="007B087E"/>
    <w:rsid w:val="007B16A5"/>
    <w:rsid w:val="007B3370"/>
    <w:rsid w:val="007B3FAE"/>
    <w:rsid w:val="007B641E"/>
    <w:rsid w:val="007B65F5"/>
    <w:rsid w:val="007B70B8"/>
    <w:rsid w:val="007B7786"/>
    <w:rsid w:val="007C34F2"/>
    <w:rsid w:val="007C39A6"/>
    <w:rsid w:val="007C6F5E"/>
    <w:rsid w:val="007C7B6B"/>
    <w:rsid w:val="007D0577"/>
    <w:rsid w:val="007D1166"/>
    <w:rsid w:val="007D2BB4"/>
    <w:rsid w:val="007D39F6"/>
    <w:rsid w:val="007D4B92"/>
    <w:rsid w:val="007D6018"/>
    <w:rsid w:val="007D6973"/>
    <w:rsid w:val="007E0640"/>
    <w:rsid w:val="007E0DEC"/>
    <w:rsid w:val="007E10B1"/>
    <w:rsid w:val="007E4E13"/>
    <w:rsid w:val="007E5779"/>
    <w:rsid w:val="007F2BD0"/>
    <w:rsid w:val="007F3DDD"/>
    <w:rsid w:val="007F4BC2"/>
    <w:rsid w:val="007F7E33"/>
    <w:rsid w:val="008061B1"/>
    <w:rsid w:val="00813C35"/>
    <w:rsid w:val="00815133"/>
    <w:rsid w:val="008161CB"/>
    <w:rsid w:val="008173E6"/>
    <w:rsid w:val="00820420"/>
    <w:rsid w:val="00820FF8"/>
    <w:rsid w:val="00821103"/>
    <w:rsid w:val="00821583"/>
    <w:rsid w:val="008253ED"/>
    <w:rsid w:val="0083211E"/>
    <w:rsid w:val="00832AE2"/>
    <w:rsid w:val="00832CDC"/>
    <w:rsid w:val="008348B3"/>
    <w:rsid w:val="00836022"/>
    <w:rsid w:val="00836988"/>
    <w:rsid w:val="00837FCE"/>
    <w:rsid w:val="0084126E"/>
    <w:rsid w:val="00842685"/>
    <w:rsid w:val="00845A42"/>
    <w:rsid w:val="008468F5"/>
    <w:rsid w:val="008509FF"/>
    <w:rsid w:val="00850D60"/>
    <w:rsid w:val="0085179D"/>
    <w:rsid w:val="00853F77"/>
    <w:rsid w:val="00855438"/>
    <w:rsid w:val="00855D51"/>
    <w:rsid w:val="00856633"/>
    <w:rsid w:val="00861B78"/>
    <w:rsid w:val="00861E1B"/>
    <w:rsid w:val="00863B17"/>
    <w:rsid w:val="008649DE"/>
    <w:rsid w:val="00864D89"/>
    <w:rsid w:val="00867242"/>
    <w:rsid w:val="00867722"/>
    <w:rsid w:val="00872529"/>
    <w:rsid w:val="00873EBD"/>
    <w:rsid w:val="008752C3"/>
    <w:rsid w:val="00876220"/>
    <w:rsid w:val="00877FBE"/>
    <w:rsid w:val="008809BF"/>
    <w:rsid w:val="00883AFC"/>
    <w:rsid w:val="008922A9"/>
    <w:rsid w:val="00893A49"/>
    <w:rsid w:val="00894AAB"/>
    <w:rsid w:val="00895CD0"/>
    <w:rsid w:val="008A0ABA"/>
    <w:rsid w:val="008A0E56"/>
    <w:rsid w:val="008A4E35"/>
    <w:rsid w:val="008A4E37"/>
    <w:rsid w:val="008A7557"/>
    <w:rsid w:val="008A7889"/>
    <w:rsid w:val="008B400E"/>
    <w:rsid w:val="008B410E"/>
    <w:rsid w:val="008C27ED"/>
    <w:rsid w:val="008C28DD"/>
    <w:rsid w:val="008C2DBB"/>
    <w:rsid w:val="008C3A8F"/>
    <w:rsid w:val="008D19AC"/>
    <w:rsid w:val="008D5486"/>
    <w:rsid w:val="008D5B28"/>
    <w:rsid w:val="008D7168"/>
    <w:rsid w:val="008E10EA"/>
    <w:rsid w:val="008E16BC"/>
    <w:rsid w:val="008E4B50"/>
    <w:rsid w:val="008E5B6C"/>
    <w:rsid w:val="008F3A8F"/>
    <w:rsid w:val="008F49B5"/>
    <w:rsid w:val="008F7FD6"/>
    <w:rsid w:val="009000CD"/>
    <w:rsid w:val="009016A2"/>
    <w:rsid w:val="00901C02"/>
    <w:rsid w:val="00902774"/>
    <w:rsid w:val="0090295C"/>
    <w:rsid w:val="009037DD"/>
    <w:rsid w:val="00904464"/>
    <w:rsid w:val="00905057"/>
    <w:rsid w:val="0090638A"/>
    <w:rsid w:val="00907D23"/>
    <w:rsid w:val="0091299A"/>
    <w:rsid w:val="0091314F"/>
    <w:rsid w:val="009152B7"/>
    <w:rsid w:val="00915B8B"/>
    <w:rsid w:val="00916852"/>
    <w:rsid w:val="00916C9D"/>
    <w:rsid w:val="00920804"/>
    <w:rsid w:val="009249AC"/>
    <w:rsid w:val="009273F5"/>
    <w:rsid w:val="009275BF"/>
    <w:rsid w:val="00931511"/>
    <w:rsid w:val="00936623"/>
    <w:rsid w:val="009376E1"/>
    <w:rsid w:val="0094244B"/>
    <w:rsid w:val="00942C70"/>
    <w:rsid w:val="00947A27"/>
    <w:rsid w:val="0095187B"/>
    <w:rsid w:val="00954841"/>
    <w:rsid w:val="00954FDF"/>
    <w:rsid w:val="00960D03"/>
    <w:rsid w:val="00961DEE"/>
    <w:rsid w:val="009658C9"/>
    <w:rsid w:val="00971F8A"/>
    <w:rsid w:val="00973B47"/>
    <w:rsid w:val="009765BD"/>
    <w:rsid w:val="009774B1"/>
    <w:rsid w:val="00977C6B"/>
    <w:rsid w:val="00980F1E"/>
    <w:rsid w:val="00981935"/>
    <w:rsid w:val="009863FD"/>
    <w:rsid w:val="009910E6"/>
    <w:rsid w:val="00997094"/>
    <w:rsid w:val="009A2A5C"/>
    <w:rsid w:val="009A2DB9"/>
    <w:rsid w:val="009B0167"/>
    <w:rsid w:val="009B6259"/>
    <w:rsid w:val="009C1DDD"/>
    <w:rsid w:val="009C716B"/>
    <w:rsid w:val="009D11B3"/>
    <w:rsid w:val="009D28B6"/>
    <w:rsid w:val="009D5C90"/>
    <w:rsid w:val="009D708D"/>
    <w:rsid w:val="009E1ECD"/>
    <w:rsid w:val="009E279A"/>
    <w:rsid w:val="009E63CD"/>
    <w:rsid w:val="009F01E8"/>
    <w:rsid w:val="009F0E29"/>
    <w:rsid w:val="009F1EDC"/>
    <w:rsid w:val="00A01C08"/>
    <w:rsid w:val="00A02291"/>
    <w:rsid w:val="00A02514"/>
    <w:rsid w:val="00A032DE"/>
    <w:rsid w:val="00A03402"/>
    <w:rsid w:val="00A04E44"/>
    <w:rsid w:val="00A05E52"/>
    <w:rsid w:val="00A06A9E"/>
    <w:rsid w:val="00A07630"/>
    <w:rsid w:val="00A1053E"/>
    <w:rsid w:val="00A10E19"/>
    <w:rsid w:val="00A14D80"/>
    <w:rsid w:val="00A17E3D"/>
    <w:rsid w:val="00A27F8F"/>
    <w:rsid w:val="00A31E57"/>
    <w:rsid w:val="00A3343B"/>
    <w:rsid w:val="00A355FC"/>
    <w:rsid w:val="00A358B0"/>
    <w:rsid w:val="00A454BF"/>
    <w:rsid w:val="00A50FE9"/>
    <w:rsid w:val="00A522EC"/>
    <w:rsid w:val="00A53402"/>
    <w:rsid w:val="00A537C7"/>
    <w:rsid w:val="00A55068"/>
    <w:rsid w:val="00A56C21"/>
    <w:rsid w:val="00A56DCE"/>
    <w:rsid w:val="00A574DA"/>
    <w:rsid w:val="00A64EAF"/>
    <w:rsid w:val="00A651A4"/>
    <w:rsid w:val="00A66EA0"/>
    <w:rsid w:val="00A675A2"/>
    <w:rsid w:val="00A7014D"/>
    <w:rsid w:val="00A800CA"/>
    <w:rsid w:val="00A80750"/>
    <w:rsid w:val="00A816A3"/>
    <w:rsid w:val="00A8311C"/>
    <w:rsid w:val="00A83AF6"/>
    <w:rsid w:val="00A83FD0"/>
    <w:rsid w:val="00A84CBE"/>
    <w:rsid w:val="00A86781"/>
    <w:rsid w:val="00A97136"/>
    <w:rsid w:val="00A9718E"/>
    <w:rsid w:val="00AA2249"/>
    <w:rsid w:val="00AA46BC"/>
    <w:rsid w:val="00AA5617"/>
    <w:rsid w:val="00AA5FE8"/>
    <w:rsid w:val="00AB1C81"/>
    <w:rsid w:val="00AB65B6"/>
    <w:rsid w:val="00AB7289"/>
    <w:rsid w:val="00AB7378"/>
    <w:rsid w:val="00AC039E"/>
    <w:rsid w:val="00AC4384"/>
    <w:rsid w:val="00AC628D"/>
    <w:rsid w:val="00AC7A6F"/>
    <w:rsid w:val="00AD48AB"/>
    <w:rsid w:val="00AD5DF7"/>
    <w:rsid w:val="00AE26B6"/>
    <w:rsid w:val="00AE2C0B"/>
    <w:rsid w:val="00AE464E"/>
    <w:rsid w:val="00AE511F"/>
    <w:rsid w:val="00AF0760"/>
    <w:rsid w:val="00AF5A33"/>
    <w:rsid w:val="00AF5AAD"/>
    <w:rsid w:val="00B00DAB"/>
    <w:rsid w:val="00B01D72"/>
    <w:rsid w:val="00B0265A"/>
    <w:rsid w:val="00B048EA"/>
    <w:rsid w:val="00B06DB6"/>
    <w:rsid w:val="00B07CFD"/>
    <w:rsid w:val="00B10248"/>
    <w:rsid w:val="00B1109B"/>
    <w:rsid w:val="00B123DC"/>
    <w:rsid w:val="00B14D58"/>
    <w:rsid w:val="00B16C92"/>
    <w:rsid w:val="00B21D1E"/>
    <w:rsid w:val="00B23D23"/>
    <w:rsid w:val="00B243F9"/>
    <w:rsid w:val="00B30646"/>
    <w:rsid w:val="00B31C14"/>
    <w:rsid w:val="00B31FFD"/>
    <w:rsid w:val="00B34C0B"/>
    <w:rsid w:val="00B3538E"/>
    <w:rsid w:val="00B40D3F"/>
    <w:rsid w:val="00B4410A"/>
    <w:rsid w:val="00B453A5"/>
    <w:rsid w:val="00B46051"/>
    <w:rsid w:val="00B46891"/>
    <w:rsid w:val="00B51A8B"/>
    <w:rsid w:val="00B55BA4"/>
    <w:rsid w:val="00B566E2"/>
    <w:rsid w:val="00B626D8"/>
    <w:rsid w:val="00B67B42"/>
    <w:rsid w:val="00B762DB"/>
    <w:rsid w:val="00B766DB"/>
    <w:rsid w:val="00B8095E"/>
    <w:rsid w:val="00B836A5"/>
    <w:rsid w:val="00B83D70"/>
    <w:rsid w:val="00B92C67"/>
    <w:rsid w:val="00B96F78"/>
    <w:rsid w:val="00BA14AC"/>
    <w:rsid w:val="00BA3615"/>
    <w:rsid w:val="00BA5D2E"/>
    <w:rsid w:val="00BA6259"/>
    <w:rsid w:val="00BB097F"/>
    <w:rsid w:val="00BB164B"/>
    <w:rsid w:val="00BB6DAD"/>
    <w:rsid w:val="00BB7142"/>
    <w:rsid w:val="00BC1960"/>
    <w:rsid w:val="00BC1D3D"/>
    <w:rsid w:val="00BC4323"/>
    <w:rsid w:val="00BC5E37"/>
    <w:rsid w:val="00BC7169"/>
    <w:rsid w:val="00BC7C47"/>
    <w:rsid w:val="00BD0037"/>
    <w:rsid w:val="00BD2659"/>
    <w:rsid w:val="00BE096A"/>
    <w:rsid w:val="00BE333E"/>
    <w:rsid w:val="00BE3525"/>
    <w:rsid w:val="00BE5A72"/>
    <w:rsid w:val="00BE5F21"/>
    <w:rsid w:val="00BE617A"/>
    <w:rsid w:val="00BE6DB6"/>
    <w:rsid w:val="00BF17E4"/>
    <w:rsid w:val="00BF53B9"/>
    <w:rsid w:val="00BF6B0A"/>
    <w:rsid w:val="00C004B2"/>
    <w:rsid w:val="00C046ED"/>
    <w:rsid w:val="00C059C3"/>
    <w:rsid w:val="00C070DC"/>
    <w:rsid w:val="00C10E0F"/>
    <w:rsid w:val="00C1443C"/>
    <w:rsid w:val="00C15247"/>
    <w:rsid w:val="00C20652"/>
    <w:rsid w:val="00C2316C"/>
    <w:rsid w:val="00C25FB0"/>
    <w:rsid w:val="00C270B1"/>
    <w:rsid w:val="00C308E0"/>
    <w:rsid w:val="00C3202C"/>
    <w:rsid w:val="00C32F3A"/>
    <w:rsid w:val="00C41AA5"/>
    <w:rsid w:val="00C41CAE"/>
    <w:rsid w:val="00C4427F"/>
    <w:rsid w:val="00C509E6"/>
    <w:rsid w:val="00C5161F"/>
    <w:rsid w:val="00C52078"/>
    <w:rsid w:val="00C52E40"/>
    <w:rsid w:val="00C5408B"/>
    <w:rsid w:val="00C55C6A"/>
    <w:rsid w:val="00C609F4"/>
    <w:rsid w:val="00C61D05"/>
    <w:rsid w:val="00C63795"/>
    <w:rsid w:val="00C6435B"/>
    <w:rsid w:val="00C665BE"/>
    <w:rsid w:val="00C66683"/>
    <w:rsid w:val="00C714F6"/>
    <w:rsid w:val="00C71F39"/>
    <w:rsid w:val="00C72630"/>
    <w:rsid w:val="00C73014"/>
    <w:rsid w:val="00C7376A"/>
    <w:rsid w:val="00C80232"/>
    <w:rsid w:val="00C8194D"/>
    <w:rsid w:val="00C83330"/>
    <w:rsid w:val="00C85D0A"/>
    <w:rsid w:val="00C869F6"/>
    <w:rsid w:val="00C91CBF"/>
    <w:rsid w:val="00C932FE"/>
    <w:rsid w:val="00C933D2"/>
    <w:rsid w:val="00C93E53"/>
    <w:rsid w:val="00C96511"/>
    <w:rsid w:val="00C97048"/>
    <w:rsid w:val="00C975C6"/>
    <w:rsid w:val="00C97852"/>
    <w:rsid w:val="00CA0709"/>
    <w:rsid w:val="00CA5AF5"/>
    <w:rsid w:val="00CA6DFD"/>
    <w:rsid w:val="00CA7E38"/>
    <w:rsid w:val="00CB3543"/>
    <w:rsid w:val="00CB40F0"/>
    <w:rsid w:val="00CB4CAA"/>
    <w:rsid w:val="00CB70D6"/>
    <w:rsid w:val="00CB7B71"/>
    <w:rsid w:val="00CC0726"/>
    <w:rsid w:val="00CC0CFB"/>
    <w:rsid w:val="00CC5443"/>
    <w:rsid w:val="00CD1647"/>
    <w:rsid w:val="00CD1E41"/>
    <w:rsid w:val="00CD284F"/>
    <w:rsid w:val="00CD2A6B"/>
    <w:rsid w:val="00CD53A5"/>
    <w:rsid w:val="00CE123E"/>
    <w:rsid w:val="00CE3B1E"/>
    <w:rsid w:val="00CE3F50"/>
    <w:rsid w:val="00CE53A4"/>
    <w:rsid w:val="00CE6D03"/>
    <w:rsid w:val="00CF18DA"/>
    <w:rsid w:val="00CF19C0"/>
    <w:rsid w:val="00CF2798"/>
    <w:rsid w:val="00CF5DC7"/>
    <w:rsid w:val="00CF6B5E"/>
    <w:rsid w:val="00CF7521"/>
    <w:rsid w:val="00D00C18"/>
    <w:rsid w:val="00D030DC"/>
    <w:rsid w:val="00D036C3"/>
    <w:rsid w:val="00D11011"/>
    <w:rsid w:val="00D12C58"/>
    <w:rsid w:val="00D135F3"/>
    <w:rsid w:val="00D13715"/>
    <w:rsid w:val="00D14A4C"/>
    <w:rsid w:val="00D17064"/>
    <w:rsid w:val="00D214E3"/>
    <w:rsid w:val="00D22A44"/>
    <w:rsid w:val="00D23108"/>
    <w:rsid w:val="00D25811"/>
    <w:rsid w:val="00D31AC3"/>
    <w:rsid w:val="00D31D67"/>
    <w:rsid w:val="00D32E55"/>
    <w:rsid w:val="00D33905"/>
    <w:rsid w:val="00D35130"/>
    <w:rsid w:val="00D42D51"/>
    <w:rsid w:val="00D449B3"/>
    <w:rsid w:val="00D44F20"/>
    <w:rsid w:val="00D45D83"/>
    <w:rsid w:val="00D47D6C"/>
    <w:rsid w:val="00D52898"/>
    <w:rsid w:val="00D53250"/>
    <w:rsid w:val="00D55B8E"/>
    <w:rsid w:val="00D66A6D"/>
    <w:rsid w:val="00D6772C"/>
    <w:rsid w:val="00D67838"/>
    <w:rsid w:val="00D718AF"/>
    <w:rsid w:val="00D73E06"/>
    <w:rsid w:val="00D73E27"/>
    <w:rsid w:val="00D740FC"/>
    <w:rsid w:val="00D75275"/>
    <w:rsid w:val="00D80D8D"/>
    <w:rsid w:val="00D8547F"/>
    <w:rsid w:val="00D867D2"/>
    <w:rsid w:val="00D87718"/>
    <w:rsid w:val="00D87F89"/>
    <w:rsid w:val="00D9021B"/>
    <w:rsid w:val="00DA5F08"/>
    <w:rsid w:val="00DB440E"/>
    <w:rsid w:val="00DB747F"/>
    <w:rsid w:val="00DC2675"/>
    <w:rsid w:val="00DC3478"/>
    <w:rsid w:val="00DC62C0"/>
    <w:rsid w:val="00DC6CB4"/>
    <w:rsid w:val="00DC7125"/>
    <w:rsid w:val="00DD05D7"/>
    <w:rsid w:val="00DD4D0B"/>
    <w:rsid w:val="00DD556B"/>
    <w:rsid w:val="00DD7E7E"/>
    <w:rsid w:val="00DE0940"/>
    <w:rsid w:val="00DE312B"/>
    <w:rsid w:val="00DE444D"/>
    <w:rsid w:val="00DE49B4"/>
    <w:rsid w:val="00DE67A9"/>
    <w:rsid w:val="00DE7D6B"/>
    <w:rsid w:val="00DF013F"/>
    <w:rsid w:val="00DF1D8D"/>
    <w:rsid w:val="00DF26FB"/>
    <w:rsid w:val="00DF4447"/>
    <w:rsid w:val="00E01735"/>
    <w:rsid w:val="00E17150"/>
    <w:rsid w:val="00E17558"/>
    <w:rsid w:val="00E34D9A"/>
    <w:rsid w:val="00E35A09"/>
    <w:rsid w:val="00E37B40"/>
    <w:rsid w:val="00E413E4"/>
    <w:rsid w:val="00E4722B"/>
    <w:rsid w:val="00E47913"/>
    <w:rsid w:val="00E47E3F"/>
    <w:rsid w:val="00E50EE9"/>
    <w:rsid w:val="00E53F6B"/>
    <w:rsid w:val="00E545FC"/>
    <w:rsid w:val="00E60172"/>
    <w:rsid w:val="00E61701"/>
    <w:rsid w:val="00E661F6"/>
    <w:rsid w:val="00E67327"/>
    <w:rsid w:val="00E7270F"/>
    <w:rsid w:val="00E84920"/>
    <w:rsid w:val="00E90CC3"/>
    <w:rsid w:val="00E93B48"/>
    <w:rsid w:val="00E953EA"/>
    <w:rsid w:val="00E9553C"/>
    <w:rsid w:val="00EA20EB"/>
    <w:rsid w:val="00EA249A"/>
    <w:rsid w:val="00EA32EF"/>
    <w:rsid w:val="00EA34F8"/>
    <w:rsid w:val="00EA5138"/>
    <w:rsid w:val="00EA636D"/>
    <w:rsid w:val="00EB207F"/>
    <w:rsid w:val="00EB76E2"/>
    <w:rsid w:val="00EC12B1"/>
    <w:rsid w:val="00EC21B7"/>
    <w:rsid w:val="00EC3023"/>
    <w:rsid w:val="00EC6474"/>
    <w:rsid w:val="00EC6889"/>
    <w:rsid w:val="00EC775C"/>
    <w:rsid w:val="00ED01F6"/>
    <w:rsid w:val="00ED641B"/>
    <w:rsid w:val="00ED674A"/>
    <w:rsid w:val="00EE13B6"/>
    <w:rsid w:val="00EE7DE2"/>
    <w:rsid w:val="00F00125"/>
    <w:rsid w:val="00F0222C"/>
    <w:rsid w:val="00F04EAD"/>
    <w:rsid w:val="00F1146C"/>
    <w:rsid w:val="00F11719"/>
    <w:rsid w:val="00F119E6"/>
    <w:rsid w:val="00F13693"/>
    <w:rsid w:val="00F14D74"/>
    <w:rsid w:val="00F15897"/>
    <w:rsid w:val="00F321E5"/>
    <w:rsid w:val="00F3276C"/>
    <w:rsid w:val="00F369DC"/>
    <w:rsid w:val="00F37B27"/>
    <w:rsid w:val="00F404E0"/>
    <w:rsid w:val="00F43514"/>
    <w:rsid w:val="00F51403"/>
    <w:rsid w:val="00F60F84"/>
    <w:rsid w:val="00F62B3C"/>
    <w:rsid w:val="00F65BC5"/>
    <w:rsid w:val="00F66597"/>
    <w:rsid w:val="00F66773"/>
    <w:rsid w:val="00F667A7"/>
    <w:rsid w:val="00F729DA"/>
    <w:rsid w:val="00F72B1C"/>
    <w:rsid w:val="00F72D06"/>
    <w:rsid w:val="00F73489"/>
    <w:rsid w:val="00F73F8E"/>
    <w:rsid w:val="00F74263"/>
    <w:rsid w:val="00F76CC3"/>
    <w:rsid w:val="00F82962"/>
    <w:rsid w:val="00F829C9"/>
    <w:rsid w:val="00F856F4"/>
    <w:rsid w:val="00F8632A"/>
    <w:rsid w:val="00F86C40"/>
    <w:rsid w:val="00F93504"/>
    <w:rsid w:val="00F94720"/>
    <w:rsid w:val="00F948CD"/>
    <w:rsid w:val="00F95270"/>
    <w:rsid w:val="00F97584"/>
    <w:rsid w:val="00FA0B07"/>
    <w:rsid w:val="00FA1FF4"/>
    <w:rsid w:val="00FA61B9"/>
    <w:rsid w:val="00FA7166"/>
    <w:rsid w:val="00FB1663"/>
    <w:rsid w:val="00FB1DD1"/>
    <w:rsid w:val="00FB5D84"/>
    <w:rsid w:val="00FB7CBF"/>
    <w:rsid w:val="00FC1441"/>
    <w:rsid w:val="00FC3919"/>
    <w:rsid w:val="00FC3C35"/>
    <w:rsid w:val="00FD1825"/>
    <w:rsid w:val="00FD2025"/>
    <w:rsid w:val="00FD5088"/>
    <w:rsid w:val="00FD523F"/>
    <w:rsid w:val="00FD65EE"/>
    <w:rsid w:val="00FE7EF3"/>
    <w:rsid w:val="00FF2BE4"/>
    <w:rsid w:val="00FF3B93"/>
    <w:rsid w:val="00FF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645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4">
    <w:name w:val="heading 4"/>
    <w:basedOn w:val="Normal"/>
    <w:next w:val="Normal"/>
    <w:link w:val="Heading4Char"/>
    <w:qFormat/>
    <w:rsid w:val="006709CE"/>
    <w:pPr>
      <w:keepNext/>
      <w:tabs>
        <w:tab w:val="num" w:pos="2520"/>
      </w:tabs>
      <w:spacing w:before="240" w:after="60"/>
      <w:ind w:left="2160"/>
      <w:outlineLvl w:val="3"/>
    </w:pPr>
    <w:rPr>
      <w:rFonts w:ascii="Arial" w:hAnsi="Arial"/>
      <w:b/>
      <w:szCs w:val="20"/>
      <w:lang w:bidi="ar-SA"/>
    </w:rPr>
  </w:style>
  <w:style w:type="paragraph" w:styleId="Heading5">
    <w:name w:val="heading 5"/>
    <w:basedOn w:val="Normal"/>
    <w:next w:val="Normal"/>
    <w:link w:val="Heading5Char"/>
    <w:qFormat/>
    <w:rsid w:val="006709CE"/>
    <w:pPr>
      <w:tabs>
        <w:tab w:val="num" w:pos="3240"/>
      </w:tabs>
      <w:spacing w:before="240" w:after="60"/>
      <w:ind w:left="2880"/>
      <w:outlineLvl w:val="4"/>
    </w:pPr>
    <w:rPr>
      <w:sz w:val="22"/>
      <w:szCs w:val="20"/>
      <w:lang w:bidi="ar-SA"/>
    </w:rPr>
  </w:style>
  <w:style w:type="paragraph" w:styleId="Heading6">
    <w:name w:val="heading 6"/>
    <w:basedOn w:val="Normal"/>
    <w:next w:val="Normal"/>
    <w:link w:val="Heading6Char"/>
    <w:qFormat/>
    <w:rsid w:val="006709CE"/>
    <w:pPr>
      <w:tabs>
        <w:tab w:val="num" w:pos="3960"/>
      </w:tabs>
      <w:spacing w:before="240" w:after="60"/>
      <w:ind w:left="3600"/>
      <w:outlineLvl w:val="5"/>
    </w:pPr>
    <w:rPr>
      <w:i/>
      <w:sz w:val="22"/>
      <w:szCs w:val="20"/>
      <w:lang w:bidi="ar-SA"/>
    </w:rPr>
  </w:style>
  <w:style w:type="paragraph" w:styleId="Heading7">
    <w:name w:val="heading 7"/>
    <w:basedOn w:val="Normal"/>
    <w:next w:val="Normal"/>
    <w:link w:val="Heading7Char"/>
    <w:qFormat/>
    <w:rsid w:val="006709CE"/>
    <w:pPr>
      <w:tabs>
        <w:tab w:val="num" w:pos="4680"/>
      </w:tabs>
      <w:spacing w:before="240" w:after="60"/>
      <w:ind w:left="4320"/>
      <w:outlineLvl w:val="6"/>
    </w:pPr>
    <w:rPr>
      <w:rFonts w:ascii="Arial" w:hAnsi="Arial"/>
      <w:szCs w:val="20"/>
      <w:lang w:bidi="ar-SA"/>
    </w:rPr>
  </w:style>
  <w:style w:type="paragraph" w:styleId="Heading8">
    <w:name w:val="heading 8"/>
    <w:basedOn w:val="Normal"/>
    <w:next w:val="Normal"/>
    <w:link w:val="Heading8Char"/>
    <w:qFormat/>
    <w:rsid w:val="006709CE"/>
    <w:pPr>
      <w:tabs>
        <w:tab w:val="num" w:pos="5400"/>
      </w:tabs>
      <w:spacing w:before="240" w:after="60"/>
      <w:ind w:left="5040"/>
      <w:outlineLvl w:val="7"/>
    </w:pPr>
    <w:rPr>
      <w:rFonts w:ascii="Arial" w:hAnsi="Arial"/>
      <w:i/>
      <w:szCs w:val="20"/>
      <w:lang w:bidi="ar-SA"/>
    </w:rPr>
  </w:style>
  <w:style w:type="paragraph" w:styleId="Heading9">
    <w:name w:val="heading 9"/>
    <w:basedOn w:val="Normal"/>
    <w:next w:val="Normal"/>
    <w:link w:val="Heading9Char"/>
    <w:qFormat/>
    <w:rsid w:val="006709CE"/>
    <w:pPr>
      <w:tabs>
        <w:tab w:val="num" w:pos="6120"/>
      </w:tabs>
      <w:spacing w:before="240" w:after="60"/>
      <w:ind w:left="5760"/>
      <w:outlineLvl w:val="8"/>
    </w:pPr>
    <w:rPr>
      <w:rFonts w:ascii="Arial" w:hAnsi="Arial"/>
      <w:b/>
      <w:i/>
      <w:sz w:val="18"/>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rsid w:val="000B05AB"/>
    <w:pPr>
      <w:spacing w:after="120"/>
    </w:pPr>
  </w:style>
  <w:style w:type="character" w:styleId="FootnoteReference">
    <w:name w:val="footnote reference"/>
    <w:aliases w:val="Appel note de bas de p,o,fr,(NECG) Footnote Reference,Style 12,Style 124,Style 3,Style 17,FR,Style 13,Footnote Reference/,Style 6,Style 4,Style 7,Footnote Reference1,Style 34,Style 9,Style 20,callout,-E Funotenzeich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uiPriority w:val="99"/>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uiPriority w:val="99"/>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rsid w:val="004320D6"/>
    <w:rPr>
      <w:sz w:val="16"/>
      <w:szCs w:val="16"/>
    </w:rPr>
  </w:style>
  <w:style w:type="paragraph" w:styleId="CommentText">
    <w:name w:val="annotation text"/>
    <w:basedOn w:val="Normal"/>
    <w:link w:val="CommentTextChar"/>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table" w:styleId="TableGrid">
    <w:name w:val="Table Grid"/>
    <w:basedOn w:val="TableNormal"/>
    <w:uiPriority w:val="39"/>
    <w:rsid w:val="005476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Char3Char">
    <w:name w:val="Footnote Text Char2 Char3 Char"/>
    <w:aliases w:val="Footnote Text Char Char6 Char Char,Footnote Text Char6 Char Char Char Char,Footnote Text Char Char6 Char Char1 Char1 Char,Footnote Text Char4 Char2 Char Char Char Char Char,Footnote Text Char6 Char Char"/>
    <w:basedOn w:val="DefaultParagraphFont"/>
    <w:semiHidden/>
    <w:locked/>
    <w:rsid w:val="00E34D9A"/>
  </w:style>
  <w:style w:type="character" w:customStyle="1" w:styleId="Mention1">
    <w:name w:val="Mention1"/>
    <w:basedOn w:val="DefaultParagraphFont"/>
    <w:uiPriority w:val="99"/>
    <w:semiHidden/>
    <w:unhideWhenUsed/>
    <w:rsid w:val="00011462"/>
    <w:rPr>
      <w:color w:val="2B579A"/>
      <w:shd w:val="clear" w:color="auto" w:fill="E6E6E6"/>
    </w:rPr>
  </w:style>
  <w:style w:type="character" w:styleId="FollowedHyperlink">
    <w:name w:val="FollowedHyperlink"/>
    <w:basedOn w:val="DefaultParagraphFont"/>
    <w:semiHidden/>
    <w:unhideWhenUsed/>
    <w:rsid w:val="005E7728"/>
    <w:rPr>
      <w:color w:val="800080" w:themeColor="followedHyperlink"/>
      <w:u w:val="single"/>
    </w:rPr>
  </w:style>
  <w:style w:type="character" w:customStyle="1" w:styleId="CommentTextChar">
    <w:name w:val="Comment Text Char"/>
    <w:link w:val="CommentText"/>
    <w:rsid w:val="00206AE9"/>
    <w:rPr>
      <w:lang w:bidi="he-IL"/>
    </w:rPr>
  </w:style>
  <w:style w:type="paragraph" w:styleId="Revision">
    <w:name w:val="Revision"/>
    <w:hidden/>
    <w:uiPriority w:val="99"/>
    <w:semiHidden/>
    <w:rsid w:val="00E17150"/>
    <w:rPr>
      <w:sz w:val="24"/>
      <w:szCs w:val="24"/>
      <w:lang w:bidi="he-IL"/>
    </w:rPr>
  </w:style>
  <w:style w:type="character" w:customStyle="1" w:styleId="Heading4Char">
    <w:name w:val="Heading 4 Char"/>
    <w:basedOn w:val="DefaultParagraphFont"/>
    <w:link w:val="Heading4"/>
    <w:rsid w:val="006709CE"/>
    <w:rPr>
      <w:rFonts w:ascii="Arial" w:hAnsi="Arial"/>
      <w:b/>
      <w:sz w:val="24"/>
    </w:rPr>
  </w:style>
  <w:style w:type="character" w:customStyle="1" w:styleId="Heading5Char">
    <w:name w:val="Heading 5 Char"/>
    <w:basedOn w:val="DefaultParagraphFont"/>
    <w:link w:val="Heading5"/>
    <w:rsid w:val="006709CE"/>
    <w:rPr>
      <w:sz w:val="22"/>
    </w:rPr>
  </w:style>
  <w:style w:type="character" w:customStyle="1" w:styleId="Heading6Char">
    <w:name w:val="Heading 6 Char"/>
    <w:basedOn w:val="DefaultParagraphFont"/>
    <w:link w:val="Heading6"/>
    <w:rsid w:val="006709CE"/>
    <w:rPr>
      <w:i/>
      <w:sz w:val="22"/>
    </w:rPr>
  </w:style>
  <w:style w:type="character" w:customStyle="1" w:styleId="Heading7Char">
    <w:name w:val="Heading 7 Char"/>
    <w:basedOn w:val="DefaultParagraphFont"/>
    <w:link w:val="Heading7"/>
    <w:rsid w:val="006709CE"/>
    <w:rPr>
      <w:rFonts w:ascii="Arial" w:hAnsi="Arial"/>
      <w:sz w:val="24"/>
    </w:rPr>
  </w:style>
  <w:style w:type="character" w:customStyle="1" w:styleId="Heading8Char">
    <w:name w:val="Heading 8 Char"/>
    <w:basedOn w:val="DefaultParagraphFont"/>
    <w:link w:val="Heading8"/>
    <w:rsid w:val="006709CE"/>
    <w:rPr>
      <w:rFonts w:ascii="Arial" w:hAnsi="Arial"/>
      <w:i/>
      <w:sz w:val="24"/>
    </w:rPr>
  </w:style>
  <w:style w:type="character" w:customStyle="1" w:styleId="Heading9Char">
    <w:name w:val="Heading 9 Char"/>
    <w:basedOn w:val="DefaultParagraphFont"/>
    <w:link w:val="Heading9"/>
    <w:rsid w:val="006709CE"/>
    <w:rPr>
      <w:rFonts w:ascii="Arial" w:hAnsi="Arial"/>
      <w:b/>
      <w:i/>
      <w:sz w:val="18"/>
    </w:rPr>
  </w:style>
  <w:style w:type="paragraph" w:customStyle="1" w:styleId="Default">
    <w:name w:val="Default"/>
    <w:rsid w:val="006709CE"/>
    <w:pPr>
      <w:autoSpaceDE w:val="0"/>
      <w:autoSpaceDN w:val="0"/>
      <w:adjustRightInd w:val="0"/>
    </w:pPr>
    <w:rPr>
      <w:rFonts w:eastAsiaTheme="minorHAnsi"/>
      <w:color w:val="000000"/>
      <w:sz w:val="24"/>
      <w:szCs w:val="24"/>
    </w:rPr>
  </w:style>
  <w:style w:type="paragraph" w:customStyle="1" w:styleId="Numberedparagraphs">
    <w:name w:val="Numbered paragraphs"/>
    <w:basedOn w:val="Normal"/>
    <w:rsid w:val="006709CE"/>
    <w:pPr>
      <w:tabs>
        <w:tab w:val="num" w:pos="1260"/>
        <w:tab w:val="left" w:pos="1440"/>
      </w:tabs>
      <w:spacing w:after="220"/>
      <w:ind w:left="180" w:firstLine="720"/>
    </w:pPr>
    <w:rPr>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4">
    <w:name w:val="heading 4"/>
    <w:basedOn w:val="Normal"/>
    <w:next w:val="Normal"/>
    <w:link w:val="Heading4Char"/>
    <w:qFormat/>
    <w:rsid w:val="006709CE"/>
    <w:pPr>
      <w:keepNext/>
      <w:tabs>
        <w:tab w:val="num" w:pos="2520"/>
      </w:tabs>
      <w:spacing w:before="240" w:after="60"/>
      <w:ind w:left="2160"/>
      <w:outlineLvl w:val="3"/>
    </w:pPr>
    <w:rPr>
      <w:rFonts w:ascii="Arial" w:hAnsi="Arial"/>
      <w:b/>
      <w:szCs w:val="20"/>
      <w:lang w:bidi="ar-SA"/>
    </w:rPr>
  </w:style>
  <w:style w:type="paragraph" w:styleId="Heading5">
    <w:name w:val="heading 5"/>
    <w:basedOn w:val="Normal"/>
    <w:next w:val="Normal"/>
    <w:link w:val="Heading5Char"/>
    <w:qFormat/>
    <w:rsid w:val="006709CE"/>
    <w:pPr>
      <w:tabs>
        <w:tab w:val="num" w:pos="3240"/>
      </w:tabs>
      <w:spacing w:before="240" w:after="60"/>
      <w:ind w:left="2880"/>
      <w:outlineLvl w:val="4"/>
    </w:pPr>
    <w:rPr>
      <w:sz w:val="22"/>
      <w:szCs w:val="20"/>
      <w:lang w:bidi="ar-SA"/>
    </w:rPr>
  </w:style>
  <w:style w:type="paragraph" w:styleId="Heading6">
    <w:name w:val="heading 6"/>
    <w:basedOn w:val="Normal"/>
    <w:next w:val="Normal"/>
    <w:link w:val="Heading6Char"/>
    <w:qFormat/>
    <w:rsid w:val="006709CE"/>
    <w:pPr>
      <w:tabs>
        <w:tab w:val="num" w:pos="3960"/>
      </w:tabs>
      <w:spacing w:before="240" w:after="60"/>
      <w:ind w:left="3600"/>
      <w:outlineLvl w:val="5"/>
    </w:pPr>
    <w:rPr>
      <w:i/>
      <w:sz w:val="22"/>
      <w:szCs w:val="20"/>
      <w:lang w:bidi="ar-SA"/>
    </w:rPr>
  </w:style>
  <w:style w:type="paragraph" w:styleId="Heading7">
    <w:name w:val="heading 7"/>
    <w:basedOn w:val="Normal"/>
    <w:next w:val="Normal"/>
    <w:link w:val="Heading7Char"/>
    <w:qFormat/>
    <w:rsid w:val="006709CE"/>
    <w:pPr>
      <w:tabs>
        <w:tab w:val="num" w:pos="4680"/>
      </w:tabs>
      <w:spacing w:before="240" w:after="60"/>
      <w:ind w:left="4320"/>
      <w:outlineLvl w:val="6"/>
    </w:pPr>
    <w:rPr>
      <w:rFonts w:ascii="Arial" w:hAnsi="Arial"/>
      <w:szCs w:val="20"/>
      <w:lang w:bidi="ar-SA"/>
    </w:rPr>
  </w:style>
  <w:style w:type="paragraph" w:styleId="Heading8">
    <w:name w:val="heading 8"/>
    <w:basedOn w:val="Normal"/>
    <w:next w:val="Normal"/>
    <w:link w:val="Heading8Char"/>
    <w:qFormat/>
    <w:rsid w:val="006709CE"/>
    <w:pPr>
      <w:tabs>
        <w:tab w:val="num" w:pos="5400"/>
      </w:tabs>
      <w:spacing w:before="240" w:after="60"/>
      <w:ind w:left="5040"/>
      <w:outlineLvl w:val="7"/>
    </w:pPr>
    <w:rPr>
      <w:rFonts w:ascii="Arial" w:hAnsi="Arial"/>
      <w:i/>
      <w:szCs w:val="20"/>
      <w:lang w:bidi="ar-SA"/>
    </w:rPr>
  </w:style>
  <w:style w:type="paragraph" w:styleId="Heading9">
    <w:name w:val="heading 9"/>
    <w:basedOn w:val="Normal"/>
    <w:next w:val="Normal"/>
    <w:link w:val="Heading9Char"/>
    <w:qFormat/>
    <w:rsid w:val="006709CE"/>
    <w:pPr>
      <w:tabs>
        <w:tab w:val="num" w:pos="6120"/>
      </w:tabs>
      <w:spacing w:before="240" w:after="60"/>
      <w:ind w:left="5760"/>
      <w:outlineLvl w:val="8"/>
    </w:pPr>
    <w:rPr>
      <w:rFonts w:ascii="Arial" w:hAnsi="Arial"/>
      <w:b/>
      <w:i/>
      <w:sz w:val="18"/>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rsid w:val="000B05AB"/>
    <w:pPr>
      <w:spacing w:after="120"/>
    </w:pPr>
  </w:style>
  <w:style w:type="character" w:styleId="FootnoteReference">
    <w:name w:val="footnote reference"/>
    <w:aliases w:val="Appel note de bas de p,o,fr,(NECG) Footnote Reference,Style 12,Style 124,Style 3,Style 17,FR,Style 13,Footnote Reference/,Style 6,Style 4,Style 7,Footnote Reference1,Style 34,Style 9,Style 20,callout,-E Funotenzeichen"/>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uiPriority w:val="99"/>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uiPriority w:val="99"/>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rsid w:val="004320D6"/>
    <w:rPr>
      <w:sz w:val="16"/>
      <w:szCs w:val="16"/>
    </w:rPr>
  </w:style>
  <w:style w:type="paragraph" w:styleId="CommentText">
    <w:name w:val="annotation text"/>
    <w:basedOn w:val="Normal"/>
    <w:link w:val="CommentTextChar"/>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table" w:styleId="TableGrid">
    <w:name w:val="Table Grid"/>
    <w:basedOn w:val="TableNormal"/>
    <w:uiPriority w:val="39"/>
    <w:rsid w:val="005476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Char3Char">
    <w:name w:val="Footnote Text Char2 Char3 Char"/>
    <w:aliases w:val="Footnote Text Char Char6 Char Char,Footnote Text Char6 Char Char Char Char,Footnote Text Char Char6 Char Char1 Char1 Char,Footnote Text Char4 Char2 Char Char Char Char Char,Footnote Text Char6 Char Char"/>
    <w:basedOn w:val="DefaultParagraphFont"/>
    <w:semiHidden/>
    <w:locked/>
    <w:rsid w:val="00E34D9A"/>
  </w:style>
  <w:style w:type="character" w:customStyle="1" w:styleId="Mention1">
    <w:name w:val="Mention1"/>
    <w:basedOn w:val="DefaultParagraphFont"/>
    <w:uiPriority w:val="99"/>
    <w:semiHidden/>
    <w:unhideWhenUsed/>
    <w:rsid w:val="00011462"/>
    <w:rPr>
      <w:color w:val="2B579A"/>
      <w:shd w:val="clear" w:color="auto" w:fill="E6E6E6"/>
    </w:rPr>
  </w:style>
  <w:style w:type="character" w:styleId="FollowedHyperlink">
    <w:name w:val="FollowedHyperlink"/>
    <w:basedOn w:val="DefaultParagraphFont"/>
    <w:semiHidden/>
    <w:unhideWhenUsed/>
    <w:rsid w:val="005E7728"/>
    <w:rPr>
      <w:color w:val="800080" w:themeColor="followedHyperlink"/>
      <w:u w:val="single"/>
    </w:rPr>
  </w:style>
  <w:style w:type="character" w:customStyle="1" w:styleId="CommentTextChar">
    <w:name w:val="Comment Text Char"/>
    <w:link w:val="CommentText"/>
    <w:rsid w:val="00206AE9"/>
    <w:rPr>
      <w:lang w:bidi="he-IL"/>
    </w:rPr>
  </w:style>
  <w:style w:type="paragraph" w:styleId="Revision">
    <w:name w:val="Revision"/>
    <w:hidden/>
    <w:uiPriority w:val="99"/>
    <w:semiHidden/>
    <w:rsid w:val="00E17150"/>
    <w:rPr>
      <w:sz w:val="24"/>
      <w:szCs w:val="24"/>
      <w:lang w:bidi="he-IL"/>
    </w:rPr>
  </w:style>
  <w:style w:type="character" w:customStyle="1" w:styleId="Heading4Char">
    <w:name w:val="Heading 4 Char"/>
    <w:basedOn w:val="DefaultParagraphFont"/>
    <w:link w:val="Heading4"/>
    <w:rsid w:val="006709CE"/>
    <w:rPr>
      <w:rFonts w:ascii="Arial" w:hAnsi="Arial"/>
      <w:b/>
      <w:sz w:val="24"/>
    </w:rPr>
  </w:style>
  <w:style w:type="character" w:customStyle="1" w:styleId="Heading5Char">
    <w:name w:val="Heading 5 Char"/>
    <w:basedOn w:val="DefaultParagraphFont"/>
    <w:link w:val="Heading5"/>
    <w:rsid w:val="006709CE"/>
    <w:rPr>
      <w:sz w:val="22"/>
    </w:rPr>
  </w:style>
  <w:style w:type="character" w:customStyle="1" w:styleId="Heading6Char">
    <w:name w:val="Heading 6 Char"/>
    <w:basedOn w:val="DefaultParagraphFont"/>
    <w:link w:val="Heading6"/>
    <w:rsid w:val="006709CE"/>
    <w:rPr>
      <w:i/>
      <w:sz w:val="22"/>
    </w:rPr>
  </w:style>
  <w:style w:type="character" w:customStyle="1" w:styleId="Heading7Char">
    <w:name w:val="Heading 7 Char"/>
    <w:basedOn w:val="DefaultParagraphFont"/>
    <w:link w:val="Heading7"/>
    <w:rsid w:val="006709CE"/>
    <w:rPr>
      <w:rFonts w:ascii="Arial" w:hAnsi="Arial"/>
      <w:sz w:val="24"/>
    </w:rPr>
  </w:style>
  <w:style w:type="character" w:customStyle="1" w:styleId="Heading8Char">
    <w:name w:val="Heading 8 Char"/>
    <w:basedOn w:val="DefaultParagraphFont"/>
    <w:link w:val="Heading8"/>
    <w:rsid w:val="006709CE"/>
    <w:rPr>
      <w:rFonts w:ascii="Arial" w:hAnsi="Arial"/>
      <w:i/>
      <w:sz w:val="24"/>
    </w:rPr>
  </w:style>
  <w:style w:type="character" w:customStyle="1" w:styleId="Heading9Char">
    <w:name w:val="Heading 9 Char"/>
    <w:basedOn w:val="DefaultParagraphFont"/>
    <w:link w:val="Heading9"/>
    <w:rsid w:val="006709CE"/>
    <w:rPr>
      <w:rFonts w:ascii="Arial" w:hAnsi="Arial"/>
      <w:b/>
      <w:i/>
      <w:sz w:val="18"/>
    </w:rPr>
  </w:style>
  <w:style w:type="paragraph" w:customStyle="1" w:styleId="Default">
    <w:name w:val="Default"/>
    <w:rsid w:val="006709CE"/>
    <w:pPr>
      <w:autoSpaceDE w:val="0"/>
      <w:autoSpaceDN w:val="0"/>
      <w:adjustRightInd w:val="0"/>
    </w:pPr>
    <w:rPr>
      <w:rFonts w:eastAsiaTheme="minorHAnsi"/>
      <w:color w:val="000000"/>
      <w:sz w:val="24"/>
      <w:szCs w:val="24"/>
    </w:rPr>
  </w:style>
  <w:style w:type="paragraph" w:customStyle="1" w:styleId="Numberedparagraphs">
    <w:name w:val="Numbered paragraphs"/>
    <w:basedOn w:val="Normal"/>
    <w:rsid w:val="006709CE"/>
    <w:pPr>
      <w:tabs>
        <w:tab w:val="num" w:pos="1260"/>
        <w:tab w:val="left" w:pos="1440"/>
      </w:tabs>
      <w:spacing w:after="220"/>
      <w:ind w:left="180" w:firstLine="720"/>
    </w:pPr>
    <w:rPr>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667367447">
      <w:bodyDiv w:val="1"/>
      <w:marLeft w:val="0"/>
      <w:marRight w:val="0"/>
      <w:marTop w:val="0"/>
      <w:marBottom w:val="0"/>
      <w:divBdr>
        <w:top w:val="none" w:sz="0" w:space="0" w:color="auto"/>
        <w:left w:val="none" w:sz="0" w:space="0" w:color="auto"/>
        <w:bottom w:val="none" w:sz="0" w:space="0" w:color="auto"/>
        <w:right w:val="none" w:sz="0" w:space="0" w:color="auto"/>
      </w:divBdr>
    </w:div>
    <w:div w:id="673262814">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941302995">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032341593">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556357671">
      <w:bodyDiv w:val="1"/>
      <w:marLeft w:val="0"/>
      <w:marRight w:val="0"/>
      <w:marTop w:val="0"/>
      <w:marBottom w:val="0"/>
      <w:divBdr>
        <w:top w:val="none" w:sz="0" w:space="0" w:color="auto"/>
        <w:left w:val="none" w:sz="0" w:space="0" w:color="auto"/>
        <w:bottom w:val="none" w:sz="0" w:space="0" w:color="auto"/>
        <w:right w:val="none" w:sz="0" w:space="0" w:color="auto"/>
      </w:divBdr>
    </w:div>
    <w:div w:id="1714692129">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775707886">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15510293">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1977176954">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cc.gov/MF2-LTE-Collection" TargetMode="External"/><Relationship Id="rId1" Type="http://schemas.openxmlformats.org/officeDocument/2006/relationships/hyperlink" Target="https://apps.fcc.gov/edocs_public/attachmatch/DOC-341539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40E01-30F4-4C34-8F77-6A9C7A68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3384</Words>
  <Characters>19292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SYSTEM</cp:lastModifiedBy>
  <cp:revision>2</cp:revision>
  <cp:lastPrinted>2018-03-14T18:38:00Z</cp:lastPrinted>
  <dcterms:created xsi:type="dcterms:W3CDTF">2018-03-26T20:36:00Z</dcterms:created>
  <dcterms:modified xsi:type="dcterms:W3CDTF">2018-03-26T20:36:00Z</dcterms:modified>
</cp:coreProperties>
</file>