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48F554EE"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4FE9D30C" wp14:editId="585265D9">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9C1620"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6C1A24A6" wp14:editId="41FCE6F2">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1E34A875" wp14:editId="652F6279">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D83E96"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6C7F9D8" w14:textId="77777777" w:rsidR="00041909" w:rsidRDefault="001F3A8F" w:rsidP="00D928FD">
          <w:pPr>
            <w:ind w:left="1080"/>
          </w:pPr>
          <w:r>
            <w:rPr>
              <w:noProof/>
            </w:rPr>
            <w:softHyphen/>
          </w:r>
          <w:r>
            <w:rPr>
              <w:noProof/>
            </w:rPr>
            <w:softHyphen/>
          </w:r>
          <w:r>
            <w:rPr>
              <w:noProof/>
            </w:rPr>
            <w:softHyphen/>
          </w:r>
        </w:p>
      </w:sdtContent>
    </w:sdt>
    <w:p w14:paraId="40C87C9B"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6661156E" w14:textId="77777777" w:rsidR="00711414" w:rsidRDefault="006463B8"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Quarterly Electricity Imports and Exports Report</w:t>
          </w:r>
        </w:p>
      </w:sdtContent>
    </w:sdt>
    <w:p w14:paraId="358015F9" w14:textId="77777777" w:rsidR="0059212D" w:rsidRPr="00EE2CAF" w:rsidRDefault="00EE2CAF" w:rsidP="00EE2CAF">
      <w:pPr>
        <w:pStyle w:val="Heading1"/>
      </w:pPr>
      <w:bookmarkStart w:id="1" w:name="_Toc466046207"/>
      <w:r w:rsidRPr="00EE2CAF">
        <w:t>Part A: Justification</w:t>
      </w:r>
      <w:bookmarkEnd w:id="1"/>
    </w:p>
    <w:p w14:paraId="0DD7B259" w14:textId="77777777"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65E1B138" wp14:editId="73285B35">
                <wp:simplePos x="0" y="0"/>
                <wp:positionH relativeFrom="margin">
                  <wp:align>left</wp:align>
                </wp:positionH>
                <wp:positionV relativeFrom="margin">
                  <wp:posOffset>2943225</wp:posOffset>
                </wp:positionV>
                <wp:extent cx="6019800" cy="3905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3534" w14:textId="77777777" w:rsidR="00FB6BF3" w:rsidRPr="0059212D" w:rsidRDefault="00FB6BF3" w:rsidP="00FB6BF3">
                            <w:pPr>
                              <w:rPr>
                                <w:i/>
                                <w:sz w:val="28"/>
                                <w:szCs w:val="28"/>
                              </w:rPr>
                            </w:pPr>
                            <w:r w:rsidRPr="0059212D">
                              <w:rPr>
                                <w:i/>
                                <w:sz w:val="28"/>
                                <w:szCs w:val="28"/>
                              </w:rPr>
                              <w:t>Form EIA-</w:t>
                            </w:r>
                            <w:r w:rsidR="00E17E9D">
                              <w:rPr>
                                <w:i/>
                                <w:sz w:val="28"/>
                                <w:szCs w:val="28"/>
                              </w:rPr>
                              <w:t>111</w:t>
                            </w:r>
                            <w:r w:rsidRPr="0059212D">
                              <w:rPr>
                                <w:i/>
                                <w:sz w:val="28"/>
                                <w:szCs w:val="28"/>
                              </w:rPr>
                              <w:t xml:space="preserve">, </w:t>
                            </w:r>
                            <w:r w:rsidR="00E17E9D">
                              <w:rPr>
                                <w:i/>
                                <w:sz w:val="28"/>
                                <w:szCs w:val="28"/>
                              </w:rPr>
                              <w:t>Quarterly Electricity Imports and Exports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30.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" filled="f" stroked="f">
                <v:textbox inset="0">
                  <w:txbxContent>
                    <w:p w14:paraId="567B3534" w14:textId="77777777" w:rsidR="00FB6BF3" w:rsidRPr="0059212D" w:rsidRDefault="00FB6BF3" w:rsidP="00FB6BF3">
                      <w:pPr>
                        <w:rPr>
                          <w:i/>
                          <w:sz w:val="28"/>
                          <w:szCs w:val="28"/>
                        </w:rPr>
                      </w:pPr>
                      <w:r w:rsidRPr="0059212D">
                        <w:rPr>
                          <w:i/>
                          <w:sz w:val="28"/>
                          <w:szCs w:val="28"/>
                        </w:rPr>
                        <w:t>Form EIA-</w:t>
                      </w:r>
                      <w:r w:rsidR="00E17E9D">
                        <w:rPr>
                          <w:i/>
                          <w:sz w:val="28"/>
                          <w:szCs w:val="28"/>
                        </w:rPr>
                        <w:t>111</w:t>
                      </w:r>
                      <w:r w:rsidRPr="0059212D">
                        <w:rPr>
                          <w:i/>
                          <w:sz w:val="28"/>
                          <w:szCs w:val="28"/>
                        </w:rPr>
                        <w:t xml:space="preserve">, </w:t>
                      </w:r>
                      <w:r w:rsidR="00E17E9D">
                        <w:rPr>
                          <w:i/>
                          <w:sz w:val="28"/>
                          <w:szCs w:val="28"/>
                        </w:rPr>
                        <w:t>Quarterly Electricity Imports and Exports Report</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E17E9D">
        <w:rPr>
          <w:rFonts w:ascii="Times New Roman" w:hAnsi="Times New Roman" w:cs="Times New Roman"/>
          <w:b/>
          <w:sz w:val="36"/>
          <w:szCs w:val="36"/>
        </w:rPr>
        <w:t>208</w:t>
      </w:r>
    </w:p>
    <w:p w14:paraId="3D7689F5" w14:textId="3BA6202A" w:rsidR="00755C3D" w:rsidRPr="00915726" w:rsidRDefault="00EE2CAF" w:rsidP="00D928FD">
      <w:pPr>
        <w:rPr>
          <w:i/>
          <w:sz w:val="28"/>
          <w:szCs w:val="28"/>
        </w:rPr>
        <w:sectPr w:rsidR="00755C3D" w:rsidRPr="00915726"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r>
        <w:rPr>
          <w:noProof/>
        </w:rPr>
        <mc:AlternateContent>
          <mc:Choice Requires="wps">
            <w:drawing>
              <wp:anchor distT="0" distB="0" distL="114300" distR="114300" simplePos="0" relativeHeight="251681792" behindDoc="0" locked="0" layoutInCell="1" allowOverlap="1" wp14:anchorId="476A2A07" wp14:editId="4EDB32C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33B69" w14:textId="30003199" w:rsidR="00132F4A" w:rsidRPr="009818F9" w:rsidRDefault="00AD3565">
                            <w:pPr>
                              <w:rPr>
                                <w:color w:val="A6A6A6" w:themeColor="background1" w:themeShade="A6"/>
                                <w:sz w:val="36"/>
                              </w:rPr>
                            </w:pPr>
                            <w:r>
                              <w:rPr>
                                <w:color w:val="A6A6A6" w:themeColor="background1" w:themeShade="A6"/>
                                <w:sz w:val="36"/>
                              </w:rPr>
                              <w:t>March</w:t>
                            </w:r>
                            <w:r w:rsidR="006F4225">
                              <w:rPr>
                                <w:color w:val="A6A6A6" w:themeColor="background1" w:themeShade="A6"/>
                                <w:sz w:val="36"/>
                              </w:rPr>
                              <w:t xml:space="preserve"> 201</w:t>
                            </w:r>
                            <w:r w:rsidR="00AC3DB5">
                              <w:rPr>
                                <w:color w:val="A6A6A6" w:themeColor="background1" w:themeShade="A6"/>
                                <w:sz w:val="36"/>
                              </w:rPr>
                              <w:t>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6B033B69" w14:textId="30003199" w:rsidR="00132F4A" w:rsidRPr="009818F9" w:rsidRDefault="00AD3565">
                      <w:pPr>
                        <w:rPr>
                          <w:color w:val="A6A6A6" w:themeColor="background1" w:themeShade="A6"/>
                          <w:sz w:val="36"/>
                        </w:rPr>
                      </w:pPr>
                      <w:r>
                        <w:rPr>
                          <w:color w:val="A6A6A6" w:themeColor="background1" w:themeShade="A6"/>
                          <w:sz w:val="36"/>
                        </w:rPr>
                        <w:t>March</w:t>
                      </w:r>
                      <w:r w:rsidR="006F4225">
                        <w:rPr>
                          <w:color w:val="A6A6A6" w:themeColor="background1" w:themeShade="A6"/>
                          <w:sz w:val="36"/>
                        </w:rPr>
                        <w:t xml:space="preserve"> 201</w:t>
                      </w:r>
                      <w:r w:rsidR="00AC3DB5">
                        <w:rPr>
                          <w:color w:val="A6A6A6" w:themeColor="background1" w:themeShade="A6"/>
                          <w:sz w:val="36"/>
                        </w:rPr>
                        <w:t>8</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4A38974C" wp14:editId="78111A9E">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4D06FB"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2556F3">
        <w:rPr>
          <w:noProof/>
        </w:rPr>
        <w:drawing>
          <wp:anchor distT="0" distB="0" distL="114300" distR="114300" simplePos="0" relativeHeight="251658752" behindDoc="0" locked="0" layoutInCell="1" allowOverlap="1" wp14:anchorId="740D8398" wp14:editId="6AE7048A">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1B2FF009" wp14:editId="19185733">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BE958"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923B15B"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" filled="f" stroked="f">
                <v:textbox inset="0,,0">
                  <w:txbxContent>
                    <w:p w14:paraId="67ABE958"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923B15B"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55D5EF68" wp14:editId="0B4E453F">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B0AF"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D31049C"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C7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Y1LC2zJvJHVIzBY&#10;SSAYcBHmHgiNVN8xGmCGZFh/21HFMGrfC/gFduA4gczmERyUOyQhIXDYnN9QUQJMhg1Gk7gy05Da&#10;9YpvG/Ay/Tkhb+DX1NwR+imiw1+DGeHyOswzO4TOz87qaeoufwE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N5YILu4&#10;AgAAvQUAAA4AAAAAAAAAAAAAAAAALgIAAGRycy9lMm9Eb2MueG1sUEsBAi0AFAAGAAgAAAAhAG5V&#10;4SzgAAAADQEAAA8AAAAAAAAAAAAAAAAAEgUAAGRycy9kb3ducmV2LnhtbFBLBQYAAAAABAAEAPMA&#10;AAAfBgAAAAA=&#10;" filled="f" stroked="f">
                <v:textbox inset="0">
                  <w:txbxContent>
                    <w:p w14:paraId="37B2B0AF"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D31049C"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07974091" w14:textId="77777777" w:rsidR="0059212D" w:rsidRDefault="0059212D" w:rsidP="00EE2CAF">
          <w:pPr>
            <w:pStyle w:val="TOCHeading"/>
          </w:pPr>
          <w:r>
            <w:t>Table of Contents</w:t>
          </w:r>
        </w:p>
        <w:p w14:paraId="5094B5DE" w14:textId="77777777" w:rsidR="006D42EC" w:rsidRDefault="0059212D">
          <w:pPr>
            <w:pStyle w:val="TOC1"/>
            <w:rPr>
              <w:rFonts w:eastAsiaTheme="minorEastAsia"/>
              <w:noProof/>
              <w:color w:val="auto"/>
            </w:rPr>
          </w:pPr>
          <w:r>
            <w:fldChar w:fldCharType="begin"/>
          </w:r>
          <w:r>
            <w:instrText xml:space="preserve"> TOC \o "1-3" \h \z \u </w:instrText>
          </w:r>
          <w:r>
            <w:fldChar w:fldCharType="separate"/>
          </w:r>
          <w:hyperlink w:anchor="_Toc466046207" w:history="1">
            <w:r w:rsidR="006D42EC" w:rsidRPr="005C683D">
              <w:rPr>
                <w:rStyle w:val="Hyperlink"/>
                <w:noProof/>
              </w:rPr>
              <w:t>Part A: Justification</w:t>
            </w:r>
            <w:r w:rsidR="006D42EC">
              <w:rPr>
                <w:noProof/>
                <w:webHidden/>
              </w:rPr>
              <w:tab/>
            </w:r>
            <w:r w:rsidR="006D42EC">
              <w:rPr>
                <w:noProof/>
                <w:webHidden/>
              </w:rPr>
              <w:fldChar w:fldCharType="begin"/>
            </w:r>
            <w:r w:rsidR="006D42EC">
              <w:rPr>
                <w:noProof/>
                <w:webHidden/>
              </w:rPr>
              <w:instrText xml:space="preserve"> PAGEREF _Toc466046207 \h </w:instrText>
            </w:r>
            <w:r w:rsidR="006D42EC">
              <w:rPr>
                <w:noProof/>
                <w:webHidden/>
              </w:rPr>
            </w:r>
            <w:r w:rsidR="006D42EC">
              <w:rPr>
                <w:noProof/>
                <w:webHidden/>
              </w:rPr>
              <w:fldChar w:fldCharType="separate"/>
            </w:r>
            <w:r w:rsidR="00935B8E">
              <w:rPr>
                <w:noProof/>
                <w:webHidden/>
              </w:rPr>
              <w:t>i</w:t>
            </w:r>
            <w:r w:rsidR="006D42EC">
              <w:rPr>
                <w:noProof/>
                <w:webHidden/>
              </w:rPr>
              <w:fldChar w:fldCharType="end"/>
            </w:r>
          </w:hyperlink>
        </w:p>
        <w:p w14:paraId="7411F284" w14:textId="5F4FE3DC" w:rsidR="006D42EC" w:rsidRDefault="003966A1" w:rsidP="006463B8">
          <w:pPr>
            <w:pStyle w:val="TOC2"/>
            <w:rPr>
              <w:rFonts w:eastAsiaTheme="minorEastAsia"/>
              <w:noProof/>
              <w:color w:val="auto"/>
            </w:rPr>
          </w:pPr>
          <w:hyperlink w:anchor="_Toc466046208" w:history="1">
            <w:r w:rsidR="006D42EC" w:rsidRPr="005C683D">
              <w:rPr>
                <w:rStyle w:val="Hyperlink"/>
                <w:noProof/>
              </w:rPr>
              <w:t>Introduction</w:t>
            </w:r>
            <w:r w:rsidR="006D42EC">
              <w:rPr>
                <w:noProof/>
                <w:webHidden/>
              </w:rPr>
              <w:tab/>
            </w:r>
            <w:r w:rsidR="006D42EC">
              <w:rPr>
                <w:noProof/>
                <w:webHidden/>
              </w:rPr>
              <w:fldChar w:fldCharType="begin"/>
            </w:r>
            <w:r w:rsidR="006D42EC">
              <w:rPr>
                <w:noProof/>
                <w:webHidden/>
              </w:rPr>
              <w:instrText xml:space="preserve"> PAGEREF _Toc466046208 \h </w:instrText>
            </w:r>
            <w:r w:rsidR="006D42EC">
              <w:rPr>
                <w:noProof/>
                <w:webHidden/>
              </w:rPr>
            </w:r>
            <w:r w:rsidR="006D42EC">
              <w:rPr>
                <w:noProof/>
                <w:webHidden/>
              </w:rPr>
              <w:fldChar w:fldCharType="separate"/>
            </w:r>
            <w:r w:rsidR="00935B8E">
              <w:rPr>
                <w:noProof/>
                <w:webHidden/>
              </w:rPr>
              <w:t>2</w:t>
            </w:r>
            <w:r w:rsidR="006D42EC">
              <w:rPr>
                <w:noProof/>
                <w:webHidden/>
              </w:rPr>
              <w:fldChar w:fldCharType="end"/>
            </w:r>
          </w:hyperlink>
        </w:p>
        <w:p w14:paraId="6F91AF3B" w14:textId="16E55B92" w:rsidR="006D42EC" w:rsidRDefault="003966A1" w:rsidP="006463B8">
          <w:pPr>
            <w:pStyle w:val="TOC2"/>
            <w:rPr>
              <w:rFonts w:eastAsiaTheme="minorEastAsia"/>
              <w:noProof/>
              <w:color w:val="auto"/>
            </w:rPr>
          </w:pPr>
          <w:hyperlink w:anchor="_Toc466046209" w:history="1">
            <w:r w:rsidR="006D42EC" w:rsidRPr="005C683D">
              <w:rPr>
                <w:rStyle w:val="Hyperlink"/>
                <w:noProof/>
              </w:rPr>
              <w:t>A.1. Legal Justification</w:t>
            </w:r>
            <w:r w:rsidR="006D42EC">
              <w:rPr>
                <w:noProof/>
                <w:webHidden/>
              </w:rPr>
              <w:tab/>
            </w:r>
            <w:r w:rsidR="006D42EC">
              <w:rPr>
                <w:noProof/>
                <w:webHidden/>
              </w:rPr>
              <w:fldChar w:fldCharType="begin"/>
            </w:r>
            <w:r w:rsidR="006D42EC">
              <w:rPr>
                <w:noProof/>
                <w:webHidden/>
              </w:rPr>
              <w:instrText xml:space="preserve"> PAGEREF _Toc466046209 \h </w:instrText>
            </w:r>
            <w:r w:rsidR="006D42EC">
              <w:rPr>
                <w:noProof/>
                <w:webHidden/>
              </w:rPr>
            </w:r>
            <w:r w:rsidR="006D42EC">
              <w:rPr>
                <w:noProof/>
                <w:webHidden/>
              </w:rPr>
              <w:fldChar w:fldCharType="separate"/>
            </w:r>
            <w:r w:rsidR="00935B8E">
              <w:rPr>
                <w:noProof/>
                <w:webHidden/>
              </w:rPr>
              <w:t>2</w:t>
            </w:r>
            <w:r w:rsidR="006D42EC">
              <w:rPr>
                <w:noProof/>
                <w:webHidden/>
              </w:rPr>
              <w:fldChar w:fldCharType="end"/>
            </w:r>
          </w:hyperlink>
        </w:p>
        <w:p w14:paraId="42FC5F3F" w14:textId="77F6B20C" w:rsidR="006D42EC" w:rsidRDefault="003966A1" w:rsidP="006463B8">
          <w:pPr>
            <w:pStyle w:val="TOC2"/>
            <w:rPr>
              <w:rFonts w:eastAsiaTheme="minorEastAsia"/>
              <w:noProof/>
              <w:color w:val="auto"/>
            </w:rPr>
          </w:pPr>
          <w:hyperlink w:anchor="_Toc466046210" w:history="1">
            <w:r w:rsidR="006D42EC" w:rsidRPr="005C683D">
              <w:rPr>
                <w:rStyle w:val="Hyperlink"/>
                <w:noProof/>
              </w:rPr>
              <w:t>A.2. Needs and Uses of Data</w:t>
            </w:r>
            <w:r w:rsidR="006D42EC">
              <w:rPr>
                <w:noProof/>
                <w:webHidden/>
              </w:rPr>
              <w:tab/>
            </w:r>
            <w:r w:rsidR="006D42EC">
              <w:rPr>
                <w:noProof/>
                <w:webHidden/>
              </w:rPr>
              <w:fldChar w:fldCharType="begin"/>
            </w:r>
            <w:r w:rsidR="006D42EC">
              <w:rPr>
                <w:noProof/>
                <w:webHidden/>
              </w:rPr>
              <w:instrText xml:space="preserve"> PAGEREF _Toc466046210 \h </w:instrText>
            </w:r>
            <w:r w:rsidR="006D42EC">
              <w:rPr>
                <w:noProof/>
                <w:webHidden/>
              </w:rPr>
            </w:r>
            <w:r w:rsidR="006D42EC">
              <w:rPr>
                <w:noProof/>
                <w:webHidden/>
              </w:rPr>
              <w:fldChar w:fldCharType="separate"/>
            </w:r>
            <w:r w:rsidR="00935B8E">
              <w:rPr>
                <w:noProof/>
                <w:webHidden/>
              </w:rPr>
              <w:t>4</w:t>
            </w:r>
            <w:r w:rsidR="006D42EC">
              <w:rPr>
                <w:noProof/>
                <w:webHidden/>
              </w:rPr>
              <w:fldChar w:fldCharType="end"/>
            </w:r>
          </w:hyperlink>
        </w:p>
        <w:p w14:paraId="66DED49E" w14:textId="4E197789" w:rsidR="006D42EC" w:rsidRDefault="003966A1" w:rsidP="006463B8">
          <w:pPr>
            <w:pStyle w:val="TOC2"/>
            <w:rPr>
              <w:rFonts w:eastAsiaTheme="minorEastAsia"/>
              <w:noProof/>
              <w:color w:val="auto"/>
            </w:rPr>
          </w:pPr>
          <w:hyperlink w:anchor="_Toc466046211" w:history="1">
            <w:r w:rsidR="006D42EC" w:rsidRPr="005C683D">
              <w:rPr>
                <w:rStyle w:val="Hyperlink"/>
                <w:noProof/>
              </w:rPr>
              <w:t>A.3. Use of Technology</w:t>
            </w:r>
            <w:r w:rsidR="006D42EC">
              <w:rPr>
                <w:noProof/>
                <w:webHidden/>
              </w:rPr>
              <w:tab/>
            </w:r>
            <w:r w:rsidR="006D42EC">
              <w:rPr>
                <w:noProof/>
                <w:webHidden/>
              </w:rPr>
              <w:fldChar w:fldCharType="begin"/>
            </w:r>
            <w:r w:rsidR="006D42EC">
              <w:rPr>
                <w:noProof/>
                <w:webHidden/>
              </w:rPr>
              <w:instrText xml:space="preserve"> PAGEREF _Toc466046211 \h </w:instrText>
            </w:r>
            <w:r w:rsidR="006D42EC">
              <w:rPr>
                <w:noProof/>
                <w:webHidden/>
              </w:rPr>
            </w:r>
            <w:r w:rsidR="006D42EC">
              <w:rPr>
                <w:noProof/>
                <w:webHidden/>
              </w:rPr>
              <w:fldChar w:fldCharType="separate"/>
            </w:r>
            <w:r w:rsidR="00935B8E">
              <w:rPr>
                <w:noProof/>
                <w:webHidden/>
              </w:rPr>
              <w:t>4</w:t>
            </w:r>
            <w:r w:rsidR="006D42EC">
              <w:rPr>
                <w:noProof/>
                <w:webHidden/>
              </w:rPr>
              <w:fldChar w:fldCharType="end"/>
            </w:r>
          </w:hyperlink>
        </w:p>
        <w:p w14:paraId="0D8F9E59" w14:textId="7089E1A3" w:rsidR="006D42EC" w:rsidRDefault="003966A1" w:rsidP="006463B8">
          <w:pPr>
            <w:pStyle w:val="TOC2"/>
            <w:rPr>
              <w:rFonts w:eastAsiaTheme="minorEastAsia"/>
              <w:noProof/>
              <w:color w:val="auto"/>
            </w:rPr>
          </w:pPr>
          <w:hyperlink w:anchor="_Toc466046212" w:history="1">
            <w:r w:rsidR="006D42EC" w:rsidRPr="005C683D">
              <w:rPr>
                <w:rStyle w:val="Hyperlink"/>
                <w:noProof/>
              </w:rPr>
              <w:t>A.4. Efforts to Identify Duplication</w:t>
            </w:r>
            <w:r w:rsidR="006D42EC">
              <w:rPr>
                <w:noProof/>
                <w:webHidden/>
              </w:rPr>
              <w:tab/>
            </w:r>
            <w:r w:rsidR="006D42EC">
              <w:rPr>
                <w:noProof/>
                <w:webHidden/>
              </w:rPr>
              <w:fldChar w:fldCharType="begin"/>
            </w:r>
            <w:r w:rsidR="006D42EC">
              <w:rPr>
                <w:noProof/>
                <w:webHidden/>
              </w:rPr>
              <w:instrText xml:space="preserve"> PAGEREF _Toc466046212 \h </w:instrText>
            </w:r>
            <w:r w:rsidR="006D42EC">
              <w:rPr>
                <w:noProof/>
                <w:webHidden/>
              </w:rPr>
            </w:r>
            <w:r w:rsidR="006D42EC">
              <w:rPr>
                <w:noProof/>
                <w:webHidden/>
              </w:rPr>
              <w:fldChar w:fldCharType="separate"/>
            </w:r>
            <w:r w:rsidR="00935B8E">
              <w:rPr>
                <w:noProof/>
                <w:webHidden/>
              </w:rPr>
              <w:t>5</w:t>
            </w:r>
            <w:r w:rsidR="006D42EC">
              <w:rPr>
                <w:noProof/>
                <w:webHidden/>
              </w:rPr>
              <w:fldChar w:fldCharType="end"/>
            </w:r>
          </w:hyperlink>
        </w:p>
        <w:p w14:paraId="59BA73DA" w14:textId="535E5484" w:rsidR="006D42EC" w:rsidRDefault="003966A1" w:rsidP="006463B8">
          <w:pPr>
            <w:pStyle w:val="TOC2"/>
            <w:rPr>
              <w:rFonts w:eastAsiaTheme="minorEastAsia"/>
              <w:noProof/>
              <w:color w:val="auto"/>
            </w:rPr>
          </w:pPr>
          <w:hyperlink w:anchor="_Toc466046213" w:history="1">
            <w:r w:rsidR="006D42EC" w:rsidRPr="005C683D">
              <w:rPr>
                <w:rStyle w:val="Hyperlink"/>
                <w:noProof/>
              </w:rPr>
              <w:t>A.5. Provisions for Reducing Burden on Small Businesses</w:t>
            </w:r>
            <w:r w:rsidR="006D42EC">
              <w:rPr>
                <w:noProof/>
                <w:webHidden/>
              </w:rPr>
              <w:tab/>
            </w:r>
            <w:r w:rsidR="006D42EC">
              <w:rPr>
                <w:noProof/>
                <w:webHidden/>
              </w:rPr>
              <w:fldChar w:fldCharType="begin"/>
            </w:r>
            <w:r w:rsidR="006D42EC">
              <w:rPr>
                <w:noProof/>
                <w:webHidden/>
              </w:rPr>
              <w:instrText xml:space="preserve"> PAGEREF _Toc466046213 \h </w:instrText>
            </w:r>
            <w:r w:rsidR="006D42EC">
              <w:rPr>
                <w:noProof/>
                <w:webHidden/>
              </w:rPr>
            </w:r>
            <w:r w:rsidR="006D42EC">
              <w:rPr>
                <w:noProof/>
                <w:webHidden/>
              </w:rPr>
              <w:fldChar w:fldCharType="separate"/>
            </w:r>
            <w:r w:rsidR="00935B8E">
              <w:rPr>
                <w:noProof/>
                <w:webHidden/>
              </w:rPr>
              <w:t>6</w:t>
            </w:r>
            <w:r w:rsidR="006D42EC">
              <w:rPr>
                <w:noProof/>
                <w:webHidden/>
              </w:rPr>
              <w:fldChar w:fldCharType="end"/>
            </w:r>
          </w:hyperlink>
        </w:p>
        <w:p w14:paraId="60FB62E3" w14:textId="64DD1F0C" w:rsidR="006D42EC" w:rsidRDefault="003966A1" w:rsidP="006463B8">
          <w:pPr>
            <w:pStyle w:val="TOC2"/>
            <w:rPr>
              <w:rFonts w:eastAsiaTheme="minorEastAsia"/>
              <w:noProof/>
              <w:color w:val="auto"/>
            </w:rPr>
          </w:pPr>
          <w:hyperlink w:anchor="_Toc466046214" w:history="1">
            <w:r w:rsidR="006D42EC" w:rsidRPr="005C683D">
              <w:rPr>
                <w:rStyle w:val="Hyperlink"/>
                <w:noProof/>
              </w:rPr>
              <w:t>A.6. Consequences of Less-Frequent Reporting</w:t>
            </w:r>
            <w:r w:rsidR="006D42EC">
              <w:rPr>
                <w:noProof/>
                <w:webHidden/>
              </w:rPr>
              <w:tab/>
            </w:r>
            <w:r w:rsidR="006D42EC">
              <w:rPr>
                <w:noProof/>
                <w:webHidden/>
              </w:rPr>
              <w:fldChar w:fldCharType="begin"/>
            </w:r>
            <w:r w:rsidR="006D42EC">
              <w:rPr>
                <w:noProof/>
                <w:webHidden/>
              </w:rPr>
              <w:instrText xml:space="preserve"> PAGEREF _Toc466046214 \h </w:instrText>
            </w:r>
            <w:r w:rsidR="006D42EC">
              <w:rPr>
                <w:noProof/>
                <w:webHidden/>
              </w:rPr>
            </w:r>
            <w:r w:rsidR="006D42EC">
              <w:rPr>
                <w:noProof/>
                <w:webHidden/>
              </w:rPr>
              <w:fldChar w:fldCharType="separate"/>
            </w:r>
            <w:r w:rsidR="00935B8E">
              <w:rPr>
                <w:noProof/>
                <w:webHidden/>
              </w:rPr>
              <w:t>6</w:t>
            </w:r>
            <w:r w:rsidR="006D42EC">
              <w:rPr>
                <w:noProof/>
                <w:webHidden/>
              </w:rPr>
              <w:fldChar w:fldCharType="end"/>
            </w:r>
          </w:hyperlink>
        </w:p>
        <w:p w14:paraId="270D7F80" w14:textId="77777777" w:rsidR="006D42EC" w:rsidRDefault="003966A1" w:rsidP="006463B8">
          <w:pPr>
            <w:pStyle w:val="TOC2"/>
            <w:rPr>
              <w:rFonts w:eastAsiaTheme="minorEastAsia"/>
              <w:noProof/>
              <w:color w:val="auto"/>
            </w:rPr>
          </w:pPr>
          <w:hyperlink w:anchor="_Toc466046215" w:history="1">
            <w:r w:rsidR="006D42EC" w:rsidRPr="005C683D">
              <w:rPr>
                <w:rStyle w:val="Hyperlink"/>
                <w:noProof/>
              </w:rPr>
              <w:t>A.7. Compliance with 5 CFR 1320.5</w:t>
            </w:r>
            <w:r w:rsidR="006D42EC">
              <w:rPr>
                <w:noProof/>
                <w:webHidden/>
              </w:rPr>
              <w:tab/>
            </w:r>
            <w:r w:rsidR="006D42EC">
              <w:rPr>
                <w:noProof/>
                <w:webHidden/>
              </w:rPr>
              <w:fldChar w:fldCharType="begin"/>
            </w:r>
            <w:r w:rsidR="006D42EC">
              <w:rPr>
                <w:noProof/>
                <w:webHidden/>
              </w:rPr>
              <w:instrText xml:space="preserve"> PAGEREF _Toc466046215 \h </w:instrText>
            </w:r>
            <w:r w:rsidR="006D42EC">
              <w:rPr>
                <w:noProof/>
                <w:webHidden/>
              </w:rPr>
            </w:r>
            <w:r w:rsidR="006D42EC">
              <w:rPr>
                <w:noProof/>
                <w:webHidden/>
              </w:rPr>
              <w:fldChar w:fldCharType="separate"/>
            </w:r>
            <w:r w:rsidR="00935B8E">
              <w:rPr>
                <w:noProof/>
                <w:webHidden/>
              </w:rPr>
              <w:t>6</w:t>
            </w:r>
            <w:r w:rsidR="006D42EC">
              <w:rPr>
                <w:noProof/>
                <w:webHidden/>
              </w:rPr>
              <w:fldChar w:fldCharType="end"/>
            </w:r>
          </w:hyperlink>
        </w:p>
        <w:p w14:paraId="4BE10D98" w14:textId="77777777" w:rsidR="006D42EC" w:rsidRDefault="003966A1" w:rsidP="006463B8">
          <w:pPr>
            <w:pStyle w:val="TOC2"/>
            <w:rPr>
              <w:rFonts w:eastAsiaTheme="minorEastAsia"/>
              <w:noProof/>
              <w:color w:val="auto"/>
            </w:rPr>
          </w:pPr>
          <w:hyperlink w:anchor="_Toc466046216" w:history="1">
            <w:r w:rsidR="006D42EC" w:rsidRPr="005C683D">
              <w:rPr>
                <w:rStyle w:val="Hyperlink"/>
                <w:noProof/>
              </w:rPr>
              <w:t>A.8. Summary of Consultations Outside of the Agency</w:t>
            </w:r>
            <w:r w:rsidR="006D42EC">
              <w:rPr>
                <w:noProof/>
                <w:webHidden/>
              </w:rPr>
              <w:tab/>
            </w:r>
            <w:r w:rsidR="006D42EC">
              <w:rPr>
                <w:noProof/>
                <w:webHidden/>
              </w:rPr>
              <w:fldChar w:fldCharType="begin"/>
            </w:r>
            <w:r w:rsidR="006D42EC">
              <w:rPr>
                <w:noProof/>
                <w:webHidden/>
              </w:rPr>
              <w:instrText xml:space="preserve"> PAGEREF _Toc466046216 \h </w:instrText>
            </w:r>
            <w:r w:rsidR="006D42EC">
              <w:rPr>
                <w:noProof/>
                <w:webHidden/>
              </w:rPr>
            </w:r>
            <w:r w:rsidR="006D42EC">
              <w:rPr>
                <w:noProof/>
                <w:webHidden/>
              </w:rPr>
              <w:fldChar w:fldCharType="separate"/>
            </w:r>
            <w:r w:rsidR="00935B8E">
              <w:rPr>
                <w:noProof/>
                <w:webHidden/>
              </w:rPr>
              <w:t>6</w:t>
            </w:r>
            <w:r w:rsidR="006D42EC">
              <w:rPr>
                <w:noProof/>
                <w:webHidden/>
              </w:rPr>
              <w:fldChar w:fldCharType="end"/>
            </w:r>
          </w:hyperlink>
        </w:p>
        <w:p w14:paraId="13D34D9F" w14:textId="64715CE9" w:rsidR="006D42EC" w:rsidRDefault="003966A1" w:rsidP="006463B8">
          <w:pPr>
            <w:pStyle w:val="TOC2"/>
            <w:rPr>
              <w:rFonts w:eastAsiaTheme="minorEastAsia"/>
              <w:noProof/>
              <w:color w:val="auto"/>
            </w:rPr>
          </w:pPr>
          <w:hyperlink w:anchor="_Toc466046217" w:history="1">
            <w:r w:rsidR="006D42EC" w:rsidRPr="005C683D">
              <w:rPr>
                <w:rStyle w:val="Hyperlink"/>
                <w:noProof/>
              </w:rPr>
              <w:t>A.9. Payments or Gifts to Respondents</w:t>
            </w:r>
            <w:r w:rsidR="006D42EC">
              <w:rPr>
                <w:noProof/>
                <w:webHidden/>
              </w:rPr>
              <w:tab/>
            </w:r>
            <w:r w:rsidR="006D42EC">
              <w:rPr>
                <w:noProof/>
                <w:webHidden/>
              </w:rPr>
              <w:fldChar w:fldCharType="begin"/>
            </w:r>
            <w:r w:rsidR="006D42EC">
              <w:rPr>
                <w:noProof/>
                <w:webHidden/>
              </w:rPr>
              <w:instrText xml:space="preserve"> PAGEREF _Toc466046217 \h </w:instrText>
            </w:r>
            <w:r w:rsidR="006D42EC">
              <w:rPr>
                <w:noProof/>
                <w:webHidden/>
              </w:rPr>
            </w:r>
            <w:r w:rsidR="006D42EC">
              <w:rPr>
                <w:noProof/>
                <w:webHidden/>
              </w:rPr>
              <w:fldChar w:fldCharType="separate"/>
            </w:r>
            <w:r w:rsidR="00935B8E">
              <w:rPr>
                <w:noProof/>
                <w:webHidden/>
              </w:rPr>
              <w:t>7</w:t>
            </w:r>
            <w:r w:rsidR="006D42EC">
              <w:rPr>
                <w:noProof/>
                <w:webHidden/>
              </w:rPr>
              <w:fldChar w:fldCharType="end"/>
            </w:r>
          </w:hyperlink>
        </w:p>
        <w:p w14:paraId="2C559897" w14:textId="6C0653FF" w:rsidR="006D42EC" w:rsidRDefault="003966A1" w:rsidP="006463B8">
          <w:pPr>
            <w:pStyle w:val="TOC2"/>
            <w:rPr>
              <w:rFonts w:eastAsiaTheme="minorEastAsia"/>
              <w:noProof/>
              <w:color w:val="auto"/>
            </w:rPr>
          </w:pPr>
          <w:hyperlink w:anchor="_Toc466046218" w:history="1">
            <w:r w:rsidR="006D42EC" w:rsidRPr="005C683D">
              <w:rPr>
                <w:rStyle w:val="Hyperlink"/>
                <w:noProof/>
              </w:rPr>
              <w:t>A.10. Provisions for Protection of Information</w:t>
            </w:r>
            <w:r w:rsidR="006D42EC">
              <w:rPr>
                <w:noProof/>
                <w:webHidden/>
              </w:rPr>
              <w:tab/>
            </w:r>
            <w:r w:rsidR="006D42EC">
              <w:rPr>
                <w:noProof/>
                <w:webHidden/>
              </w:rPr>
              <w:fldChar w:fldCharType="begin"/>
            </w:r>
            <w:r w:rsidR="006D42EC">
              <w:rPr>
                <w:noProof/>
                <w:webHidden/>
              </w:rPr>
              <w:instrText xml:space="preserve"> PAGEREF _Toc466046218 \h </w:instrText>
            </w:r>
            <w:r w:rsidR="006D42EC">
              <w:rPr>
                <w:noProof/>
                <w:webHidden/>
              </w:rPr>
            </w:r>
            <w:r w:rsidR="006D42EC">
              <w:rPr>
                <w:noProof/>
                <w:webHidden/>
              </w:rPr>
              <w:fldChar w:fldCharType="separate"/>
            </w:r>
            <w:r w:rsidR="00935B8E">
              <w:rPr>
                <w:noProof/>
                <w:webHidden/>
              </w:rPr>
              <w:t>7</w:t>
            </w:r>
            <w:r w:rsidR="006D42EC">
              <w:rPr>
                <w:noProof/>
                <w:webHidden/>
              </w:rPr>
              <w:fldChar w:fldCharType="end"/>
            </w:r>
          </w:hyperlink>
        </w:p>
        <w:p w14:paraId="6ACBABCC" w14:textId="49D1596B" w:rsidR="006D42EC" w:rsidRDefault="003966A1" w:rsidP="006463B8">
          <w:pPr>
            <w:pStyle w:val="TOC2"/>
            <w:rPr>
              <w:rFonts w:eastAsiaTheme="minorEastAsia"/>
              <w:noProof/>
              <w:color w:val="auto"/>
            </w:rPr>
          </w:pPr>
          <w:hyperlink w:anchor="_Toc466046219" w:history="1">
            <w:r w:rsidR="006D42EC" w:rsidRPr="005C683D">
              <w:rPr>
                <w:rStyle w:val="Hyperlink"/>
                <w:noProof/>
              </w:rPr>
              <w:t>A.11. Justification for Sensitive Questions</w:t>
            </w:r>
            <w:r w:rsidR="006D42EC">
              <w:rPr>
                <w:noProof/>
                <w:webHidden/>
              </w:rPr>
              <w:tab/>
            </w:r>
            <w:r w:rsidR="006D42EC">
              <w:rPr>
                <w:noProof/>
                <w:webHidden/>
              </w:rPr>
              <w:fldChar w:fldCharType="begin"/>
            </w:r>
            <w:r w:rsidR="006D42EC">
              <w:rPr>
                <w:noProof/>
                <w:webHidden/>
              </w:rPr>
              <w:instrText xml:space="preserve"> PAGEREF _Toc466046219 \h </w:instrText>
            </w:r>
            <w:r w:rsidR="006D42EC">
              <w:rPr>
                <w:noProof/>
                <w:webHidden/>
              </w:rPr>
            </w:r>
            <w:r w:rsidR="006D42EC">
              <w:rPr>
                <w:noProof/>
                <w:webHidden/>
              </w:rPr>
              <w:fldChar w:fldCharType="separate"/>
            </w:r>
            <w:r w:rsidR="00935B8E">
              <w:rPr>
                <w:noProof/>
                <w:webHidden/>
              </w:rPr>
              <w:t>7</w:t>
            </w:r>
            <w:r w:rsidR="006D42EC">
              <w:rPr>
                <w:noProof/>
                <w:webHidden/>
              </w:rPr>
              <w:fldChar w:fldCharType="end"/>
            </w:r>
          </w:hyperlink>
        </w:p>
        <w:p w14:paraId="228AB43C" w14:textId="15825E52" w:rsidR="006D42EC" w:rsidRDefault="003966A1" w:rsidP="006463B8">
          <w:pPr>
            <w:pStyle w:val="TOC2"/>
            <w:rPr>
              <w:rFonts w:eastAsiaTheme="minorEastAsia"/>
              <w:noProof/>
              <w:color w:val="auto"/>
            </w:rPr>
          </w:pPr>
          <w:hyperlink w:anchor="_Toc466046220" w:history="1">
            <w:r w:rsidR="006D42EC" w:rsidRPr="005C683D">
              <w:rPr>
                <w:rStyle w:val="Hyperlink"/>
                <w:noProof/>
              </w:rPr>
              <w:t>A.12. Estimate of Respondent Burden Hours and Cost</w:t>
            </w:r>
            <w:r w:rsidR="006D42EC">
              <w:rPr>
                <w:noProof/>
                <w:webHidden/>
              </w:rPr>
              <w:tab/>
            </w:r>
            <w:r w:rsidR="006D42EC">
              <w:rPr>
                <w:noProof/>
                <w:webHidden/>
              </w:rPr>
              <w:fldChar w:fldCharType="begin"/>
            </w:r>
            <w:r w:rsidR="006D42EC">
              <w:rPr>
                <w:noProof/>
                <w:webHidden/>
              </w:rPr>
              <w:instrText xml:space="preserve"> PAGEREF _Toc466046220 \h </w:instrText>
            </w:r>
            <w:r w:rsidR="006D42EC">
              <w:rPr>
                <w:noProof/>
                <w:webHidden/>
              </w:rPr>
            </w:r>
            <w:r w:rsidR="006D42EC">
              <w:rPr>
                <w:noProof/>
                <w:webHidden/>
              </w:rPr>
              <w:fldChar w:fldCharType="separate"/>
            </w:r>
            <w:r w:rsidR="00935B8E">
              <w:rPr>
                <w:noProof/>
                <w:webHidden/>
              </w:rPr>
              <w:t>7</w:t>
            </w:r>
            <w:r w:rsidR="006D42EC">
              <w:rPr>
                <w:noProof/>
                <w:webHidden/>
              </w:rPr>
              <w:fldChar w:fldCharType="end"/>
            </w:r>
          </w:hyperlink>
        </w:p>
        <w:p w14:paraId="3E3136D7" w14:textId="7F603A67" w:rsidR="006D42EC" w:rsidRDefault="003966A1" w:rsidP="006463B8">
          <w:pPr>
            <w:pStyle w:val="TOC2"/>
            <w:rPr>
              <w:rFonts w:eastAsiaTheme="minorEastAsia"/>
              <w:noProof/>
              <w:color w:val="auto"/>
            </w:rPr>
          </w:pPr>
          <w:hyperlink w:anchor="_Toc466046221" w:history="1">
            <w:r w:rsidR="006D42EC" w:rsidRPr="005C683D">
              <w:rPr>
                <w:rStyle w:val="Hyperlink"/>
                <w:noProof/>
              </w:rPr>
              <w:t>A.13. Annual Cost to the Federal Government</w:t>
            </w:r>
            <w:r w:rsidR="006D42EC">
              <w:rPr>
                <w:noProof/>
                <w:webHidden/>
              </w:rPr>
              <w:tab/>
            </w:r>
            <w:r w:rsidR="006D42EC">
              <w:rPr>
                <w:noProof/>
                <w:webHidden/>
              </w:rPr>
              <w:fldChar w:fldCharType="begin"/>
            </w:r>
            <w:r w:rsidR="006D42EC">
              <w:rPr>
                <w:noProof/>
                <w:webHidden/>
              </w:rPr>
              <w:instrText xml:space="preserve"> PAGEREF _Toc466046221 \h </w:instrText>
            </w:r>
            <w:r w:rsidR="006D42EC">
              <w:rPr>
                <w:noProof/>
                <w:webHidden/>
              </w:rPr>
            </w:r>
            <w:r w:rsidR="006D42EC">
              <w:rPr>
                <w:noProof/>
                <w:webHidden/>
              </w:rPr>
              <w:fldChar w:fldCharType="separate"/>
            </w:r>
            <w:r w:rsidR="00935B8E">
              <w:rPr>
                <w:noProof/>
                <w:webHidden/>
              </w:rPr>
              <w:t>8</w:t>
            </w:r>
            <w:r w:rsidR="006D42EC">
              <w:rPr>
                <w:noProof/>
                <w:webHidden/>
              </w:rPr>
              <w:fldChar w:fldCharType="end"/>
            </w:r>
          </w:hyperlink>
        </w:p>
        <w:p w14:paraId="0111B62B" w14:textId="29AD8E23" w:rsidR="006D42EC" w:rsidRDefault="003966A1" w:rsidP="006463B8">
          <w:pPr>
            <w:pStyle w:val="TOC2"/>
            <w:rPr>
              <w:rFonts w:eastAsiaTheme="minorEastAsia"/>
              <w:noProof/>
              <w:color w:val="auto"/>
            </w:rPr>
          </w:pPr>
          <w:hyperlink w:anchor="_Toc466046222" w:history="1">
            <w:r w:rsidR="006D42EC" w:rsidRPr="005C683D">
              <w:rPr>
                <w:rStyle w:val="Hyperlink"/>
                <w:noProof/>
              </w:rPr>
              <w:t>A.14. Changes in Burden</w:t>
            </w:r>
            <w:r w:rsidR="006D42EC">
              <w:rPr>
                <w:noProof/>
                <w:webHidden/>
              </w:rPr>
              <w:tab/>
            </w:r>
            <w:r w:rsidR="006D42EC">
              <w:rPr>
                <w:noProof/>
                <w:webHidden/>
              </w:rPr>
              <w:fldChar w:fldCharType="begin"/>
            </w:r>
            <w:r w:rsidR="006D42EC">
              <w:rPr>
                <w:noProof/>
                <w:webHidden/>
              </w:rPr>
              <w:instrText xml:space="preserve"> PAGEREF _Toc466046222 \h </w:instrText>
            </w:r>
            <w:r w:rsidR="006D42EC">
              <w:rPr>
                <w:noProof/>
                <w:webHidden/>
              </w:rPr>
            </w:r>
            <w:r w:rsidR="006D42EC">
              <w:rPr>
                <w:noProof/>
                <w:webHidden/>
              </w:rPr>
              <w:fldChar w:fldCharType="separate"/>
            </w:r>
            <w:r w:rsidR="00935B8E">
              <w:rPr>
                <w:noProof/>
                <w:webHidden/>
              </w:rPr>
              <w:t>8</w:t>
            </w:r>
            <w:r w:rsidR="006D42EC">
              <w:rPr>
                <w:noProof/>
                <w:webHidden/>
              </w:rPr>
              <w:fldChar w:fldCharType="end"/>
            </w:r>
          </w:hyperlink>
        </w:p>
        <w:p w14:paraId="1F863DDB" w14:textId="02328CFD" w:rsidR="006D42EC" w:rsidRDefault="003966A1" w:rsidP="006463B8">
          <w:pPr>
            <w:pStyle w:val="TOC2"/>
            <w:rPr>
              <w:rFonts w:eastAsiaTheme="minorEastAsia"/>
              <w:noProof/>
              <w:color w:val="auto"/>
            </w:rPr>
          </w:pPr>
          <w:hyperlink w:anchor="_Toc466046223" w:history="1">
            <w:r w:rsidR="006D42EC" w:rsidRPr="005C683D">
              <w:rPr>
                <w:rStyle w:val="Hyperlink"/>
                <w:noProof/>
              </w:rPr>
              <w:t>A.15. Reasons for Changes in Burden</w:t>
            </w:r>
            <w:r w:rsidR="006D42EC">
              <w:rPr>
                <w:noProof/>
                <w:webHidden/>
              </w:rPr>
              <w:tab/>
            </w:r>
            <w:r w:rsidR="006D42EC">
              <w:rPr>
                <w:noProof/>
                <w:webHidden/>
              </w:rPr>
              <w:fldChar w:fldCharType="begin"/>
            </w:r>
            <w:r w:rsidR="006D42EC">
              <w:rPr>
                <w:noProof/>
                <w:webHidden/>
              </w:rPr>
              <w:instrText xml:space="preserve"> PAGEREF _Toc466046223 \h </w:instrText>
            </w:r>
            <w:r w:rsidR="006D42EC">
              <w:rPr>
                <w:noProof/>
                <w:webHidden/>
              </w:rPr>
            </w:r>
            <w:r w:rsidR="006D42EC">
              <w:rPr>
                <w:noProof/>
                <w:webHidden/>
              </w:rPr>
              <w:fldChar w:fldCharType="separate"/>
            </w:r>
            <w:r w:rsidR="00935B8E">
              <w:rPr>
                <w:noProof/>
                <w:webHidden/>
              </w:rPr>
              <w:t>10</w:t>
            </w:r>
            <w:r w:rsidR="006D42EC">
              <w:rPr>
                <w:noProof/>
                <w:webHidden/>
              </w:rPr>
              <w:fldChar w:fldCharType="end"/>
            </w:r>
          </w:hyperlink>
        </w:p>
        <w:p w14:paraId="7BFFB0CE" w14:textId="68578932" w:rsidR="006D42EC" w:rsidRDefault="003966A1" w:rsidP="006463B8">
          <w:pPr>
            <w:pStyle w:val="TOC2"/>
            <w:rPr>
              <w:rFonts w:eastAsiaTheme="minorEastAsia"/>
              <w:noProof/>
              <w:color w:val="auto"/>
            </w:rPr>
          </w:pPr>
          <w:hyperlink w:anchor="_Toc466046224" w:history="1">
            <w:r w:rsidR="006D42EC" w:rsidRPr="005C683D">
              <w:rPr>
                <w:rStyle w:val="Hyperlink"/>
                <w:noProof/>
              </w:rPr>
              <w:t>A.16. Collection, Tabulation, and Publication Plans</w:t>
            </w:r>
            <w:r w:rsidR="006D42EC">
              <w:rPr>
                <w:noProof/>
                <w:webHidden/>
              </w:rPr>
              <w:tab/>
            </w:r>
            <w:r w:rsidR="006D42EC">
              <w:rPr>
                <w:noProof/>
                <w:webHidden/>
              </w:rPr>
              <w:fldChar w:fldCharType="begin"/>
            </w:r>
            <w:r w:rsidR="006D42EC">
              <w:rPr>
                <w:noProof/>
                <w:webHidden/>
              </w:rPr>
              <w:instrText xml:space="preserve"> PAGEREF _Toc466046224 \h </w:instrText>
            </w:r>
            <w:r w:rsidR="006D42EC">
              <w:rPr>
                <w:noProof/>
                <w:webHidden/>
              </w:rPr>
            </w:r>
            <w:r w:rsidR="006D42EC">
              <w:rPr>
                <w:noProof/>
                <w:webHidden/>
              </w:rPr>
              <w:fldChar w:fldCharType="separate"/>
            </w:r>
            <w:r w:rsidR="00935B8E">
              <w:rPr>
                <w:noProof/>
                <w:webHidden/>
              </w:rPr>
              <w:t>10</w:t>
            </w:r>
            <w:r w:rsidR="006D42EC">
              <w:rPr>
                <w:noProof/>
                <w:webHidden/>
              </w:rPr>
              <w:fldChar w:fldCharType="end"/>
            </w:r>
          </w:hyperlink>
        </w:p>
        <w:p w14:paraId="1B2EC7A9" w14:textId="0137215B" w:rsidR="006D42EC" w:rsidRDefault="003966A1" w:rsidP="006463B8">
          <w:pPr>
            <w:pStyle w:val="TOC2"/>
            <w:rPr>
              <w:rFonts w:eastAsiaTheme="minorEastAsia"/>
              <w:noProof/>
              <w:color w:val="auto"/>
            </w:rPr>
          </w:pPr>
          <w:hyperlink w:anchor="_Toc466046225" w:history="1">
            <w:r w:rsidR="006D42EC" w:rsidRPr="005C683D">
              <w:rPr>
                <w:rStyle w:val="Hyperlink"/>
                <w:noProof/>
              </w:rPr>
              <w:t>A.17. OMB Number and Expiration Date</w:t>
            </w:r>
            <w:r w:rsidR="006D42EC">
              <w:rPr>
                <w:noProof/>
                <w:webHidden/>
              </w:rPr>
              <w:tab/>
            </w:r>
            <w:r w:rsidR="006D42EC">
              <w:rPr>
                <w:noProof/>
                <w:webHidden/>
              </w:rPr>
              <w:fldChar w:fldCharType="begin"/>
            </w:r>
            <w:r w:rsidR="006D42EC">
              <w:rPr>
                <w:noProof/>
                <w:webHidden/>
              </w:rPr>
              <w:instrText xml:space="preserve"> PAGEREF _Toc466046225 \h </w:instrText>
            </w:r>
            <w:r w:rsidR="006D42EC">
              <w:rPr>
                <w:noProof/>
                <w:webHidden/>
              </w:rPr>
            </w:r>
            <w:r w:rsidR="006D42EC">
              <w:rPr>
                <w:noProof/>
                <w:webHidden/>
              </w:rPr>
              <w:fldChar w:fldCharType="separate"/>
            </w:r>
            <w:r w:rsidR="00935B8E">
              <w:rPr>
                <w:noProof/>
                <w:webHidden/>
              </w:rPr>
              <w:t>10</w:t>
            </w:r>
            <w:r w:rsidR="006D42EC">
              <w:rPr>
                <w:noProof/>
                <w:webHidden/>
              </w:rPr>
              <w:fldChar w:fldCharType="end"/>
            </w:r>
          </w:hyperlink>
        </w:p>
        <w:p w14:paraId="6CAE6127" w14:textId="3B07508A" w:rsidR="006D42EC" w:rsidRDefault="003966A1" w:rsidP="006463B8">
          <w:pPr>
            <w:pStyle w:val="TOC2"/>
            <w:rPr>
              <w:rFonts w:eastAsiaTheme="minorEastAsia"/>
              <w:noProof/>
              <w:color w:val="auto"/>
            </w:rPr>
          </w:pPr>
          <w:hyperlink w:anchor="_Toc466046226" w:history="1">
            <w:r w:rsidR="006D42EC" w:rsidRPr="005C683D">
              <w:rPr>
                <w:rStyle w:val="Hyperlink"/>
                <w:noProof/>
              </w:rPr>
              <w:t>A.18. Certification Statement</w:t>
            </w:r>
            <w:r w:rsidR="006D42EC">
              <w:rPr>
                <w:noProof/>
                <w:webHidden/>
              </w:rPr>
              <w:tab/>
            </w:r>
            <w:r w:rsidR="006D42EC">
              <w:rPr>
                <w:noProof/>
                <w:webHidden/>
              </w:rPr>
              <w:fldChar w:fldCharType="begin"/>
            </w:r>
            <w:r w:rsidR="006D42EC">
              <w:rPr>
                <w:noProof/>
                <w:webHidden/>
              </w:rPr>
              <w:instrText xml:space="preserve"> PAGEREF _Toc466046226 \h </w:instrText>
            </w:r>
            <w:r w:rsidR="006D42EC">
              <w:rPr>
                <w:noProof/>
                <w:webHidden/>
              </w:rPr>
            </w:r>
            <w:r w:rsidR="006D42EC">
              <w:rPr>
                <w:noProof/>
                <w:webHidden/>
              </w:rPr>
              <w:fldChar w:fldCharType="separate"/>
            </w:r>
            <w:r w:rsidR="00935B8E">
              <w:rPr>
                <w:noProof/>
                <w:webHidden/>
              </w:rPr>
              <w:t>10</w:t>
            </w:r>
            <w:r w:rsidR="006D42EC">
              <w:rPr>
                <w:noProof/>
                <w:webHidden/>
              </w:rPr>
              <w:fldChar w:fldCharType="end"/>
            </w:r>
          </w:hyperlink>
        </w:p>
        <w:p w14:paraId="78D20F4C" w14:textId="77777777" w:rsidR="0059212D" w:rsidRDefault="0059212D">
          <w:r>
            <w:rPr>
              <w:b/>
              <w:bCs/>
              <w:noProof/>
            </w:rPr>
            <w:fldChar w:fldCharType="end"/>
          </w:r>
        </w:p>
      </w:sdtContent>
    </w:sdt>
    <w:p w14:paraId="2DA1D9CF" w14:textId="77777777" w:rsidR="001F3A8F" w:rsidRDefault="001F3A8F" w:rsidP="00D928FD"/>
    <w:p w14:paraId="352DB623"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35B131AF"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69CBDFA9" w14:textId="77777777" w:rsidR="008C734C" w:rsidRPr="002D5E90" w:rsidRDefault="008C734C" w:rsidP="00F46CF3">
      <w:pPr>
        <w:pStyle w:val="Heading2"/>
      </w:pPr>
      <w:bookmarkStart w:id="2" w:name="_Toc466046208"/>
      <w:r w:rsidRPr="002D5E90">
        <w:lastRenderedPageBreak/>
        <w:t>Introdu</w:t>
      </w:r>
      <w:r w:rsidR="00844524" w:rsidRPr="002D5E90">
        <w:t>ction</w:t>
      </w:r>
      <w:bookmarkEnd w:id="2"/>
    </w:p>
    <w:p w14:paraId="4D505579" w14:textId="6FDF6FB7" w:rsidR="00603FF6" w:rsidRPr="002D5E90" w:rsidRDefault="00844524" w:rsidP="00603FF6">
      <w:r w:rsidRPr="002D5E90">
        <w:t>The U.S. Energy Information Administration (EIA) is the statistical and analytical agency within the Department of Energy (DOE).</w:t>
      </w:r>
      <w:r w:rsidR="00FA6701" w:rsidRPr="002D5E90">
        <w:t xml:space="preserve"> </w:t>
      </w:r>
      <w:r w:rsidRPr="002D5E90">
        <w:t>It collects, analyzes, and disseminates independent and impartial energy information to promote sound policymaking, efficient markets, and public understanding regarding energy and its interaction with the economy and the environment.</w:t>
      </w:r>
      <w:r w:rsidR="00FA6701" w:rsidRPr="002D5E90">
        <w:rPr>
          <w:i/>
        </w:rPr>
        <w:t xml:space="preserve"> </w:t>
      </w:r>
      <w:r w:rsidR="00603FF6" w:rsidRPr="002D5E90">
        <w:t xml:space="preserve">EIA is required to </w:t>
      </w:r>
      <w:r w:rsidR="00603FF6" w:rsidRPr="002D5E90">
        <w:rPr>
          <w:noProof/>
        </w:rPr>
        <w:t>publish</w:t>
      </w:r>
      <w:r w:rsidR="00603FF6" w:rsidRPr="002D5E90">
        <w:t xml:space="preserve"> and otherwise make available independent, high-quality statistical data to federal government agencies, state and local governments, the energy industry, researchers, and the general public. </w:t>
      </w:r>
    </w:p>
    <w:p w14:paraId="675770FF" w14:textId="1EA5D54E" w:rsidR="00A41763" w:rsidRPr="002D5E90" w:rsidRDefault="00603FF6" w:rsidP="00F6142E">
      <w:pPr>
        <w:rPr>
          <w:rFonts w:eastAsia="Times New Roman" w:cs="Arial"/>
          <w:sz w:val="18"/>
          <w:szCs w:val="18"/>
        </w:rPr>
      </w:pPr>
      <w:r w:rsidRPr="002D5E90">
        <w:t xml:space="preserve">EIA is requesting a three-year </w:t>
      </w:r>
      <w:r w:rsidRPr="00572113">
        <w:t xml:space="preserve">extension with </w:t>
      </w:r>
      <w:r w:rsidR="00FD5E44" w:rsidRPr="00572113">
        <w:t>no changes</w:t>
      </w:r>
      <w:r w:rsidRPr="00572113">
        <w:t xml:space="preserve"> to</w:t>
      </w:r>
      <w:r w:rsidRPr="002D5E90">
        <w:t xml:space="preserve"> </w:t>
      </w:r>
      <w:r w:rsidR="00FD5E44" w:rsidRPr="002D5E90">
        <w:t>Form EIA-111</w:t>
      </w:r>
      <w:r w:rsidR="00C81233" w:rsidRPr="002D5E90">
        <w:t xml:space="preserve">, </w:t>
      </w:r>
      <w:r w:rsidR="00C81233" w:rsidRPr="002D5E90">
        <w:rPr>
          <w:i/>
        </w:rPr>
        <w:t xml:space="preserve">Quarterly Electricity </w:t>
      </w:r>
      <w:r w:rsidR="00C81233" w:rsidRPr="002D5E90">
        <w:rPr>
          <w:i/>
          <w:noProof/>
        </w:rPr>
        <w:t>Imports</w:t>
      </w:r>
      <w:r w:rsidR="00C81233" w:rsidRPr="002D5E90">
        <w:rPr>
          <w:i/>
        </w:rPr>
        <w:t xml:space="preserve"> and Exports Report</w:t>
      </w:r>
      <w:r w:rsidR="00FD5E44" w:rsidRPr="002D5E90">
        <w:t>.</w:t>
      </w:r>
      <w:r w:rsidR="00FA6701" w:rsidRPr="002D5E90">
        <w:t xml:space="preserve"> </w:t>
      </w:r>
      <w:r w:rsidR="00F8352C" w:rsidRPr="002D5E90">
        <w:t>Form EIA</w:t>
      </w:r>
      <w:r w:rsidR="00F50E93" w:rsidRPr="002D5E90">
        <w:t>-</w:t>
      </w:r>
      <w:r w:rsidR="00F8352C" w:rsidRPr="002D5E90">
        <w:t>111 collects U. S. electricity import and export data</w:t>
      </w:r>
      <w:r w:rsidR="00C81233" w:rsidRPr="002D5E90">
        <w:t xml:space="preserve"> for the purpose of measuring the flow of electricity into and out of the United States from Canada and Mexico</w:t>
      </w:r>
      <w:r w:rsidR="00F8352C" w:rsidRPr="002D5E90">
        <w:t>. The data are reported by U.S. purchasers, sellers</w:t>
      </w:r>
      <w:r w:rsidR="007F3A01" w:rsidRPr="002D5E90">
        <w:t>,</w:t>
      </w:r>
      <w:r w:rsidR="00F8352C" w:rsidRPr="002D5E90">
        <w:t xml:space="preserve"> and transmitters of wholesale electricity, including</w:t>
      </w:r>
      <w:r w:rsidR="00D80F91" w:rsidRPr="002D5E90">
        <w:t>:</w:t>
      </w:r>
      <w:r w:rsidR="00F8352C" w:rsidRPr="002D5E90">
        <w:t xml:space="preserve"> persons authorized by Order</w:t>
      </w:r>
      <w:r w:rsidR="00D80F91" w:rsidRPr="002D5E90">
        <w:t xml:space="preserve"> </w:t>
      </w:r>
      <w:r w:rsidR="009B4F2A" w:rsidRPr="002D5E90">
        <w:t xml:space="preserve">of DOE’s Office of Electricity Delivery &amp; Energy Reliability </w:t>
      </w:r>
      <w:r w:rsidR="00A0343D" w:rsidRPr="002D5E90">
        <w:t xml:space="preserve">(DOE-OE) </w:t>
      </w:r>
      <w:r w:rsidR="00F8352C" w:rsidRPr="002D5E90">
        <w:t>to export electric energy from the United States to foreign countries</w:t>
      </w:r>
      <w:r w:rsidR="00D80F91" w:rsidRPr="002D5E90">
        <w:t>;</w:t>
      </w:r>
      <w:r w:rsidR="00F8352C" w:rsidRPr="002D5E90">
        <w:t xml:space="preserve"> persons authorized by Presidential Permit to construct, operate, maintain, or connect electric power transmission lines that cross the U.S. international border</w:t>
      </w:r>
      <w:r w:rsidR="00D80F91" w:rsidRPr="002D5E90">
        <w:t>;</w:t>
      </w:r>
      <w:r w:rsidR="00F8352C" w:rsidRPr="002D5E90">
        <w:t xml:space="preserve"> and U.S. Balancing Authorities that are directly interconnected with foreign Balancing Authorities. </w:t>
      </w:r>
      <w:r w:rsidR="00D80F91" w:rsidRPr="002D5E90">
        <w:t>Respondents</w:t>
      </w:r>
      <w:r w:rsidR="00F8352C" w:rsidRPr="002D5E90">
        <w:t xml:space="preserve"> report</w:t>
      </w:r>
      <w:r w:rsidR="00D80F91" w:rsidRPr="002D5E90">
        <w:t>, each quarter,</w:t>
      </w:r>
      <w:r w:rsidR="00F8352C" w:rsidRPr="002D5E90">
        <w:t xml:space="preserve"> monthly flows of electric energy received or delivered across the border, the cost associated with the transactions, and actual </w:t>
      </w:r>
      <w:r w:rsidR="00305F2C" w:rsidRPr="002D5E90">
        <w:t xml:space="preserve">(energy transfers that cross Balancing Authority boundaries) </w:t>
      </w:r>
      <w:r w:rsidR="00F8352C" w:rsidRPr="002D5E90">
        <w:t>and implemented interchange</w:t>
      </w:r>
      <w:r w:rsidR="00305F2C" w:rsidRPr="002D5E90">
        <w:t xml:space="preserve"> (</w:t>
      </w:r>
      <w:r w:rsidR="00305F2C" w:rsidRPr="002D5E90">
        <w:rPr>
          <w:rFonts w:eastAsia="Times New Roman" w:cs="Arial"/>
        </w:rPr>
        <w:t>the state where the Balancing Authority enters the Confirmed Interchange into its Area Control Error equation</w:t>
      </w:r>
      <w:r w:rsidR="00C81233" w:rsidRPr="002D5E90">
        <w:rPr>
          <w:rFonts w:eastAsia="Times New Roman" w:cs="Arial"/>
        </w:rPr>
        <w:t>)</w:t>
      </w:r>
      <w:r w:rsidR="00305F2C" w:rsidRPr="002D5E90">
        <w:rPr>
          <w:rFonts w:eastAsia="Times New Roman" w:cs="Arial"/>
        </w:rPr>
        <w:t>.</w:t>
      </w:r>
      <w:r w:rsidR="00F8352C" w:rsidRPr="002D5E90">
        <w:t xml:space="preserve"> </w:t>
      </w:r>
      <w:r w:rsidR="00C81233" w:rsidRPr="002D5E90">
        <w:t>Responses to this form are mandatory.</w:t>
      </w:r>
    </w:p>
    <w:p w14:paraId="2096D4A2" w14:textId="77777777" w:rsidR="000715C8" w:rsidRPr="002D5E90" w:rsidRDefault="000715C8" w:rsidP="00A41763"/>
    <w:p w14:paraId="55681734" w14:textId="77777777" w:rsidR="008C734C" w:rsidRPr="002D5E90" w:rsidRDefault="008C734C" w:rsidP="00F46CF3">
      <w:pPr>
        <w:pStyle w:val="Heading2"/>
      </w:pPr>
      <w:bookmarkStart w:id="3" w:name="_Toc466046209"/>
      <w:r w:rsidRPr="002D5E90">
        <w:t>A.1. Legal Justification</w:t>
      </w:r>
      <w:bookmarkEnd w:id="3"/>
    </w:p>
    <w:p w14:paraId="154F0341" w14:textId="77777777" w:rsidR="0070029E" w:rsidRPr="002D5E90" w:rsidRDefault="0070029E" w:rsidP="0070029E">
      <w:pPr>
        <w:ind w:left="360" w:hanging="360"/>
      </w:pPr>
      <w:r w:rsidRPr="002D5E90">
        <w:t>The authority for this mandatory data collection is provided by the following provisions:</w:t>
      </w:r>
    </w:p>
    <w:p w14:paraId="133C9488" w14:textId="7F49D897" w:rsidR="0070029E" w:rsidRPr="002D5E90" w:rsidRDefault="0070029E" w:rsidP="001F1264">
      <w:pPr>
        <w:numPr>
          <w:ilvl w:val="0"/>
          <w:numId w:val="9"/>
        </w:numPr>
        <w:contextualSpacing/>
      </w:pPr>
      <w:r w:rsidRPr="002D5E90">
        <w:t xml:space="preserve">Section 13(b), 15 U.S.C. </w:t>
      </w:r>
      <w:r w:rsidR="00514D66">
        <w:t>§</w:t>
      </w:r>
      <w:r w:rsidRPr="002D5E90">
        <w:t>772(b), of the Federal Energy Administration Act of 1974 (FEA Act), Public Law 93 275, states:</w:t>
      </w:r>
    </w:p>
    <w:p w14:paraId="161AD690" w14:textId="77777777" w:rsidR="0070029E" w:rsidRPr="002D5E90" w:rsidRDefault="0070029E" w:rsidP="001F1264">
      <w:pPr>
        <w:numPr>
          <w:ilvl w:val="1"/>
          <w:numId w:val="9"/>
        </w:numPr>
        <w:contextualSpacing/>
      </w:pPr>
      <w:r w:rsidRPr="002D5E90">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1EA60BC9" w14:textId="4F071190" w:rsidR="0070029E" w:rsidRPr="002D5E90" w:rsidRDefault="0070029E" w:rsidP="001F1264">
      <w:pPr>
        <w:numPr>
          <w:ilvl w:val="0"/>
          <w:numId w:val="9"/>
        </w:numPr>
        <w:contextualSpacing/>
      </w:pPr>
      <w:r w:rsidRPr="002D5E90">
        <w:t xml:space="preserve">Section 5(b), 15 U.S.C. </w:t>
      </w:r>
      <w:r w:rsidR="00514D66">
        <w:t>§</w:t>
      </w:r>
      <w:r w:rsidRPr="002D5E90">
        <w:t>764(b), of the FEA Act, states that to the extent authorized by Section 5(a), the [Secretary] shall:</w:t>
      </w:r>
    </w:p>
    <w:p w14:paraId="631EDDB5" w14:textId="77777777" w:rsidR="0070029E" w:rsidRPr="002D5E90" w:rsidRDefault="0070029E" w:rsidP="001F1264">
      <w:pPr>
        <w:numPr>
          <w:ilvl w:val="1"/>
          <w:numId w:val="9"/>
        </w:numPr>
        <w:contextualSpacing/>
      </w:pPr>
      <w:r w:rsidRPr="002D5E90">
        <w:t>(1) …</w:t>
      </w:r>
      <w:r w:rsidRPr="002D5E90">
        <w:rPr>
          <w:szCs w:val="24"/>
        </w:rPr>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14:paraId="322C51BB" w14:textId="77777777" w:rsidR="0070029E" w:rsidRPr="002D5E90" w:rsidRDefault="0070029E" w:rsidP="001F1264">
      <w:pPr>
        <w:numPr>
          <w:ilvl w:val="1"/>
          <w:numId w:val="9"/>
        </w:numPr>
        <w:contextualSpacing/>
      </w:pPr>
      <w:r w:rsidRPr="002D5E90">
        <w:t xml:space="preserve">(2) ...assess the adequacy of energy resources to meet demands in the immediate and </w:t>
      </w:r>
      <w:r w:rsidRPr="002D5E90">
        <w:rPr>
          <w:noProof/>
        </w:rPr>
        <w:t>longer</w:t>
      </w:r>
      <w:r w:rsidRPr="002D5E90">
        <w:t xml:space="preserve"> range future for all sectors of the economy and for the general public;</w:t>
      </w:r>
    </w:p>
    <w:p w14:paraId="694838C4" w14:textId="753CF570" w:rsidR="0070029E" w:rsidRPr="002D5E90" w:rsidRDefault="0070029E" w:rsidP="001F1264">
      <w:pPr>
        <w:numPr>
          <w:ilvl w:val="1"/>
          <w:numId w:val="9"/>
        </w:numPr>
        <w:contextualSpacing/>
      </w:pPr>
      <w:r w:rsidRPr="002D5E90">
        <w:rPr>
          <w:szCs w:val="24"/>
        </w:rPr>
        <w:t xml:space="preserve">(3) …develop effective arrangements for the participation of </w:t>
      </w:r>
      <w:r w:rsidR="00CC7536" w:rsidRPr="002D5E90">
        <w:rPr>
          <w:szCs w:val="24"/>
        </w:rPr>
        <w:t>s</w:t>
      </w:r>
      <w:r w:rsidRPr="002D5E90">
        <w:rPr>
          <w:szCs w:val="24"/>
        </w:rPr>
        <w:t>tate and local governments in the resolution of energy problems;</w:t>
      </w:r>
    </w:p>
    <w:p w14:paraId="12B69C22" w14:textId="77777777" w:rsidR="0070029E" w:rsidRPr="002D5E90" w:rsidRDefault="0070029E" w:rsidP="001F1264">
      <w:pPr>
        <w:numPr>
          <w:ilvl w:val="1"/>
          <w:numId w:val="9"/>
        </w:numPr>
        <w:contextualSpacing/>
      </w:pPr>
      <w:r w:rsidRPr="002D5E90">
        <w:t>(4) …develop plans and programs for dealing with energy production shortages; …</w:t>
      </w:r>
    </w:p>
    <w:p w14:paraId="02909188" w14:textId="77777777" w:rsidR="0070029E" w:rsidRPr="002D5E90" w:rsidRDefault="0070029E" w:rsidP="001F1264">
      <w:pPr>
        <w:numPr>
          <w:ilvl w:val="1"/>
          <w:numId w:val="9"/>
        </w:numPr>
        <w:contextualSpacing/>
      </w:pPr>
      <w:r w:rsidRPr="002D5E90">
        <w:t>(5) …promote stability in energy prices to the consumer, promote free and open competition in all aspects of the energy field, prevent unreasonable profits within the various segments of the energy industry, and promote free enterprise; …</w:t>
      </w:r>
    </w:p>
    <w:p w14:paraId="7F2BC553" w14:textId="77777777" w:rsidR="0070029E" w:rsidRPr="002D5E90" w:rsidRDefault="0070029E" w:rsidP="001F1264">
      <w:pPr>
        <w:numPr>
          <w:ilvl w:val="1"/>
          <w:numId w:val="9"/>
        </w:numPr>
        <w:contextualSpacing/>
      </w:pPr>
      <w:r w:rsidRPr="002D5E90">
        <w:t xml:space="preserve">(6) …assure that energy programs are designed and implemented in a fair and efficient manner so as to minimize hardship and inequity while assuring that the priority needs of the Nation are met; … </w:t>
      </w:r>
    </w:p>
    <w:p w14:paraId="4D3E06D4" w14:textId="77777777" w:rsidR="0070029E" w:rsidRPr="002D5E90" w:rsidRDefault="0070029E" w:rsidP="001F1264">
      <w:pPr>
        <w:numPr>
          <w:ilvl w:val="1"/>
          <w:numId w:val="9"/>
        </w:numPr>
        <w:contextualSpacing/>
      </w:pPr>
      <w:r w:rsidRPr="002D5E90">
        <w:t xml:space="preserve">(9) ...collect, evaluate, assemble, and analyze energy information on reserves, production, demand, and related economic data; … </w:t>
      </w:r>
    </w:p>
    <w:p w14:paraId="5F98BF5E" w14:textId="77777777" w:rsidR="0070029E" w:rsidRPr="002D5E90" w:rsidRDefault="0070029E" w:rsidP="001F1264">
      <w:pPr>
        <w:numPr>
          <w:ilvl w:val="1"/>
          <w:numId w:val="9"/>
        </w:numPr>
        <w:contextualSpacing/>
      </w:pPr>
      <w:r w:rsidRPr="002D5E90">
        <w:t>(12) ...perform such other functions as may be prescribed by law."</w:t>
      </w:r>
    </w:p>
    <w:p w14:paraId="01F25683" w14:textId="5D39B321" w:rsidR="0070029E" w:rsidRPr="002D5E90" w:rsidRDefault="0070029E" w:rsidP="001F1264">
      <w:pPr>
        <w:numPr>
          <w:ilvl w:val="0"/>
          <w:numId w:val="9"/>
        </w:numPr>
        <w:contextualSpacing/>
      </w:pPr>
      <w:r w:rsidRPr="002D5E90">
        <w:t xml:space="preserve">As the authority for invoking Section 5(b), above, Section 5(a), 15 U.S.C. </w:t>
      </w:r>
      <w:r w:rsidR="00514D66">
        <w:t>§</w:t>
      </w:r>
      <w:r w:rsidRPr="002D5E90">
        <w:t>764(a), of the FEA Act in turn states:</w:t>
      </w:r>
    </w:p>
    <w:p w14:paraId="48ED9F81" w14:textId="77777777" w:rsidR="0070029E" w:rsidRPr="002D5E90" w:rsidRDefault="0070029E" w:rsidP="001F1264">
      <w:pPr>
        <w:numPr>
          <w:ilvl w:val="1"/>
          <w:numId w:val="9"/>
        </w:numPr>
        <w:contextualSpacing/>
      </w:pPr>
      <w:r w:rsidRPr="002D5E90">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5F0CEF61" w14:textId="77777777" w:rsidR="0070029E" w:rsidRPr="002D5E90" w:rsidRDefault="0070029E" w:rsidP="001F1264">
      <w:pPr>
        <w:numPr>
          <w:ilvl w:val="2"/>
          <w:numId w:val="9"/>
        </w:numPr>
        <w:contextualSpacing/>
      </w:pPr>
      <w:r w:rsidRPr="002D5E90">
        <w:t>(1) ...specifically transferred to or vested in him by or pursuant to this Act...</w:t>
      </w:r>
    </w:p>
    <w:p w14:paraId="0E485314" w14:textId="77777777" w:rsidR="0070029E" w:rsidRPr="002D5E90" w:rsidRDefault="0070029E" w:rsidP="001F1264">
      <w:pPr>
        <w:numPr>
          <w:ilvl w:val="2"/>
          <w:numId w:val="9"/>
        </w:numPr>
        <w:contextualSpacing/>
      </w:pPr>
      <w:r w:rsidRPr="002D5E90">
        <w:t>(3) ...otherwise specifically vested in the (Secretary) by the Congress."</w:t>
      </w:r>
    </w:p>
    <w:p w14:paraId="07A7DCE4" w14:textId="0999CF76" w:rsidR="0070029E" w:rsidRPr="002D5E90" w:rsidRDefault="0070029E" w:rsidP="001F1264">
      <w:pPr>
        <w:numPr>
          <w:ilvl w:val="0"/>
          <w:numId w:val="9"/>
        </w:numPr>
        <w:contextualSpacing/>
      </w:pPr>
      <w:r w:rsidRPr="002D5E90">
        <w:t xml:space="preserve">Authority for invoking Section 5(a) of the FEA Act is provided by Section 52, 15 U.S.C. </w:t>
      </w:r>
      <w:r w:rsidR="00514D66">
        <w:t>§</w:t>
      </w:r>
      <w:r w:rsidRPr="002D5E90">
        <w:t>790a, of the FEA Act which states that the Administrator of the EIA:</w:t>
      </w:r>
    </w:p>
    <w:p w14:paraId="4DD1DA43" w14:textId="77777777" w:rsidR="0070029E" w:rsidRPr="002D5E90" w:rsidRDefault="0070029E" w:rsidP="001F1264">
      <w:pPr>
        <w:numPr>
          <w:ilvl w:val="1"/>
          <w:numId w:val="9"/>
        </w:numPr>
        <w:contextualSpacing/>
      </w:pPr>
      <w:r w:rsidRPr="002D5E90">
        <w:t>“... (Shall)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14:paraId="06AF2877" w14:textId="77777777" w:rsidR="0070029E" w:rsidRPr="002D5E90" w:rsidRDefault="0070029E" w:rsidP="001F1264">
      <w:pPr>
        <w:numPr>
          <w:ilvl w:val="2"/>
          <w:numId w:val="9"/>
        </w:numPr>
        <w:contextualSpacing/>
      </w:pPr>
      <w:r w:rsidRPr="002D5E90">
        <w:t>(1) …the Department of Energy in carrying out its lawful functions;</w:t>
      </w:r>
    </w:p>
    <w:p w14:paraId="08B014D5" w14:textId="77777777" w:rsidR="0070029E" w:rsidRPr="002D5E90" w:rsidRDefault="0070029E" w:rsidP="001F1264">
      <w:pPr>
        <w:numPr>
          <w:ilvl w:val="2"/>
          <w:numId w:val="9"/>
        </w:numPr>
        <w:contextualSpacing/>
      </w:pPr>
      <w:r w:rsidRPr="002D5E90">
        <w:t>(2) …the Congress;</w:t>
      </w:r>
    </w:p>
    <w:p w14:paraId="661BDA50" w14:textId="77777777" w:rsidR="0070029E" w:rsidRPr="002D5E90" w:rsidRDefault="0070029E" w:rsidP="001F1264">
      <w:pPr>
        <w:numPr>
          <w:ilvl w:val="2"/>
          <w:numId w:val="9"/>
        </w:numPr>
        <w:contextualSpacing/>
      </w:pPr>
      <w:r w:rsidRPr="002D5E90">
        <w:t>(3) …other officers and employees of the United States in whom have been vested, or to whom have been delegated energy-related policy decision-making responsibilities;</w:t>
      </w:r>
    </w:p>
    <w:p w14:paraId="55930BF9" w14:textId="7E0CFC3E" w:rsidR="0070029E" w:rsidRPr="002D5E90" w:rsidRDefault="0070029E" w:rsidP="001F1264">
      <w:pPr>
        <w:numPr>
          <w:ilvl w:val="2"/>
          <w:numId w:val="9"/>
        </w:numPr>
        <w:contextualSpacing/>
      </w:pPr>
      <w:r w:rsidRPr="002D5E90">
        <w:t xml:space="preserve">(4) …the States to the extent required by the Natural Gas Act [15 U.S.C. </w:t>
      </w:r>
      <w:r w:rsidR="00514D66">
        <w:t>§</w:t>
      </w:r>
      <w:r w:rsidRPr="002D5E90">
        <w:t xml:space="preserve">717 et seq.] and the Federal Power Act [16 U.S.C. </w:t>
      </w:r>
      <w:r w:rsidR="00514D66">
        <w:t>§</w:t>
      </w:r>
      <w:r w:rsidRPr="002D5E90">
        <w:t>791a et seq.].</w:t>
      </w:r>
    </w:p>
    <w:p w14:paraId="053F324B" w14:textId="77777777" w:rsidR="0070029E" w:rsidRPr="002D5E90" w:rsidRDefault="0070029E" w:rsidP="001F1264">
      <w:pPr>
        <w:numPr>
          <w:ilvl w:val="1"/>
          <w:numId w:val="9"/>
        </w:numPr>
        <w:contextualSpacing/>
      </w:pPr>
      <w:r w:rsidRPr="002D5E90">
        <w:t>"...the System shall contain such energy information as is necessary to carry out the Administration's statistical and forecasting activities, and shall include, such energy information as is required to define and permit analysis of;”</w:t>
      </w:r>
    </w:p>
    <w:p w14:paraId="64790AC3" w14:textId="77777777" w:rsidR="0070029E" w:rsidRPr="002D5E90" w:rsidRDefault="0070029E" w:rsidP="001F1264">
      <w:pPr>
        <w:numPr>
          <w:ilvl w:val="2"/>
          <w:numId w:val="9"/>
        </w:numPr>
        <w:contextualSpacing/>
      </w:pPr>
      <w:r w:rsidRPr="002D5E90">
        <w:t xml:space="preserve">(1) …the institutional structure of the energy supply system including patterns of ownership and control of mineral fuel and </w:t>
      </w:r>
      <w:r w:rsidRPr="002D5E90">
        <w:rPr>
          <w:noProof/>
        </w:rPr>
        <w:t>non-mineral</w:t>
      </w:r>
      <w:r w:rsidRPr="002D5E90">
        <w:t xml:space="preserve"> energy resources and the production, distribution, and marketing of mineral fuels and electricity;</w:t>
      </w:r>
    </w:p>
    <w:p w14:paraId="67C528E0" w14:textId="77777777" w:rsidR="0054031E" w:rsidRPr="002D5E90" w:rsidRDefault="0070029E" w:rsidP="001F1264">
      <w:pPr>
        <w:numPr>
          <w:ilvl w:val="2"/>
          <w:numId w:val="9"/>
        </w:numPr>
        <w:contextualSpacing/>
      </w:pPr>
      <w:r w:rsidRPr="002D5E90">
        <w:t xml:space="preserve">(2) … the consumption of mineral fuels, </w:t>
      </w:r>
      <w:r w:rsidRPr="002D5E90">
        <w:rPr>
          <w:noProof/>
        </w:rPr>
        <w:t>non-mineral</w:t>
      </w:r>
      <w:r w:rsidRPr="002D5E90">
        <w:t xml:space="preserve"> energy resources, and electricity by such classes, sectors, and regions as may be appropriate for the </w:t>
      </w:r>
    </w:p>
    <w:p w14:paraId="129EB86E" w14:textId="11BE05E0" w:rsidR="0070029E" w:rsidRPr="002D5E90" w:rsidRDefault="0070029E" w:rsidP="001F1264">
      <w:pPr>
        <w:numPr>
          <w:ilvl w:val="2"/>
          <w:numId w:val="9"/>
        </w:numPr>
        <w:contextualSpacing/>
      </w:pPr>
      <w:r w:rsidRPr="002D5E90">
        <w:t>purposes of this Act;</w:t>
      </w:r>
    </w:p>
    <w:p w14:paraId="6E16026A" w14:textId="77777777" w:rsidR="0070029E" w:rsidRPr="002D5E90" w:rsidRDefault="0070029E" w:rsidP="001F1264">
      <w:pPr>
        <w:numPr>
          <w:ilvl w:val="2"/>
          <w:numId w:val="9"/>
        </w:numPr>
        <w:contextualSpacing/>
      </w:pPr>
      <w:r w:rsidRPr="002D5E90">
        <w:t>(5) …industrial, labor, and regional impacts of changes in patterns of energy supply and consumption;</w:t>
      </w:r>
    </w:p>
    <w:p w14:paraId="5D678E06" w14:textId="77777777" w:rsidR="0070029E" w:rsidRPr="002D5E90" w:rsidRDefault="0070029E" w:rsidP="001F1264">
      <w:pPr>
        <w:numPr>
          <w:ilvl w:val="2"/>
          <w:numId w:val="9"/>
        </w:numPr>
        <w:contextualSpacing/>
      </w:pPr>
      <w:r w:rsidRPr="002D5E90">
        <w:t>(6) …international aspects, economic and otherwise, of the evolving energy situation;</w:t>
      </w:r>
    </w:p>
    <w:p w14:paraId="68C05D36" w14:textId="77777777" w:rsidR="008C734C" w:rsidRPr="002D5E90" w:rsidRDefault="009E1ED0" w:rsidP="0070029E">
      <w:pPr>
        <w:numPr>
          <w:ilvl w:val="2"/>
          <w:numId w:val="9"/>
        </w:numPr>
        <w:contextualSpacing/>
      </w:pPr>
      <w:r w:rsidRPr="002D5E90">
        <w:t>(7) …long-term relationships between energy supply and consumption in the United States and world communities.</w:t>
      </w:r>
    </w:p>
    <w:p w14:paraId="36C4C313" w14:textId="77777777" w:rsidR="000715C8" w:rsidRPr="002D5E90" w:rsidRDefault="000715C8" w:rsidP="0070029E"/>
    <w:p w14:paraId="357C7D4E" w14:textId="77777777" w:rsidR="008C734C" w:rsidRPr="002D5E90" w:rsidRDefault="008C734C" w:rsidP="00F46CF3">
      <w:pPr>
        <w:pStyle w:val="Heading2"/>
      </w:pPr>
      <w:bookmarkStart w:id="4" w:name="_Toc466046210"/>
      <w:r w:rsidRPr="002D5E90">
        <w:t>A.2. Needs and Uses of Data</w:t>
      </w:r>
      <w:bookmarkEnd w:id="4"/>
    </w:p>
    <w:p w14:paraId="6C2E34CD" w14:textId="7289FAC8" w:rsidR="004D688C" w:rsidRPr="002D5E90" w:rsidRDefault="001F1264" w:rsidP="001F1264">
      <w:bookmarkStart w:id="5" w:name="_Toc466046211"/>
      <w:r w:rsidRPr="002D5E90">
        <w:t>Form EIA-111 collect</w:t>
      </w:r>
      <w:r w:rsidR="002855E7" w:rsidRPr="002D5E90">
        <w:t>s</w:t>
      </w:r>
      <w:r w:rsidR="002F7BBB" w:rsidRPr="002D5E90">
        <w:t xml:space="preserve"> </w:t>
      </w:r>
      <w:r w:rsidR="002855E7" w:rsidRPr="002D5E90">
        <w:rPr>
          <w:rFonts w:cs="Times New Roman"/>
        </w:rPr>
        <w:t>U.S. electricity import and export data. The data are used to generate accurate estimates of the flow of electricity into and out of the United States.</w:t>
      </w:r>
    </w:p>
    <w:p w14:paraId="3F674F34" w14:textId="77777777" w:rsidR="001F1264" w:rsidRPr="002D5E90" w:rsidRDefault="001F1264" w:rsidP="00F46CF3">
      <w:pPr>
        <w:pStyle w:val="Heading4"/>
      </w:pPr>
      <w:bookmarkStart w:id="6" w:name="_Toc524334487"/>
      <w:bookmarkStart w:id="7" w:name="_Toc524334569"/>
      <w:bookmarkStart w:id="8" w:name="_Toc524334717"/>
      <w:bookmarkStart w:id="9" w:name="_Toc524334910"/>
      <w:r w:rsidRPr="002D5E90">
        <w:t xml:space="preserve">2.1. Overview of Data </w:t>
      </w:r>
      <w:r w:rsidRPr="002D5E90">
        <w:rPr>
          <w:noProof/>
        </w:rPr>
        <w:t>Uses</w:t>
      </w:r>
      <w:bookmarkEnd w:id="6"/>
      <w:bookmarkEnd w:id="7"/>
      <w:bookmarkEnd w:id="8"/>
      <w:bookmarkEnd w:id="9"/>
    </w:p>
    <w:p w14:paraId="15FA4809" w14:textId="76B39CA6" w:rsidR="000E3C2C" w:rsidRPr="002D5E90" w:rsidRDefault="000E3C2C" w:rsidP="000E3C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D5E90">
        <w:t xml:space="preserve">Form EIA-111 data </w:t>
      </w:r>
      <w:r w:rsidR="004D688C" w:rsidRPr="002D5E90">
        <w:t xml:space="preserve">appear </w:t>
      </w:r>
      <w:r w:rsidRPr="002D5E90">
        <w:t>in several EIA publications that are available from EIA’s website</w:t>
      </w:r>
      <w:r w:rsidR="000078ED" w:rsidRPr="002D5E90">
        <w:t xml:space="preserve"> or a joint website</w:t>
      </w:r>
      <w:r w:rsidRPr="002D5E90">
        <w:t>.</w:t>
      </w:r>
      <w:r w:rsidR="00FA6701" w:rsidRPr="002D5E90">
        <w:t xml:space="preserve"> </w:t>
      </w:r>
      <w:r w:rsidRPr="002D5E90">
        <w:t xml:space="preserve">The most prominent are: </w:t>
      </w:r>
    </w:p>
    <w:p w14:paraId="46A20A74" w14:textId="77777777" w:rsidR="000E3C2C" w:rsidRPr="002D5E90" w:rsidRDefault="000E3C2C" w:rsidP="000E3C2C">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2D5E90">
        <w:t>Electric Power Annual</w:t>
      </w:r>
      <w:r w:rsidRPr="002D5E90">
        <w:tab/>
      </w:r>
      <w:hyperlink r:id="rId16" w:history="1">
        <w:r w:rsidRPr="002D5E90">
          <w:rPr>
            <w:rStyle w:val="Hyperlink"/>
          </w:rPr>
          <w:t>http://www.eia.gov/electricity/annual/</w:t>
        </w:r>
      </w:hyperlink>
    </w:p>
    <w:p w14:paraId="5177E4DF" w14:textId="77777777" w:rsidR="000E3C2C" w:rsidRPr="002D5E90" w:rsidRDefault="000E3C2C" w:rsidP="000E3C2C">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2D5E90">
        <w:t>Monthly Energy Review</w:t>
      </w:r>
      <w:r w:rsidRPr="002D5E90">
        <w:tab/>
      </w:r>
      <w:hyperlink r:id="rId17" w:history="1">
        <w:r w:rsidRPr="002D5E90">
          <w:rPr>
            <w:rStyle w:val="Hyperlink"/>
          </w:rPr>
          <w:t>https://www.eia.gov/totalenergy/data/monthly/</w:t>
        </w:r>
      </w:hyperlink>
    </w:p>
    <w:p w14:paraId="7F942BF4" w14:textId="5AF4DCCA" w:rsidR="000E3C2C" w:rsidRPr="002D5E90" w:rsidRDefault="000E3C2C" w:rsidP="000E3C2C">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Style w:val="Hyperlink"/>
          <w:color w:val="auto"/>
          <w:u w:val="none"/>
        </w:rPr>
      </w:pPr>
      <w:r w:rsidRPr="002D5E90">
        <w:t>Electric Power Monthly</w:t>
      </w:r>
      <w:r w:rsidR="00EC307C">
        <w:t xml:space="preserve"> </w:t>
      </w:r>
      <w:r w:rsidR="004E18B3">
        <w:tab/>
      </w:r>
      <w:hyperlink r:id="rId18" w:history="1">
        <w:r w:rsidRPr="002D5E90">
          <w:rPr>
            <w:rStyle w:val="Hyperlink"/>
          </w:rPr>
          <w:t>https://www.eia.gov/electricity/monthly/</w:t>
        </w:r>
      </w:hyperlink>
    </w:p>
    <w:p w14:paraId="1E3FB373" w14:textId="1C73AA4C" w:rsidR="004E18B3" w:rsidRDefault="004E18B3" w:rsidP="004E18B3">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t>State Electricity Profiles</w:t>
      </w:r>
      <w:r>
        <w:tab/>
      </w:r>
      <w:hyperlink r:id="rId19" w:history="1">
        <w:r w:rsidRPr="00614404">
          <w:rPr>
            <w:rStyle w:val="Hyperlink"/>
          </w:rPr>
          <w:t>https://www.eia.gov/electricity/state/</w:t>
        </w:r>
      </w:hyperlink>
    </w:p>
    <w:p w14:paraId="1EB14A3D" w14:textId="08067F77" w:rsidR="00262B12" w:rsidRPr="002D5E90" w:rsidRDefault="008C0431" w:rsidP="00935B8E">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2D5E90">
        <w:t xml:space="preserve">North American Cooperation on Energy Information (NACEI) </w:t>
      </w:r>
      <w:r w:rsidRPr="002D5E90">
        <w:rPr>
          <w:noProof/>
        </w:rPr>
        <w:t>web</w:t>
      </w:r>
      <w:r w:rsidR="00565A80" w:rsidRPr="002D5E90">
        <w:rPr>
          <w:noProof/>
        </w:rPr>
        <w:t xml:space="preserve"> </w:t>
      </w:r>
      <w:r w:rsidRPr="002D5E90">
        <w:rPr>
          <w:noProof/>
        </w:rPr>
        <w:t>page</w:t>
      </w:r>
      <w:r w:rsidRPr="002D5E90">
        <w:tab/>
      </w:r>
      <w:hyperlink r:id="rId20" w:anchor="!/overview" w:history="1">
        <w:r w:rsidR="002E484A" w:rsidRPr="00C9019F">
          <w:rPr>
            <w:rStyle w:val="Hyperlink"/>
          </w:rPr>
          <w:t>http://www.nacei.org/#!/overview</w:t>
        </w:r>
      </w:hyperlink>
      <w:r w:rsidR="002E484A">
        <w:t xml:space="preserve"> </w:t>
      </w:r>
    </w:p>
    <w:p w14:paraId="363ACE5F" w14:textId="77777777" w:rsidR="008D3F95" w:rsidRPr="002D5E90" w:rsidRDefault="008D3F95" w:rsidP="00BE77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pPr>
    </w:p>
    <w:p w14:paraId="7C3E7C3B" w14:textId="001D5292" w:rsidR="000E3C2C" w:rsidRPr="002D5E90" w:rsidRDefault="000E3C2C" w:rsidP="000E3C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D5E90">
        <w:t xml:space="preserve">The data </w:t>
      </w:r>
      <w:r w:rsidR="002855E7" w:rsidRPr="002D5E90">
        <w:t>are</w:t>
      </w:r>
      <w:r w:rsidRPr="002D5E90">
        <w:t xml:space="preserve"> used in other EIA products such as the State Energy Data System and </w:t>
      </w:r>
      <w:r w:rsidR="009770CF" w:rsidRPr="002D5E90">
        <w:t xml:space="preserve">as inputs to </w:t>
      </w:r>
      <w:r w:rsidRPr="002D5E90">
        <w:t xml:space="preserve">EIA </w:t>
      </w:r>
      <w:r w:rsidR="009770CF" w:rsidRPr="002D5E90">
        <w:t xml:space="preserve">projection </w:t>
      </w:r>
      <w:r w:rsidRPr="002D5E90">
        <w:t>models.</w:t>
      </w:r>
      <w:r w:rsidR="00FA6701" w:rsidRPr="002D5E90">
        <w:t xml:space="preserve"> </w:t>
      </w:r>
      <w:r w:rsidR="005D687D" w:rsidRPr="002D5E90">
        <w:t xml:space="preserve">The data </w:t>
      </w:r>
      <w:r w:rsidR="007F3A01" w:rsidRPr="002D5E90">
        <w:t xml:space="preserve">collected </w:t>
      </w:r>
      <w:r w:rsidR="005D687D" w:rsidRPr="002D5E90">
        <w:rPr>
          <w:noProof/>
        </w:rPr>
        <w:t>support</w:t>
      </w:r>
      <w:r w:rsidR="005D687D" w:rsidRPr="002D5E90">
        <w:t xml:space="preserve"> the following EIA functions:</w:t>
      </w:r>
    </w:p>
    <w:p w14:paraId="6D04883B" w14:textId="375D1D61" w:rsidR="005D687D" w:rsidRPr="002D5E90" w:rsidRDefault="002855E7" w:rsidP="005D687D">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 xml:space="preserve">Assess the adequacy of the electricity supply from Canada and Mexico into the U.S. </w:t>
      </w:r>
    </w:p>
    <w:p w14:paraId="61EB2077" w14:textId="0C14CAE8" w:rsidR="005D687D" w:rsidRPr="002D5E90" w:rsidRDefault="005D687D" w:rsidP="005D687D">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Analyz</w:t>
      </w:r>
      <w:r w:rsidR="00686B93" w:rsidRPr="002D5E90">
        <w:rPr>
          <w:rFonts w:asciiTheme="minorHAnsi" w:eastAsiaTheme="minorHAnsi" w:hAnsiTheme="minorHAnsi" w:cstheme="minorBidi"/>
          <w:sz w:val="22"/>
          <w:szCs w:val="22"/>
        </w:rPr>
        <w:t>e</w:t>
      </w:r>
      <w:r w:rsidRPr="002D5E90">
        <w:rPr>
          <w:rFonts w:asciiTheme="minorHAnsi" w:eastAsiaTheme="minorHAnsi" w:hAnsiTheme="minorHAnsi" w:cstheme="minorBidi"/>
          <w:sz w:val="22"/>
          <w:szCs w:val="22"/>
        </w:rPr>
        <w:t xml:space="preserve"> </w:t>
      </w:r>
      <w:r w:rsidR="000078ED" w:rsidRPr="002D5E90">
        <w:rPr>
          <w:rFonts w:asciiTheme="minorHAnsi" w:eastAsiaTheme="minorHAnsi" w:hAnsiTheme="minorHAnsi" w:cstheme="minorBidi"/>
          <w:sz w:val="22"/>
          <w:szCs w:val="22"/>
        </w:rPr>
        <w:t xml:space="preserve">and report on </w:t>
      </w:r>
      <w:r w:rsidRPr="002D5E90">
        <w:rPr>
          <w:rFonts w:asciiTheme="minorHAnsi" w:eastAsiaTheme="minorHAnsi" w:hAnsiTheme="minorHAnsi" w:cstheme="minorBidi"/>
          <w:sz w:val="22"/>
          <w:szCs w:val="22"/>
        </w:rPr>
        <w:t>the adequacy of short- and long-term electricity supply</w:t>
      </w:r>
      <w:r w:rsidR="00A746CE" w:rsidRPr="002D5E90">
        <w:rPr>
          <w:rFonts w:asciiTheme="minorHAnsi" w:eastAsiaTheme="minorHAnsi" w:hAnsiTheme="minorHAnsi" w:cstheme="minorBidi"/>
          <w:sz w:val="22"/>
          <w:szCs w:val="22"/>
        </w:rPr>
        <w:t xml:space="preserve"> in the U.S</w:t>
      </w:r>
      <w:r w:rsidRPr="002D5E90">
        <w:rPr>
          <w:rFonts w:asciiTheme="minorHAnsi" w:eastAsiaTheme="minorHAnsi" w:hAnsiTheme="minorHAnsi" w:cstheme="minorBidi"/>
          <w:sz w:val="22"/>
          <w:szCs w:val="22"/>
        </w:rPr>
        <w:t>.</w:t>
      </w:r>
    </w:p>
    <w:p w14:paraId="45736E49" w14:textId="6AF9813A" w:rsidR="0098551A" w:rsidRDefault="000078ED">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Fulfill DOE’s</w:t>
      </w:r>
      <w:r w:rsidR="001C7ECC" w:rsidRPr="002D5E90">
        <w:rPr>
          <w:rFonts w:asciiTheme="minorHAnsi" w:eastAsiaTheme="minorHAnsi" w:hAnsiTheme="minorHAnsi" w:cstheme="minorBidi"/>
          <w:sz w:val="22"/>
          <w:szCs w:val="22"/>
        </w:rPr>
        <w:t xml:space="preserve"> obligations for sharing </w:t>
      </w:r>
      <w:r w:rsidR="005C6F5D" w:rsidRPr="002D5E90">
        <w:rPr>
          <w:rFonts w:asciiTheme="minorHAnsi" w:eastAsiaTheme="minorHAnsi" w:hAnsiTheme="minorHAnsi" w:cstheme="minorBidi"/>
          <w:sz w:val="22"/>
          <w:szCs w:val="22"/>
        </w:rPr>
        <w:t xml:space="preserve">import/export of energy data </w:t>
      </w:r>
      <w:r w:rsidR="001C7ECC" w:rsidRPr="002D5E90">
        <w:rPr>
          <w:rFonts w:asciiTheme="minorHAnsi" w:eastAsiaTheme="minorHAnsi" w:hAnsiTheme="minorHAnsi" w:cstheme="minorBidi"/>
          <w:sz w:val="22"/>
          <w:szCs w:val="22"/>
        </w:rPr>
        <w:t>under the trilateral</w:t>
      </w:r>
      <w:r w:rsidR="003435D0" w:rsidRPr="002D5E90">
        <w:rPr>
          <w:rFonts w:asciiTheme="minorHAnsi" w:eastAsiaTheme="minorHAnsi" w:hAnsiTheme="minorHAnsi" w:cstheme="minorBidi"/>
          <w:sz w:val="22"/>
          <w:szCs w:val="22"/>
        </w:rPr>
        <w:t xml:space="preserve"> </w:t>
      </w:r>
      <w:hyperlink r:id="rId21" w:history="1">
        <w:r w:rsidR="00F9365D" w:rsidRPr="00F9101A">
          <w:rPr>
            <w:rFonts w:eastAsiaTheme="minorHAnsi"/>
            <w:sz w:val="22"/>
          </w:rPr>
          <w:t>Memorandum of Understanding (MOU)</w:t>
        </w:r>
      </w:hyperlink>
      <w:r w:rsidR="00DF2224" w:rsidRPr="006463B8">
        <w:rPr>
          <w:rFonts w:asciiTheme="minorHAnsi" w:eastAsiaTheme="minorHAnsi" w:hAnsiTheme="minorHAnsi" w:cstheme="minorBidi"/>
          <w:sz w:val="22"/>
          <w:szCs w:val="22"/>
        </w:rPr>
        <w:t xml:space="preserve"> </w:t>
      </w:r>
      <w:r w:rsidR="00067B4E">
        <w:rPr>
          <w:rFonts w:asciiTheme="minorHAnsi" w:eastAsiaTheme="minorHAnsi" w:hAnsiTheme="minorHAnsi" w:cstheme="minorBidi"/>
          <w:sz w:val="22"/>
          <w:szCs w:val="22"/>
        </w:rPr>
        <w:t>(December 2014)</w:t>
      </w:r>
      <w:r w:rsidR="001C7ECC" w:rsidRPr="002D5E90">
        <w:rPr>
          <w:rFonts w:asciiTheme="minorHAnsi" w:eastAsiaTheme="minorHAnsi" w:hAnsiTheme="minorHAnsi" w:cstheme="minorBidi"/>
          <w:sz w:val="22"/>
          <w:szCs w:val="22"/>
        </w:rPr>
        <w:t> on energy information cooperat</w:t>
      </w:r>
      <w:r w:rsidR="00533B2A" w:rsidRPr="002D5E90">
        <w:rPr>
          <w:rFonts w:asciiTheme="minorHAnsi" w:eastAsiaTheme="minorHAnsi" w:hAnsiTheme="minorHAnsi" w:cstheme="minorBidi"/>
          <w:sz w:val="22"/>
          <w:szCs w:val="22"/>
        </w:rPr>
        <w:t>ion</w:t>
      </w:r>
      <w:r w:rsidR="001C7ECC" w:rsidRPr="002D5E90">
        <w:rPr>
          <w:rFonts w:asciiTheme="minorHAnsi" w:eastAsiaTheme="minorHAnsi" w:hAnsiTheme="minorHAnsi" w:cstheme="minorBidi"/>
          <w:sz w:val="22"/>
          <w:szCs w:val="22"/>
        </w:rPr>
        <w:t xml:space="preserve"> between the United States, Canada</w:t>
      </w:r>
      <w:r w:rsidR="005C6F5D" w:rsidRPr="002D5E90">
        <w:rPr>
          <w:rFonts w:asciiTheme="minorHAnsi" w:eastAsiaTheme="minorHAnsi" w:hAnsiTheme="minorHAnsi" w:cstheme="minorBidi"/>
          <w:sz w:val="22"/>
          <w:szCs w:val="22"/>
        </w:rPr>
        <w:t>,</w:t>
      </w:r>
      <w:r w:rsidR="001C7ECC" w:rsidRPr="002D5E90">
        <w:rPr>
          <w:rFonts w:asciiTheme="minorHAnsi" w:eastAsiaTheme="minorHAnsi" w:hAnsiTheme="minorHAnsi" w:cstheme="minorBidi"/>
          <w:sz w:val="22"/>
          <w:szCs w:val="22"/>
        </w:rPr>
        <w:t xml:space="preserve"> and Mexico.</w:t>
      </w:r>
      <w:r w:rsidR="002855E7" w:rsidRPr="002D5E90">
        <w:rPr>
          <w:rFonts w:asciiTheme="minorHAnsi" w:eastAsiaTheme="minorHAnsi" w:hAnsiTheme="minorHAnsi" w:cstheme="minorBidi"/>
          <w:sz w:val="22"/>
          <w:szCs w:val="22"/>
        </w:rPr>
        <w:t xml:space="preserve"> </w:t>
      </w:r>
      <w:r w:rsidR="00067B4E">
        <w:rPr>
          <w:rFonts w:asciiTheme="minorHAnsi" w:eastAsiaTheme="minorHAnsi" w:hAnsiTheme="minorHAnsi" w:cstheme="minorBidi"/>
          <w:sz w:val="22"/>
          <w:szCs w:val="22"/>
        </w:rPr>
        <w:t>The MOU created</w:t>
      </w:r>
      <w:r w:rsidR="00067B4E" w:rsidRPr="00067B4E">
        <w:rPr>
          <w:rFonts w:asciiTheme="minorHAnsi" w:eastAsiaTheme="minorHAnsi" w:hAnsiTheme="minorHAnsi" w:cstheme="minorBidi"/>
          <w:sz w:val="22"/>
          <w:szCs w:val="22"/>
        </w:rPr>
        <w:t xml:space="preserve"> a framework for consultation and</w:t>
      </w:r>
      <w:r w:rsidR="00067B4E">
        <w:rPr>
          <w:rFonts w:asciiTheme="minorHAnsi" w:eastAsiaTheme="minorHAnsi" w:hAnsiTheme="minorHAnsi" w:cstheme="minorBidi"/>
          <w:sz w:val="22"/>
          <w:szCs w:val="22"/>
        </w:rPr>
        <w:t xml:space="preserve"> </w:t>
      </w:r>
      <w:r w:rsidR="00067B4E" w:rsidRPr="00067B4E">
        <w:rPr>
          <w:rFonts w:asciiTheme="minorHAnsi" w:eastAsiaTheme="minorHAnsi" w:hAnsiTheme="minorHAnsi" w:cstheme="minorBidi"/>
          <w:sz w:val="22"/>
          <w:szCs w:val="22"/>
        </w:rPr>
        <w:t xml:space="preserve">cooperation on sharing publicly available energy information among the </w:t>
      </w:r>
      <w:r w:rsidR="00871A95">
        <w:rPr>
          <w:rFonts w:asciiTheme="minorHAnsi" w:eastAsiaTheme="minorHAnsi" w:hAnsiTheme="minorHAnsi" w:cstheme="minorBidi"/>
          <w:sz w:val="22"/>
          <w:szCs w:val="22"/>
        </w:rPr>
        <w:t>p</w:t>
      </w:r>
      <w:r w:rsidR="00067B4E" w:rsidRPr="00067B4E">
        <w:rPr>
          <w:rFonts w:asciiTheme="minorHAnsi" w:eastAsiaTheme="minorHAnsi" w:hAnsiTheme="minorHAnsi" w:cstheme="minorBidi"/>
          <w:sz w:val="22"/>
          <w:szCs w:val="22"/>
        </w:rPr>
        <w:t>articipants, with th</w:t>
      </w:r>
      <w:r w:rsidR="00067B4E">
        <w:rPr>
          <w:rFonts w:asciiTheme="minorHAnsi" w:eastAsiaTheme="minorHAnsi" w:hAnsiTheme="minorHAnsi" w:cstheme="minorBidi"/>
          <w:sz w:val="22"/>
          <w:szCs w:val="22"/>
        </w:rPr>
        <w:t xml:space="preserve">e </w:t>
      </w:r>
      <w:r w:rsidR="00067B4E" w:rsidRPr="00067B4E">
        <w:rPr>
          <w:rFonts w:asciiTheme="minorHAnsi" w:eastAsiaTheme="minorHAnsi" w:hAnsiTheme="minorHAnsi" w:cstheme="minorBidi"/>
          <w:sz w:val="22"/>
          <w:szCs w:val="22"/>
        </w:rPr>
        <w:t>purpose of setting the stage for dialogue, comparisons and deliverables on each of the</w:t>
      </w:r>
      <w:r w:rsidR="00067B4E">
        <w:rPr>
          <w:rFonts w:asciiTheme="minorHAnsi" w:eastAsiaTheme="minorHAnsi" w:hAnsiTheme="minorHAnsi" w:cstheme="minorBidi"/>
          <w:sz w:val="22"/>
          <w:szCs w:val="22"/>
        </w:rPr>
        <w:t xml:space="preserve"> </w:t>
      </w:r>
      <w:r w:rsidR="00871A95">
        <w:rPr>
          <w:rFonts w:asciiTheme="minorHAnsi" w:eastAsiaTheme="minorHAnsi" w:hAnsiTheme="minorHAnsi" w:cstheme="minorBidi"/>
          <w:sz w:val="22"/>
          <w:szCs w:val="22"/>
        </w:rPr>
        <w:t>p</w:t>
      </w:r>
      <w:r w:rsidR="00067B4E" w:rsidRPr="00067B4E">
        <w:rPr>
          <w:rFonts w:asciiTheme="minorHAnsi" w:eastAsiaTheme="minorHAnsi" w:hAnsiTheme="minorHAnsi" w:cstheme="minorBidi"/>
          <w:sz w:val="22"/>
          <w:szCs w:val="22"/>
        </w:rPr>
        <w:t>articipant's energy outlooks and information</w:t>
      </w:r>
      <w:r w:rsidR="00067B4E">
        <w:rPr>
          <w:rFonts w:asciiTheme="minorHAnsi" w:eastAsiaTheme="minorHAnsi" w:hAnsiTheme="minorHAnsi" w:cstheme="minorBidi"/>
          <w:sz w:val="22"/>
          <w:szCs w:val="22"/>
        </w:rPr>
        <w:t>.</w:t>
      </w:r>
      <w:r w:rsidR="00067B4E" w:rsidRPr="00067B4E">
        <w:rPr>
          <w:rFonts w:asciiTheme="minorHAnsi" w:eastAsiaTheme="minorHAnsi" w:hAnsiTheme="minorHAnsi" w:cstheme="minorBidi"/>
          <w:sz w:val="22"/>
          <w:szCs w:val="22"/>
        </w:rPr>
        <w:t xml:space="preserve"> </w:t>
      </w:r>
      <w:r w:rsidR="00067B4E">
        <w:rPr>
          <w:rFonts w:asciiTheme="minorHAnsi" w:eastAsiaTheme="minorHAnsi" w:hAnsiTheme="minorHAnsi" w:cstheme="minorBidi"/>
          <w:sz w:val="22"/>
          <w:szCs w:val="22"/>
        </w:rPr>
        <w:t>Section 3 of the MOU states</w:t>
      </w:r>
      <w:r w:rsidR="0098551A">
        <w:rPr>
          <w:rFonts w:asciiTheme="minorHAnsi" w:eastAsiaTheme="minorHAnsi" w:hAnsiTheme="minorHAnsi" w:cstheme="minorBidi"/>
          <w:sz w:val="22"/>
          <w:szCs w:val="22"/>
        </w:rPr>
        <w:t>:</w:t>
      </w:r>
      <w:r w:rsidR="00067B4E">
        <w:rPr>
          <w:rFonts w:asciiTheme="minorHAnsi" w:eastAsiaTheme="minorHAnsi" w:hAnsiTheme="minorHAnsi" w:cstheme="minorBidi"/>
          <w:sz w:val="22"/>
          <w:szCs w:val="22"/>
        </w:rPr>
        <w:t xml:space="preserve"> </w:t>
      </w:r>
    </w:p>
    <w:p w14:paraId="4E9AA3AF" w14:textId="77777777" w:rsidR="0098551A" w:rsidRDefault="0098551A" w:rsidP="00F9101A">
      <w:pPr>
        <w:pStyle w:val="z-TopofForm"/>
        <w:ind w:left="720" w:firstLine="720"/>
        <w:rPr>
          <w:rFonts w:asciiTheme="minorHAnsi" w:eastAsiaTheme="minorHAnsi" w:hAnsiTheme="minorHAnsi" w:cstheme="minorBidi"/>
          <w:sz w:val="22"/>
          <w:szCs w:val="22"/>
        </w:rPr>
      </w:pPr>
    </w:p>
    <w:p w14:paraId="7513448E" w14:textId="00DF8D74" w:rsidR="0098551A" w:rsidRDefault="0098551A" w:rsidP="00F9101A">
      <w:pPr>
        <w:pStyle w:val="z-TopofForm"/>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sidR="00067B4E" w:rsidRPr="00AE634A">
        <w:rPr>
          <w:rFonts w:asciiTheme="minorHAnsi" w:eastAsiaTheme="minorHAnsi" w:hAnsiTheme="minorHAnsi" w:cstheme="minorBidi"/>
          <w:sz w:val="22"/>
          <w:szCs w:val="22"/>
        </w:rPr>
        <w:t xml:space="preserve">Participants understand that cooperative activities under this MOU, in subject areas within each Participant's respective purview, are intended to include: </w:t>
      </w:r>
    </w:p>
    <w:p w14:paraId="5F11BE8B" w14:textId="054E0C23" w:rsidR="00067B4E" w:rsidRDefault="00067B4E" w:rsidP="00F9101A">
      <w:pPr>
        <w:pStyle w:val="z-TopofForm"/>
        <w:ind w:left="2160"/>
        <w:rPr>
          <w:rFonts w:asciiTheme="minorHAnsi" w:eastAsiaTheme="minorHAnsi" w:hAnsiTheme="minorHAnsi" w:cstheme="minorBidi"/>
          <w:sz w:val="22"/>
          <w:szCs w:val="22"/>
        </w:rPr>
      </w:pPr>
      <w:r w:rsidRPr="00AE634A">
        <w:rPr>
          <w:rFonts w:asciiTheme="minorHAnsi" w:eastAsiaTheme="minorHAnsi" w:hAnsiTheme="minorHAnsi" w:cstheme="minorBidi"/>
          <w:sz w:val="22"/>
          <w:szCs w:val="22"/>
        </w:rPr>
        <w:t>(a) systematically comparing respective import and export information on energy flows to validate publicly available data and improve data quality</w:t>
      </w:r>
      <w:r>
        <w:rPr>
          <w:rFonts w:asciiTheme="minorHAnsi" w:eastAsiaTheme="minorHAnsi" w:hAnsiTheme="minorHAnsi" w:cstheme="minorBidi"/>
          <w:sz w:val="22"/>
          <w:szCs w:val="22"/>
        </w:rPr>
        <w:t>.</w:t>
      </w:r>
      <w:r w:rsidR="0098551A">
        <w:rPr>
          <w:rFonts w:asciiTheme="minorHAnsi" w:eastAsiaTheme="minorHAnsi" w:hAnsiTheme="minorHAnsi" w:cstheme="minorBidi"/>
          <w:sz w:val="22"/>
          <w:szCs w:val="22"/>
        </w:rPr>
        <w:t>”</w:t>
      </w:r>
    </w:p>
    <w:p w14:paraId="3319E753" w14:textId="635E9963" w:rsidR="005D687D" w:rsidRPr="002D5E90" w:rsidRDefault="005D687D" w:rsidP="00BE775B">
      <w:pPr>
        <w:pStyle w:val="z-TopofForm"/>
        <w:ind w:left="720"/>
        <w:rPr>
          <w:rFonts w:asciiTheme="minorHAnsi" w:eastAsiaTheme="minorHAnsi" w:hAnsiTheme="minorHAnsi" w:cstheme="minorBidi"/>
          <w:sz w:val="22"/>
          <w:szCs w:val="22"/>
        </w:rPr>
      </w:pPr>
    </w:p>
    <w:p w14:paraId="79565AA6" w14:textId="691C4C3C" w:rsidR="001F1264" w:rsidRPr="002D5E90" w:rsidRDefault="001F1264" w:rsidP="001F1264">
      <w:pPr>
        <w:pStyle w:val="z-TopofForm"/>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 xml:space="preserve">The form is designed to collect data from all entities engaged in </w:t>
      </w:r>
      <w:r w:rsidR="00F63EE9" w:rsidRPr="002D5E90">
        <w:rPr>
          <w:rFonts w:asciiTheme="minorHAnsi" w:eastAsiaTheme="minorHAnsi" w:hAnsiTheme="minorHAnsi" w:cstheme="minorBidi"/>
          <w:sz w:val="22"/>
          <w:szCs w:val="22"/>
        </w:rPr>
        <w:t>the sale, purchase</w:t>
      </w:r>
      <w:r w:rsidR="005C6F5D" w:rsidRPr="002D5E90">
        <w:rPr>
          <w:rFonts w:asciiTheme="minorHAnsi" w:eastAsiaTheme="minorHAnsi" w:hAnsiTheme="minorHAnsi" w:cstheme="minorBidi"/>
          <w:sz w:val="22"/>
          <w:szCs w:val="22"/>
        </w:rPr>
        <w:t>,</w:t>
      </w:r>
      <w:r w:rsidR="00F63EE9" w:rsidRPr="002D5E90">
        <w:rPr>
          <w:rFonts w:asciiTheme="minorHAnsi" w:eastAsiaTheme="minorHAnsi" w:hAnsiTheme="minorHAnsi" w:cstheme="minorBidi"/>
          <w:sz w:val="22"/>
          <w:szCs w:val="22"/>
        </w:rPr>
        <w:t xml:space="preserve"> or transfer </w:t>
      </w:r>
      <w:r w:rsidR="00514D66">
        <w:rPr>
          <w:rFonts w:asciiTheme="minorHAnsi" w:eastAsiaTheme="minorHAnsi" w:hAnsiTheme="minorHAnsi" w:cstheme="minorBidi"/>
          <w:sz w:val="22"/>
          <w:szCs w:val="22"/>
        </w:rPr>
        <w:t>of</w:t>
      </w:r>
      <w:r w:rsidRPr="002D5E90">
        <w:rPr>
          <w:rFonts w:asciiTheme="minorHAnsi" w:eastAsiaTheme="minorHAnsi" w:hAnsiTheme="minorHAnsi" w:cstheme="minorBidi"/>
          <w:sz w:val="22"/>
          <w:szCs w:val="22"/>
        </w:rPr>
        <w:t xml:space="preserve"> cross-border </w:t>
      </w:r>
      <w:r w:rsidR="00514D66">
        <w:rPr>
          <w:rFonts w:asciiTheme="minorHAnsi" w:eastAsiaTheme="minorHAnsi" w:hAnsiTheme="minorHAnsi" w:cstheme="minorBidi"/>
          <w:sz w:val="22"/>
          <w:szCs w:val="22"/>
        </w:rPr>
        <w:t xml:space="preserve">electricity </w:t>
      </w:r>
      <w:r w:rsidRPr="002D5E90">
        <w:rPr>
          <w:rFonts w:asciiTheme="minorHAnsi" w:eastAsiaTheme="minorHAnsi" w:hAnsiTheme="minorHAnsi" w:cstheme="minorBidi"/>
          <w:sz w:val="22"/>
          <w:szCs w:val="22"/>
        </w:rPr>
        <w:t>transmission</w:t>
      </w:r>
      <w:r w:rsidR="00514D66">
        <w:rPr>
          <w:rFonts w:asciiTheme="minorHAnsi" w:eastAsiaTheme="minorHAnsi" w:hAnsiTheme="minorHAnsi" w:cstheme="minorBidi"/>
          <w:sz w:val="22"/>
          <w:szCs w:val="22"/>
        </w:rPr>
        <w:t>s</w:t>
      </w:r>
      <w:r w:rsidRPr="002D5E90">
        <w:rPr>
          <w:rFonts w:asciiTheme="minorHAnsi" w:eastAsiaTheme="minorHAnsi" w:hAnsiTheme="minorHAnsi" w:cstheme="minorBidi"/>
          <w:sz w:val="22"/>
          <w:szCs w:val="22"/>
        </w:rPr>
        <w:t>.</w:t>
      </w:r>
      <w:r w:rsidR="00FA6701" w:rsidRPr="002D5E90">
        <w:rPr>
          <w:rFonts w:asciiTheme="minorHAnsi" w:eastAsiaTheme="minorHAnsi" w:hAnsiTheme="minorHAnsi" w:cstheme="minorBidi"/>
          <w:sz w:val="22"/>
          <w:szCs w:val="22"/>
        </w:rPr>
        <w:t xml:space="preserve"> </w:t>
      </w:r>
      <w:r w:rsidR="00D80F91" w:rsidRPr="002D5E90">
        <w:rPr>
          <w:rFonts w:asciiTheme="minorHAnsi" w:eastAsiaTheme="minorHAnsi" w:hAnsiTheme="minorHAnsi" w:cstheme="minorBidi"/>
          <w:sz w:val="22"/>
          <w:szCs w:val="22"/>
        </w:rPr>
        <w:t xml:space="preserve">The data </w:t>
      </w:r>
      <w:r w:rsidR="00DF2224" w:rsidRPr="002D5E90">
        <w:rPr>
          <w:rFonts w:asciiTheme="minorHAnsi" w:eastAsiaTheme="minorHAnsi" w:hAnsiTheme="minorHAnsi" w:cstheme="minorBidi"/>
          <w:sz w:val="22"/>
          <w:szCs w:val="22"/>
        </w:rPr>
        <w:t xml:space="preserve">are used by </w:t>
      </w:r>
      <w:r w:rsidR="000E3C2C" w:rsidRPr="002D5E90">
        <w:rPr>
          <w:rFonts w:asciiTheme="minorHAnsi" w:eastAsiaTheme="minorHAnsi" w:hAnsiTheme="minorHAnsi" w:cstheme="minorBidi"/>
          <w:sz w:val="22"/>
          <w:szCs w:val="22"/>
        </w:rPr>
        <w:t>DOE</w:t>
      </w:r>
      <w:r w:rsidR="00CA1398">
        <w:rPr>
          <w:rFonts w:asciiTheme="minorHAnsi" w:eastAsiaTheme="minorHAnsi" w:hAnsiTheme="minorHAnsi" w:cstheme="minorBidi"/>
          <w:sz w:val="22"/>
          <w:szCs w:val="22"/>
        </w:rPr>
        <w:t>-OE</w:t>
      </w:r>
      <w:r w:rsidR="000E3C2C" w:rsidRPr="002D5E90">
        <w:rPr>
          <w:rFonts w:asciiTheme="minorHAnsi" w:eastAsiaTheme="minorHAnsi" w:hAnsiTheme="minorHAnsi" w:cstheme="minorBidi"/>
          <w:sz w:val="22"/>
          <w:szCs w:val="22"/>
        </w:rPr>
        <w:t xml:space="preserve"> </w:t>
      </w:r>
      <w:r w:rsidR="00DF2224" w:rsidRPr="002D5E90">
        <w:rPr>
          <w:rFonts w:asciiTheme="minorHAnsi" w:eastAsiaTheme="minorHAnsi" w:hAnsiTheme="minorHAnsi" w:cstheme="minorBidi"/>
          <w:sz w:val="22"/>
          <w:szCs w:val="22"/>
        </w:rPr>
        <w:t>for the following purposes</w:t>
      </w:r>
      <w:r w:rsidR="00D80F91" w:rsidRPr="002D5E90">
        <w:rPr>
          <w:rFonts w:asciiTheme="minorHAnsi" w:eastAsiaTheme="minorHAnsi" w:hAnsiTheme="minorHAnsi" w:cstheme="minorBidi"/>
          <w:sz w:val="22"/>
          <w:szCs w:val="22"/>
        </w:rPr>
        <w:t>:</w:t>
      </w:r>
    </w:p>
    <w:p w14:paraId="00E08D91" w14:textId="77777777" w:rsidR="001F1264" w:rsidRPr="002D5E90" w:rsidRDefault="001F1264" w:rsidP="001F1264">
      <w:pPr>
        <w:pStyle w:val="z-TopofForm"/>
        <w:rPr>
          <w:rFonts w:asciiTheme="minorHAnsi" w:eastAsiaTheme="minorHAnsi" w:hAnsiTheme="minorHAnsi" w:cstheme="minorBidi"/>
          <w:sz w:val="22"/>
          <w:szCs w:val="22"/>
        </w:rPr>
      </w:pPr>
    </w:p>
    <w:p w14:paraId="41A39F82" w14:textId="5C9F48EA" w:rsidR="00D80F91" w:rsidRPr="002D5E90" w:rsidRDefault="00D80F91"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 xml:space="preserve">Monitor compliance with the terms of Presidential Permits and Export Authorizations. </w:t>
      </w:r>
    </w:p>
    <w:p w14:paraId="738FF02B" w14:textId="7D270553" w:rsidR="00D80F91" w:rsidRPr="002D5E90" w:rsidRDefault="00D44C9E"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Evaluate</w:t>
      </w:r>
      <w:r w:rsidR="00D80F91" w:rsidRPr="002D5E90">
        <w:rPr>
          <w:rFonts w:asciiTheme="minorHAnsi" w:eastAsiaTheme="minorHAnsi" w:hAnsiTheme="minorHAnsi" w:cstheme="minorBidi"/>
          <w:sz w:val="22"/>
          <w:szCs w:val="22"/>
        </w:rPr>
        <w:t xml:space="preserve"> open transmission access at the international border</w:t>
      </w:r>
      <w:r w:rsidR="00FE6D42" w:rsidRPr="002D5E90">
        <w:rPr>
          <w:rFonts w:asciiTheme="minorHAnsi" w:eastAsiaTheme="minorHAnsi" w:hAnsiTheme="minorHAnsi" w:cstheme="minorBidi"/>
          <w:sz w:val="22"/>
          <w:szCs w:val="22"/>
        </w:rPr>
        <w:t>.</w:t>
      </w:r>
    </w:p>
    <w:p w14:paraId="73FD9EAC" w14:textId="45FB9984" w:rsidR="00D80F91" w:rsidRPr="002D5E90" w:rsidRDefault="00D80F91"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Evaluat</w:t>
      </w:r>
      <w:r w:rsidR="00533B2A" w:rsidRPr="002D5E90">
        <w:rPr>
          <w:rFonts w:asciiTheme="minorHAnsi" w:eastAsiaTheme="minorHAnsi" w:hAnsiTheme="minorHAnsi" w:cstheme="minorBidi"/>
          <w:sz w:val="22"/>
          <w:szCs w:val="22"/>
        </w:rPr>
        <w:t>e</w:t>
      </w:r>
      <w:r w:rsidRPr="002D5E90">
        <w:rPr>
          <w:rFonts w:asciiTheme="minorHAnsi" w:eastAsiaTheme="minorHAnsi" w:hAnsiTheme="minorHAnsi" w:cstheme="minorBidi"/>
          <w:sz w:val="22"/>
          <w:szCs w:val="22"/>
        </w:rPr>
        <w:t xml:space="preserve"> transmission constraints and system reliability</w:t>
      </w:r>
      <w:r w:rsidR="00FE6D42" w:rsidRPr="002D5E90">
        <w:rPr>
          <w:rFonts w:asciiTheme="minorHAnsi" w:eastAsiaTheme="minorHAnsi" w:hAnsiTheme="minorHAnsi" w:cstheme="minorBidi"/>
          <w:sz w:val="22"/>
          <w:szCs w:val="22"/>
        </w:rPr>
        <w:t>.</w:t>
      </w:r>
    </w:p>
    <w:p w14:paraId="4666D3A6" w14:textId="5ACA756E" w:rsidR="00074731" w:rsidRPr="002D5E90" w:rsidRDefault="00D80F91"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Evaluat</w:t>
      </w:r>
      <w:r w:rsidR="00533B2A" w:rsidRPr="002D5E90">
        <w:rPr>
          <w:rFonts w:asciiTheme="minorHAnsi" w:eastAsiaTheme="minorHAnsi" w:hAnsiTheme="minorHAnsi" w:cstheme="minorBidi"/>
          <w:sz w:val="22"/>
          <w:szCs w:val="22"/>
        </w:rPr>
        <w:t>e</w:t>
      </w:r>
      <w:r w:rsidRPr="002D5E90">
        <w:rPr>
          <w:rFonts w:asciiTheme="minorHAnsi" w:eastAsiaTheme="minorHAnsi" w:hAnsiTheme="minorHAnsi" w:cstheme="minorBidi"/>
          <w:sz w:val="22"/>
          <w:szCs w:val="22"/>
        </w:rPr>
        <w:t xml:space="preserve"> the need for additional electric transmission capacity</w:t>
      </w:r>
      <w:r w:rsidR="00FE6D42" w:rsidRPr="002D5E90">
        <w:rPr>
          <w:rFonts w:asciiTheme="minorHAnsi" w:eastAsiaTheme="minorHAnsi" w:hAnsiTheme="minorHAnsi" w:cstheme="minorBidi"/>
          <w:sz w:val="22"/>
          <w:szCs w:val="22"/>
        </w:rPr>
        <w:t>.</w:t>
      </w:r>
    </w:p>
    <w:p w14:paraId="37B9A775" w14:textId="77777777" w:rsidR="001F1264" w:rsidRPr="002D5E90" w:rsidRDefault="001F1264" w:rsidP="00F46CF3">
      <w:pPr>
        <w:pStyle w:val="Heading4"/>
      </w:pPr>
      <w:bookmarkStart w:id="10" w:name="_Toc524334488"/>
      <w:bookmarkStart w:id="11" w:name="_Toc524334570"/>
      <w:bookmarkStart w:id="12" w:name="_Toc524334718"/>
      <w:bookmarkStart w:id="13" w:name="_Toc524334911"/>
      <w:r w:rsidRPr="002D5E90">
        <w:t>2.2. Overview of Data Collections</w:t>
      </w:r>
      <w:bookmarkEnd w:id="10"/>
      <w:bookmarkEnd w:id="11"/>
      <w:bookmarkEnd w:id="12"/>
      <w:bookmarkEnd w:id="13"/>
    </w:p>
    <w:p w14:paraId="685A0B8B" w14:textId="19B8A8A7" w:rsidR="00B55020" w:rsidRPr="002D5E90" w:rsidRDefault="00B55020" w:rsidP="00B55020">
      <w:pPr>
        <w:autoSpaceDE w:val="0"/>
        <w:autoSpaceDN w:val="0"/>
        <w:adjustRightInd w:val="0"/>
        <w:spacing w:after="0" w:line="240" w:lineRule="auto"/>
        <w:rPr>
          <w:rFonts w:cs="Arial"/>
        </w:rPr>
      </w:pPr>
      <w:r w:rsidRPr="002D5E90">
        <w:rPr>
          <w:rFonts w:cs="Arial"/>
        </w:rPr>
        <w:t xml:space="preserve">The data collected on </w:t>
      </w:r>
      <w:r w:rsidR="005C6F5D" w:rsidRPr="002D5E90">
        <w:rPr>
          <w:rFonts w:cs="Arial"/>
        </w:rPr>
        <w:t xml:space="preserve">Form </w:t>
      </w:r>
      <w:r w:rsidRPr="002D5E90">
        <w:rPr>
          <w:rFonts w:cs="Arial"/>
        </w:rPr>
        <w:t>EIA-111 is used to obtain an accurate measure of the flow of electricity into and out of the United States.</w:t>
      </w:r>
    </w:p>
    <w:p w14:paraId="6179BDBE" w14:textId="77777777" w:rsidR="00B55020" w:rsidRPr="002D5E90" w:rsidRDefault="00B55020" w:rsidP="00D31107">
      <w:pPr>
        <w:autoSpaceDE w:val="0"/>
        <w:autoSpaceDN w:val="0"/>
        <w:adjustRightInd w:val="0"/>
        <w:spacing w:after="0" w:line="240" w:lineRule="auto"/>
        <w:rPr>
          <w:rFonts w:cs="Arial"/>
        </w:rPr>
      </w:pPr>
    </w:p>
    <w:p w14:paraId="16711198" w14:textId="77777777" w:rsidR="00D31107" w:rsidRPr="002D5E90" w:rsidRDefault="00DE08C4" w:rsidP="00D31107">
      <w:pPr>
        <w:autoSpaceDE w:val="0"/>
        <w:autoSpaceDN w:val="0"/>
        <w:adjustRightInd w:val="0"/>
        <w:spacing w:after="0" w:line="240" w:lineRule="auto"/>
        <w:rPr>
          <w:rFonts w:cs="Arial"/>
        </w:rPr>
      </w:pPr>
      <w:r w:rsidRPr="002D5E90">
        <w:rPr>
          <w:rFonts w:cs="Arial"/>
        </w:rPr>
        <w:t>Form EIA-111 collects U. S. electric</w:t>
      </w:r>
      <w:r w:rsidR="00B55020" w:rsidRPr="002D5E90">
        <w:rPr>
          <w:rFonts w:cs="Arial"/>
        </w:rPr>
        <w:t>ity import and export data from:</w:t>
      </w:r>
    </w:p>
    <w:p w14:paraId="0ABCB975" w14:textId="77777777" w:rsidR="00D31107" w:rsidRPr="002D5E90" w:rsidRDefault="00D31107" w:rsidP="00D31107">
      <w:pPr>
        <w:autoSpaceDE w:val="0"/>
        <w:autoSpaceDN w:val="0"/>
        <w:adjustRightInd w:val="0"/>
        <w:spacing w:after="0" w:line="240" w:lineRule="auto"/>
        <w:rPr>
          <w:rFonts w:cs="Arial"/>
        </w:rPr>
      </w:pPr>
    </w:p>
    <w:p w14:paraId="05236AB1" w14:textId="7080AA08" w:rsidR="00D31107" w:rsidRPr="002D5E90" w:rsidRDefault="00DE08C4" w:rsidP="00D31107">
      <w:pPr>
        <w:pStyle w:val="ListParagraph"/>
        <w:numPr>
          <w:ilvl w:val="0"/>
          <w:numId w:val="14"/>
        </w:numPr>
        <w:autoSpaceDE w:val="0"/>
        <w:autoSpaceDN w:val="0"/>
        <w:adjustRightInd w:val="0"/>
        <w:spacing w:after="0" w:line="240" w:lineRule="auto"/>
        <w:rPr>
          <w:rFonts w:cs="Arial"/>
        </w:rPr>
      </w:pPr>
      <w:r w:rsidRPr="002D5E90">
        <w:rPr>
          <w:rFonts w:cs="Arial"/>
        </w:rPr>
        <w:t>U.S. entities that purchase, sell</w:t>
      </w:r>
      <w:r w:rsidR="007817DF" w:rsidRPr="002D5E90">
        <w:rPr>
          <w:rFonts w:cs="Arial"/>
        </w:rPr>
        <w:t>,</w:t>
      </w:r>
      <w:r w:rsidRPr="002D5E90">
        <w:rPr>
          <w:rFonts w:cs="Arial"/>
        </w:rPr>
        <w:t xml:space="preserve"> or exchange e</w:t>
      </w:r>
      <w:r w:rsidR="00D31107" w:rsidRPr="002D5E90">
        <w:rPr>
          <w:rFonts w:cs="Arial"/>
        </w:rPr>
        <w:t xml:space="preserve">lectricity at </w:t>
      </w:r>
      <w:r w:rsidRPr="002D5E90">
        <w:rPr>
          <w:rFonts w:cs="Arial"/>
        </w:rPr>
        <w:t>wholesale, including person</w:t>
      </w:r>
      <w:r w:rsidR="00D31107" w:rsidRPr="002D5E90">
        <w:rPr>
          <w:rFonts w:cs="Arial"/>
        </w:rPr>
        <w:t xml:space="preserve">s authorized by Order </w:t>
      </w:r>
      <w:r w:rsidR="00D31107" w:rsidRPr="002D5E90">
        <w:t>of DOE</w:t>
      </w:r>
      <w:r w:rsidR="006756DF" w:rsidRPr="002D5E90">
        <w:t>-OE</w:t>
      </w:r>
      <w:r w:rsidR="00D31107" w:rsidRPr="002D5E90">
        <w:rPr>
          <w:rFonts w:cs="Arial"/>
        </w:rPr>
        <w:t xml:space="preserve"> to export </w:t>
      </w:r>
      <w:r w:rsidRPr="002D5E90">
        <w:rPr>
          <w:rFonts w:cs="Arial"/>
        </w:rPr>
        <w:t>electric energy from the United Stat</w:t>
      </w:r>
      <w:r w:rsidR="00D31107" w:rsidRPr="002D5E90">
        <w:rPr>
          <w:rFonts w:cs="Arial"/>
        </w:rPr>
        <w:t xml:space="preserve">es to foreign countries, report </w:t>
      </w:r>
      <w:r w:rsidRPr="002D5E90">
        <w:rPr>
          <w:rFonts w:cs="Arial"/>
        </w:rPr>
        <w:t>monthly flows of electric energy r</w:t>
      </w:r>
      <w:r w:rsidR="00D31107" w:rsidRPr="002D5E90">
        <w:rPr>
          <w:rFonts w:cs="Arial"/>
        </w:rPr>
        <w:t>eceived</w:t>
      </w:r>
      <w:r w:rsidR="007817DF" w:rsidRPr="002D5E90">
        <w:rPr>
          <w:rFonts w:cs="Arial"/>
        </w:rPr>
        <w:t>,</w:t>
      </w:r>
      <w:r w:rsidR="00D31107" w:rsidRPr="002D5E90">
        <w:rPr>
          <w:rFonts w:cs="Arial"/>
        </w:rPr>
        <w:t xml:space="preserve"> or delivered across the </w:t>
      </w:r>
      <w:r w:rsidRPr="002D5E90">
        <w:rPr>
          <w:rFonts w:cs="Arial"/>
        </w:rPr>
        <w:t>border and the cost associated with the transacti</w:t>
      </w:r>
      <w:r w:rsidR="00D31107" w:rsidRPr="002D5E90">
        <w:rPr>
          <w:rFonts w:cs="Arial"/>
        </w:rPr>
        <w:t xml:space="preserve">ons. </w:t>
      </w:r>
    </w:p>
    <w:p w14:paraId="3AC0A9B8" w14:textId="77777777" w:rsidR="00D31107" w:rsidRPr="002D5E90" w:rsidRDefault="00D31107" w:rsidP="00D31107">
      <w:pPr>
        <w:pStyle w:val="ListParagraph"/>
        <w:numPr>
          <w:ilvl w:val="0"/>
          <w:numId w:val="14"/>
        </w:numPr>
        <w:autoSpaceDE w:val="0"/>
        <w:autoSpaceDN w:val="0"/>
        <w:adjustRightInd w:val="0"/>
        <w:spacing w:after="0" w:line="240" w:lineRule="auto"/>
        <w:rPr>
          <w:rFonts w:cs="Arial"/>
        </w:rPr>
      </w:pPr>
      <w:r w:rsidRPr="002D5E90">
        <w:rPr>
          <w:rFonts w:cs="Arial"/>
        </w:rPr>
        <w:t xml:space="preserve">U.S. </w:t>
      </w:r>
      <w:r w:rsidR="00DE08C4" w:rsidRPr="002D5E90">
        <w:rPr>
          <w:rFonts w:cs="Arial"/>
        </w:rPr>
        <w:t>Balancing Authorities that are direc</w:t>
      </w:r>
      <w:r w:rsidRPr="002D5E90">
        <w:rPr>
          <w:rFonts w:cs="Arial"/>
        </w:rPr>
        <w:t xml:space="preserve">tly interconnected with foreign </w:t>
      </w:r>
      <w:r w:rsidR="00DE08C4" w:rsidRPr="002D5E90">
        <w:rPr>
          <w:rFonts w:cs="Arial"/>
        </w:rPr>
        <w:t>Balancing Authorities report actu</w:t>
      </w:r>
      <w:r w:rsidRPr="002D5E90">
        <w:rPr>
          <w:rFonts w:cs="Arial"/>
        </w:rPr>
        <w:t xml:space="preserve">al and implemented interchange. </w:t>
      </w:r>
    </w:p>
    <w:p w14:paraId="0C3BD223" w14:textId="77777777" w:rsidR="001F1264" w:rsidRPr="002D5E90" w:rsidRDefault="00DE08C4" w:rsidP="00D31107">
      <w:pPr>
        <w:pStyle w:val="ListParagraph"/>
        <w:numPr>
          <w:ilvl w:val="0"/>
          <w:numId w:val="14"/>
        </w:numPr>
        <w:autoSpaceDE w:val="0"/>
        <w:autoSpaceDN w:val="0"/>
        <w:adjustRightInd w:val="0"/>
        <w:spacing w:after="0" w:line="240" w:lineRule="auto"/>
        <w:rPr>
          <w:rFonts w:cs="Arial"/>
        </w:rPr>
      </w:pPr>
      <w:r w:rsidRPr="002D5E90">
        <w:rPr>
          <w:rFonts w:cs="Arial"/>
        </w:rPr>
        <w:t>Persons authorized by Presidentia</w:t>
      </w:r>
      <w:r w:rsidR="00D31107" w:rsidRPr="002D5E90">
        <w:rPr>
          <w:rFonts w:cs="Arial"/>
        </w:rPr>
        <w:t xml:space="preserve">l Permit to construct, operate, </w:t>
      </w:r>
      <w:r w:rsidRPr="002D5E90">
        <w:rPr>
          <w:rFonts w:cs="Arial"/>
        </w:rPr>
        <w:t>maintain, or connect electric powe</w:t>
      </w:r>
      <w:r w:rsidR="00D31107" w:rsidRPr="002D5E90">
        <w:rPr>
          <w:rFonts w:cs="Arial"/>
        </w:rPr>
        <w:t xml:space="preserve">r transmission lines that cross </w:t>
      </w:r>
      <w:r w:rsidRPr="002D5E90">
        <w:rPr>
          <w:rFonts w:cs="Arial"/>
        </w:rPr>
        <w:t>the U.S. international border a</w:t>
      </w:r>
      <w:r w:rsidR="00D31107" w:rsidRPr="002D5E90">
        <w:rPr>
          <w:rFonts w:cs="Arial"/>
        </w:rPr>
        <w:t xml:space="preserve">nd export authorization holders </w:t>
      </w:r>
      <w:r w:rsidRPr="002D5E90">
        <w:rPr>
          <w:rFonts w:cs="Arial"/>
        </w:rPr>
        <w:t>report events where their</w:t>
      </w:r>
      <w:r w:rsidR="00D31107" w:rsidRPr="002D5E90">
        <w:rPr>
          <w:rFonts w:cs="Arial"/>
        </w:rPr>
        <w:t xml:space="preserve"> DOE Order terms were exceeded. </w:t>
      </w:r>
    </w:p>
    <w:p w14:paraId="7866EB50" w14:textId="77777777" w:rsidR="00415D8D" w:rsidRPr="002D5E90" w:rsidRDefault="00415D8D" w:rsidP="00F46CF3">
      <w:pPr>
        <w:pStyle w:val="Heading2"/>
      </w:pPr>
    </w:p>
    <w:p w14:paraId="1F5E5021" w14:textId="77777777" w:rsidR="008C734C" w:rsidRPr="002D5E90" w:rsidRDefault="008C734C" w:rsidP="00F46CF3">
      <w:pPr>
        <w:pStyle w:val="Heading2"/>
      </w:pPr>
      <w:r w:rsidRPr="002D5E90">
        <w:t>A.</w:t>
      </w:r>
      <w:r w:rsidR="00A41763" w:rsidRPr="002D5E90">
        <w:t xml:space="preserve">3. </w:t>
      </w:r>
      <w:r w:rsidRPr="002D5E90">
        <w:t>Use of Technology</w:t>
      </w:r>
      <w:bookmarkEnd w:id="5"/>
    </w:p>
    <w:p w14:paraId="0034C368" w14:textId="3D4EBE3D" w:rsidR="002D0502" w:rsidRPr="002D5E90" w:rsidRDefault="002D0502" w:rsidP="002D0502">
      <w:r w:rsidRPr="002D5E90">
        <w:t>All EIA electricity surveys in routine operation</w:t>
      </w:r>
      <w:r w:rsidR="00C5486B" w:rsidRPr="002D5E90">
        <w:t xml:space="preserve">, including </w:t>
      </w:r>
      <w:r w:rsidR="007E135B" w:rsidRPr="002D5E90">
        <w:t xml:space="preserve">Form </w:t>
      </w:r>
      <w:r w:rsidR="00C5486B" w:rsidRPr="002D5E90">
        <w:t>EIA-111,</w:t>
      </w:r>
      <w:r w:rsidRPr="002D5E90">
        <w:t xml:space="preserve"> use Internet-based data collection systems as the primary means of data collection. The majority of contact with respondents (e.g., notification that a survey has opened for a collection cycle) is performed using email.</w:t>
      </w:r>
    </w:p>
    <w:p w14:paraId="03390FDA" w14:textId="10E50A72" w:rsidR="002D0502" w:rsidRPr="002D5E90" w:rsidRDefault="002D0502" w:rsidP="002D0502">
      <w:pPr>
        <w:spacing w:before="100" w:beforeAutospacing="1"/>
      </w:pPr>
      <w:r w:rsidRPr="002D5E90">
        <w:t>Internet data collection will continue to be the primary collection mode for the electric</w:t>
      </w:r>
      <w:r w:rsidR="00433713" w:rsidRPr="002D5E90">
        <w:t>i</w:t>
      </w:r>
      <w:r w:rsidRPr="002D5E90">
        <w:t xml:space="preserve">ty surveys. The Internet-based systems allow respondents to enter their data directly into the EIA survey databases, which reduces the time needed for data collection and processing. The systems identify reported data that fail edit specifications prior to submission, which allow respondents to make necessary corrections or explain unusual situations impacting the reported data. This data editing process reduces respondent burden by reducing the number of times a respondent must resubmit forms prior to acceptance by EIA. It also improves the timeliness of reporting the information to the public. The only equipment and software the respondent requires </w:t>
      </w:r>
      <w:r w:rsidR="00565A80" w:rsidRPr="002D5E90">
        <w:rPr>
          <w:noProof/>
        </w:rPr>
        <w:t>are</w:t>
      </w:r>
      <w:r w:rsidRPr="002D5E90">
        <w:t xml:space="preserve"> a connection to the Internet and a standard industry web browser.</w:t>
      </w:r>
    </w:p>
    <w:p w14:paraId="3F21D1F9" w14:textId="77777777" w:rsidR="008C734C" w:rsidRPr="002D5E90" w:rsidRDefault="008C734C" w:rsidP="00A41763"/>
    <w:p w14:paraId="0F811304" w14:textId="77777777" w:rsidR="008C734C" w:rsidRPr="002D5E90" w:rsidRDefault="008C734C" w:rsidP="00F46CF3">
      <w:pPr>
        <w:pStyle w:val="Heading2"/>
      </w:pPr>
      <w:bookmarkStart w:id="14" w:name="_Toc466046212"/>
      <w:r w:rsidRPr="002D5E90">
        <w:t>A.</w:t>
      </w:r>
      <w:r w:rsidR="00A41763" w:rsidRPr="002D5E90">
        <w:t xml:space="preserve">4. </w:t>
      </w:r>
      <w:r w:rsidRPr="002D5E90">
        <w:t>Efforts to Identify Duplication</w:t>
      </w:r>
      <w:bookmarkEnd w:id="14"/>
    </w:p>
    <w:p w14:paraId="15EBF703" w14:textId="5B3DDA50" w:rsidR="00DF2224" w:rsidRPr="002D5E90" w:rsidRDefault="00C5486B" w:rsidP="00DF2224">
      <w:r w:rsidRPr="002D5E90">
        <w:t xml:space="preserve">EIA has verified that </w:t>
      </w:r>
      <w:r w:rsidR="002E0F77" w:rsidRPr="002D5E90">
        <w:t xml:space="preserve">Form </w:t>
      </w:r>
      <w:r w:rsidRPr="002D5E90">
        <w:t xml:space="preserve">EIA-111 </w:t>
      </w:r>
      <w:r w:rsidR="008B68C4" w:rsidRPr="002D5E90">
        <w:t xml:space="preserve">data are not collected by more than one </w:t>
      </w:r>
      <w:r w:rsidR="00CC7536" w:rsidRPr="002D5E90">
        <w:t>f</w:t>
      </w:r>
      <w:r w:rsidR="008B68C4" w:rsidRPr="002D5E90">
        <w:t>ederal government agency.</w:t>
      </w:r>
      <w:r w:rsidR="00053129" w:rsidRPr="002D5E90">
        <w:t xml:space="preserve"> </w:t>
      </w:r>
      <w:r w:rsidRPr="002D5E90">
        <w:t xml:space="preserve">The only alternative source of information </w:t>
      </w:r>
      <w:r w:rsidR="00EE260D" w:rsidRPr="002D5E90">
        <w:t xml:space="preserve">EIA </w:t>
      </w:r>
      <w:r w:rsidRPr="002D5E90">
        <w:t>ha</w:t>
      </w:r>
      <w:r w:rsidR="00EE260D" w:rsidRPr="002D5E90">
        <w:t>s</w:t>
      </w:r>
      <w:r w:rsidRPr="002D5E90">
        <w:t xml:space="preserve"> located is a monthly publication by the Canadian National Energy Board (NEB).</w:t>
      </w:r>
      <w:r w:rsidR="00FA6701" w:rsidRPr="002D5E90">
        <w:t xml:space="preserve"> </w:t>
      </w:r>
      <w:r w:rsidRPr="002D5E90">
        <w:t xml:space="preserve">The NEB reports </w:t>
      </w:r>
      <w:r w:rsidR="003852DA" w:rsidRPr="002D5E90">
        <w:t xml:space="preserve">do not meet EIA’s needs because of issues with </w:t>
      </w:r>
      <w:r w:rsidR="008B68C4" w:rsidRPr="002D5E90">
        <w:t>classification, inconsistency,</w:t>
      </w:r>
      <w:r w:rsidR="00565A80" w:rsidRPr="002D5E90">
        <w:t xml:space="preserve"> </w:t>
      </w:r>
      <w:r w:rsidR="008B68C4" w:rsidRPr="002D5E90">
        <w:rPr>
          <w:noProof/>
        </w:rPr>
        <w:t>incompleteness</w:t>
      </w:r>
      <w:r w:rsidR="008B68C4" w:rsidRPr="002D5E90">
        <w:t xml:space="preserve"> of data, unavailability of data, or lack of universal coverage.</w:t>
      </w:r>
      <w:r w:rsidR="00FA6701" w:rsidRPr="002D5E90">
        <w:t xml:space="preserve"> </w:t>
      </w:r>
      <w:r w:rsidR="003852DA" w:rsidRPr="002D5E90">
        <w:t>There is no known alternative source of data for electricity trade with Canada.</w:t>
      </w:r>
      <w:r w:rsidR="00EC307C">
        <w:t xml:space="preserve"> </w:t>
      </w:r>
      <w:r w:rsidR="00DF2224" w:rsidRPr="002D5E90">
        <w:t xml:space="preserve">In the absence of the centralized and public data collection by EIA, each state on an international border would have to undertake its own collection of the volumes and prices of imported purchases and exported sales of electricity at wholesale for use by public utility commissions when reviewing rate cases. This may lead duplicative information requests from multiple firms within the electric power industry that engage in the import or export of electricity at the </w:t>
      </w:r>
      <w:r w:rsidR="00DF2224" w:rsidRPr="002D5E90">
        <w:rPr>
          <w:noProof/>
        </w:rPr>
        <w:t>international</w:t>
      </w:r>
      <w:r w:rsidR="00DF2224" w:rsidRPr="002D5E90">
        <w:t xml:space="preserve"> border. This data collection has been designed to ensure consistent data at minimum cost to the public and respondents.</w:t>
      </w:r>
    </w:p>
    <w:p w14:paraId="0F2D064C" w14:textId="77777777" w:rsidR="00C87086" w:rsidRPr="002D5E90" w:rsidRDefault="00C87086" w:rsidP="00A41763"/>
    <w:p w14:paraId="4D57465C" w14:textId="77777777" w:rsidR="008C734C" w:rsidRPr="002D5E90" w:rsidRDefault="008C734C" w:rsidP="00F46CF3">
      <w:pPr>
        <w:pStyle w:val="Heading2"/>
      </w:pPr>
      <w:bookmarkStart w:id="15" w:name="_Toc466046213"/>
      <w:r w:rsidRPr="002D5E90">
        <w:t>A.</w:t>
      </w:r>
      <w:r w:rsidR="00A41763" w:rsidRPr="002D5E90">
        <w:t xml:space="preserve">5. </w:t>
      </w:r>
      <w:r w:rsidRPr="002D5E90">
        <w:t>Provisions for Reducing Burden on Small Businesses</w:t>
      </w:r>
      <w:bookmarkEnd w:id="15"/>
      <w:r w:rsidRPr="002D5E90">
        <w:t xml:space="preserve"> </w:t>
      </w:r>
    </w:p>
    <w:p w14:paraId="28330C78" w14:textId="68A7002E" w:rsidR="00A41763" w:rsidRPr="002D5E90" w:rsidRDefault="00C311A7" w:rsidP="00A41763">
      <w:pPr>
        <w:rPr>
          <w:i/>
          <w:iCs/>
        </w:rPr>
      </w:pPr>
      <w:r w:rsidRPr="002D5E90">
        <w:rPr>
          <w:color w:val="000000"/>
        </w:rPr>
        <w:t xml:space="preserve">EIA is mindful of the need to minimize </w:t>
      </w:r>
      <w:r w:rsidRPr="002D5E90">
        <w:rPr>
          <w:noProof/>
          <w:color w:val="000000"/>
        </w:rPr>
        <w:t>burden</w:t>
      </w:r>
      <w:r w:rsidRPr="002D5E90">
        <w:rPr>
          <w:color w:val="000000"/>
        </w:rPr>
        <w:t xml:space="preserve"> on small business and to the extent possible, designs its data surveys so that small operations are not unduly affected. EIA has determined that businesses that engage in electricity transmission are not small businesses.</w:t>
      </w:r>
      <w:r w:rsidR="00FA6701" w:rsidRPr="002D5E90">
        <w:rPr>
          <w:color w:val="000000"/>
        </w:rPr>
        <w:t xml:space="preserve"> </w:t>
      </w:r>
      <w:r w:rsidRPr="002D5E90">
        <w:rPr>
          <w:color w:val="000000"/>
        </w:rPr>
        <w:t>The use of electronic data collection</w:t>
      </w:r>
      <w:r w:rsidR="003852DA" w:rsidRPr="002D5E90">
        <w:rPr>
          <w:color w:val="000000"/>
        </w:rPr>
        <w:t xml:space="preserve"> and the quarterly</w:t>
      </w:r>
      <w:r w:rsidR="00EE260D" w:rsidRPr="002D5E90">
        <w:rPr>
          <w:color w:val="000000"/>
        </w:rPr>
        <w:t>,</w:t>
      </w:r>
      <w:r w:rsidR="003852DA" w:rsidRPr="002D5E90">
        <w:rPr>
          <w:color w:val="000000"/>
        </w:rPr>
        <w:t xml:space="preserve"> rather than monthly</w:t>
      </w:r>
      <w:r w:rsidR="00EE260D" w:rsidRPr="002D5E90">
        <w:rPr>
          <w:color w:val="000000"/>
        </w:rPr>
        <w:t>,</w:t>
      </w:r>
      <w:r w:rsidR="003852DA" w:rsidRPr="002D5E90">
        <w:rPr>
          <w:color w:val="000000"/>
        </w:rPr>
        <w:t xml:space="preserve"> reporting cycle</w:t>
      </w:r>
      <w:r w:rsidRPr="002D5E90">
        <w:rPr>
          <w:color w:val="000000"/>
        </w:rPr>
        <w:t xml:space="preserve"> is intended to reduce the response burden</w:t>
      </w:r>
      <w:r w:rsidR="003852DA" w:rsidRPr="002D5E90">
        <w:rPr>
          <w:color w:val="000000"/>
        </w:rPr>
        <w:t xml:space="preserve"> </w:t>
      </w:r>
      <w:r w:rsidRPr="002D5E90">
        <w:rPr>
          <w:color w:val="000000"/>
        </w:rPr>
        <w:t>for business</w:t>
      </w:r>
      <w:r w:rsidR="003852DA" w:rsidRPr="002D5E90">
        <w:rPr>
          <w:color w:val="000000"/>
        </w:rPr>
        <w:t>es of all sizes</w:t>
      </w:r>
      <w:r w:rsidRPr="002D5E90">
        <w:rPr>
          <w:color w:val="000000"/>
          <w:sz w:val="24"/>
          <w:szCs w:val="24"/>
        </w:rPr>
        <w:t>.</w:t>
      </w:r>
    </w:p>
    <w:p w14:paraId="4972114A" w14:textId="77777777" w:rsidR="008C734C" w:rsidRPr="002D5E90" w:rsidRDefault="008C734C" w:rsidP="00A41763"/>
    <w:p w14:paraId="380E187A" w14:textId="77777777" w:rsidR="008C734C" w:rsidRPr="002D5E90" w:rsidRDefault="008C734C" w:rsidP="00F46CF3">
      <w:pPr>
        <w:pStyle w:val="Heading2"/>
      </w:pPr>
      <w:bookmarkStart w:id="16" w:name="_Toc466046214"/>
      <w:r w:rsidRPr="002D5E90">
        <w:t>A.</w:t>
      </w:r>
      <w:r w:rsidR="00A41763" w:rsidRPr="002D5E90">
        <w:t xml:space="preserve">6. </w:t>
      </w:r>
      <w:r w:rsidRPr="002D5E90">
        <w:t>Consequences of Less-Frequent Reporting</w:t>
      </w:r>
      <w:bookmarkEnd w:id="16"/>
    </w:p>
    <w:p w14:paraId="0FCDDCEF" w14:textId="6EED09F3" w:rsidR="00A45184" w:rsidRPr="002D5E90" w:rsidRDefault="001E02FD" w:rsidP="00A45184">
      <w:pPr>
        <w:rPr>
          <w:sz w:val="24"/>
          <w:szCs w:val="24"/>
        </w:rPr>
      </w:pPr>
      <w:r w:rsidRPr="002D5E90">
        <w:t>Form EIA-111 collects monthly electric power import and export data information on a quarterly basis.</w:t>
      </w:r>
      <w:r w:rsidR="00EC307C">
        <w:t xml:space="preserve"> </w:t>
      </w:r>
      <w:r w:rsidR="00A45184" w:rsidRPr="002D5E90">
        <w:t xml:space="preserve">Less frequent reporting would </w:t>
      </w:r>
      <w:r w:rsidRPr="002D5E90">
        <w:t xml:space="preserve">result in less timely data on the flow of electricity between the U.S., Canada, and Mexico. </w:t>
      </w:r>
    </w:p>
    <w:p w14:paraId="67A183C7" w14:textId="77777777" w:rsidR="008C734C" w:rsidRPr="002D5E90" w:rsidRDefault="008C734C" w:rsidP="00A41763"/>
    <w:p w14:paraId="3A496A05" w14:textId="77777777" w:rsidR="008C734C" w:rsidRPr="002D5E90" w:rsidRDefault="008C734C" w:rsidP="00F46CF3">
      <w:pPr>
        <w:pStyle w:val="Heading2"/>
      </w:pPr>
      <w:bookmarkStart w:id="17" w:name="_Toc466046215"/>
      <w:r w:rsidRPr="002D5E90">
        <w:t>A.</w:t>
      </w:r>
      <w:r w:rsidR="00A41763" w:rsidRPr="002D5E90">
        <w:t xml:space="preserve">7. </w:t>
      </w:r>
      <w:r w:rsidRPr="002D5E90">
        <w:t>Compliance with 5 CFR 1320.5</w:t>
      </w:r>
      <w:bookmarkEnd w:id="17"/>
    </w:p>
    <w:p w14:paraId="2D751DE8" w14:textId="3388726A" w:rsidR="00E73742" w:rsidRPr="002D5E90" w:rsidRDefault="00E73742" w:rsidP="00E73742">
      <w:r w:rsidRPr="002D5E90">
        <w:t xml:space="preserve">Form EIA-111 is operated in accordance with the guidelines in 5 CFR 1320.5. </w:t>
      </w:r>
    </w:p>
    <w:p w14:paraId="010909D4" w14:textId="77777777" w:rsidR="008C734C" w:rsidRPr="002D5E90" w:rsidRDefault="008C734C" w:rsidP="00A41763">
      <w:pPr>
        <w:rPr>
          <w:b/>
          <w:bCs/>
        </w:rPr>
      </w:pPr>
    </w:p>
    <w:p w14:paraId="52CAB480" w14:textId="77777777" w:rsidR="008C734C" w:rsidRPr="002D5E90" w:rsidRDefault="008C734C" w:rsidP="00F46CF3">
      <w:pPr>
        <w:pStyle w:val="Heading2"/>
      </w:pPr>
      <w:bookmarkStart w:id="18" w:name="_Toc466046216"/>
      <w:r w:rsidRPr="002D5E90">
        <w:t>A.</w:t>
      </w:r>
      <w:r w:rsidR="00A41763" w:rsidRPr="002D5E90">
        <w:t xml:space="preserve">8. </w:t>
      </w:r>
      <w:r w:rsidRPr="002D5E90">
        <w:t>Summary of Consultations Outside of the Agency</w:t>
      </w:r>
      <w:bookmarkEnd w:id="18"/>
    </w:p>
    <w:p w14:paraId="3EBAC641" w14:textId="01F8223D" w:rsidR="00A032C3" w:rsidRDefault="00BE4F09" w:rsidP="00A41763">
      <w:pPr>
        <w:rPr>
          <w:bCs/>
        </w:rPr>
      </w:pPr>
      <w:r>
        <w:t xml:space="preserve">On October 20, 2017, EIA published a 60-day Federal Register Notice (FRN) in </w:t>
      </w:r>
      <w:hyperlink r:id="rId22" w:history="1">
        <w:r w:rsidRPr="00BE4F09">
          <w:rPr>
            <w:rStyle w:val="Hyperlink"/>
          </w:rPr>
          <w:t>Volume 82, Number 202</w:t>
        </w:r>
      </w:hyperlink>
      <w:r>
        <w:t xml:space="preserve"> regarding the renewal of the Form EIA-111.</w:t>
      </w:r>
      <w:r w:rsidR="00EC307C">
        <w:t xml:space="preserve"> </w:t>
      </w:r>
      <w:r w:rsidR="00A032C3">
        <w:rPr>
          <w:bCs/>
        </w:rPr>
        <w:t>EIA received two written comments in response to the 60</w:t>
      </w:r>
      <w:r>
        <w:rPr>
          <w:bCs/>
        </w:rPr>
        <w:t>-</w:t>
      </w:r>
      <w:r w:rsidR="00A032C3">
        <w:rPr>
          <w:bCs/>
        </w:rPr>
        <w:t>Day FRN.</w:t>
      </w:r>
      <w:r w:rsidR="00EC307C">
        <w:rPr>
          <w:bCs/>
        </w:rPr>
        <w:t xml:space="preserve"> </w:t>
      </w:r>
      <w:r w:rsidR="00A032C3">
        <w:rPr>
          <w:bCs/>
        </w:rPr>
        <w:t>A comment from Puget Sound Energy requested the EIA consider implementing in 2019 or after a business to business process that would allow information technology to securely interface directly with EIA for submittal of the form resulting in reducing errors from manual effort and effort from manually entering data.</w:t>
      </w:r>
      <w:r w:rsidR="00EC307C">
        <w:rPr>
          <w:bCs/>
        </w:rPr>
        <w:t xml:space="preserve"> </w:t>
      </w:r>
      <w:r w:rsidR="00A032C3">
        <w:rPr>
          <w:bCs/>
        </w:rPr>
        <w:t>EIA agrees that a business to business process to interface directly would reduce errors and effort.</w:t>
      </w:r>
      <w:r w:rsidR="00EC307C">
        <w:rPr>
          <w:bCs/>
        </w:rPr>
        <w:t xml:space="preserve"> </w:t>
      </w:r>
      <w:r w:rsidR="00A032C3">
        <w:rPr>
          <w:bCs/>
        </w:rPr>
        <w:t>EIA also believes that in general the functionality and “user experience” of the system should be improved.</w:t>
      </w:r>
      <w:r w:rsidR="00EC307C">
        <w:rPr>
          <w:bCs/>
        </w:rPr>
        <w:t xml:space="preserve"> </w:t>
      </w:r>
      <w:r w:rsidR="00A032C3">
        <w:rPr>
          <w:bCs/>
        </w:rPr>
        <w:t>EIA has started a multi-year program to i</w:t>
      </w:r>
      <w:r w:rsidR="00AB3A02">
        <w:rPr>
          <w:bCs/>
        </w:rPr>
        <w:t>mprove its data collection</w:t>
      </w:r>
      <w:r w:rsidR="00A032C3">
        <w:rPr>
          <w:bCs/>
        </w:rPr>
        <w:t xml:space="preserve"> systems.</w:t>
      </w:r>
      <w:r w:rsidR="00EC307C">
        <w:rPr>
          <w:bCs/>
        </w:rPr>
        <w:t xml:space="preserve"> </w:t>
      </w:r>
      <w:r w:rsidR="00A032C3">
        <w:rPr>
          <w:bCs/>
        </w:rPr>
        <w:t xml:space="preserve">This program will eventually include the electricity and solar renewable surveys, but has not yet </w:t>
      </w:r>
      <w:r w:rsidR="00123A47">
        <w:rPr>
          <w:bCs/>
        </w:rPr>
        <w:t>set the schedule for this work.</w:t>
      </w:r>
    </w:p>
    <w:p w14:paraId="12AC1975" w14:textId="286742FC" w:rsidR="00AB3A02" w:rsidRDefault="00AB3A02" w:rsidP="00A41763">
      <w:pPr>
        <w:rPr>
          <w:bCs/>
        </w:rPr>
      </w:pPr>
      <w:r>
        <w:rPr>
          <w:bCs/>
        </w:rPr>
        <w:t>EIA also received a comment from Shell Energy North America.</w:t>
      </w:r>
      <w:r w:rsidR="00EC307C">
        <w:rPr>
          <w:bCs/>
        </w:rPr>
        <w:t xml:space="preserve"> </w:t>
      </w:r>
      <w:r>
        <w:rPr>
          <w:bCs/>
        </w:rPr>
        <w:t>This comment also requested EIA consider a data upload functionality and improvements to the information technology to simplify the password changing process in particular.</w:t>
      </w:r>
      <w:r w:rsidR="00EC307C">
        <w:rPr>
          <w:bCs/>
        </w:rPr>
        <w:t xml:space="preserve"> </w:t>
      </w:r>
      <w:r>
        <w:rPr>
          <w:bCs/>
        </w:rPr>
        <w:t>As stated above, EIA has started a multi-year program to improve its data collection systems.</w:t>
      </w:r>
    </w:p>
    <w:p w14:paraId="2090D0B3" w14:textId="1C8185B5" w:rsidR="00AB3A02" w:rsidRDefault="00AB3A02" w:rsidP="00A41763">
      <w:pPr>
        <w:rPr>
          <w:bCs/>
        </w:rPr>
      </w:pPr>
      <w:r>
        <w:rPr>
          <w:bCs/>
        </w:rPr>
        <w:t>Shell Energy North America also proposed the removal of the requirement to supply a Presidential Permit as power transactions are generally not done by a specific facility or group of facilities when they cross borders.</w:t>
      </w:r>
      <w:r w:rsidR="00EC307C">
        <w:rPr>
          <w:bCs/>
        </w:rPr>
        <w:t xml:space="preserve"> </w:t>
      </w:r>
      <w:r>
        <w:rPr>
          <w:bCs/>
        </w:rPr>
        <w:t>Instead they are done across interfaces, and it is not realistic for a trading entity to say which facility power flowed across.</w:t>
      </w:r>
    </w:p>
    <w:p w14:paraId="678659E0" w14:textId="77777777" w:rsidR="00AD684E" w:rsidRDefault="00AD684E" w:rsidP="00AD684E">
      <w:r w:rsidRPr="00E22DEF">
        <w:t xml:space="preserve">The </w:t>
      </w:r>
      <w:r>
        <w:t xml:space="preserve">Form </w:t>
      </w:r>
      <w:r w:rsidRPr="00E22DEF">
        <w:t>EIA-111 requires the reporting of transfer facilities in order to allow DOE’s Office of Electricity to verify that electricity is only export</w:t>
      </w:r>
      <w:r>
        <w:t>ed</w:t>
      </w:r>
      <w:r w:rsidRPr="00E22DEF">
        <w:t xml:space="preserve"> over transmission facilities as specified in the exporter’s Export Authorization order. Therefore, EIA will not remove the requirement to report </w:t>
      </w:r>
      <w:r>
        <w:t xml:space="preserve">the </w:t>
      </w:r>
      <w:r w:rsidRPr="00E22DEF">
        <w:t>transfer facility</w:t>
      </w:r>
      <w:r>
        <w:t>.</w:t>
      </w:r>
    </w:p>
    <w:p w14:paraId="46DCB7BA" w14:textId="41D37970" w:rsidR="00E33480" w:rsidRPr="0017752F" w:rsidRDefault="00AD684E" w:rsidP="00A41763">
      <w:pPr>
        <w:rPr>
          <w:bCs/>
        </w:rPr>
      </w:pPr>
      <w:r w:rsidRPr="00E22DEF">
        <w:t>The scheduling of international transfers between a U</w:t>
      </w:r>
      <w:r>
        <w:t>.</w:t>
      </w:r>
      <w:r w:rsidRPr="00E22DEF">
        <w:t>S</w:t>
      </w:r>
      <w:r>
        <w:t>.</w:t>
      </w:r>
      <w:r w:rsidRPr="00E22DEF">
        <w:t xml:space="preserve"> and a foreign border balancing authority is over all the transmission facilities directly connecting the two balancing authorities collectively. If the facilities involved are covered under a single Presidential Permit, only the Presidential Permit needs to be reported using the picklist. If more than one presidential permit is involved in the transfer, appropriate picklist choices are available. </w:t>
      </w:r>
      <w:r>
        <w:t>Our understanding is that u</w:t>
      </w:r>
      <w:r w:rsidRPr="00E22DEF">
        <w:t>ntil recently Shell Energy was not aware that a picklist choice was available for their transfer across the New York - Ontario interface.</w:t>
      </w:r>
    </w:p>
    <w:p w14:paraId="2472FEFF" w14:textId="033998AF" w:rsidR="00BE4F09" w:rsidRDefault="00BE4F09" w:rsidP="00BE4F09">
      <w:pPr>
        <w:rPr>
          <w:bCs/>
        </w:rPr>
      </w:pPr>
      <w:bookmarkStart w:id="19" w:name="_Toc466046217"/>
      <w:r>
        <w:rPr>
          <w:bCs/>
        </w:rPr>
        <w:t>On December 6, 2017, EIA conducted an Outreach Session via both WebEx and In-Person attendance options. Invitations were extended to respondents, know relevant trade associations, and other stakeholders known to EIA.</w:t>
      </w:r>
      <w:r w:rsidR="00EC307C">
        <w:rPr>
          <w:bCs/>
        </w:rPr>
        <w:t xml:space="preserve"> </w:t>
      </w:r>
      <w:r>
        <w:rPr>
          <w:bCs/>
        </w:rPr>
        <w:t>Ten parties participated via WebEx and one party attended in person.</w:t>
      </w:r>
      <w:r w:rsidR="00EC307C">
        <w:rPr>
          <w:bCs/>
        </w:rPr>
        <w:t xml:space="preserve"> </w:t>
      </w:r>
      <w:r>
        <w:rPr>
          <w:bCs/>
        </w:rPr>
        <w:t>EIA’s presentation covered the uses and purposes of the Form EIA-111.</w:t>
      </w:r>
      <w:r w:rsidR="00EC307C">
        <w:rPr>
          <w:bCs/>
        </w:rPr>
        <w:t xml:space="preserve"> </w:t>
      </w:r>
      <w:r>
        <w:rPr>
          <w:bCs/>
        </w:rPr>
        <w:t>As no changes were proposed in the 60-Day FRN, none were discussed.</w:t>
      </w:r>
    </w:p>
    <w:p w14:paraId="2AE9C364" w14:textId="77777777" w:rsidR="00205628" w:rsidRPr="002D5E90" w:rsidRDefault="00205628" w:rsidP="00F46CF3">
      <w:pPr>
        <w:pStyle w:val="Heading2"/>
      </w:pPr>
    </w:p>
    <w:p w14:paraId="64F992F1" w14:textId="77777777" w:rsidR="008C734C" w:rsidRPr="002D5E90" w:rsidRDefault="008C734C" w:rsidP="00F46CF3">
      <w:pPr>
        <w:pStyle w:val="Heading2"/>
      </w:pPr>
      <w:r w:rsidRPr="002D5E90">
        <w:t>A.</w:t>
      </w:r>
      <w:r w:rsidR="00A41763" w:rsidRPr="002D5E90">
        <w:t xml:space="preserve">9. </w:t>
      </w:r>
      <w:r w:rsidRPr="002D5E90">
        <w:t>Payments or Gifts to Respondents</w:t>
      </w:r>
      <w:bookmarkEnd w:id="19"/>
      <w:r w:rsidRPr="002D5E90">
        <w:t xml:space="preserve"> </w:t>
      </w:r>
    </w:p>
    <w:p w14:paraId="5587098E" w14:textId="664219AD" w:rsidR="00205628" w:rsidRPr="002D5E90" w:rsidRDefault="00205628" w:rsidP="00205628">
      <w:pPr>
        <w:rPr>
          <w:bCs/>
          <w:u w:val="single"/>
        </w:rPr>
      </w:pPr>
      <w:r w:rsidRPr="002D5E90">
        <w:rPr>
          <w:bCs/>
        </w:rPr>
        <w:t xml:space="preserve">There will not be any payments made or gifts given to respondents as an incentive to complete </w:t>
      </w:r>
      <w:r w:rsidR="00EE260D" w:rsidRPr="002D5E90">
        <w:rPr>
          <w:bCs/>
        </w:rPr>
        <w:t>Form EIA-111</w:t>
      </w:r>
      <w:r w:rsidRPr="002D5E90">
        <w:rPr>
          <w:bCs/>
        </w:rPr>
        <w:t>.</w:t>
      </w:r>
    </w:p>
    <w:p w14:paraId="38867CE7" w14:textId="77777777" w:rsidR="008C734C" w:rsidRPr="002D5E90" w:rsidRDefault="008C734C" w:rsidP="00A41763">
      <w:pPr>
        <w:rPr>
          <w:b/>
          <w:bCs/>
        </w:rPr>
      </w:pPr>
    </w:p>
    <w:p w14:paraId="1A728E79" w14:textId="77777777" w:rsidR="008C734C" w:rsidRPr="002D5E90" w:rsidRDefault="008C734C" w:rsidP="00F46CF3">
      <w:pPr>
        <w:pStyle w:val="Heading2"/>
      </w:pPr>
      <w:bookmarkStart w:id="20" w:name="_Toc466046218"/>
      <w:r w:rsidRPr="002D5E90">
        <w:t>A.</w:t>
      </w:r>
      <w:r w:rsidR="00A41763" w:rsidRPr="002D5E90">
        <w:t xml:space="preserve">10. </w:t>
      </w:r>
      <w:r w:rsidRPr="002D5E90">
        <w:t>Provisions for Protection of Information</w:t>
      </w:r>
      <w:bookmarkEnd w:id="20"/>
      <w:r w:rsidRPr="002D5E90">
        <w:t xml:space="preserve"> </w:t>
      </w:r>
    </w:p>
    <w:p w14:paraId="37D088A8" w14:textId="3AE6BF5D" w:rsidR="00F056C3" w:rsidRPr="002D5E90" w:rsidRDefault="00532882" w:rsidP="00A41763">
      <w:pPr>
        <w:rPr>
          <w:bCs/>
        </w:rPr>
      </w:pPr>
      <w:r w:rsidRPr="002D5E90">
        <w:rPr>
          <w:bCs/>
        </w:rPr>
        <w:t>The information reported on Form EIA-111 will be considered public information and may be publicly released in identifiable form.</w:t>
      </w:r>
      <w:r w:rsidR="00FA6701" w:rsidRPr="002D5E90">
        <w:rPr>
          <w:bCs/>
        </w:rPr>
        <w:t xml:space="preserve"> </w:t>
      </w:r>
    </w:p>
    <w:p w14:paraId="5617608F" w14:textId="77777777" w:rsidR="0081543F" w:rsidRPr="002D5E90" w:rsidRDefault="0081543F" w:rsidP="00A41763">
      <w:pPr>
        <w:rPr>
          <w:b/>
          <w:bCs/>
        </w:rPr>
      </w:pPr>
    </w:p>
    <w:p w14:paraId="59E02B62" w14:textId="77777777" w:rsidR="00F056C3" w:rsidRPr="002D5E90" w:rsidRDefault="00F056C3" w:rsidP="00F46CF3">
      <w:pPr>
        <w:pStyle w:val="Heading2"/>
      </w:pPr>
      <w:bookmarkStart w:id="21" w:name="_Toc466046219"/>
      <w:r w:rsidRPr="002D5E90">
        <w:t>A.</w:t>
      </w:r>
      <w:r w:rsidR="00A41763" w:rsidRPr="002D5E90">
        <w:t xml:space="preserve">11. </w:t>
      </w:r>
      <w:r w:rsidRPr="002D5E90">
        <w:t>Justification for Sensitive Questions</w:t>
      </w:r>
      <w:bookmarkEnd w:id="21"/>
      <w:r w:rsidRPr="002D5E90">
        <w:t xml:space="preserve"> </w:t>
      </w:r>
    </w:p>
    <w:p w14:paraId="07ED3BDA" w14:textId="77777777" w:rsidR="00F056C3" w:rsidRPr="002D5E90" w:rsidRDefault="0081543F" w:rsidP="00A41763">
      <w:pPr>
        <w:rPr>
          <w:bCs/>
        </w:rPr>
      </w:pPr>
      <w:r w:rsidRPr="002D5E90">
        <w:rPr>
          <w:bCs/>
        </w:rPr>
        <w:t>There are no questions of a sensitive nature.</w:t>
      </w:r>
    </w:p>
    <w:p w14:paraId="331DC73A" w14:textId="6C55AB72" w:rsidR="0081543F" w:rsidRPr="002D5E90" w:rsidRDefault="0081543F" w:rsidP="00F46CF3">
      <w:pPr>
        <w:pStyle w:val="Heading2"/>
      </w:pPr>
      <w:bookmarkStart w:id="22" w:name="_Toc466046220"/>
    </w:p>
    <w:p w14:paraId="1870DC48" w14:textId="77777777" w:rsidR="00F056C3" w:rsidRPr="002D5E90" w:rsidRDefault="00F056C3" w:rsidP="00F46CF3">
      <w:pPr>
        <w:pStyle w:val="Heading2"/>
      </w:pPr>
      <w:r w:rsidRPr="002D5E90">
        <w:t>A.</w:t>
      </w:r>
      <w:r w:rsidR="00A41763" w:rsidRPr="002D5E90">
        <w:t xml:space="preserve">12. </w:t>
      </w:r>
      <w:r w:rsidRPr="002D5E90">
        <w:t>Estimate of Respondent Burden Hours and Cost</w:t>
      </w:r>
      <w:bookmarkEnd w:id="22"/>
      <w:r w:rsidRPr="002D5E90">
        <w:t xml:space="preserve"> </w:t>
      </w:r>
    </w:p>
    <w:p w14:paraId="3CBF7253" w14:textId="7763EBAD" w:rsidR="00CB30DB" w:rsidRPr="002D5E90" w:rsidRDefault="00CB30DB" w:rsidP="00CB30DB">
      <w:pPr>
        <w:rPr>
          <w:bCs/>
        </w:rPr>
      </w:pPr>
      <w:bookmarkStart w:id="23" w:name="_Toc459210196"/>
      <w:r w:rsidRPr="002D5E90">
        <w:rPr>
          <w:bCs/>
        </w:rPr>
        <w:t xml:space="preserve">The total annual burden is estimated to be </w:t>
      </w:r>
      <w:r w:rsidR="0072059E" w:rsidRPr="002D5E90">
        <w:rPr>
          <w:b/>
          <w:bCs/>
        </w:rPr>
        <w:t>1,056</w:t>
      </w:r>
      <w:r w:rsidRPr="002D5E90">
        <w:rPr>
          <w:b/>
          <w:bCs/>
        </w:rPr>
        <w:t xml:space="preserve"> hours </w:t>
      </w:r>
      <w:r w:rsidRPr="002D5E90">
        <w:rPr>
          <w:bCs/>
        </w:rPr>
        <w:t>(see Table A1 below).</w:t>
      </w:r>
      <w:bookmarkEnd w:id="23"/>
      <w:r w:rsidR="00FA6701" w:rsidRPr="002D5E90">
        <w:rPr>
          <w:bCs/>
        </w:rPr>
        <w:t xml:space="preserve"> </w:t>
      </w:r>
      <w:r w:rsidRPr="002D5E90">
        <w:rPr>
          <w:bCs/>
        </w:rPr>
        <w:t>Based on the estimated rate of $7</w:t>
      </w:r>
      <w:r w:rsidR="00514D66">
        <w:rPr>
          <w:bCs/>
        </w:rPr>
        <w:t>5</w:t>
      </w:r>
      <w:r w:rsidRPr="002D5E90">
        <w:rPr>
          <w:bCs/>
        </w:rPr>
        <w:t>.6</w:t>
      </w:r>
      <w:r w:rsidR="00514D66">
        <w:rPr>
          <w:bCs/>
        </w:rPr>
        <w:t>9</w:t>
      </w:r>
      <w:r w:rsidRPr="002D5E90">
        <w:rPr>
          <w:bCs/>
        </w:rPr>
        <w:t xml:space="preserve"> per hour for employees who would complete these forms, the total annual respondent cost for all forms is estimated to be:</w:t>
      </w:r>
    </w:p>
    <w:p w14:paraId="1791AE86" w14:textId="5E4A7DCB" w:rsidR="00CB30DB" w:rsidRPr="002D5E90" w:rsidRDefault="00CB30DB" w:rsidP="00CB30DB">
      <w:pPr>
        <w:rPr>
          <w:bCs/>
        </w:rPr>
      </w:pPr>
      <w:r w:rsidRPr="002D5E90">
        <w:rPr>
          <w:bCs/>
        </w:rPr>
        <w:t>$7</w:t>
      </w:r>
      <w:r w:rsidR="00344A4A">
        <w:rPr>
          <w:bCs/>
        </w:rPr>
        <w:t>5</w:t>
      </w:r>
      <w:r w:rsidRPr="002D5E90">
        <w:rPr>
          <w:bCs/>
        </w:rPr>
        <w:t>.6</w:t>
      </w:r>
      <w:r w:rsidR="00344A4A">
        <w:rPr>
          <w:bCs/>
        </w:rPr>
        <w:t>9</w:t>
      </w:r>
      <w:r w:rsidRPr="002D5E90">
        <w:rPr>
          <w:bCs/>
        </w:rPr>
        <w:t xml:space="preserve">/hour x </w:t>
      </w:r>
      <w:r w:rsidR="00385BC4" w:rsidRPr="002D5E90">
        <w:rPr>
          <w:bCs/>
        </w:rPr>
        <w:t>1,056</w:t>
      </w:r>
      <w:r w:rsidRPr="002D5E90">
        <w:rPr>
          <w:bCs/>
        </w:rPr>
        <w:t xml:space="preserve"> hours/year = $</w:t>
      </w:r>
      <w:r w:rsidR="00385BC4" w:rsidRPr="002D5E90">
        <w:rPr>
          <w:bCs/>
        </w:rPr>
        <w:t>7</w:t>
      </w:r>
      <w:r w:rsidR="00514D66">
        <w:rPr>
          <w:bCs/>
        </w:rPr>
        <w:t>9</w:t>
      </w:r>
      <w:r w:rsidR="00385BC4" w:rsidRPr="002D5E90">
        <w:rPr>
          <w:bCs/>
        </w:rPr>
        <w:t>,</w:t>
      </w:r>
      <w:r w:rsidR="00514D66">
        <w:rPr>
          <w:bCs/>
        </w:rPr>
        <w:t>929</w:t>
      </w:r>
    </w:p>
    <w:p w14:paraId="4AE11263" w14:textId="51079C65" w:rsidR="00CB30DB" w:rsidRPr="002D5E90" w:rsidRDefault="00CB30DB" w:rsidP="00CB30DB">
      <w:pPr>
        <w:rPr>
          <w:bCs/>
        </w:rPr>
      </w:pPr>
      <w:r w:rsidRPr="002D5E90">
        <w:rPr>
          <w:bCs/>
        </w:rPr>
        <w:t>An average cost per hour of $7</w:t>
      </w:r>
      <w:r w:rsidR="00514D66">
        <w:rPr>
          <w:bCs/>
        </w:rPr>
        <w:t>5</w:t>
      </w:r>
      <w:r w:rsidRPr="002D5E90">
        <w:rPr>
          <w:bCs/>
        </w:rPr>
        <w:t>.6</w:t>
      </w:r>
      <w:r w:rsidR="00514D66">
        <w:rPr>
          <w:bCs/>
        </w:rPr>
        <w:t>9</w:t>
      </w:r>
      <w:r w:rsidRPr="002D5E90">
        <w:rPr>
          <w:bCs/>
        </w:rPr>
        <w:t xml:space="preserve"> is used because that is the average loaded cost</w:t>
      </w:r>
      <w:r w:rsidR="00A24A37" w:rsidRPr="002D5E90">
        <w:rPr>
          <w:bCs/>
        </w:rPr>
        <w:t xml:space="preserve"> </w:t>
      </w:r>
      <w:r w:rsidR="00EE260D" w:rsidRPr="002D5E90">
        <w:rPr>
          <w:bCs/>
        </w:rPr>
        <w:t xml:space="preserve">(salary plus benefits) </w:t>
      </w:r>
      <w:r w:rsidRPr="002D5E90">
        <w:rPr>
          <w:bCs/>
        </w:rPr>
        <w:t>for an EIA employee assigned to data survey work. EIA assumes that the survey respondent workforce completing surveys is comparable with EIA workforce.</w:t>
      </w:r>
    </w:p>
    <w:p w14:paraId="378B3349" w14:textId="77777777" w:rsidR="00A41763" w:rsidRPr="002D5E90" w:rsidRDefault="00A41763" w:rsidP="00A41763"/>
    <w:bookmarkStart w:id="24" w:name="_MON_1539789608"/>
    <w:bookmarkEnd w:id="24"/>
    <w:p w14:paraId="723B50C2" w14:textId="77777777" w:rsidR="00F056C3" w:rsidRPr="002D5E90" w:rsidRDefault="00E4790B" w:rsidP="00A41763">
      <w:pPr>
        <w:rPr>
          <w:b/>
          <w:bCs/>
        </w:rPr>
      </w:pPr>
      <w:r w:rsidRPr="002D5E90">
        <w:rPr>
          <w:b/>
          <w:bCs/>
        </w:rPr>
        <w:object w:dxaOrig="10251" w:dyaOrig="1835" w14:anchorId="54C33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05pt;height:97.55pt" o:ole="">
            <v:imagedata r:id="rId23" o:title=""/>
          </v:shape>
          <o:OLEObject Type="Embed" ProgID="Excel.Sheet.12" ShapeID="_x0000_i1025" DrawAspect="Content" ObjectID="_1583320991" r:id="rId24"/>
        </w:object>
      </w:r>
    </w:p>
    <w:p w14:paraId="68960920" w14:textId="77777777" w:rsidR="00262A52" w:rsidRPr="002D5E90" w:rsidRDefault="00262A52" w:rsidP="00F46CF3">
      <w:pPr>
        <w:pStyle w:val="Heading2"/>
      </w:pPr>
      <w:bookmarkStart w:id="25" w:name="_Toc466046221"/>
    </w:p>
    <w:p w14:paraId="5EE90B22" w14:textId="77777777" w:rsidR="00F056C3" w:rsidRPr="002D5E90" w:rsidRDefault="00F056C3" w:rsidP="00F46CF3">
      <w:pPr>
        <w:pStyle w:val="Heading2"/>
      </w:pPr>
      <w:r w:rsidRPr="002D5E90">
        <w:t>A.</w:t>
      </w:r>
      <w:r w:rsidR="00A41763" w:rsidRPr="002D5E90">
        <w:t xml:space="preserve">13. </w:t>
      </w:r>
      <w:r w:rsidRPr="002D5E90">
        <w:t>Annual Cost to the Federal Government</w:t>
      </w:r>
      <w:bookmarkEnd w:id="25"/>
    </w:p>
    <w:p w14:paraId="760D5C04" w14:textId="094C73D2" w:rsidR="001540CA" w:rsidRPr="002D5E90" w:rsidRDefault="00B55020" w:rsidP="00F6142E">
      <w:pPr>
        <w:rPr>
          <w:b/>
        </w:rPr>
        <w:sectPr w:rsidR="001540CA" w:rsidRPr="002D5E90" w:rsidSect="003F4B60">
          <w:headerReference w:type="even" r:id="rId25"/>
          <w:headerReference w:type="default" r:id="rId26"/>
          <w:footerReference w:type="even" r:id="rId27"/>
          <w:headerReference w:type="first" r:id="rId28"/>
          <w:footerReference w:type="first" r:id="rId29"/>
          <w:pgSz w:w="12240" w:h="15840"/>
          <w:pgMar w:top="1440" w:right="1440" w:bottom="1440" w:left="1440" w:header="720" w:footer="720" w:gutter="0"/>
          <w:cols w:space="720"/>
          <w:docGrid w:linePitch="360"/>
        </w:sectPr>
      </w:pPr>
      <w:bookmarkStart w:id="26" w:name="_Toc466046222"/>
      <w:r w:rsidRPr="002D5E90">
        <w:t xml:space="preserve">The estimated annualized cost to the government for Form EIA-111, including personnel, forms development, maintenance, data collection, and processing is </w:t>
      </w:r>
      <w:r w:rsidRPr="002D5E90">
        <w:rPr>
          <w:noProof/>
        </w:rPr>
        <w:t>approximately</w:t>
      </w:r>
      <w:r w:rsidRPr="002D5E90">
        <w:t xml:space="preserve"> $12</w:t>
      </w:r>
      <w:r w:rsidR="008A55DB">
        <w:t>7</w:t>
      </w:r>
      <w:r w:rsidRPr="002D5E90">
        <w:t>,</w:t>
      </w:r>
      <w:r w:rsidR="008A55DB">
        <w:t>15</w:t>
      </w:r>
      <w:r w:rsidRPr="002D5E90">
        <w:t>9</w:t>
      </w:r>
      <w:r w:rsidR="008A55DB">
        <w:t>.</w:t>
      </w:r>
      <w:r w:rsidRPr="002D5E90">
        <w:t xml:space="preserve"> The estimate of $12</w:t>
      </w:r>
      <w:r w:rsidR="00514D66">
        <w:t>7</w:t>
      </w:r>
      <w:r w:rsidRPr="002D5E90">
        <w:t>,</w:t>
      </w:r>
      <w:r w:rsidR="00514D66">
        <w:t>15</w:t>
      </w:r>
      <w:r w:rsidRPr="002D5E90">
        <w:t xml:space="preserve">9 is 80% of one </w:t>
      </w:r>
      <w:r w:rsidRPr="002D5E90">
        <w:rPr>
          <w:noProof/>
        </w:rPr>
        <w:t>full</w:t>
      </w:r>
      <w:r w:rsidR="00565A80" w:rsidRPr="002D5E90">
        <w:rPr>
          <w:noProof/>
        </w:rPr>
        <w:t>-</w:t>
      </w:r>
      <w:r w:rsidRPr="002D5E90">
        <w:rPr>
          <w:noProof/>
        </w:rPr>
        <w:t>time</w:t>
      </w:r>
      <w:r w:rsidRPr="002D5E90">
        <w:t xml:space="preserve"> equivalent (FTE) EIA employee.</w:t>
      </w:r>
      <w:r w:rsidR="00FA6701" w:rsidRPr="002D5E90">
        <w:t xml:space="preserve"> </w:t>
      </w:r>
      <w:r w:rsidRPr="002D5E90">
        <w:t>(The current estimate of the hourly rate for an EIA employee is $7</w:t>
      </w:r>
      <w:r w:rsidR="00514D66">
        <w:t>5</w:t>
      </w:r>
      <w:r w:rsidRPr="002D5E90">
        <w:t>.6</w:t>
      </w:r>
      <w:r w:rsidR="00514D66">
        <w:t>9</w:t>
      </w:r>
      <w:r w:rsidRPr="002D5E90">
        <w:t>/hour.</w:t>
      </w:r>
      <w:r w:rsidR="00FA6701" w:rsidRPr="002D5E90">
        <w:t xml:space="preserve"> </w:t>
      </w:r>
      <w:r w:rsidRPr="002D5E90">
        <w:t>Assuming 2,100 hours per year the annual cost is $15</w:t>
      </w:r>
      <w:r w:rsidR="00514D66">
        <w:t>8</w:t>
      </w:r>
      <w:r w:rsidRPr="002D5E90">
        <w:t>,</w:t>
      </w:r>
      <w:r w:rsidR="00514D66">
        <w:t>949</w:t>
      </w:r>
      <w:r w:rsidRPr="002D5E90">
        <w:t>, of which 80% is $12</w:t>
      </w:r>
      <w:r w:rsidR="00514D66">
        <w:t>7</w:t>
      </w:r>
      <w:r w:rsidRPr="002D5E90">
        <w:t>,</w:t>
      </w:r>
      <w:r w:rsidR="00514D66">
        <w:t>15</w:t>
      </w:r>
      <w:r w:rsidRPr="002D5E90">
        <w:t>9.)</w:t>
      </w:r>
      <w:r w:rsidR="00FA6701" w:rsidRPr="002D5E90">
        <w:t xml:space="preserve"> </w:t>
      </w:r>
      <w:r w:rsidRPr="002D5E90">
        <w:t>The 80% assumption is based on experience with other EIA electricity surveys, the anticipated frame size of 176 respondents, and the frequency of data collection.</w:t>
      </w:r>
      <w:r w:rsidR="00FA6701" w:rsidRPr="002D5E90">
        <w:t xml:space="preserve"> </w:t>
      </w:r>
      <w:r w:rsidRPr="002D5E90">
        <w:t xml:space="preserve">The overall annual costs to the Federal Government are larger than the previous authorized cycle due to an increase in the average loaded cost for an EIA employee. </w:t>
      </w:r>
    </w:p>
    <w:p w14:paraId="79900CB2" w14:textId="77777777" w:rsidR="00F056C3" w:rsidRPr="002D5E90" w:rsidRDefault="00F056C3" w:rsidP="00F46CF3">
      <w:pPr>
        <w:pStyle w:val="Heading2"/>
      </w:pPr>
      <w:r w:rsidRPr="002D5E90">
        <w:t>A.</w:t>
      </w:r>
      <w:r w:rsidR="00A41763" w:rsidRPr="002D5E90">
        <w:t xml:space="preserve">14. </w:t>
      </w:r>
      <w:r w:rsidRPr="002D5E90">
        <w:t>Changes in Burden</w:t>
      </w:r>
      <w:bookmarkEnd w:id="26"/>
      <w:r w:rsidRPr="002D5E90">
        <w:t xml:space="preserve"> </w:t>
      </w:r>
    </w:p>
    <w:p w14:paraId="264403A0" w14:textId="77777777" w:rsidR="00220439" w:rsidRPr="002D5E90" w:rsidRDefault="00220439" w:rsidP="00A41763">
      <w:pPr>
        <w:rPr>
          <w:bCs/>
        </w:rPr>
      </w:pPr>
      <w:r w:rsidRPr="002D5E90">
        <w:rPr>
          <w:bCs/>
        </w:rPr>
        <w:t>There is no estimated change in annual burden as shown in Table A2 below.</w:t>
      </w:r>
    </w:p>
    <w:p w14:paraId="1A4BC773" w14:textId="77777777" w:rsidR="00220439" w:rsidRPr="002D5E90" w:rsidRDefault="00220439" w:rsidP="00A41763">
      <w:pPr>
        <w:rPr>
          <w:bCs/>
        </w:rPr>
      </w:pPr>
    </w:p>
    <w:bookmarkStart w:id="27" w:name="_MON_1539790134"/>
    <w:bookmarkEnd w:id="27"/>
    <w:p w14:paraId="682F54B3" w14:textId="77777777" w:rsidR="001540CA" w:rsidRPr="002D5E90" w:rsidRDefault="00C81233" w:rsidP="00246AED">
      <w:pPr>
        <w:ind w:left="-720" w:right="-720"/>
        <w:sectPr w:rsidR="001540CA" w:rsidRPr="002D5E90" w:rsidSect="001540CA">
          <w:pgSz w:w="15840" w:h="12240" w:orient="landscape"/>
          <w:pgMar w:top="1440" w:right="1440" w:bottom="1440" w:left="1440" w:header="720" w:footer="720" w:gutter="0"/>
          <w:cols w:space="720"/>
          <w:docGrid w:linePitch="360"/>
        </w:sectPr>
      </w:pPr>
      <w:r w:rsidRPr="002D5E90">
        <w:object w:dxaOrig="18114" w:dyaOrig="3124" w14:anchorId="60B7B8E3">
          <v:shape id="_x0000_i1026" type="#_x0000_t75" style="width:665.7pt;height:156.05pt" o:ole="">
            <v:imagedata r:id="rId30" o:title=""/>
          </v:shape>
          <o:OLEObject Type="Embed" ProgID="Excel.Sheet.12" ShapeID="_x0000_i1026" DrawAspect="Content" ObjectID="_1583320992" r:id="rId31"/>
        </w:object>
      </w:r>
    </w:p>
    <w:p w14:paraId="7AD153A1" w14:textId="77777777" w:rsidR="006D42EC" w:rsidRPr="002D5E90" w:rsidRDefault="00F056C3" w:rsidP="00F46CF3">
      <w:pPr>
        <w:pStyle w:val="Heading2"/>
      </w:pPr>
      <w:bookmarkStart w:id="28" w:name="_Toc466046223"/>
      <w:r w:rsidRPr="002D5E90">
        <w:t>A.</w:t>
      </w:r>
      <w:r w:rsidR="00A41763" w:rsidRPr="002D5E90">
        <w:t xml:space="preserve">15. </w:t>
      </w:r>
      <w:r w:rsidR="006D42EC" w:rsidRPr="002D5E90">
        <w:t>Reasons for Changes in Burden</w:t>
      </w:r>
      <w:bookmarkEnd w:id="28"/>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DD5EFC" w:rsidRPr="00812C91" w14:paraId="157641EE" w14:textId="77777777" w:rsidTr="000306CA">
        <w:trPr>
          <w:trHeight w:val="360"/>
          <w:jc w:val="center"/>
        </w:trPr>
        <w:tc>
          <w:tcPr>
            <w:tcW w:w="9360" w:type="dxa"/>
            <w:gridSpan w:val="5"/>
            <w:tcBorders>
              <w:top w:val="nil"/>
              <w:left w:val="nil"/>
              <w:bottom w:val="nil"/>
              <w:right w:val="nil"/>
            </w:tcBorders>
            <w:noWrap/>
            <w:vAlign w:val="bottom"/>
            <w:hideMark/>
          </w:tcPr>
          <w:p w14:paraId="268F4F05" w14:textId="77777777" w:rsidR="00DD5EFC" w:rsidRDefault="00DD5EFC" w:rsidP="000306CA">
            <w:pPr>
              <w:spacing w:after="0" w:line="240" w:lineRule="auto"/>
              <w:jc w:val="center"/>
            </w:pPr>
            <w:r>
              <w:br w:type="page"/>
            </w:r>
          </w:p>
          <w:p w14:paraId="0D767BC1" w14:textId="62D745FC" w:rsidR="00DD5EFC" w:rsidRPr="00812C91" w:rsidRDefault="00DD5EFC" w:rsidP="000306CA">
            <w:pPr>
              <w:spacing w:after="0" w:line="240" w:lineRule="auto"/>
              <w:jc w:val="center"/>
              <w:rPr>
                <w:rFonts w:ascii="Arial" w:hAnsi="Arial" w:cs="Arial"/>
                <w:b/>
                <w:color w:val="0070C0"/>
                <w:sz w:val="28"/>
                <w:szCs w:val="28"/>
              </w:rPr>
            </w:pPr>
            <w:r w:rsidRPr="00812C91">
              <w:rPr>
                <w:rFonts w:ascii="Arial" w:hAnsi="Arial" w:cs="Arial"/>
                <w:b/>
                <w:color w:val="0070C0"/>
                <w:sz w:val="28"/>
                <w:szCs w:val="28"/>
              </w:rPr>
              <w:t>Table A3. ICR Summary of Burden</w:t>
            </w:r>
          </w:p>
        </w:tc>
      </w:tr>
      <w:tr w:rsidR="00DD5EFC" w:rsidRPr="00812C91" w14:paraId="4BFB8AE3" w14:textId="77777777" w:rsidTr="000306CA">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4CBFE61" w14:textId="77777777" w:rsidR="00DD5EFC" w:rsidRPr="00812C91" w:rsidRDefault="00DD5EFC" w:rsidP="000306CA">
            <w:pPr>
              <w:spacing w:after="0" w:line="240" w:lineRule="auto"/>
              <w:jc w:val="center"/>
              <w:rPr>
                <w:rFonts w:ascii="Calibri" w:hAnsi="Calibri" w:cs="Arial"/>
                <w:b/>
                <w:bCs/>
                <w:color w:val="FFFFFF"/>
                <w:sz w:val="20"/>
                <w:szCs w:val="20"/>
              </w:rPr>
            </w:pPr>
            <w:r w:rsidRPr="00812C91">
              <w:rPr>
                <w:rFonts w:ascii="Calibri"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0EAD4E9" w14:textId="77777777" w:rsidR="00DD5EFC" w:rsidRPr="00812C91" w:rsidRDefault="00DD5EFC" w:rsidP="000306CA">
            <w:pPr>
              <w:spacing w:after="0" w:line="240" w:lineRule="auto"/>
              <w:jc w:val="center"/>
              <w:rPr>
                <w:rFonts w:ascii="Calibri" w:hAnsi="Calibri" w:cs="Arial"/>
                <w:b/>
                <w:bCs/>
                <w:sz w:val="20"/>
                <w:szCs w:val="20"/>
              </w:rPr>
            </w:pPr>
            <w:r w:rsidRPr="00812C91">
              <w:rPr>
                <w:rFonts w:ascii="Calibri"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BF6CA48" w14:textId="77777777" w:rsidR="00DD5EFC" w:rsidRPr="00812C91" w:rsidRDefault="00DD5EFC" w:rsidP="000306CA">
            <w:pPr>
              <w:spacing w:after="0" w:line="240" w:lineRule="auto"/>
              <w:jc w:val="center"/>
              <w:rPr>
                <w:rFonts w:ascii="Calibri" w:hAnsi="Calibri" w:cs="Arial"/>
                <w:b/>
                <w:bCs/>
                <w:sz w:val="20"/>
                <w:szCs w:val="20"/>
              </w:rPr>
            </w:pPr>
            <w:r w:rsidRPr="00812C91">
              <w:rPr>
                <w:rFonts w:ascii="Calibri"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25BB0B9E" w14:textId="77777777" w:rsidR="00DD5EFC" w:rsidRPr="00812C91" w:rsidRDefault="00DD5EFC" w:rsidP="000306CA">
            <w:pPr>
              <w:spacing w:after="0" w:line="240" w:lineRule="auto"/>
              <w:jc w:val="center"/>
              <w:rPr>
                <w:rFonts w:ascii="Calibri" w:hAnsi="Calibri" w:cs="Arial"/>
                <w:b/>
                <w:bCs/>
                <w:sz w:val="20"/>
                <w:szCs w:val="20"/>
              </w:rPr>
            </w:pPr>
            <w:r w:rsidRPr="00812C91">
              <w:rPr>
                <w:rFonts w:ascii="Calibri"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13B96F9D" w14:textId="77777777" w:rsidR="00DD5EFC" w:rsidRPr="00812C91" w:rsidRDefault="00DD5EFC" w:rsidP="000306CA">
            <w:pPr>
              <w:spacing w:after="0" w:line="240" w:lineRule="auto"/>
              <w:jc w:val="center"/>
              <w:rPr>
                <w:rFonts w:ascii="Calibri" w:hAnsi="Calibri" w:cs="Arial"/>
                <w:b/>
                <w:bCs/>
                <w:sz w:val="20"/>
                <w:szCs w:val="20"/>
              </w:rPr>
            </w:pPr>
            <w:r w:rsidRPr="00812C91">
              <w:rPr>
                <w:rFonts w:ascii="Calibri" w:hAnsi="Calibri" w:cs="Arial"/>
                <w:b/>
                <w:bCs/>
                <w:sz w:val="20"/>
                <w:szCs w:val="20"/>
              </w:rPr>
              <w:t>Previously Approved</w:t>
            </w:r>
          </w:p>
        </w:tc>
      </w:tr>
      <w:tr w:rsidR="00DD5EFC" w:rsidRPr="00812C91" w14:paraId="0F9704A3" w14:textId="77777777" w:rsidTr="000306CA">
        <w:trPr>
          <w:trHeight w:val="525"/>
          <w:jc w:val="center"/>
        </w:trPr>
        <w:tc>
          <w:tcPr>
            <w:tcW w:w="9360" w:type="dxa"/>
            <w:tcBorders>
              <w:top w:val="nil"/>
              <w:left w:val="single" w:sz="4" w:space="0" w:color="auto"/>
              <w:bottom w:val="single" w:sz="4" w:space="0" w:color="auto"/>
              <w:right w:val="single" w:sz="4" w:space="0" w:color="auto"/>
            </w:tcBorders>
            <w:vAlign w:val="center"/>
            <w:hideMark/>
          </w:tcPr>
          <w:p w14:paraId="0C0C10CB" w14:textId="77777777"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 xml:space="preserve">Total </w:t>
            </w:r>
            <w:r w:rsidRPr="00812C91">
              <w:rPr>
                <w:rFonts w:ascii="Calibri" w:hAnsi="Calibri" w:cs="Arial"/>
                <w:color w:val="576170"/>
                <w:sz w:val="20"/>
                <w:szCs w:val="20"/>
              </w:rPr>
              <w:t>Number of Responses</w:t>
            </w:r>
          </w:p>
        </w:tc>
        <w:tc>
          <w:tcPr>
            <w:tcW w:w="9360" w:type="dxa"/>
            <w:tcBorders>
              <w:top w:val="nil"/>
              <w:left w:val="nil"/>
              <w:bottom w:val="single" w:sz="4" w:space="0" w:color="auto"/>
              <w:right w:val="single" w:sz="4" w:space="0" w:color="auto"/>
            </w:tcBorders>
            <w:vAlign w:val="center"/>
            <w:hideMark/>
          </w:tcPr>
          <w:p w14:paraId="45ECE58E" w14:textId="77A4C636" w:rsidR="00DD5EFC" w:rsidRPr="00812C91" w:rsidRDefault="00DD5EFC" w:rsidP="000306CA">
            <w:pPr>
              <w:spacing w:after="0" w:line="240" w:lineRule="auto"/>
              <w:rPr>
                <w:rFonts w:ascii="Calibri" w:hAnsi="Calibri" w:cs="Arial"/>
                <w:color w:val="576170"/>
                <w:sz w:val="20"/>
                <w:szCs w:val="20"/>
              </w:rPr>
            </w:pPr>
            <w:r w:rsidRPr="00812C91">
              <w:rPr>
                <w:rFonts w:ascii="Calibri" w:hAnsi="Calibri" w:cs="Arial"/>
                <w:color w:val="576170"/>
                <w:sz w:val="20"/>
                <w:szCs w:val="20"/>
              </w:rPr>
              <w:t> </w:t>
            </w:r>
            <w:r>
              <w:rPr>
                <w:rFonts w:ascii="Calibri" w:hAnsi="Calibri" w:cs="Arial"/>
                <w:color w:val="576170"/>
                <w:sz w:val="20"/>
                <w:szCs w:val="20"/>
              </w:rPr>
              <w:t>704</w:t>
            </w:r>
          </w:p>
        </w:tc>
        <w:tc>
          <w:tcPr>
            <w:tcW w:w="9360" w:type="dxa"/>
            <w:tcBorders>
              <w:top w:val="nil"/>
              <w:left w:val="nil"/>
              <w:bottom w:val="single" w:sz="4" w:space="0" w:color="auto"/>
              <w:right w:val="single" w:sz="4" w:space="0" w:color="auto"/>
            </w:tcBorders>
            <w:vAlign w:val="center"/>
            <w:hideMark/>
          </w:tcPr>
          <w:p w14:paraId="2C2F6010" w14:textId="119C09DE"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308519BC" w14:textId="09CE3109"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7D39058E" w14:textId="3F9B4232"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704</w:t>
            </w:r>
          </w:p>
        </w:tc>
      </w:tr>
      <w:tr w:rsidR="00DD5EFC" w:rsidRPr="00812C91" w14:paraId="0AA9303D" w14:textId="77777777" w:rsidTr="000306CA">
        <w:trPr>
          <w:trHeight w:val="525"/>
          <w:jc w:val="center"/>
        </w:trPr>
        <w:tc>
          <w:tcPr>
            <w:tcW w:w="9360" w:type="dxa"/>
            <w:tcBorders>
              <w:top w:val="nil"/>
              <w:left w:val="single" w:sz="4" w:space="0" w:color="auto"/>
              <w:bottom w:val="single" w:sz="4" w:space="0" w:color="auto"/>
              <w:right w:val="single" w:sz="4" w:space="0" w:color="auto"/>
            </w:tcBorders>
            <w:vAlign w:val="center"/>
            <w:hideMark/>
          </w:tcPr>
          <w:p w14:paraId="2F9991FF" w14:textId="77777777"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Tota</w:t>
            </w:r>
            <w:r w:rsidRPr="00812C91">
              <w:rPr>
                <w:rFonts w:ascii="Calibri" w:hAnsi="Calibri" w:cs="Arial"/>
                <w:color w:val="576170"/>
                <w:sz w:val="20"/>
                <w:szCs w:val="20"/>
              </w:rPr>
              <w:t>l Time Burden (Hr)</w:t>
            </w:r>
          </w:p>
        </w:tc>
        <w:tc>
          <w:tcPr>
            <w:tcW w:w="9360" w:type="dxa"/>
            <w:tcBorders>
              <w:top w:val="nil"/>
              <w:left w:val="nil"/>
              <w:bottom w:val="single" w:sz="4" w:space="0" w:color="auto"/>
              <w:right w:val="single" w:sz="4" w:space="0" w:color="auto"/>
            </w:tcBorders>
            <w:vAlign w:val="center"/>
            <w:hideMark/>
          </w:tcPr>
          <w:p w14:paraId="3182A0A1" w14:textId="42475A65" w:rsidR="00DD5EFC" w:rsidRPr="00812C91" w:rsidRDefault="00DD5EFC" w:rsidP="000306CA">
            <w:pPr>
              <w:spacing w:after="0" w:line="240" w:lineRule="auto"/>
              <w:rPr>
                <w:rFonts w:ascii="Calibri" w:hAnsi="Calibri" w:cs="Arial"/>
                <w:color w:val="576170"/>
                <w:sz w:val="20"/>
                <w:szCs w:val="20"/>
              </w:rPr>
            </w:pPr>
            <w:r w:rsidRPr="00812C91">
              <w:rPr>
                <w:rFonts w:ascii="Calibri" w:hAnsi="Calibri" w:cs="Arial"/>
                <w:color w:val="576170"/>
                <w:sz w:val="20"/>
                <w:szCs w:val="20"/>
              </w:rPr>
              <w:t> </w:t>
            </w:r>
            <w:r>
              <w:rPr>
                <w:rFonts w:ascii="Calibri" w:hAnsi="Calibri" w:cs="Arial"/>
                <w:color w:val="576170"/>
                <w:sz w:val="20"/>
                <w:szCs w:val="20"/>
              </w:rPr>
              <w:t>1056</w:t>
            </w:r>
          </w:p>
        </w:tc>
        <w:tc>
          <w:tcPr>
            <w:tcW w:w="9360" w:type="dxa"/>
            <w:tcBorders>
              <w:top w:val="nil"/>
              <w:left w:val="nil"/>
              <w:bottom w:val="single" w:sz="4" w:space="0" w:color="auto"/>
              <w:right w:val="single" w:sz="4" w:space="0" w:color="auto"/>
            </w:tcBorders>
            <w:vAlign w:val="center"/>
            <w:hideMark/>
          </w:tcPr>
          <w:p w14:paraId="7B5914C8" w14:textId="4663BF04"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0</w:t>
            </w:r>
            <w:r w:rsidRPr="00812C91">
              <w:rPr>
                <w:rFonts w:ascii="Calibri" w:hAnsi="Calibri" w:cs="Arial"/>
                <w:color w:val="576170"/>
                <w:sz w:val="20"/>
                <w:szCs w:val="20"/>
              </w:rPr>
              <w:t> </w:t>
            </w:r>
          </w:p>
        </w:tc>
        <w:tc>
          <w:tcPr>
            <w:tcW w:w="9360" w:type="dxa"/>
            <w:tcBorders>
              <w:top w:val="nil"/>
              <w:left w:val="nil"/>
              <w:bottom w:val="single" w:sz="4" w:space="0" w:color="auto"/>
              <w:right w:val="single" w:sz="4" w:space="0" w:color="auto"/>
            </w:tcBorders>
            <w:vAlign w:val="center"/>
            <w:hideMark/>
          </w:tcPr>
          <w:p w14:paraId="237F23C2" w14:textId="55EDFD9A"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5F8BA0EB" w14:textId="0A685239" w:rsidR="00DD5EFC" w:rsidRPr="00812C91" w:rsidRDefault="00DD5EFC" w:rsidP="000306CA">
            <w:pPr>
              <w:spacing w:after="0" w:line="240" w:lineRule="auto"/>
              <w:rPr>
                <w:rFonts w:ascii="Calibri" w:hAnsi="Calibri" w:cs="Arial"/>
                <w:color w:val="576170"/>
                <w:sz w:val="20"/>
                <w:szCs w:val="20"/>
              </w:rPr>
            </w:pPr>
            <w:r>
              <w:rPr>
                <w:rFonts w:ascii="Calibri" w:hAnsi="Calibri" w:cs="Arial"/>
                <w:color w:val="576170"/>
                <w:sz w:val="20"/>
                <w:szCs w:val="20"/>
              </w:rPr>
              <w:t>1056</w:t>
            </w:r>
          </w:p>
        </w:tc>
      </w:tr>
    </w:tbl>
    <w:p w14:paraId="141C2F9E" w14:textId="77777777" w:rsidR="00935B8E" w:rsidRDefault="00935B8E" w:rsidP="00A41763"/>
    <w:p w14:paraId="4B824A50" w14:textId="77777777" w:rsidR="005515CD" w:rsidRPr="002D5E90" w:rsidRDefault="00AD2362" w:rsidP="00A41763">
      <w:r w:rsidRPr="002D5E90">
        <w:t>There is no change in estimated annual burden.</w:t>
      </w:r>
    </w:p>
    <w:p w14:paraId="6069BE98" w14:textId="77777777" w:rsidR="00AD2362" w:rsidRPr="002D5E90" w:rsidRDefault="00AD2362" w:rsidP="00A41763"/>
    <w:p w14:paraId="53C1BDC3" w14:textId="77777777" w:rsidR="00F056C3" w:rsidRPr="002D5E90" w:rsidRDefault="00F056C3" w:rsidP="00F46CF3">
      <w:pPr>
        <w:pStyle w:val="Heading2"/>
      </w:pPr>
      <w:bookmarkStart w:id="29" w:name="_Toc466046224"/>
      <w:r w:rsidRPr="002D5E90">
        <w:t>A.</w:t>
      </w:r>
      <w:r w:rsidR="00A41763" w:rsidRPr="002D5E90">
        <w:t xml:space="preserve">16. </w:t>
      </w:r>
      <w:r w:rsidRPr="002D5E90">
        <w:t>Collection, Tabulation, and Publication Plans</w:t>
      </w:r>
      <w:bookmarkEnd w:id="29"/>
      <w:r w:rsidRPr="002D5E90">
        <w:t xml:space="preserve"> </w:t>
      </w:r>
    </w:p>
    <w:p w14:paraId="4A99B4EF" w14:textId="77777777" w:rsidR="00A41763" w:rsidRPr="002D5E90" w:rsidRDefault="00F71151" w:rsidP="00A41763">
      <w:pPr>
        <w:rPr>
          <w:i/>
          <w:iCs/>
        </w:rPr>
      </w:pPr>
      <w:r w:rsidRPr="002D5E90">
        <w:rPr>
          <w:iCs/>
        </w:rPr>
        <w:t>The data collected on this form will be released in EIA reports and will be made available on the EIA website.</w:t>
      </w:r>
      <w:r w:rsidR="00A41763" w:rsidRPr="002D5E90">
        <w:rPr>
          <w:i/>
          <w:iCs/>
        </w:rPr>
        <w:t xml:space="preserve"> </w:t>
      </w:r>
    </w:p>
    <w:p w14:paraId="05BF1F87" w14:textId="77777777" w:rsidR="00F056C3" w:rsidRPr="002D5E90" w:rsidRDefault="00F056C3" w:rsidP="00A41763"/>
    <w:p w14:paraId="10292456" w14:textId="77777777" w:rsidR="00F056C3" w:rsidRPr="002D5E90" w:rsidRDefault="00F056C3" w:rsidP="00F46CF3">
      <w:pPr>
        <w:pStyle w:val="Heading2"/>
      </w:pPr>
      <w:bookmarkStart w:id="30" w:name="_Toc466046225"/>
      <w:r w:rsidRPr="002D5E90">
        <w:t>A.</w:t>
      </w:r>
      <w:r w:rsidR="00A41763" w:rsidRPr="002D5E90">
        <w:t xml:space="preserve">17. </w:t>
      </w:r>
      <w:r w:rsidRPr="002D5E90">
        <w:t>OMB Number and Expiration Date</w:t>
      </w:r>
      <w:bookmarkEnd w:id="30"/>
      <w:r w:rsidRPr="002D5E90">
        <w:t xml:space="preserve"> </w:t>
      </w:r>
    </w:p>
    <w:p w14:paraId="1563A3C1" w14:textId="77777777" w:rsidR="00F056C3" w:rsidRPr="002D5E90" w:rsidRDefault="00F71151" w:rsidP="00A41763">
      <w:pPr>
        <w:rPr>
          <w:bCs/>
        </w:rPr>
      </w:pPr>
      <w:r w:rsidRPr="002D5E90">
        <w:rPr>
          <w:bCs/>
        </w:rPr>
        <w:t>The OMB number (OMB Number 1905-0208) and expiration date will be displayed on the data collection form and the instructions.</w:t>
      </w:r>
    </w:p>
    <w:p w14:paraId="2A8DD28B" w14:textId="77777777" w:rsidR="00F71151" w:rsidRPr="002D5E90" w:rsidRDefault="00F71151" w:rsidP="00A41763">
      <w:pPr>
        <w:rPr>
          <w:bCs/>
        </w:rPr>
      </w:pPr>
    </w:p>
    <w:p w14:paraId="1DD2F783" w14:textId="77777777" w:rsidR="00F056C3" w:rsidRPr="002D5E90" w:rsidRDefault="00F056C3" w:rsidP="00F46CF3">
      <w:pPr>
        <w:pStyle w:val="Heading2"/>
      </w:pPr>
      <w:bookmarkStart w:id="31" w:name="_Toc466046226"/>
      <w:r w:rsidRPr="002D5E90">
        <w:t>A.</w:t>
      </w:r>
      <w:r w:rsidR="00A41763" w:rsidRPr="002D5E90">
        <w:t xml:space="preserve">18. </w:t>
      </w:r>
      <w:r w:rsidRPr="002D5E90">
        <w:t>Certification Statement</w:t>
      </w:r>
      <w:bookmarkEnd w:id="31"/>
      <w:r w:rsidRPr="002D5E90">
        <w:t xml:space="preserve"> </w:t>
      </w:r>
    </w:p>
    <w:p w14:paraId="416E2E56" w14:textId="77777777" w:rsidR="008328BA" w:rsidRPr="002D5E90" w:rsidRDefault="008328BA" w:rsidP="008328BA">
      <w:r w:rsidRPr="002D5E90">
        <w:t xml:space="preserve">There are no exceptions to the certification statement identified in Item 19, "Certification for Paperwork Reduction Act Submissions," of OMB Form 83-I. This information collection request complies with 5 CFR 1320.9. </w:t>
      </w:r>
    </w:p>
    <w:p w14:paraId="3AF4799A" w14:textId="77777777" w:rsidR="008328BA" w:rsidRPr="002D5E90" w:rsidRDefault="008328BA" w:rsidP="008328BA"/>
    <w:sectPr w:rsidR="008328BA" w:rsidRPr="002D5E90" w:rsidSect="00F91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D1C8D" w14:textId="77777777" w:rsidR="006463B8" w:rsidRDefault="006463B8" w:rsidP="00536CE1">
      <w:pPr>
        <w:spacing w:after="0" w:line="240" w:lineRule="auto"/>
      </w:pPr>
      <w:r>
        <w:separator/>
      </w:r>
    </w:p>
  </w:endnote>
  <w:endnote w:type="continuationSeparator" w:id="0">
    <w:p w14:paraId="3DC49849" w14:textId="77777777" w:rsidR="006463B8" w:rsidRDefault="006463B8" w:rsidP="00536CE1">
      <w:pPr>
        <w:spacing w:after="0" w:line="240" w:lineRule="auto"/>
      </w:pPr>
      <w:r>
        <w:continuationSeparator/>
      </w:r>
    </w:p>
  </w:endnote>
  <w:endnote w:type="continuationNotice" w:id="1">
    <w:p w14:paraId="17B1A73C" w14:textId="77777777" w:rsidR="006463B8" w:rsidRDefault="00646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96760" w14:textId="765D8D8E" w:rsidR="00132F4A" w:rsidRPr="001F3A8F" w:rsidRDefault="00132F4A" w:rsidP="00FD3755">
    <w:pPr>
      <w:pStyle w:val="Footer"/>
    </w:pPr>
    <w:r w:rsidRPr="00CB180D">
      <w:t>U.S. Energy Information Administration |</w:t>
    </w:r>
    <w:r w:rsidR="00FA6701">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E17E9D">
          <w:t>Supporting Statement for Quarterly Electricity Imports and Exports Report</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3966A1">
      <w:rPr>
        <w:noProof/>
      </w:rPr>
      <w:t>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C4EC5" w14:textId="3B444B1E" w:rsidR="00132F4A" w:rsidRDefault="003966A1" w:rsidP="00FD3755">
    <w:pPr>
      <w:pStyle w:val="Footer"/>
    </w:pPr>
    <w:sdt>
      <w:sdtPr>
        <w:id w:val="272451101"/>
        <w:docPartObj>
          <w:docPartGallery w:val="Page Numbers (Bottom of Page)"/>
          <w:docPartUnique/>
        </w:docPartObj>
      </w:sdtPr>
      <w:sdtEndPr/>
      <w:sdtContent>
        <w:r w:rsidR="00132F4A" w:rsidRPr="00CB180D">
          <w:t>U.S. Energy Information Administration</w:t>
        </w:r>
        <w:r w:rsidR="00FA6701">
          <w:t xml:space="preserve"> </w:t>
        </w:r>
        <w:r w:rsidR="00132F4A" w:rsidRPr="00CB180D">
          <w:t xml:space="preserve"> |</w:t>
        </w:r>
        <w:r w:rsidR="00FA6701">
          <w:t xml:space="preserve"> </w:t>
        </w:r>
        <w:r w:rsidR="00132F4A"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7C56B840" w14:textId="77777777" w:rsidR="00132F4A" w:rsidRDefault="00132F4A" w:rsidP="00FD3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7B60" w14:textId="3993A44F" w:rsidR="00132F4A" w:rsidRDefault="003966A1" w:rsidP="00FD3755">
    <w:pPr>
      <w:pStyle w:val="Footer"/>
    </w:pPr>
    <w:sdt>
      <w:sdtPr>
        <w:id w:val="-22715443"/>
        <w:docPartObj>
          <w:docPartGallery w:val="Page Numbers (Bottom of Page)"/>
          <w:docPartUnique/>
        </w:docPartObj>
      </w:sdtPr>
      <w:sdtEndPr/>
      <w:sdtContent>
        <w:r w:rsidR="00132F4A" w:rsidRPr="00CB180D">
          <w:t>U.S. Energy Information Administration</w:t>
        </w:r>
        <w:r w:rsidR="00FA6701">
          <w:t xml:space="preserve"> </w:t>
        </w:r>
        <w:r w:rsidR="00132F4A" w:rsidRPr="00CB180D">
          <w:t xml:space="preserve"> |</w:t>
        </w:r>
        <w:r w:rsidR="00FA6701">
          <w:t xml:space="preserve"> </w:t>
        </w:r>
        <w:r w:rsidR="00132F4A"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63A3EE56" w14:textId="77777777" w:rsidR="00132F4A" w:rsidRDefault="00132F4A" w:rsidP="00FD37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957064"/>
      <w:docPartObj>
        <w:docPartGallery w:val="Page Numbers (Bottom of Page)"/>
        <w:docPartUnique/>
      </w:docPartObj>
    </w:sdtPr>
    <w:sdtEndPr/>
    <w:sdtContent>
      <w:p w14:paraId="34430286" w14:textId="3559CA07" w:rsidR="00132F4A" w:rsidRDefault="007A0E7F" w:rsidP="00FD3755">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FA6701">
          <w:t xml:space="preserve">                                              </w:t>
        </w:r>
        <w:r w:rsidR="00132F4A">
          <w:t xml:space="preserve"> </w:t>
        </w:r>
        <w:r w:rsidR="00132F4A" w:rsidRPr="00CB180D">
          <w:t>U.S. Energy Information Administration</w:t>
        </w:r>
        <w:r w:rsidR="00FA6701">
          <w:t xml:space="preserve"> </w:t>
        </w:r>
        <w:r w:rsidR="00132F4A" w:rsidRPr="00CB180D">
          <w:t xml:space="preserve"> |</w:t>
        </w:r>
        <w:r w:rsidR="00FA6701">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AD91B" w14:textId="556C3BE1" w:rsidR="00132F4A" w:rsidRDefault="003966A1" w:rsidP="00FD3755">
    <w:pPr>
      <w:pStyle w:val="Footer"/>
    </w:pPr>
    <w:sdt>
      <w:sdtPr>
        <w:id w:val="-1604027974"/>
        <w:docPartObj>
          <w:docPartGallery w:val="Page Numbers (Bottom of Page)"/>
          <w:docPartUnique/>
        </w:docPartObj>
      </w:sdtPr>
      <w:sdtEndPr/>
      <w:sdtContent>
        <w:r w:rsidR="00132F4A" w:rsidRPr="00CB180D">
          <w:t>U.S. Energy Information Administration</w:t>
        </w:r>
        <w:r w:rsidR="00FA6701">
          <w:t xml:space="preserve"> </w:t>
        </w:r>
        <w:r w:rsidR="00132F4A" w:rsidRPr="00CB180D">
          <w:t xml:space="preserve"> |</w:t>
        </w:r>
        <w:r w:rsidR="00FA6701">
          <w:t xml:space="preserve"> </w:t>
        </w:r>
        <w:r w:rsidR="00132F4A" w:rsidRPr="00CB180D">
          <w:t xml:space="preserve"> </w:t>
        </w:r>
        <w:sdt>
          <w:sdtPr>
            <w:alias w:val="Subject"/>
            <w:id w:val="1104310539"/>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5377E7E7" w14:textId="77777777" w:rsidR="00132F4A" w:rsidRDefault="00132F4A" w:rsidP="00FD3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9DFEF" w14:textId="77777777" w:rsidR="006463B8" w:rsidRDefault="006463B8" w:rsidP="00536CE1">
      <w:pPr>
        <w:spacing w:after="0" w:line="240" w:lineRule="auto"/>
      </w:pPr>
      <w:r>
        <w:separator/>
      </w:r>
    </w:p>
  </w:footnote>
  <w:footnote w:type="continuationSeparator" w:id="0">
    <w:p w14:paraId="11AE9DC4" w14:textId="77777777" w:rsidR="006463B8" w:rsidRDefault="006463B8" w:rsidP="00536CE1">
      <w:pPr>
        <w:spacing w:after="0" w:line="240" w:lineRule="auto"/>
      </w:pPr>
      <w:r>
        <w:continuationSeparator/>
      </w:r>
    </w:p>
  </w:footnote>
  <w:footnote w:type="continuationNotice" w:id="1">
    <w:p w14:paraId="6A8B10FA" w14:textId="77777777" w:rsidR="006463B8" w:rsidRDefault="006463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4A74F"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834BC"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BD204" w14:textId="05B52DA4" w:rsidR="00132F4A" w:rsidRPr="00F8298C" w:rsidRDefault="00AD3565" w:rsidP="00041909">
    <w:pPr>
      <w:pStyle w:val="Header"/>
    </w:pPr>
    <w:r>
      <w:t>March</w:t>
    </w:r>
    <w:r w:rsidR="006F4225">
      <w:t xml:space="preserve"> 201</w:t>
    </w:r>
    <w:r w:rsidR="00AC3DB5">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6D570"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967A3"/>
    <w:multiLevelType w:val="hybridMultilevel"/>
    <w:tmpl w:val="503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37B48"/>
    <w:multiLevelType w:val="hybridMultilevel"/>
    <w:tmpl w:val="8EC23FDC"/>
    <w:lvl w:ilvl="0" w:tplc="15B87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3C6E88"/>
    <w:multiLevelType w:val="hybridMultilevel"/>
    <w:tmpl w:val="4B94D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3"/>
  </w:num>
  <w:num w:numId="9">
    <w:abstractNumId w:val="7"/>
  </w:num>
  <w:num w:numId="10">
    <w:abstractNumId w:val="9"/>
  </w:num>
  <w:num w:numId="11">
    <w:abstractNumId w:val="12"/>
  </w:num>
  <w:num w:numId="12">
    <w:abstractNumId w:val="11"/>
  </w:num>
  <w:num w:numId="13">
    <w:abstractNumId w:val="10"/>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843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3sDQyNjE3Mjc1NLdQ0lEKTi0uzszPAykwqgUASOXydywAAAA="/>
  </w:docVars>
  <w:rsids>
    <w:rsidRoot w:val="00A41763"/>
    <w:rsid w:val="0000019D"/>
    <w:rsid w:val="0000364C"/>
    <w:rsid w:val="00004135"/>
    <w:rsid w:val="000041A1"/>
    <w:rsid w:val="000053BB"/>
    <w:rsid w:val="000078ED"/>
    <w:rsid w:val="00007D4C"/>
    <w:rsid w:val="00011B3F"/>
    <w:rsid w:val="00013373"/>
    <w:rsid w:val="000142E5"/>
    <w:rsid w:val="00015DA7"/>
    <w:rsid w:val="00017907"/>
    <w:rsid w:val="000248CE"/>
    <w:rsid w:val="00024E1E"/>
    <w:rsid w:val="00034A4B"/>
    <w:rsid w:val="00041909"/>
    <w:rsid w:val="00046593"/>
    <w:rsid w:val="00047C08"/>
    <w:rsid w:val="00051657"/>
    <w:rsid w:val="00053129"/>
    <w:rsid w:val="0005401F"/>
    <w:rsid w:val="00055769"/>
    <w:rsid w:val="00056EC3"/>
    <w:rsid w:val="00062CFE"/>
    <w:rsid w:val="00067B4E"/>
    <w:rsid w:val="00067DD4"/>
    <w:rsid w:val="0007129A"/>
    <w:rsid w:val="000715C8"/>
    <w:rsid w:val="00074731"/>
    <w:rsid w:val="00080893"/>
    <w:rsid w:val="000831C4"/>
    <w:rsid w:val="000844CA"/>
    <w:rsid w:val="000B3FBE"/>
    <w:rsid w:val="000C28E1"/>
    <w:rsid w:val="000C5239"/>
    <w:rsid w:val="000C5311"/>
    <w:rsid w:val="000E3C2C"/>
    <w:rsid w:val="000F040A"/>
    <w:rsid w:val="000F10D9"/>
    <w:rsid w:val="001034E8"/>
    <w:rsid w:val="00112A69"/>
    <w:rsid w:val="0011541D"/>
    <w:rsid w:val="0012057E"/>
    <w:rsid w:val="00123A47"/>
    <w:rsid w:val="00125840"/>
    <w:rsid w:val="00131B17"/>
    <w:rsid w:val="00132F4A"/>
    <w:rsid w:val="00145210"/>
    <w:rsid w:val="001540CA"/>
    <w:rsid w:val="00154192"/>
    <w:rsid w:val="00160BC8"/>
    <w:rsid w:val="00167425"/>
    <w:rsid w:val="00176ABF"/>
    <w:rsid w:val="0017752F"/>
    <w:rsid w:val="001807A3"/>
    <w:rsid w:val="00192851"/>
    <w:rsid w:val="001947D5"/>
    <w:rsid w:val="001A550D"/>
    <w:rsid w:val="001A6E1E"/>
    <w:rsid w:val="001B0E69"/>
    <w:rsid w:val="001B6585"/>
    <w:rsid w:val="001C7ECC"/>
    <w:rsid w:val="001D03A8"/>
    <w:rsid w:val="001D3254"/>
    <w:rsid w:val="001E02FD"/>
    <w:rsid w:val="001F1264"/>
    <w:rsid w:val="001F3A8F"/>
    <w:rsid w:val="002008B4"/>
    <w:rsid w:val="00201F24"/>
    <w:rsid w:val="00204139"/>
    <w:rsid w:val="00205628"/>
    <w:rsid w:val="002127CE"/>
    <w:rsid w:val="00215842"/>
    <w:rsid w:val="00220439"/>
    <w:rsid w:val="002207DF"/>
    <w:rsid w:val="00221AC2"/>
    <w:rsid w:val="00225281"/>
    <w:rsid w:val="00227E4B"/>
    <w:rsid w:val="0023015A"/>
    <w:rsid w:val="00230602"/>
    <w:rsid w:val="00234A1B"/>
    <w:rsid w:val="0023708A"/>
    <w:rsid w:val="00246AED"/>
    <w:rsid w:val="0025022D"/>
    <w:rsid w:val="00250FDC"/>
    <w:rsid w:val="002530BB"/>
    <w:rsid w:val="00253DE8"/>
    <w:rsid w:val="002556F3"/>
    <w:rsid w:val="00257304"/>
    <w:rsid w:val="00260EDF"/>
    <w:rsid w:val="00262A52"/>
    <w:rsid w:val="00262B12"/>
    <w:rsid w:val="00264148"/>
    <w:rsid w:val="00274179"/>
    <w:rsid w:val="00284EAA"/>
    <w:rsid w:val="002855E7"/>
    <w:rsid w:val="002A60A9"/>
    <w:rsid w:val="002B0FD2"/>
    <w:rsid w:val="002B145F"/>
    <w:rsid w:val="002C378C"/>
    <w:rsid w:val="002D0502"/>
    <w:rsid w:val="002D5E90"/>
    <w:rsid w:val="002E0F77"/>
    <w:rsid w:val="002E3FD5"/>
    <w:rsid w:val="002E484A"/>
    <w:rsid w:val="002E6DC2"/>
    <w:rsid w:val="002E7A38"/>
    <w:rsid w:val="002F2D95"/>
    <w:rsid w:val="002F4C9E"/>
    <w:rsid w:val="002F7BBB"/>
    <w:rsid w:val="00305F2C"/>
    <w:rsid w:val="00306516"/>
    <w:rsid w:val="003435D0"/>
    <w:rsid w:val="00343705"/>
    <w:rsid w:val="00344A4A"/>
    <w:rsid w:val="003469CB"/>
    <w:rsid w:val="00350C8B"/>
    <w:rsid w:val="00363331"/>
    <w:rsid w:val="00371E14"/>
    <w:rsid w:val="00373208"/>
    <w:rsid w:val="00383DB3"/>
    <w:rsid w:val="003852DA"/>
    <w:rsid w:val="003854B2"/>
    <w:rsid w:val="00385AE6"/>
    <w:rsid w:val="00385BC4"/>
    <w:rsid w:val="00387C8D"/>
    <w:rsid w:val="00392DD0"/>
    <w:rsid w:val="003966A1"/>
    <w:rsid w:val="00396BCB"/>
    <w:rsid w:val="00397825"/>
    <w:rsid w:val="003A1073"/>
    <w:rsid w:val="003A10F3"/>
    <w:rsid w:val="003A3906"/>
    <w:rsid w:val="003B03A4"/>
    <w:rsid w:val="003C03EA"/>
    <w:rsid w:val="003C690C"/>
    <w:rsid w:val="003D4BB6"/>
    <w:rsid w:val="003E40FA"/>
    <w:rsid w:val="003F24ED"/>
    <w:rsid w:val="003F2680"/>
    <w:rsid w:val="003F4B60"/>
    <w:rsid w:val="003F529E"/>
    <w:rsid w:val="00406EB9"/>
    <w:rsid w:val="004101CA"/>
    <w:rsid w:val="00415D8D"/>
    <w:rsid w:val="00426481"/>
    <w:rsid w:val="004320B0"/>
    <w:rsid w:val="00432966"/>
    <w:rsid w:val="00433713"/>
    <w:rsid w:val="0045608E"/>
    <w:rsid w:val="0045662F"/>
    <w:rsid w:val="00466959"/>
    <w:rsid w:val="0047784B"/>
    <w:rsid w:val="00482F16"/>
    <w:rsid w:val="004946F0"/>
    <w:rsid w:val="00497C2A"/>
    <w:rsid w:val="004B1075"/>
    <w:rsid w:val="004C1885"/>
    <w:rsid w:val="004C277B"/>
    <w:rsid w:val="004D05FB"/>
    <w:rsid w:val="004D1794"/>
    <w:rsid w:val="004D29C7"/>
    <w:rsid w:val="004D688C"/>
    <w:rsid w:val="004D70A7"/>
    <w:rsid w:val="004E18B3"/>
    <w:rsid w:val="004E7726"/>
    <w:rsid w:val="00504119"/>
    <w:rsid w:val="005065CF"/>
    <w:rsid w:val="00506BB4"/>
    <w:rsid w:val="0050705F"/>
    <w:rsid w:val="00514D66"/>
    <w:rsid w:val="005170D3"/>
    <w:rsid w:val="0052493A"/>
    <w:rsid w:val="0052783E"/>
    <w:rsid w:val="00532882"/>
    <w:rsid w:val="00533B2A"/>
    <w:rsid w:val="00535CAF"/>
    <w:rsid w:val="00536054"/>
    <w:rsid w:val="0053654B"/>
    <w:rsid w:val="00536CE1"/>
    <w:rsid w:val="0054031E"/>
    <w:rsid w:val="0054180D"/>
    <w:rsid w:val="00547B53"/>
    <w:rsid w:val="00551160"/>
    <w:rsid w:val="005515CD"/>
    <w:rsid w:val="00552C3A"/>
    <w:rsid w:val="005615A3"/>
    <w:rsid w:val="00565A80"/>
    <w:rsid w:val="005661FA"/>
    <w:rsid w:val="00571C13"/>
    <w:rsid w:val="00571D8F"/>
    <w:rsid w:val="00572113"/>
    <w:rsid w:val="0057367D"/>
    <w:rsid w:val="00583280"/>
    <w:rsid w:val="00585BE3"/>
    <w:rsid w:val="0059175A"/>
    <w:rsid w:val="0059212D"/>
    <w:rsid w:val="005A4340"/>
    <w:rsid w:val="005B2B58"/>
    <w:rsid w:val="005C00FA"/>
    <w:rsid w:val="005C2D89"/>
    <w:rsid w:val="005C485B"/>
    <w:rsid w:val="005C5E0E"/>
    <w:rsid w:val="005C6F5D"/>
    <w:rsid w:val="005D39D7"/>
    <w:rsid w:val="005D5956"/>
    <w:rsid w:val="005D687D"/>
    <w:rsid w:val="005D6F63"/>
    <w:rsid w:val="005E567C"/>
    <w:rsid w:val="005E66FD"/>
    <w:rsid w:val="005F4848"/>
    <w:rsid w:val="005F61DF"/>
    <w:rsid w:val="005F70A5"/>
    <w:rsid w:val="00601ED4"/>
    <w:rsid w:val="00603FF6"/>
    <w:rsid w:val="00616E46"/>
    <w:rsid w:val="0062008C"/>
    <w:rsid w:val="00620797"/>
    <w:rsid w:val="00626494"/>
    <w:rsid w:val="00641DE2"/>
    <w:rsid w:val="00643384"/>
    <w:rsid w:val="006463B8"/>
    <w:rsid w:val="0065406F"/>
    <w:rsid w:val="00657E9A"/>
    <w:rsid w:val="00661BE9"/>
    <w:rsid w:val="00663EC4"/>
    <w:rsid w:val="006756DF"/>
    <w:rsid w:val="00677C5F"/>
    <w:rsid w:val="00677F29"/>
    <w:rsid w:val="00686B93"/>
    <w:rsid w:val="006960F2"/>
    <w:rsid w:val="006A0BC7"/>
    <w:rsid w:val="006C0062"/>
    <w:rsid w:val="006C097E"/>
    <w:rsid w:val="006C2DC3"/>
    <w:rsid w:val="006D0439"/>
    <w:rsid w:val="006D2ABF"/>
    <w:rsid w:val="006D42EC"/>
    <w:rsid w:val="006F1290"/>
    <w:rsid w:val="006F4225"/>
    <w:rsid w:val="0070029E"/>
    <w:rsid w:val="00704B7D"/>
    <w:rsid w:val="00711414"/>
    <w:rsid w:val="00713F80"/>
    <w:rsid w:val="00713FC6"/>
    <w:rsid w:val="0072059E"/>
    <w:rsid w:val="00725453"/>
    <w:rsid w:val="00730DA0"/>
    <w:rsid w:val="00737591"/>
    <w:rsid w:val="007438F2"/>
    <w:rsid w:val="0074660C"/>
    <w:rsid w:val="00755C3D"/>
    <w:rsid w:val="007576EF"/>
    <w:rsid w:val="00760677"/>
    <w:rsid w:val="00761C12"/>
    <w:rsid w:val="007658BA"/>
    <w:rsid w:val="007768DD"/>
    <w:rsid w:val="00776CF4"/>
    <w:rsid w:val="0077740E"/>
    <w:rsid w:val="007817DF"/>
    <w:rsid w:val="00784F89"/>
    <w:rsid w:val="00786336"/>
    <w:rsid w:val="007A0E7F"/>
    <w:rsid w:val="007A4378"/>
    <w:rsid w:val="007C5CE9"/>
    <w:rsid w:val="007D39CC"/>
    <w:rsid w:val="007D6AAF"/>
    <w:rsid w:val="007E135B"/>
    <w:rsid w:val="007E5A11"/>
    <w:rsid w:val="007E61EA"/>
    <w:rsid w:val="007E73E6"/>
    <w:rsid w:val="007F1954"/>
    <w:rsid w:val="007F21D7"/>
    <w:rsid w:val="007F3A01"/>
    <w:rsid w:val="008049DB"/>
    <w:rsid w:val="008057F8"/>
    <w:rsid w:val="00814E60"/>
    <w:rsid w:val="0081543F"/>
    <w:rsid w:val="008213F9"/>
    <w:rsid w:val="00826F01"/>
    <w:rsid w:val="008307E1"/>
    <w:rsid w:val="008328BA"/>
    <w:rsid w:val="008335FF"/>
    <w:rsid w:val="00836D62"/>
    <w:rsid w:val="00844524"/>
    <w:rsid w:val="00845CEF"/>
    <w:rsid w:val="00867160"/>
    <w:rsid w:val="00871A95"/>
    <w:rsid w:val="0087205B"/>
    <w:rsid w:val="00874FB8"/>
    <w:rsid w:val="00895669"/>
    <w:rsid w:val="00897946"/>
    <w:rsid w:val="008A1D90"/>
    <w:rsid w:val="008A3276"/>
    <w:rsid w:val="008A3447"/>
    <w:rsid w:val="008A55DB"/>
    <w:rsid w:val="008B229E"/>
    <w:rsid w:val="008B68C4"/>
    <w:rsid w:val="008C0431"/>
    <w:rsid w:val="008C734C"/>
    <w:rsid w:val="008D3F95"/>
    <w:rsid w:val="008E4BF2"/>
    <w:rsid w:val="008F4CBD"/>
    <w:rsid w:val="009017AD"/>
    <w:rsid w:val="00901BED"/>
    <w:rsid w:val="00905735"/>
    <w:rsid w:val="009131B9"/>
    <w:rsid w:val="0091409C"/>
    <w:rsid w:val="00915726"/>
    <w:rsid w:val="0092452A"/>
    <w:rsid w:val="00932BF3"/>
    <w:rsid w:val="00935805"/>
    <w:rsid w:val="00935B8E"/>
    <w:rsid w:val="009368F3"/>
    <w:rsid w:val="00947C42"/>
    <w:rsid w:val="00950489"/>
    <w:rsid w:val="00957DE9"/>
    <w:rsid w:val="009616F7"/>
    <w:rsid w:val="009657A5"/>
    <w:rsid w:val="00965A44"/>
    <w:rsid w:val="00967D7C"/>
    <w:rsid w:val="009757AD"/>
    <w:rsid w:val="00976F9B"/>
    <w:rsid w:val="009770CF"/>
    <w:rsid w:val="00980B6A"/>
    <w:rsid w:val="009818F9"/>
    <w:rsid w:val="0098551A"/>
    <w:rsid w:val="0098618F"/>
    <w:rsid w:val="00987C32"/>
    <w:rsid w:val="00991646"/>
    <w:rsid w:val="0099448B"/>
    <w:rsid w:val="00997347"/>
    <w:rsid w:val="009B19CE"/>
    <w:rsid w:val="009B4F2A"/>
    <w:rsid w:val="009B61BA"/>
    <w:rsid w:val="009C202F"/>
    <w:rsid w:val="009C76BE"/>
    <w:rsid w:val="009C77F7"/>
    <w:rsid w:val="009D4FE5"/>
    <w:rsid w:val="009E1ED0"/>
    <w:rsid w:val="009E5ABC"/>
    <w:rsid w:val="009E5B9C"/>
    <w:rsid w:val="009E6D61"/>
    <w:rsid w:val="009F4ED1"/>
    <w:rsid w:val="00A00D71"/>
    <w:rsid w:val="00A00EDF"/>
    <w:rsid w:val="00A032C3"/>
    <w:rsid w:val="00A0343D"/>
    <w:rsid w:val="00A24A37"/>
    <w:rsid w:val="00A26A17"/>
    <w:rsid w:val="00A30169"/>
    <w:rsid w:val="00A312A3"/>
    <w:rsid w:val="00A326B8"/>
    <w:rsid w:val="00A33D9F"/>
    <w:rsid w:val="00A37229"/>
    <w:rsid w:val="00A41763"/>
    <w:rsid w:val="00A418C9"/>
    <w:rsid w:val="00A45184"/>
    <w:rsid w:val="00A5014C"/>
    <w:rsid w:val="00A56EFC"/>
    <w:rsid w:val="00A57B64"/>
    <w:rsid w:val="00A72259"/>
    <w:rsid w:val="00A72AA8"/>
    <w:rsid w:val="00A746CE"/>
    <w:rsid w:val="00A74C9B"/>
    <w:rsid w:val="00A93478"/>
    <w:rsid w:val="00A97FE7"/>
    <w:rsid w:val="00AA3FD0"/>
    <w:rsid w:val="00AA46CA"/>
    <w:rsid w:val="00AA7EFA"/>
    <w:rsid w:val="00AB3A02"/>
    <w:rsid w:val="00AB61B3"/>
    <w:rsid w:val="00AC323A"/>
    <w:rsid w:val="00AC3DB5"/>
    <w:rsid w:val="00AC756E"/>
    <w:rsid w:val="00AD2362"/>
    <w:rsid w:val="00AD3565"/>
    <w:rsid w:val="00AD5FB1"/>
    <w:rsid w:val="00AD6357"/>
    <w:rsid w:val="00AD684E"/>
    <w:rsid w:val="00AD7F81"/>
    <w:rsid w:val="00AE4CA9"/>
    <w:rsid w:val="00AE634A"/>
    <w:rsid w:val="00AF068A"/>
    <w:rsid w:val="00AF367D"/>
    <w:rsid w:val="00AF45FD"/>
    <w:rsid w:val="00B2386E"/>
    <w:rsid w:val="00B35E2A"/>
    <w:rsid w:val="00B36C0C"/>
    <w:rsid w:val="00B4263D"/>
    <w:rsid w:val="00B45B9F"/>
    <w:rsid w:val="00B5465D"/>
    <w:rsid w:val="00B55020"/>
    <w:rsid w:val="00B56F49"/>
    <w:rsid w:val="00B575CD"/>
    <w:rsid w:val="00B7442A"/>
    <w:rsid w:val="00B86FAA"/>
    <w:rsid w:val="00B97002"/>
    <w:rsid w:val="00BB2F70"/>
    <w:rsid w:val="00BB6CF4"/>
    <w:rsid w:val="00BC14C3"/>
    <w:rsid w:val="00BC1ABE"/>
    <w:rsid w:val="00BD2F20"/>
    <w:rsid w:val="00BD4F62"/>
    <w:rsid w:val="00BE4AFD"/>
    <w:rsid w:val="00BE4F09"/>
    <w:rsid w:val="00BE775B"/>
    <w:rsid w:val="00C00590"/>
    <w:rsid w:val="00C00D1A"/>
    <w:rsid w:val="00C039F7"/>
    <w:rsid w:val="00C04647"/>
    <w:rsid w:val="00C04E49"/>
    <w:rsid w:val="00C058CF"/>
    <w:rsid w:val="00C116C2"/>
    <w:rsid w:val="00C12551"/>
    <w:rsid w:val="00C211CD"/>
    <w:rsid w:val="00C25328"/>
    <w:rsid w:val="00C311A7"/>
    <w:rsid w:val="00C3744D"/>
    <w:rsid w:val="00C43A84"/>
    <w:rsid w:val="00C4716F"/>
    <w:rsid w:val="00C5486B"/>
    <w:rsid w:val="00C637D3"/>
    <w:rsid w:val="00C64137"/>
    <w:rsid w:val="00C658E4"/>
    <w:rsid w:val="00C7266E"/>
    <w:rsid w:val="00C76C66"/>
    <w:rsid w:val="00C81233"/>
    <w:rsid w:val="00C82DF9"/>
    <w:rsid w:val="00C87086"/>
    <w:rsid w:val="00C87190"/>
    <w:rsid w:val="00CA1398"/>
    <w:rsid w:val="00CA1564"/>
    <w:rsid w:val="00CA7C8A"/>
    <w:rsid w:val="00CB30DB"/>
    <w:rsid w:val="00CB44E8"/>
    <w:rsid w:val="00CB7978"/>
    <w:rsid w:val="00CC1D12"/>
    <w:rsid w:val="00CC7536"/>
    <w:rsid w:val="00CD0FC8"/>
    <w:rsid w:val="00CD1E53"/>
    <w:rsid w:val="00CE42E9"/>
    <w:rsid w:val="00D001E4"/>
    <w:rsid w:val="00D00AA8"/>
    <w:rsid w:val="00D00CC8"/>
    <w:rsid w:val="00D02778"/>
    <w:rsid w:val="00D13E84"/>
    <w:rsid w:val="00D300F4"/>
    <w:rsid w:val="00D31107"/>
    <w:rsid w:val="00D3344B"/>
    <w:rsid w:val="00D40175"/>
    <w:rsid w:val="00D44C9E"/>
    <w:rsid w:val="00D44F9D"/>
    <w:rsid w:val="00D501D3"/>
    <w:rsid w:val="00D55243"/>
    <w:rsid w:val="00D62F90"/>
    <w:rsid w:val="00D63E74"/>
    <w:rsid w:val="00D715C4"/>
    <w:rsid w:val="00D80F91"/>
    <w:rsid w:val="00D83B0C"/>
    <w:rsid w:val="00D928FD"/>
    <w:rsid w:val="00DC79E3"/>
    <w:rsid w:val="00DD51E1"/>
    <w:rsid w:val="00DD5EFC"/>
    <w:rsid w:val="00DE08C4"/>
    <w:rsid w:val="00DE2D54"/>
    <w:rsid w:val="00DF2224"/>
    <w:rsid w:val="00E01747"/>
    <w:rsid w:val="00E028E0"/>
    <w:rsid w:val="00E02BB0"/>
    <w:rsid w:val="00E03CE6"/>
    <w:rsid w:val="00E13716"/>
    <w:rsid w:val="00E17E9D"/>
    <w:rsid w:val="00E2102F"/>
    <w:rsid w:val="00E24935"/>
    <w:rsid w:val="00E266FF"/>
    <w:rsid w:val="00E27661"/>
    <w:rsid w:val="00E33480"/>
    <w:rsid w:val="00E43010"/>
    <w:rsid w:val="00E4790B"/>
    <w:rsid w:val="00E47DB3"/>
    <w:rsid w:val="00E509A9"/>
    <w:rsid w:val="00E51F8B"/>
    <w:rsid w:val="00E5242A"/>
    <w:rsid w:val="00E53398"/>
    <w:rsid w:val="00E66AE2"/>
    <w:rsid w:val="00E73742"/>
    <w:rsid w:val="00E74DA4"/>
    <w:rsid w:val="00E81B89"/>
    <w:rsid w:val="00E91432"/>
    <w:rsid w:val="00E91B5A"/>
    <w:rsid w:val="00EA7F39"/>
    <w:rsid w:val="00EC307C"/>
    <w:rsid w:val="00ED5560"/>
    <w:rsid w:val="00ED6E45"/>
    <w:rsid w:val="00EE260D"/>
    <w:rsid w:val="00EE2CAF"/>
    <w:rsid w:val="00EE43E4"/>
    <w:rsid w:val="00F001EA"/>
    <w:rsid w:val="00F056C3"/>
    <w:rsid w:val="00F16B90"/>
    <w:rsid w:val="00F34F19"/>
    <w:rsid w:val="00F43F06"/>
    <w:rsid w:val="00F44A21"/>
    <w:rsid w:val="00F46CF3"/>
    <w:rsid w:val="00F50E93"/>
    <w:rsid w:val="00F55EF5"/>
    <w:rsid w:val="00F575F0"/>
    <w:rsid w:val="00F6026F"/>
    <w:rsid w:val="00F6142E"/>
    <w:rsid w:val="00F63EE9"/>
    <w:rsid w:val="00F6664C"/>
    <w:rsid w:val="00F66F4E"/>
    <w:rsid w:val="00F71151"/>
    <w:rsid w:val="00F72DAB"/>
    <w:rsid w:val="00F750E7"/>
    <w:rsid w:val="00F80AF1"/>
    <w:rsid w:val="00F8298C"/>
    <w:rsid w:val="00F8352C"/>
    <w:rsid w:val="00F872D6"/>
    <w:rsid w:val="00F90245"/>
    <w:rsid w:val="00F9101A"/>
    <w:rsid w:val="00F91E4A"/>
    <w:rsid w:val="00F920D9"/>
    <w:rsid w:val="00F9365D"/>
    <w:rsid w:val="00F94781"/>
    <w:rsid w:val="00FA4431"/>
    <w:rsid w:val="00FA5388"/>
    <w:rsid w:val="00FA6701"/>
    <w:rsid w:val="00FB08E3"/>
    <w:rsid w:val="00FB6BF3"/>
    <w:rsid w:val="00FD3755"/>
    <w:rsid w:val="00FD397B"/>
    <w:rsid w:val="00FD4B01"/>
    <w:rsid w:val="00FD52F2"/>
    <w:rsid w:val="00FD5E44"/>
    <w:rsid w:val="00FD7CDC"/>
    <w:rsid w:val="00FE58E0"/>
    <w:rsid w:val="00FE6D42"/>
    <w:rsid w:val="00FE74D0"/>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o:shapedefaults>
    <o:shapelayout v:ext="edit">
      <o:idmap v:ext="edit" data="1"/>
    </o:shapelayout>
  </w:shapeDefaults>
  <w:decimalSymbol w:val="."/>
  <w:listSeparator w:val=","/>
  <w14:docId w14:val="39EF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uiPriority="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46CF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F1264"/>
    <w:pPr>
      <w:numPr>
        <w:ilvl w:val="3"/>
      </w:numPr>
      <w:outlineLvl w:val="3"/>
    </w:pPr>
    <w:rPr>
      <w:rFonts w:asciiTheme="minorHAnsi" w:eastAsiaTheme="minorHAnsi" w:hAnsiTheme="minorHAnsi" w:cstheme="minorBidi"/>
      <w:bCs w:val="0"/>
      <w:i w:val="0"/>
      <w:color w:val="auto"/>
      <w:sz w:val="22"/>
      <w:szCs w:val="22"/>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46CF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1F1264"/>
    <w:rPr>
      <w:b/>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FD3755"/>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FD3755"/>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6463B8"/>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iPriority w:val="99"/>
    <w:semiHidden/>
    <w:unhideWhenUsed/>
    <w:locked/>
    <w:rsid w:val="001F1264"/>
    <w:pPr>
      <w:spacing w:after="120"/>
      <w:ind w:left="360"/>
    </w:pPr>
  </w:style>
  <w:style w:type="character" w:customStyle="1" w:styleId="BodyTextIndentChar">
    <w:name w:val="Body Text Indent Char"/>
    <w:basedOn w:val="DefaultParagraphFont"/>
    <w:link w:val="BodyTextIndent"/>
    <w:uiPriority w:val="99"/>
    <w:semiHidden/>
    <w:rsid w:val="001F1264"/>
  </w:style>
  <w:style w:type="paragraph" w:styleId="z-TopofForm">
    <w:name w:val="HTML Top of Form"/>
    <w:basedOn w:val="Normal"/>
    <w:link w:val="z-TopofFormChar"/>
    <w:rsid w:val="001F1264"/>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1F126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262A52"/>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styleId="Revision">
    <w:name w:val="Revision"/>
    <w:hidden/>
    <w:uiPriority w:val="99"/>
    <w:semiHidden/>
    <w:rsid w:val="00F55EF5"/>
    <w:pPr>
      <w:spacing w:after="0"/>
    </w:pPr>
  </w:style>
  <w:style w:type="character" w:styleId="FollowedHyperlink">
    <w:name w:val="FollowedHyperlink"/>
    <w:basedOn w:val="DefaultParagraphFont"/>
    <w:uiPriority w:val="99"/>
    <w:semiHidden/>
    <w:unhideWhenUsed/>
    <w:locked/>
    <w:rsid w:val="00415D8D"/>
    <w:rPr>
      <w:color w:val="5D9732" w:themeColor="followedHyperlink"/>
      <w:u w:val="single"/>
    </w:rPr>
  </w:style>
  <w:style w:type="character" w:styleId="CommentReference">
    <w:name w:val="annotation reference"/>
    <w:basedOn w:val="DefaultParagraphFont"/>
    <w:uiPriority w:val="99"/>
    <w:semiHidden/>
    <w:unhideWhenUsed/>
    <w:locked/>
    <w:rsid w:val="005661FA"/>
    <w:rPr>
      <w:sz w:val="16"/>
      <w:szCs w:val="16"/>
    </w:rPr>
  </w:style>
  <w:style w:type="paragraph" w:styleId="CommentText">
    <w:name w:val="annotation text"/>
    <w:basedOn w:val="Normal"/>
    <w:link w:val="CommentTextChar"/>
    <w:uiPriority w:val="99"/>
    <w:semiHidden/>
    <w:unhideWhenUsed/>
    <w:locked/>
    <w:rsid w:val="005661FA"/>
    <w:pPr>
      <w:spacing w:line="240" w:lineRule="auto"/>
    </w:pPr>
    <w:rPr>
      <w:sz w:val="20"/>
      <w:szCs w:val="20"/>
    </w:rPr>
  </w:style>
  <w:style w:type="character" w:customStyle="1" w:styleId="CommentTextChar">
    <w:name w:val="Comment Text Char"/>
    <w:basedOn w:val="DefaultParagraphFont"/>
    <w:link w:val="CommentText"/>
    <w:uiPriority w:val="99"/>
    <w:semiHidden/>
    <w:rsid w:val="005661FA"/>
    <w:rPr>
      <w:sz w:val="20"/>
      <w:szCs w:val="20"/>
    </w:rPr>
  </w:style>
  <w:style w:type="paragraph" w:styleId="CommentSubject">
    <w:name w:val="annotation subject"/>
    <w:basedOn w:val="CommentText"/>
    <w:next w:val="CommentText"/>
    <w:link w:val="CommentSubjectChar"/>
    <w:uiPriority w:val="99"/>
    <w:semiHidden/>
    <w:unhideWhenUsed/>
    <w:locked/>
    <w:rsid w:val="005661FA"/>
    <w:rPr>
      <w:b/>
      <w:bCs/>
    </w:rPr>
  </w:style>
  <w:style w:type="character" w:customStyle="1" w:styleId="CommentSubjectChar">
    <w:name w:val="Comment Subject Char"/>
    <w:basedOn w:val="CommentTextChar"/>
    <w:link w:val="CommentSubject"/>
    <w:uiPriority w:val="99"/>
    <w:semiHidden/>
    <w:rsid w:val="005661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uiPriority="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46CF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F1264"/>
    <w:pPr>
      <w:numPr>
        <w:ilvl w:val="3"/>
      </w:numPr>
      <w:outlineLvl w:val="3"/>
    </w:pPr>
    <w:rPr>
      <w:rFonts w:asciiTheme="minorHAnsi" w:eastAsiaTheme="minorHAnsi" w:hAnsiTheme="minorHAnsi" w:cstheme="minorBidi"/>
      <w:bCs w:val="0"/>
      <w:i w:val="0"/>
      <w:color w:val="auto"/>
      <w:sz w:val="22"/>
      <w:szCs w:val="22"/>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46CF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1F1264"/>
    <w:rPr>
      <w:b/>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FD3755"/>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FD3755"/>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6463B8"/>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iPriority w:val="99"/>
    <w:semiHidden/>
    <w:unhideWhenUsed/>
    <w:locked/>
    <w:rsid w:val="001F1264"/>
    <w:pPr>
      <w:spacing w:after="120"/>
      <w:ind w:left="360"/>
    </w:pPr>
  </w:style>
  <w:style w:type="character" w:customStyle="1" w:styleId="BodyTextIndentChar">
    <w:name w:val="Body Text Indent Char"/>
    <w:basedOn w:val="DefaultParagraphFont"/>
    <w:link w:val="BodyTextIndent"/>
    <w:uiPriority w:val="99"/>
    <w:semiHidden/>
    <w:rsid w:val="001F1264"/>
  </w:style>
  <w:style w:type="paragraph" w:styleId="z-TopofForm">
    <w:name w:val="HTML Top of Form"/>
    <w:basedOn w:val="Normal"/>
    <w:link w:val="z-TopofFormChar"/>
    <w:rsid w:val="001F1264"/>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1F126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262A52"/>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styleId="Revision">
    <w:name w:val="Revision"/>
    <w:hidden/>
    <w:uiPriority w:val="99"/>
    <w:semiHidden/>
    <w:rsid w:val="00F55EF5"/>
    <w:pPr>
      <w:spacing w:after="0"/>
    </w:pPr>
  </w:style>
  <w:style w:type="character" w:styleId="FollowedHyperlink">
    <w:name w:val="FollowedHyperlink"/>
    <w:basedOn w:val="DefaultParagraphFont"/>
    <w:uiPriority w:val="99"/>
    <w:semiHidden/>
    <w:unhideWhenUsed/>
    <w:locked/>
    <w:rsid w:val="00415D8D"/>
    <w:rPr>
      <w:color w:val="5D9732" w:themeColor="followedHyperlink"/>
      <w:u w:val="single"/>
    </w:rPr>
  </w:style>
  <w:style w:type="character" w:styleId="CommentReference">
    <w:name w:val="annotation reference"/>
    <w:basedOn w:val="DefaultParagraphFont"/>
    <w:uiPriority w:val="99"/>
    <w:semiHidden/>
    <w:unhideWhenUsed/>
    <w:locked/>
    <w:rsid w:val="005661FA"/>
    <w:rPr>
      <w:sz w:val="16"/>
      <w:szCs w:val="16"/>
    </w:rPr>
  </w:style>
  <w:style w:type="paragraph" w:styleId="CommentText">
    <w:name w:val="annotation text"/>
    <w:basedOn w:val="Normal"/>
    <w:link w:val="CommentTextChar"/>
    <w:uiPriority w:val="99"/>
    <w:semiHidden/>
    <w:unhideWhenUsed/>
    <w:locked/>
    <w:rsid w:val="005661FA"/>
    <w:pPr>
      <w:spacing w:line="240" w:lineRule="auto"/>
    </w:pPr>
    <w:rPr>
      <w:sz w:val="20"/>
      <w:szCs w:val="20"/>
    </w:rPr>
  </w:style>
  <w:style w:type="character" w:customStyle="1" w:styleId="CommentTextChar">
    <w:name w:val="Comment Text Char"/>
    <w:basedOn w:val="DefaultParagraphFont"/>
    <w:link w:val="CommentText"/>
    <w:uiPriority w:val="99"/>
    <w:semiHidden/>
    <w:rsid w:val="005661FA"/>
    <w:rPr>
      <w:sz w:val="20"/>
      <w:szCs w:val="20"/>
    </w:rPr>
  </w:style>
  <w:style w:type="paragraph" w:styleId="CommentSubject">
    <w:name w:val="annotation subject"/>
    <w:basedOn w:val="CommentText"/>
    <w:next w:val="CommentText"/>
    <w:link w:val="CommentSubjectChar"/>
    <w:uiPriority w:val="99"/>
    <w:semiHidden/>
    <w:unhideWhenUsed/>
    <w:locked/>
    <w:rsid w:val="005661FA"/>
    <w:rPr>
      <w:b/>
      <w:bCs/>
    </w:rPr>
  </w:style>
  <w:style w:type="character" w:customStyle="1" w:styleId="CommentSubjectChar">
    <w:name w:val="Comment Subject Char"/>
    <w:basedOn w:val="CommentTextChar"/>
    <w:link w:val="CommentSubject"/>
    <w:uiPriority w:val="99"/>
    <w:semiHidden/>
    <w:rsid w:val="00566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16989447">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3048729">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7170086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51995832">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23867858">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62091089">
      <w:bodyDiv w:val="1"/>
      <w:marLeft w:val="0"/>
      <w:marRight w:val="0"/>
      <w:marTop w:val="0"/>
      <w:marBottom w:val="0"/>
      <w:divBdr>
        <w:top w:val="none" w:sz="0" w:space="0" w:color="auto"/>
        <w:left w:val="none" w:sz="0" w:space="0" w:color="auto"/>
        <w:bottom w:val="none" w:sz="0" w:space="0" w:color="auto"/>
        <w:right w:val="none" w:sz="0" w:space="0" w:color="auto"/>
      </w:divBdr>
      <w:divsChild>
        <w:div w:id="1123109862">
          <w:marLeft w:val="0"/>
          <w:marRight w:val="0"/>
          <w:marTop w:val="0"/>
          <w:marBottom w:val="0"/>
          <w:divBdr>
            <w:top w:val="none" w:sz="0" w:space="0" w:color="auto"/>
            <w:left w:val="none" w:sz="0" w:space="0" w:color="auto"/>
            <w:bottom w:val="none" w:sz="0" w:space="0" w:color="auto"/>
            <w:right w:val="none" w:sz="0" w:space="0" w:color="auto"/>
          </w:divBdr>
        </w:div>
        <w:div w:id="1476024626">
          <w:marLeft w:val="0"/>
          <w:marRight w:val="0"/>
          <w:marTop w:val="0"/>
          <w:marBottom w:val="0"/>
          <w:divBdr>
            <w:top w:val="none" w:sz="0" w:space="0" w:color="auto"/>
            <w:left w:val="none" w:sz="0" w:space="0" w:color="auto"/>
            <w:bottom w:val="none" w:sz="0" w:space="0" w:color="auto"/>
            <w:right w:val="none" w:sz="0" w:space="0" w:color="auto"/>
          </w:divBdr>
        </w:div>
      </w:divsChild>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764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eia.gov/electricity/monthly/"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nacei.org/content/documents/DOE-NR_Canada-United_States_Mexican_MOU_Energy%20Information_12-15-2014.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ia.gov/totalenergy/data/monthly/" TargetMode="External"/><Relationship Id="rId25" Type="http://schemas.openxmlformats.org/officeDocument/2006/relationships/header" Target="header2.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ia.gov/electricity/annual/" TargetMode="External"/><Relationship Id="rId20" Type="http://schemas.openxmlformats.org/officeDocument/2006/relationships/hyperlink" Target="http://www.nacei.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package" Target="embeddings/Microsoft_Excel_Worksheet1.xlsx"/><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www.eia.gov/electricity/state/" TargetMode="External"/><Relationship Id="rId31" Type="http://schemas.openxmlformats.org/officeDocument/2006/relationships/package" Target="embeddings/Microsoft_Excel_Worksheet2.xls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gpo.gov/fdsys/pkg/FR-2017-10-20/pdf/2017-22801.pdf" TargetMode="External"/><Relationship Id="rId27" Type="http://schemas.openxmlformats.org/officeDocument/2006/relationships/footer" Target="footer4.xml"/><Relationship Id="rId30"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36028F"/>
    <w:rsid w:val="007A70BB"/>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EA6AE-5CD8-4EE7-97E0-E755B305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 Quarterly Electricity Imports and Exports Report</vt:lpstr>
    </vt:vector>
  </TitlesOfParts>
  <Company/>
  <LinksUpToDate>false</LinksUpToDate>
  <CharactersWithSpaces>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Quarterly Electricity Imports and Exports Report</dc:title>
  <dc:subject>Improving the Quality and Scope of EIA Data</dc:subject>
  <dc:creator>Stroud, Lawrence</dc:creator>
  <cp:keywords/>
  <dc:description/>
  <cp:lastModifiedBy>SYSTEM</cp:lastModifiedBy>
  <cp:revision>2</cp:revision>
  <cp:lastPrinted>2018-01-17T15:00:00Z</cp:lastPrinted>
  <dcterms:created xsi:type="dcterms:W3CDTF">2018-03-23T18:37:00Z</dcterms:created>
  <dcterms:modified xsi:type="dcterms:W3CDTF">2018-03-23T18:37:00Z</dcterms:modified>
</cp:coreProperties>
</file>