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D5" w:rsidRPr="002F079C" w:rsidRDefault="00633AD5" w:rsidP="00633AD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 w:rsidRPr="002F079C">
        <w:rPr>
          <w:rFonts w:ascii="Times New Roman" w:hAnsi="Times New Roman"/>
          <w:b/>
          <w:sz w:val="24"/>
        </w:rPr>
        <w:t>THE SUPPORTING STATEMENT</w:t>
      </w:r>
    </w:p>
    <w:p w:rsidR="00633AD5" w:rsidRPr="00633AD5" w:rsidRDefault="00633AD5" w:rsidP="00633AD5">
      <w:pPr>
        <w:tabs>
          <w:tab w:val="left" w:pos="-720"/>
        </w:tabs>
        <w:suppressAutoHyphens/>
        <w:spacing w:after="100" w:afterAutospacing="1"/>
        <w:rPr>
          <w:rFonts w:ascii="Times New Roman" w:hAnsi="Times New Roman"/>
          <w:sz w:val="24"/>
          <w:szCs w:val="24"/>
        </w:rPr>
      </w:pPr>
    </w:p>
    <w:p w:rsidR="00633AD5" w:rsidRPr="00633AD5" w:rsidRDefault="00633AD5" w:rsidP="00633AD5">
      <w:pPr>
        <w:widowControl/>
        <w:spacing w:after="100" w:afterAutospacing="1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b/>
          <w:bCs/>
          <w:snapToGrid/>
          <w:sz w:val="24"/>
          <w:szCs w:val="24"/>
        </w:rPr>
        <w:t>A.  Justification</w:t>
      </w:r>
    </w:p>
    <w:p w:rsidR="002F079C" w:rsidRPr="002F079C" w:rsidRDefault="002F079C" w:rsidP="002F079C">
      <w:pPr>
        <w:widowControl/>
        <w:tabs>
          <w:tab w:val="decimal" w:pos="540"/>
        </w:tabs>
        <w:spacing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 w:rsidRPr="002F079C">
        <w:rPr>
          <w:rFonts w:ascii="Times New Roman" w:hAnsi="Times New Roman"/>
          <w:snapToGrid/>
          <w:sz w:val="24"/>
          <w:szCs w:val="24"/>
        </w:rPr>
        <w:tab/>
        <w:t>1.</w:t>
      </w:r>
      <w:r w:rsidRPr="002F079C">
        <w:rPr>
          <w:rFonts w:ascii="Times New Roman" w:hAnsi="Times New Roman"/>
          <w:snapToGrid/>
          <w:sz w:val="24"/>
          <w:szCs w:val="24"/>
        </w:rPr>
        <w:tab/>
        <w:t xml:space="preserve">Circumstances Making the Collection of Information Necessary 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Section 452(a)(11) of the Social Security Act requires the Secretary of the Department of Health and Human Services to promulgate form</w:t>
      </w:r>
      <w:r w:rsidR="00342F8A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for administrative subpoenas and imposition of liens used by State child support enforcement (Title IV-D) agencies</w:t>
      </w:r>
      <w:r w:rsidR="00342F8A">
        <w:rPr>
          <w:rFonts w:ascii="Times New Roman" w:hAnsi="Times New Roman"/>
          <w:snapToGrid/>
          <w:sz w:val="24"/>
          <w:szCs w:val="24"/>
        </w:rPr>
        <w:t xml:space="preserve"> in interstate cases</w:t>
      </w:r>
      <w:r w:rsidRPr="00633AD5">
        <w:rPr>
          <w:rFonts w:ascii="Times New Roman" w:hAnsi="Times New Roman"/>
          <w:snapToGrid/>
          <w:sz w:val="24"/>
          <w:szCs w:val="24"/>
        </w:rPr>
        <w:t>.  Section 454(9)(E) of the Social Security Act requires each State to cooperate with any other State in using the federal form</w:t>
      </w:r>
      <w:r w:rsidR="00342F8A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for issuance of administrative subpoenas and imposition of liens in interstate child support cases.  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2.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26621A">
        <w:rPr>
          <w:rFonts w:ascii="Times New Roman" w:hAnsi="Times New Roman"/>
          <w:snapToGrid/>
          <w:sz w:val="24"/>
          <w:szCs w:val="24"/>
        </w:rPr>
        <w:t>Purpose and Us</w:t>
      </w:r>
      <w:r>
        <w:rPr>
          <w:rFonts w:ascii="Times New Roman" w:hAnsi="Times New Roman"/>
          <w:snapToGrid/>
          <w:sz w:val="24"/>
          <w:szCs w:val="24"/>
        </w:rPr>
        <w:t>e of the Information Collection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The </w:t>
      </w:r>
      <w:r w:rsidR="00702D5E">
        <w:rPr>
          <w:rFonts w:ascii="Times New Roman" w:hAnsi="Times New Roman"/>
          <w:snapToGrid/>
          <w:sz w:val="24"/>
          <w:szCs w:val="24"/>
        </w:rPr>
        <w:t>A</w:t>
      </w:r>
      <w:r w:rsidR="00702D5E" w:rsidRPr="00633AD5">
        <w:rPr>
          <w:rFonts w:ascii="Times New Roman" w:hAnsi="Times New Roman"/>
          <w:snapToGrid/>
          <w:sz w:val="24"/>
          <w:szCs w:val="24"/>
        </w:rPr>
        <w:t xml:space="preserve">dministrative </w:t>
      </w:r>
      <w:r w:rsidR="00702D5E">
        <w:rPr>
          <w:rFonts w:ascii="Times New Roman" w:hAnsi="Times New Roman"/>
          <w:snapToGrid/>
          <w:sz w:val="24"/>
          <w:szCs w:val="24"/>
        </w:rPr>
        <w:t>S</w:t>
      </w:r>
      <w:r w:rsidR="00702D5E" w:rsidRPr="00633AD5">
        <w:rPr>
          <w:rFonts w:ascii="Times New Roman" w:hAnsi="Times New Roman"/>
          <w:snapToGrid/>
          <w:sz w:val="24"/>
          <w:szCs w:val="24"/>
        </w:rPr>
        <w:t xml:space="preserve">ubpoena </w:t>
      </w:r>
      <w:r w:rsidRPr="00633AD5">
        <w:rPr>
          <w:rFonts w:ascii="Times New Roman" w:hAnsi="Times New Roman"/>
          <w:snapToGrid/>
          <w:sz w:val="24"/>
          <w:szCs w:val="24"/>
        </w:rPr>
        <w:t>is used by State IV-D agencies to obtain income and other financial information regarding noncustodial parents for purposes of establishing, enforcing</w:t>
      </w:r>
      <w:r w:rsidR="009D6BFD">
        <w:rPr>
          <w:rFonts w:ascii="Times New Roman" w:hAnsi="Times New Roman"/>
          <w:snapToGrid/>
          <w:sz w:val="24"/>
          <w:szCs w:val="24"/>
        </w:rPr>
        <w:t>,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and modifying child support orders.  The Social Security Act authorizes each State to send these </w:t>
      </w:r>
      <w:r w:rsidR="00702D5E">
        <w:rPr>
          <w:rFonts w:ascii="Times New Roman" w:hAnsi="Times New Roman"/>
          <w:snapToGrid/>
          <w:sz w:val="24"/>
          <w:szCs w:val="24"/>
        </w:rPr>
        <w:t>Administrative Subpoena</w:t>
      </w:r>
      <w:r w:rsidRPr="00633AD5">
        <w:rPr>
          <w:rFonts w:ascii="Times New Roman" w:hAnsi="Times New Roman"/>
          <w:snapToGrid/>
          <w:sz w:val="24"/>
          <w:szCs w:val="24"/>
        </w:rPr>
        <w:t>s to employers and financial institutions across State lines.</w:t>
      </w:r>
    </w:p>
    <w:p w:rsidR="00B42931" w:rsidRPr="00633AD5" w:rsidRDefault="00B42931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B42931">
        <w:rPr>
          <w:rFonts w:ascii="Times New Roman" w:hAnsi="Times New Roman"/>
          <w:snapToGrid/>
          <w:sz w:val="24"/>
          <w:szCs w:val="24"/>
        </w:rPr>
        <w:t xml:space="preserve">Section 466 of the Social Security Act requires State IV-D agencies to have procedures to impose liens in cases with </w:t>
      </w:r>
      <w:r w:rsidR="00702D5E">
        <w:rPr>
          <w:rFonts w:ascii="Times New Roman" w:hAnsi="Times New Roman"/>
          <w:snapToGrid/>
          <w:sz w:val="24"/>
          <w:szCs w:val="24"/>
        </w:rPr>
        <w:t>overdue support</w:t>
      </w:r>
      <w:r w:rsidRPr="00B42931">
        <w:rPr>
          <w:rFonts w:ascii="Times New Roman" w:hAnsi="Times New Roman"/>
          <w:snapToGrid/>
          <w:sz w:val="24"/>
          <w:szCs w:val="24"/>
        </w:rPr>
        <w:t>.</w:t>
      </w:r>
      <w:r w:rsidR="00915F61">
        <w:rPr>
          <w:rFonts w:ascii="Times New Roman" w:hAnsi="Times New Roman"/>
          <w:snapToGrid/>
          <w:sz w:val="24"/>
          <w:szCs w:val="24"/>
        </w:rPr>
        <w:t xml:space="preserve"> </w:t>
      </w:r>
      <w:r w:rsidRPr="00B42931">
        <w:rPr>
          <w:rFonts w:ascii="Times New Roman" w:hAnsi="Times New Roman"/>
          <w:snapToGrid/>
          <w:sz w:val="24"/>
          <w:szCs w:val="24"/>
        </w:rPr>
        <w:t xml:space="preserve"> </w:t>
      </w:r>
      <w:r w:rsidR="00915F61">
        <w:rPr>
          <w:rFonts w:ascii="Times New Roman" w:hAnsi="Times New Roman"/>
          <w:snapToGrid/>
          <w:sz w:val="24"/>
          <w:szCs w:val="24"/>
        </w:rPr>
        <w:t xml:space="preserve">A </w:t>
      </w:r>
      <w:r w:rsidR="00F53775">
        <w:rPr>
          <w:rFonts w:ascii="Times New Roman" w:hAnsi="Times New Roman"/>
          <w:snapToGrid/>
          <w:sz w:val="24"/>
          <w:szCs w:val="24"/>
        </w:rPr>
        <w:t>S</w:t>
      </w:r>
      <w:r w:rsidRPr="00B42931">
        <w:rPr>
          <w:rFonts w:ascii="Times New Roman" w:hAnsi="Times New Roman"/>
          <w:snapToGrid/>
          <w:sz w:val="24"/>
          <w:szCs w:val="24"/>
        </w:rPr>
        <w:t>tate IV-D agency use</w:t>
      </w:r>
      <w:r w:rsidR="00915F61">
        <w:rPr>
          <w:rFonts w:ascii="Times New Roman" w:hAnsi="Times New Roman"/>
          <w:snapToGrid/>
          <w:sz w:val="24"/>
          <w:szCs w:val="24"/>
        </w:rPr>
        <w:t>s</w:t>
      </w:r>
      <w:r w:rsidRPr="00B42931">
        <w:rPr>
          <w:rFonts w:ascii="Times New Roman" w:hAnsi="Times New Roman"/>
          <w:snapToGrid/>
          <w:sz w:val="24"/>
          <w:szCs w:val="24"/>
        </w:rPr>
        <w:t xml:space="preserve"> the </w:t>
      </w:r>
      <w:r w:rsidR="00566210">
        <w:rPr>
          <w:rFonts w:ascii="Times New Roman" w:hAnsi="Times New Roman"/>
          <w:snapToGrid/>
          <w:sz w:val="24"/>
          <w:szCs w:val="24"/>
        </w:rPr>
        <w:t>N</w:t>
      </w:r>
      <w:r w:rsidR="00566210" w:rsidRPr="00B42931">
        <w:rPr>
          <w:rFonts w:ascii="Times New Roman" w:hAnsi="Times New Roman"/>
          <w:snapToGrid/>
          <w:sz w:val="24"/>
          <w:szCs w:val="24"/>
        </w:rPr>
        <w:t xml:space="preserve">otice </w:t>
      </w:r>
      <w:r w:rsidRPr="00B42931">
        <w:rPr>
          <w:rFonts w:ascii="Times New Roman" w:hAnsi="Times New Roman"/>
          <w:snapToGrid/>
          <w:sz w:val="24"/>
          <w:szCs w:val="24"/>
        </w:rPr>
        <w:t xml:space="preserve">of </w:t>
      </w:r>
      <w:r w:rsidR="00566210">
        <w:rPr>
          <w:rFonts w:ascii="Times New Roman" w:hAnsi="Times New Roman"/>
          <w:snapToGrid/>
          <w:sz w:val="24"/>
          <w:szCs w:val="24"/>
        </w:rPr>
        <w:t>L</w:t>
      </w:r>
      <w:r w:rsidRPr="00B42931">
        <w:rPr>
          <w:rFonts w:ascii="Times New Roman" w:hAnsi="Times New Roman"/>
          <w:snapToGrid/>
          <w:sz w:val="24"/>
          <w:szCs w:val="24"/>
        </w:rPr>
        <w:t xml:space="preserve">ien form to file liens across </w:t>
      </w:r>
      <w:r w:rsidR="009D6BFD">
        <w:rPr>
          <w:rFonts w:ascii="Times New Roman" w:hAnsi="Times New Roman"/>
          <w:snapToGrid/>
          <w:sz w:val="24"/>
          <w:szCs w:val="24"/>
        </w:rPr>
        <w:t>S</w:t>
      </w:r>
      <w:r w:rsidRPr="00B42931">
        <w:rPr>
          <w:rFonts w:ascii="Times New Roman" w:hAnsi="Times New Roman"/>
          <w:snapToGrid/>
          <w:sz w:val="24"/>
          <w:szCs w:val="24"/>
        </w:rPr>
        <w:t>tate lines, when it is more effi</w:t>
      </w:r>
      <w:r w:rsidR="009D6BFD">
        <w:rPr>
          <w:rFonts w:ascii="Times New Roman" w:hAnsi="Times New Roman"/>
          <w:snapToGrid/>
          <w:sz w:val="24"/>
          <w:szCs w:val="24"/>
        </w:rPr>
        <w:t>cient than involving the other S</w:t>
      </w:r>
      <w:r w:rsidRPr="00B42931">
        <w:rPr>
          <w:rFonts w:ascii="Times New Roman" w:hAnsi="Times New Roman"/>
          <w:snapToGrid/>
          <w:sz w:val="24"/>
          <w:szCs w:val="24"/>
        </w:rPr>
        <w:t>tate’s IV-D agency.  This form can also be used by custodial parents and their private attorneys in non-IV-D cases.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3.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26621A">
        <w:rPr>
          <w:rFonts w:ascii="Times New Roman" w:hAnsi="Times New Roman"/>
          <w:snapToGrid/>
          <w:sz w:val="24"/>
          <w:szCs w:val="24"/>
        </w:rPr>
        <w:t>Use of Improved Information Technology and Burden Reduction</w:t>
      </w:r>
    </w:p>
    <w:p w:rsidR="00633AD5" w:rsidRPr="00633AD5" w:rsidRDefault="00D63329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D63329">
        <w:rPr>
          <w:rFonts w:ascii="Times New Roman" w:hAnsi="Times New Roman"/>
          <w:snapToGrid/>
          <w:sz w:val="24"/>
          <w:szCs w:val="24"/>
        </w:rPr>
        <w:t>Federal regulations for interstate case processing encourage the use of</w:t>
      </w:r>
      <w:r w:rsidR="009D6BFD">
        <w:rPr>
          <w:rFonts w:ascii="Times New Roman" w:hAnsi="Times New Roman"/>
          <w:snapToGrid/>
          <w:sz w:val="24"/>
          <w:szCs w:val="24"/>
        </w:rPr>
        <w:t xml:space="preserve"> electronic communication, and S</w:t>
      </w:r>
      <w:r w:rsidRPr="00D63329">
        <w:rPr>
          <w:rFonts w:ascii="Times New Roman" w:hAnsi="Times New Roman"/>
          <w:snapToGrid/>
          <w:sz w:val="24"/>
          <w:szCs w:val="24"/>
        </w:rPr>
        <w:t>tate law under the Uniform Intestate Family Support Act (UIFSA) allows the electronic transmission of information as well.</w:t>
      </w:r>
      <w:r w:rsidR="009D6BFD">
        <w:rPr>
          <w:rFonts w:ascii="Times New Roman" w:hAnsi="Times New Roman"/>
          <w:snapToGrid/>
          <w:sz w:val="24"/>
          <w:szCs w:val="24"/>
        </w:rPr>
        <w:t xml:space="preserve">  However, S</w:t>
      </w:r>
      <w:r w:rsidRPr="00D63329">
        <w:rPr>
          <w:rFonts w:ascii="Times New Roman" w:hAnsi="Times New Roman"/>
          <w:snapToGrid/>
          <w:sz w:val="24"/>
          <w:szCs w:val="24"/>
        </w:rPr>
        <w:t>tate law governs intrastate procedures for filing subpoenas and liens and may place restrictions on elect</w:t>
      </w:r>
      <w:r w:rsidR="009D6BFD">
        <w:rPr>
          <w:rFonts w:ascii="Times New Roman" w:hAnsi="Times New Roman"/>
          <w:snapToGrid/>
          <w:sz w:val="24"/>
          <w:szCs w:val="24"/>
        </w:rPr>
        <w:t>ronic procedures in particular S</w:t>
      </w:r>
      <w:r w:rsidRPr="00D63329">
        <w:rPr>
          <w:rFonts w:ascii="Times New Roman" w:hAnsi="Times New Roman"/>
          <w:snapToGrid/>
          <w:sz w:val="24"/>
          <w:szCs w:val="24"/>
        </w:rPr>
        <w:t>tates.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4.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26621A">
        <w:rPr>
          <w:rFonts w:ascii="Times New Roman" w:hAnsi="Times New Roman"/>
          <w:snapToGrid/>
          <w:sz w:val="24"/>
          <w:szCs w:val="24"/>
        </w:rPr>
        <w:t>Efforts to Identify Duplication and Use of Similar Information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In the original development of the </w:t>
      </w:r>
      <w:r w:rsidR="00702D5E">
        <w:rPr>
          <w:rFonts w:ascii="Times New Roman" w:hAnsi="Times New Roman"/>
          <w:snapToGrid/>
          <w:sz w:val="24"/>
          <w:szCs w:val="24"/>
        </w:rPr>
        <w:t>A</w:t>
      </w:r>
      <w:r w:rsidR="00702D5E" w:rsidRPr="00633AD5">
        <w:rPr>
          <w:rFonts w:ascii="Times New Roman" w:hAnsi="Times New Roman"/>
          <w:snapToGrid/>
          <w:sz w:val="24"/>
          <w:szCs w:val="24"/>
        </w:rPr>
        <w:t xml:space="preserve">dministrative </w:t>
      </w:r>
      <w:r w:rsidR="00702D5E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ubpoena and </w:t>
      </w:r>
      <w:r w:rsidR="00566210">
        <w:rPr>
          <w:rFonts w:ascii="Times New Roman" w:hAnsi="Times New Roman"/>
          <w:snapToGrid/>
          <w:sz w:val="24"/>
          <w:szCs w:val="24"/>
        </w:rPr>
        <w:t>N</w:t>
      </w:r>
      <w:r w:rsidR="00566210" w:rsidRPr="00633AD5">
        <w:rPr>
          <w:rFonts w:ascii="Times New Roman" w:hAnsi="Times New Roman"/>
          <w:snapToGrid/>
          <w:sz w:val="24"/>
          <w:szCs w:val="24"/>
        </w:rPr>
        <w:t xml:space="preserve">otice 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of </w:t>
      </w:r>
      <w:r w:rsidR="00566210">
        <w:rPr>
          <w:rFonts w:ascii="Times New Roman" w:hAnsi="Times New Roman"/>
          <w:snapToGrid/>
          <w:sz w:val="24"/>
          <w:szCs w:val="24"/>
        </w:rPr>
        <w:t>L</w:t>
      </w:r>
      <w:r w:rsidRPr="00633AD5">
        <w:rPr>
          <w:rFonts w:ascii="Times New Roman" w:hAnsi="Times New Roman"/>
          <w:snapToGrid/>
          <w:sz w:val="24"/>
          <w:szCs w:val="24"/>
        </w:rPr>
        <w:t>ien, considerable attention was focused on preventing duplication.  At this time, we are not making any changes to the form</w:t>
      </w:r>
      <w:r w:rsidR="00990C36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that will affect the effort that was previously made to avoid duplication.  The </w:t>
      </w:r>
      <w:r w:rsidR="00702D5E">
        <w:rPr>
          <w:rFonts w:ascii="Times New Roman" w:hAnsi="Times New Roman"/>
          <w:snapToGrid/>
          <w:sz w:val="24"/>
          <w:szCs w:val="24"/>
        </w:rPr>
        <w:t>Administrative Subpoena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is to be used in situations where similar information is not already available.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5.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26621A">
        <w:rPr>
          <w:rFonts w:ascii="Times New Roman" w:hAnsi="Times New Roman"/>
          <w:snapToGrid/>
          <w:sz w:val="24"/>
          <w:szCs w:val="24"/>
        </w:rPr>
        <w:t xml:space="preserve">Impact on Small Businesses or Other Small Entities 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This collection of information will have no additional impact upon small businesses or other small entities because they are already </w:t>
      </w:r>
      <w:r w:rsidR="00990C36">
        <w:rPr>
          <w:rFonts w:ascii="Times New Roman" w:hAnsi="Times New Roman"/>
          <w:snapToGrid/>
          <w:sz w:val="24"/>
          <w:szCs w:val="24"/>
        </w:rPr>
        <w:t>required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to respond to request</w:t>
      </w:r>
      <w:r w:rsidR="00990C36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for subpoenas and liens </w:t>
      </w:r>
      <w:r w:rsidR="00990C36">
        <w:rPr>
          <w:rFonts w:ascii="Times New Roman" w:hAnsi="Times New Roman"/>
          <w:snapToGrid/>
          <w:sz w:val="24"/>
          <w:szCs w:val="24"/>
        </w:rPr>
        <w:t>in child support cases</w:t>
      </w:r>
      <w:r w:rsidRPr="00633AD5">
        <w:rPr>
          <w:rFonts w:ascii="Times New Roman" w:hAnsi="Times New Roman"/>
          <w:snapToGrid/>
          <w:sz w:val="24"/>
          <w:szCs w:val="24"/>
        </w:rPr>
        <w:t>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lastRenderedPageBreak/>
        <w:tab/>
        <w:t>6.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26621A">
        <w:rPr>
          <w:rFonts w:ascii="Times New Roman" w:hAnsi="Times New Roman"/>
          <w:snapToGrid/>
          <w:sz w:val="24"/>
          <w:szCs w:val="24"/>
        </w:rPr>
        <w:t>Consequences of Collecting the Information Less Frequently</w:t>
      </w:r>
    </w:p>
    <w:p w:rsidR="00633AD5" w:rsidRPr="00633AD5" w:rsidRDefault="00A9032C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A9032C">
        <w:rPr>
          <w:rFonts w:ascii="Times New Roman" w:hAnsi="Times New Roman"/>
          <w:snapToGrid/>
          <w:sz w:val="24"/>
          <w:szCs w:val="24"/>
        </w:rPr>
        <w:t>This collection of information is required by the Social Security Act in order to col</w:t>
      </w:r>
      <w:r w:rsidR="009D6BFD">
        <w:rPr>
          <w:rFonts w:ascii="Times New Roman" w:hAnsi="Times New Roman"/>
          <w:snapToGrid/>
          <w:sz w:val="24"/>
          <w:szCs w:val="24"/>
        </w:rPr>
        <w:t>lect child support debt across S</w:t>
      </w:r>
      <w:r w:rsidRPr="00A9032C">
        <w:rPr>
          <w:rFonts w:ascii="Times New Roman" w:hAnsi="Times New Roman"/>
          <w:snapToGrid/>
          <w:sz w:val="24"/>
          <w:szCs w:val="24"/>
        </w:rPr>
        <w:t>tate lines.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7.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26621A">
        <w:rPr>
          <w:rFonts w:ascii="Times New Roman" w:hAnsi="Times New Roman"/>
          <w:snapToGrid/>
          <w:sz w:val="24"/>
          <w:szCs w:val="24"/>
        </w:rPr>
        <w:t>Special Circumstances Relating to the Guidelines of 5 CFR 1320.5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There are no special circumstances associated with collection of this information.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ind w:left="720" w:hanging="7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8.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26621A">
        <w:rPr>
          <w:rFonts w:ascii="Times New Roman" w:hAnsi="Times New Roman"/>
          <w:snapToGrid/>
          <w:sz w:val="24"/>
          <w:szCs w:val="24"/>
        </w:rPr>
        <w:t>Comments in Response to the Federal Register Notice and Efforts to Consult Outside the Agency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We published the required 60-day notice in the Federal Register on </w:t>
      </w:r>
      <w:r w:rsidR="00E0606B">
        <w:rPr>
          <w:rFonts w:ascii="Times New Roman" w:hAnsi="Times New Roman"/>
          <w:snapToGrid/>
          <w:sz w:val="24"/>
          <w:szCs w:val="24"/>
        </w:rPr>
        <w:t>November 16, 2017</w:t>
      </w:r>
      <w:r w:rsidRPr="00633AD5">
        <w:rPr>
          <w:rFonts w:ascii="Times New Roman" w:hAnsi="Times New Roman"/>
          <w:snapToGrid/>
          <w:sz w:val="24"/>
          <w:szCs w:val="24"/>
        </w:rPr>
        <w:t>, Volume 8</w:t>
      </w:r>
      <w:r w:rsidR="00E0606B">
        <w:rPr>
          <w:rFonts w:ascii="Times New Roman" w:hAnsi="Times New Roman"/>
          <w:snapToGrid/>
          <w:sz w:val="24"/>
          <w:szCs w:val="24"/>
        </w:rPr>
        <w:t>2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, Number </w:t>
      </w:r>
      <w:r w:rsidR="00E0606B">
        <w:rPr>
          <w:rFonts w:ascii="Times New Roman" w:hAnsi="Times New Roman"/>
          <w:snapToGrid/>
          <w:sz w:val="24"/>
          <w:szCs w:val="24"/>
        </w:rPr>
        <w:t>220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on page </w:t>
      </w:r>
      <w:r w:rsidR="00E0606B">
        <w:rPr>
          <w:rFonts w:ascii="Times New Roman" w:hAnsi="Times New Roman"/>
          <w:snapToGrid/>
          <w:sz w:val="24"/>
          <w:szCs w:val="24"/>
        </w:rPr>
        <w:t>53504</w:t>
      </w:r>
      <w:r w:rsidRPr="00633AD5">
        <w:rPr>
          <w:rFonts w:ascii="Times New Roman" w:hAnsi="Times New Roman"/>
          <w:snapToGrid/>
          <w:sz w:val="24"/>
          <w:szCs w:val="24"/>
        </w:rPr>
        <w:t>, soliciting comments on the information collection.  In addition, we sent out a notice about the opportunity to comment to the child support enforcement community via a Dear Colleague Letter (DCL-</w:t>
      </w:r>
      <w:r w:rsidR="00E0606B">
        <w:rPr>
          <w:rFonts w:ascii="Times New Roman" w:hAnsi="Times New Roman"/>
          <w:snapToGrid/>
          <w:sz w:val="24"/>
          <w:szCs w:val="24"/>
        </w:rPr>
        <w:t>17-10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).  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Based on the comments we received in response to the 60-day notice, we have </w:t>
      </w:r>
      <w:r w:rsidR="00E0606B">
        <w:rPr>
          <w:rFonts w:ascii="Times New Roman" w:hAnsi="Times New Roman"/>
          <w:snapToGrid/>
          <w:sz w:val="24"/>
          <w:szCs w:val="24"/>
        </w:rPr>
        <w:t>made adjustments to the forms</w:t>
      </w:r>
      <w:r w:rsidR="00E0606B" w:rsidRPr="00E0606B">
        <w:rPr>
          <w:rFonts w:ascii="Times New Roman" w:hAnsi="Times New Roman"/>
          <w:snapToGrid/>
          <w:sz w:val="24"/>
          <w:szCs w:val="24"/>
        </w:rPr>
        <w:t xml:space="preserve">.  </w:t>
      </w:r>
      <w:r w:rsidR="00E0606B" w:rsidRPr="00E0606B">
        <w:rPr>
          <w:rFonts w:ascii="Times New (W1)" w:hAnsi="Times New (W1)"/>
          <w:i/>
          <w:spacing w:val="-3"/>
          <w:sz w:val="24"/>
          <w:szCs w:val="24"/>
        </w:rPr>
        <w:t xml:space="preserve">Attachment 2 - </w:t>
      </w:r>
      <w:r w:rsidR="00E0606B" w:rsidRPr="00E0606B">
        <w:rPr>
          <w:rFonts w:ascii="Times New (W1)" w:hAnsi="Times New (W1)"/>
          <w:spacing w:val="-3"/>
          <w:sz w:val="24"/>
          <w:szCs w:val="24"/>
        </w:rPr>
        <w:t xml:space="preserve">provides a list of the </w:t>
      </w:r>
      <w:r w:rsidR="00E0606B" w:rsidRPr="00E0606B">
        <w:rPr>
          <w:rFonts w:ascii="Times New Roman" w:hAnsi="Times New Roman"/>
          <w:spacing w:val="-3"/>
          <w:sz w:val="24"/>
          <w:szCs w:val="24"/>
        </w:rPr>
        <w:t>comments/recommendations as well as OCSE’s response to the comments.</w:t>
      </w:r>
      <w:r w:rsidR="00E0606B">
        <w:rPr>
          <w:rFonts w:ascii="Times New Roman" w:hAnsi="Times New Roman"/>
          <w:spacing w:val="-3"/>
          <w:szCs w:val="24"/>
        </w:rPr>
        <w:t xml:space="preserve"> </w:t>
      </w:r>
      <w:r w:rsidR="001B689D">
        <w:rPr>
          <w:rFonts w:ascii="Times New Roman" w:hAnsi="Times New Roman"/>
          <w:snapToGrid/>
          <w:sz w:val="24"/>
          <w:szCs w:val="24"/>
        </w:rPr>
        <w:t xml:space="preserve">  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9.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Explanation of Any Payment or Gift to Respondents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No payments or gifts are involved.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10.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Assurance of Confidentiality Provided to Respondents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Information the </w:t>
      </w:r>
      <w:r w:rsidR="00E27144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tates collect using the </w:t>
      </w:r>
      <w:r w:rsidR="001C4E06" w:rsidRPr="001C4E06">
        <w:rPr>
          <w:rFonts w:ascii="Times New Roman" w:hAnsi="Times New Roman"/>
          <w:snapToGrid/>
          <w:sz w:val="24"/>
          <w:szCs w:val="24"/>
        </w:rPr>
        <w:t>Interstate Administrative Subpoena and Notice of Lien forms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is subject to the confidentiality requirements at </w:t>
      </w:r>
      <w:r w:rsidR="00135772">
        <w:rPr>
          <w:rFonts w:ascii="Times New Roman" w:hAnsi="Times New Roman"/>
          <w:snapToGrid/>
          <w:sz w:val="24"/>
          <w:szCs w:val="24"/>
        </w:rPr>
        <w:t xml:space="preserve">section 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454(26) of the Social Security Act and the </w:t>
      </w:r>
      <w:r w:rsidR="00E27144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tates’ own confidentiality requirements protecting personal information in their possession.  It is up to each </w:t>
      </w:r>
      <w:r w:rsidR="00E27144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tate </w:t>
      </w:r>
      <w:r w:rsidR="009D6BFD">
        <w:rPr>
          <w:rFonts w:ascii="Times New Roman" w:hAnsi="Times New Roman"/>
          <w:snapToGrid/>
          <w:sz w:val="24"/>
          <w:szCs w:val="24"/>
        </w:rPr>
        <w:t>to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provide an assurance of confidentiality to their respondents.</w:t>
      </w:r>
    </w:p>
    <w:p w:rsidR="002F079C" w:rsidRPr="00633AD5" w:rsidRDefault="002F079C" w:rsidP="002F079C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11.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Justification for Sensitive Questions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This information collection does not involve any questions of a sensitive nature.</w:t>
      </w:r>
    </w:p>
    <w:p w:rsidR="008349D6" w:rsidRPr="00633AD5" w:rsidRDefault="008349D6" w:rsidP="008349D6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12.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Estimates of Annualized Burden Hours and Costs</w:t>
      </w:r>
    </w:p>
    <w:tbl>
      <w:tblPr>
        <w:tblW w:w="8435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0"/>
        <w:gridCol w:w="1595"/>
        <w:gridCol w:w="1710"/>
        <w:gridCol w:w="1800"/>
        <w:gridCol w:w="1530"/>
      </w:tblGrid>
      <w:tr w:rsidR="00633AD5" w:rsidRPr="00883F52" w:rsidTr="006F57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Instrument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Number of Respondents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Number of Responses per Respondent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Average Burden Hours per Response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Total Burden Hours</w:t>
            </w:r>
          </w:p>
        </w:tc>
      </w:tr>
      <w:tr w:rsidR="00633AD5" w:rsidRPr="00883F52" w:rsidTr="006F57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52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Administrative Subpoena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52" w:rsidRPr="00883F52" w:rsidRDefault="001F6764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30,076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52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52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0.50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F52" w:rsidRPr="00883F52" w:rsidRDefault="00633AD5" w:rsidP="001F6764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15,</w:t>
            </w:r>
            <w:r w:rsidR="001F6764">
              <w:rPr>
                <w:rFonts w:ascii="Times New Roman" w:hAnsi="Times New Roman"/>
                <w:snapToGrid/>
                <w:sz w:val="24"/>
                <w:szCs w:val="24"/>
              </w:rPr>
              <w:t>038</w:t>
            </w:r>
          </w:p>
        </w:tc>
      </w:tr>
      <w:tr w:rsidR="00633AD5" w:rsidRPr="00883F52" w:rsidTr="006F57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lastRenderedPageBreak/>
              <w:t>Notice of Lien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1F6764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1,</w:t>
            </w:r>
            <w:r w:rsidR="001F6764">
              <w:rPr>
                <w:rFonts w:ascii="Times New Roman" w:hAnsi="Times New Roman"/>
                <w:snapToGrid/>
                <w:sz w:val="24"/>
                <w:szCs w:val="24"/>
              </w:rPr>
              <w:t>892,073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633AD5" w:rsidP="001F6764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 w:rsidRPr="00883F52">
              <w:rPr>
                <w:rFonts w:ascii="Times New Roman" w:hAnsi="Times New Roman"/>
                <w:snapToGrid/>
                <w:sz w:val="24"/>
                <w:szCs w:val="24"/>
              </w:rPr>
              <w:t>0.</w:t>
            </w:r>
            <w:r w:rsidR="001F6764">
              <w:rPr>
                <w:rFonts w:ascii="Times New Roman" w:hAnsi="Times New Roman"/>
                <w:snapToGrid/>
                <w:sz w:val="24"/>
                <w:szCs w:val="24"/>
              </w:rPr>
              <w:t>50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3AD5" w:rsidRPr="00883F52" w:rsidRDefault="001F6764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  <w:r>
              <w:rPr>
                <w:rFonts w:ascii="Times New Roman" w:hAnsi="Times New Roman"/>
                <w:snapToGrid/>
                <w:sz w:val="24"/>
                <w:szCs w:val="24"/>
              </w:rPr>
              <w:t>946,037</w:t>
            </w:r>
          </w:p>
        </w:tc>
      </w:tr>
      <w:tr w:rsidR="00633AD5" w:rsidRPr="00883F52" w:rsidTr="006F57B8"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D5" w:rsidRPr="00883F52" w:rsidRDefault="00633AD5" w:rsidP="00633AD5">
            <w:pPr>
              <w:widowControl/>
              <w:spacing w:after="100" w:afterAutospacing="1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AD5" w:rsidRPr="00883F52" w:rsidRDefault="00633AD5" w:rsidP="00633AD5">
            <w:pPr>
              <w:widowControl/>
              <w:spacing w:after="100" w:afterAutospacing="1"/>
              <w:jc w:val="center"/>
              <w:rPr>
                <w:rFonts w:ascii="Times New Roman" w:hAnsi="Times New Roman"/>
                <w:snapToGrid/>
                <w:sz w:val="24"/>
                <w:szCs w:val="24"/>
              </w:rPr>
            </w:pPr>
          </w:p>
        </w:tc>
      </w:tr>
    </w:tbl>
    <w:p w:rsidR="00633AD5" w:rsidRPr="00883F52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883F52">
        <w:rPr>
          <w:rFonts w:ascii="Times New Roman" w:hAnsi="Times New Roman"/>
          <w:snapToGrid/>
          <w:sz w:val="24"/>
          <w:szCs w:val="24"/>
        </w:rPr>
        <w:t xml:space="preserve">Estimated Total Annual Burden Hours:                                                           </w:t>
      </w:r>
      <w:r w:rsidR="001F6764">
        <w:rPr>
          <w:rFonts w:ascii="Times New Roman" w:hAnsi="Times New Roman"/>
          <w:snapToGrid/>
          <w:sz w:val="24"/>
          <w:szCs w:val="24"/>
        </w:rPr>
        <w:t>961,075</w:t>
      </w:r>
      <w:r w:rsidRPr="00883F52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The figures contained in this table for the Administrative Subpoena instrument are based on</w:t>
      </w:r>
      <w:r w:rsidR="00135772">
        <w:rPr>
          <w:rFonts w:ascii="Times New Roman" w:hAnsi="Times New Roman"/>
          <w:snapToGrid/>
          <w:sz w:val="24"/>
          <w:szCs w:val="24"/>
        </w:rPr>
        <w:t xml:space="preserve"> the Office of Child Support Enforcement’s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  <w:r w:rsidR="00E17AD6">
        <w:rPr>
          <w:rFonts w:ascii="Times New Roman" w:hAnsi="Times New Roman"/>
          <w:snapToGrid/>
          <w:sz w:val="24"/>
          <w:szCs w:val="24"/>
        </w:rPr>
        <w:t xml:space="preserve">(OCSE) 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Federal Parent Locator Service completing </w:t>
      </w:r>
      <w:r w:rsidR="00E0606B" w:rsidRPr="00E0606B">
        <w:rPr>
          <w:rFonts w:ascii="Times New Roman" w:hAnsi="Times New Roman"/>
          <w:snapToGrid/>
          <w:sz w:val="24"/>
          <w:szCs w:val="24"/>
        </w:rPr>
        <w:t>9</w:t>
      </w:r>
      <w:r w:rsidR="00E0606B">
        <w:rPr>
          <w:rFonts w:ascii="Times New Roman" w:hAnsi="Times New Roman"/>
          <w:snapToGrid/>
          <w:sz w:val="24"/>
          <w:szCs w:val="24"/>
        </w:rPr>
        <w:t>,</w:t>
      </w:r>
      <w:r w:rsidR="00E0606B" w:rsidRPr="00E0606B">
        <w:rPr>
          <w:rFonts w:ascii="Times New Roman" w:hAnsi="Times New Roman"/>
          <w:snapToGrid/>
          <w:sz w:val="24"/>
          <w:szCs w:val="24"/>
        </w:rPr>
        <w:t>624</w:t>
      </w:r>
      <w:r w:rsidR="00E0606B">
        <w:rPr>
          <w:rFonts w:ascii="Times New Roman" w:hAnsi="Times New Roman"/>
          <w:snapToGrid/>
          <w:sz w:val="24"/>
          <w:szCs w:val="24"/>
        </w:rPr>
        <w:t>,</w:t>
      </w:r>
      <w:r w:rsidR="00E0606B" w:rsidRPr="00E0606B">
        <w:rPr>
          <w:rFonts w:ascii="Times New Roman" w:hAnsi="Times New Roman"/>
          <w:snapToGrid/>
          <w:sz w:val="24"/>
          <w:szCs w:val="24"/>
        </w:rPr>
        <w:t>444</w:t>
      </w:r>
      <w:r w:rsidR="00E0606B">
        <w:rPr>
          <w:rFonts w:ascii="Times New Roman" w:hAnsi="Times New Roman"/>
          <w:snapToGrid/>
          <w:sz w:val="24"/>
          <w:szCs w:val="24"/>
        </w:rPr>
        <w:t xml:space="preserve"> </w:t>
      </w:r>
      <w:r w:rsidRPr="00633AD5">
        <w:rPr>
          <w:rFonts w:ascii="Times New Roman" w:hAnsi="Times New Roman"/>
          <w:snapToGrid/>
          <w:sz w:val="24"/>
          <w:szCs w:val="24"/>
        </w:rPr>
        <w:t>locates of noncustodial parents, employers, assets or other income in one year.  Noncustodial parent locates would make up at least 75</w:t>
      </w:r>
      <w:r w:rsidR="00135772">
        <w:rPr>
          <w:rFonts w:ascii="Times New Roman" w:hAnsi="Times New Roman"/>
          <w:snapToGrid/>
          <w:sz w:val="24"/>
          <w:szCs w:val="24"/>
        </w:rPr>
        <w:t xml:space="preserve"> percent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of the total locates.  The remaining </w:t>
      </w:r>
      <w:r w:rsidR="00135772">
        <w:rPr>
          <w:rFonts w:ascii="Times New Roman" w:hAnsi="Times New Roman"/>
          <w:snapToGrid/>
          <w:sz w:val="24"/>
          <w:szCs w:val="24"/>
        </w:rPr>
        <w:t xml:space="preserve">25 percent, or </w:t>
      </w:r>
      <w:r w:rsidRPr="00633AD5">
        <w:rPr>
          <w:rFonts w:ascii="Times New Roman" w:hAnsi="Times New Roman"/>
          <w:snapToGrid/>
          <w:sz w:val="24"/>
          <w:szCs w:val="24"/>
        </w:rPr>
        <w:t>2,</w:t>
      </w:r>
      <w:r w:rsidR="00E0606B">
        <w:rPr>
          <w:rFonts w:ascii="Times New Roman" w:hAnsi="Times New Roman"/>
          <w:snapToGrid/>
          <w:sz w:val="24"/>
          <w:szCs w:val="24"/>
        </w:rPr>
        <w:t>406</w:t>
      </w:r>
      <w:r w:rsidRPr="00633AD5">
        <w:rPr>
          <w:rFonts w:ascii="Times New Roman" w:hAnsi="Times New Roman"/>
          <w:snapToGrid/>
          <w:sz w:val="24"/>
          <w:szCs w:val="24"/>
        </w:rPr>
        <w:t>,</w:t>
      </w:r>
      <w:r w:rsidR="00E0606B">
        <w:rPr>
          <w:rFonts w:ascii="Times New Roman" w:hAnsi="Times New Roman"/>
          <w:snapToGrid/>
          <w:sz w:val="24"/>
          <w:szCs w:val="24"/>
        </w:rPr>
        <w:t>11</w:t>
      </w:r>
      <w:r w:rsidRPr="00633AD5">
        <w:rPr>
          <w:rFonts w:ascii="Times New Roman" w:hAnsi="Times New Roman"/>
          <w:snapToGrid/>
          <w:sz w:val="24"/>
          <w:szCs w:val="24"/>
        </w:rPr>
        <w:t>1</w:t>
      </w:r>
      <w:r w:rsidR="00135772">
        <w:rPr>
          <w:rFonts w:ascii="Times New Roman" w:hAnsi="Times New Roman"/>
          <w:snapToGrid/>
          <w:sz w:val="24"/>
          <w:szCs w:val="24"/>
        </w:rPr>
        <w:t>,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would be the approximate number of locates of employers, assets or other income.  Twenty–five percent of this number (</w:t>
      </w:r>
      <w:r w:rsidR="00E0606B">
        <w:rPr>
          <w:rFonts w:ascii="Times New Roman" w:hAnsi="Times New Roman"/>
          <w:snapToGrid/>
          <w:sz w:val="24"/>
          <w:szCs w:val="24"/>
        </w:rPr>
        <w:t>601,528</w:t>
      </w:r>
      <w:r w:rsidRPr="00633AD5">
        <w:rPr>
          <w:rFonts w:ascii="Times New Roman" w:hAnsi="Times New Roman"/>
          <w:snapToGrid/>
          <w:sz w:val="24"/>
          <w:szCs w:val="24"/>
        </w:rPr>
        <w:t>) provides the approximate number of such locates in interstate cases.  In 95</w:t>
      </w:r>
      <w:r w:rsidR="00135772">
        <w:rPr>
          <w:rFonts w:ascii="Times New Roman" w:hAnsi="Times New Roman"/>
          <w:snapToGrid/>
          <w:sz w:val="24"/>
          <w:szCs w:val="24"/>
        </w:rPr>
        <w:t xml:space="preserve"> percent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of these interstate locate cases, employers or financial institutions would voluntarily provide the requested information and the State IV-D agency would not need to issue a subpoena.  The remaining </w:t>
      </w:r>
      <w:r w:rsidR="001F6764">
        <w:rPr>
          <w:rFonts w:ascii="Times New Roman" w:hAnsi="Times New Roman"/>
          <w:snapToGrid/>
          <w:sz w:val="24"/>
          <w:szCs w:val="24"/>
        </w:rPr>
        <w:t>30,076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(5</w:t>
      </w:r>
      <w:r w:rsidR="00135772">
        <w:rPr>
          <w:rFonts w:ascii="Times New Roman" w:hAnsi="Times New Roman"/>
          <w:snapToGrid/>
          <w:sz w:val="24"/>
          <w:szCs w:val="24"/>
        </w:rPr>
        <w:t xml:space="preserve"> percent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) represent the approximate number of respondents who would not voluntarily provide the requested information and would receive a subpoena.  </w:t>
      </w:r>
      <w:r w:rsidR="00135772">
        <w:rPr>
          <w:rFonts w:ascii="Times New Roman" w:hAnsi="Times New Roman"/>
          <w:snapToGrid/>
          <w:sz w:val="24"/>
          <w:szCs w:val="24"/>
        </w:rPr>
        <w:t xml:space="preserve">OCSE estimates that it takes 30 minutes to issue a subpoena form.  </w:t>
      </w:r>
      <w:r w:rsidRPr="00633AD5">
        <w:rPr>
          <w:rFonts w:ascii="Times New Roman" w:hAnsi="Times New Roman"/>
          <w:snapToGrid/>
          <w:sz w:val="24"/>
          <w:szCs w:val="24"/>
        </w:rPr>
        <w:t>Therefore the burden estimate</w:t>
      </w:r>
      <w:r w:rsidR="00E27144">
        <w:rPr>
          <w:rFonts w:ascii="Times New Roman" w:hAnsi="Times New Roman"/>
          <w:snapToGrid/>
          <w:sz w:val="24"/>
          <w:szCs w:val="24"/>
        </w:rPr>
        <w:t xml:space="preserve"> for the Administrative Subpoena</w:t>
      </w:r>
      <w:r w:rsidR="001F6764">
        <w:rPr>
          <w:rFonts w:ascii="Times New Roman" w:hAnsi="Times New Roman"/>
          <w:snapToGrid/>
          <w:sz w:val="24"/>
          <w:szCs w:val="24"/>
        </w:rPr>
        <w:t xml:space="preserve"> is 15,038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(</w:t>
      </w:r>
      <w:r w:rsidR="001F6764">
        <w:rPr>
          <w:rFonts w:ascii="Times New Roman" w:hAnsi="Times New Roman"/>
          <w:snapToGrid/>
          <w:sz w:val="24"/>
          <w:szCs w:val="24"/>
        </w:rPr>
        <w:t>30,076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  <w:r w:rsidR="00135772">
        <w:rPr>
          <w:rFonts w:ascii="Times New Roman" w:hAnsi="Times New Roman"/>
          <w:snapToGrid/>
          <w:sz w:val="24"/>
          <w:szCs w:val="24"/>
        </w:rPr>
        <w:t>multiplied by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  <w:r w:rsidR="00AE25F8">
        <w:rPr>
          <w:rFonts w:ascii="Times New Roman" w:hAnsi="Times New Roman"/>
          <w:snapToGrid/>
          <w:sz w:val="24"/>
          <w:szCs w:val="24"/>
        </w:rPr>
        <w:t>0</w:t>
      </w:r>
      <w:r w:rsidRPr="00633AD5">
        <w:rPr>
          <w:rFonts w:ascii="Times New Roman" w:hAnsi="Times New Roman"/>
          <w:snapToGrid/>
          <w:sz w:val="24"/>
          <w:szCs w:val="24"/>
        </w:rPr>
        <w:t>.5 hr).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The figures contained in this table for the Notice of Lien instrument are based on a total of 12,</w:t>
      </w:r>
      <w:r w:rsidR="001F6764">
        <w:rPr>
          <w:rFonts w:ascii="Times New Roman" w:hAnsi="Times New Roman"/>
          <w:snapToGrid/>
          <w:sz w:val="24"/>
          <w:szCs w:val="24"/>
        </w:rPr>
        <w:t>613,822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cases with orders being established in Fiscal Year 201</w:t>
      </w:r>
      <w:r w:rsidR="00325E9E">
        <w:rPr>
          <w:rFonts w:ascii="Times New Roman" w:hAnsi="Times New Roman"/>
          <w:snapToGrid/>
          <w:sz w:val="24"/>
          <w:szCs w:val="24"/>
        </w:rPr>
        <w:t>5</w:t>
      </w:r>
      <w:r w:rsidRPr="00633AD5">
        <w:rPr>
          <w:rFonts w:ascii="Times New Roman" w:hAnsi="Times New Roman"/>
          <w:snapToGrid/>
          <w:sz w:val="24"/>
          <w:szCs w:val="24"/>
        </w:rPr>
        <w:t>.  We estimate that 60 percent of these cases are interstate and non-complying (7,</w:t>
      </w:r>
      <w:r w:rsidR="001F6764">
        <w:rPr>
          <w:rFonts w:ascii="Times New Roman" w:hAnsi="Times New Roman"/>
          <w:snapToGrid/>
          <w:sz w:val="24"/>
          <w:szCs w:val="24"/>
        </w:rPr>
        <w:t>568</w:t>
      </w:r>
      <w:r w:rsidR="00325E9E">
        <w:rPr>
          <w:rFonts w:ascii="Times New Roman" w:hAnsi="Times New Roman"/>
          <w:snapToGrid/>
          <w:sz w:val="24"/>
          <w:szCs w:val="24"/>
        </w:rPr>
        <w:t>,</w:t>
      </w:r>
      <w:r w:rsidR="001F6764">
        <w:rPr>
          <w:rFonts w:ascii="Times New Roman" w:hAnsi="Times New Roman"/>
          <w:snapToGrid/>
          <w:sz w:val="24"/>
          <w:szCs w:val="24"/>
        </w:rPr>
        <w:t>293</w:t>
      </w:r>
      <w:r w:rsidRPr="00633AD5">
        <w:rPr>
          <w:rFonts w:ascii="Times New Roman" w:hAnsi="Times New Roman"/>
          <w:snapToGrid/>
          <w:sz w:val="24"/>
          <w:szCs w:val="24"/>
        </w:rPr>
        <w:t>).  We estimate that 25 percent of these cases have property against which a lien could be served (1,</w:t>
      </w:r>
      <w:r w:rsidR="001F6764">
        <w:rPr>
          <w:rFonts w:ascii="Times New Roman" w:hAnsi="Times New Roman"/>
          <w:snapToGrid/>
          <w:sz w:val="24"/>
          <w:szCs w:val="24"/>
        </w:rPr>
        <w:t>892,073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). </w:t>
      </w:r>
      <w:r w:rsidR="00325E9E">
        <w:rPr>
          <w:rFonts w:ascii="Times New Roman" w:hAnsi="Times New Roman"/>
          <w:snapToGrid/>
          <w:sz w:val="24"/>
          <w:szCs w:val="24"/>
        </w:rPr>
        <w:t xml:space="preserve"> OCSE estimates that it takes 30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minutes to </w:t>
      </w:r>
      <w:r w:rsidR="00943E04">
        <w:rPr>
          <w:rFonts w:ascii="Times New Roman" w:hAnsi="Times New Roman"/>
          <w:snapToGrid/>
          <w:sz w:val="24"/>
          <w:szCs w:val="24"/>
        </w:rPr>
        <w:t>complete the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lien</w:t>
      </w:r>
      <w:r w:rsidR="00943E04">
        <w:rPr>
          <w:rFonts w:ascii="Times New Roman" w:hAnsi="Times New Roman"/>
          <w:snapToGrid/>
          <w:sz w:val="24"/>
          <w:szCs w:val="24"/>
        </w:rPr>
        <w:t xml:space="preserve"> form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.  Therefore the burden estimate </w:t>
      </w:r>
      <w:r w:rsidR="00E27144">
        <w:rPr>
          <w:rFonts w:ascii="Times New Roman" w:hAnsi="Times New Roman"/>
          <w:snapToGrid/>
          <w:sz w:val="24"/>
          <w:szCs w:val="24"/>
        </w:rPr>
        <w:t xml:space="preserve">for the Notice of Lien 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is </w:t>
      </w:r>
      <w:r w:rsidR="001F6764">
        <w:rPr>
          <w:rFonts w:ascii="Times New Roman" w:hAnsi="Times New Roman"/>
          <w:snapToGrid/>
          <w:sz w:val="24"/>
          <w:szCs w:val="24"/>
        </w:rPr>
        <w:t>946,037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(1,</w:t>
      </w:r>
      <w:r w:rsidR="001F6764">
        <w:rPr>
          <w:rFonts w:ascii="Times New Roman" w:hAnsi="Times New Roman"/>
          <w:snapToGrid/>
          <w:sz w:val="24"/>
          <w:szCs w:val="24"/>
        </w:rPr>
        <w:t>892,073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  <w:r w:rsidR="00135772">
        <w:rPr>
          <w:rFonts w:ascii="Times New Roman" w:hAnsi="Times New Roman"/>
          <w:snapToGrid/>
          <w:sz w:val="24"/>
          <w:szCs w:val="24"/>
        </w:rPr>
        <w:t>multiplied by</w:t>
      </w:r>
      <w:r w:rsidR="00AE25F8">
        <w:rPr>
          <w:rFonts w:ascii="Times New Roman" w:hAnsi="Times New Roman"/>
          <w:snapToGrid/>
          <w:sz w:val="24"/>
          <w:szCs w:val="24"/>
        </w:rPr>
        <w:t xml:space="preserve"> 0</w:t>
      </w:r>
      <w:r w:rsidRPr="00633AD5">
        <w:rPr>
          <w:rFonts w:ascii="Times New Roman" w:hAnsi="Times New Roman"/>
          <w:snapToGrid/>
          <w:sz w:val="24"/>
          <w:szCs w:val="24"/>
        </w:rPr>
        <w:t>.</w:t>
      </w:r>
      <w:r w:rsidR="001F6764">
        <w:rPr>
          <w:rFonts w:ascii="Times New Roman" w:hAnsi="Times New Roman"/>
          <w:snapToGrid/>
          <w:sz w:val="24"/>
          <w:szCs w:val="24"/>
        </w:rPr>
        <w:t>5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hr).</w:t>
      </w:r>
    </w:p>
    <w:p w:rsidR="008349D6" w:rsidRPr="00633AD5" w:rsidRDefault="008349D6" w:rsidP="008349D6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13.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Estimates of Other Total Annual Cost Burden to Respondents and Record Keepers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There is no new annual cost burden to respondents resulting from this collection of information. </w:t>
      </w:r>
      <w:r w:rsidR="00E27144">
        <w:rPr>
          <w:rFonts w:ascii="Times New Roman" w:hAnsi="Times New Roman"/>
          <w:snapToGrid/>
          <w:sz w:val="24"/>
          <w:szCs w:val="24"/>
        </w:rPr>
        <w:t xml:space="preserve"> </w:t>
      </w:r>
      <w:r w:rsidRPr="00633AD5">
        <w:rPr>
          <w:rFonts w:ascii="Times New Roman" w:hAnsi="Times New Roman"/>
          <w:snapToGrid/>
          <w:sz w:val="24"/>
          <w:szCs w:val="24"/>
        </w:rPr>
        <w:t>Respondents already have staff and resources in place to respond to this information collection.</w:t>
      </w:r>
    </w:p>
    <w:p w:rsidR="008349D6" w:rsidRPr="00633AD5" w:rsidRDefault="008349D6" w:rsidP="008349D6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14.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Annualized Cost to the Federal Government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Upon reauthorization of the Interstate Administrative Subpoena and Notice of Interstate Lien, OCSE will post </w:t>
      </w:r>
      <w:r w:rsidR="006359ED">
        <w:rPr>
          <w:rFonts w:ascii="Times New Roman" w:hAnsi="Times New Roman"/>
          <w:snapToGrid/>
          <w:sz w:val="24"/>
          <w:szCs w:val="24"/>
        </w:rPr>
        <w:t xml:space="preserve">them 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on the </w:t>
      </w:r>
      <w:r w:rsidR="00943E04">
        <w:rPr>
          <w:rFonts w:ascii="Times New Roman" w:hAnsi="Times New Roman"/>
          <w:snapToGrid/>
          <w:sz w:val="24"/>
          <w:szCs w:val="24"/>
        </w:rPr>
        <w:t>OCSE</w:t>
      </w:r>
      <w:r w:rsidR="00943E04" w:rsidRPr="00633AD5">
        <w:rPr>
          <w:rFonts w:ascii="Times New Roman" w:hAnsi="Times New Roman"/>
          <w:snapToGrid/>
          <w:sz w:val="24"/>
          <w:szCs w:val="24"/>
        </w:rPr>
        <w:t xml:space="preserve"> </w:t>
      </w:r>
      <w:r w:rsidRPr="00633AD5">
        <w:rPr>
          <w:rFonts w:ascii="Times New Roman" w:hAnsi="Times New Roman"/>
          <w:snapToGrid/>
          <w:sz w:val="24"/>
          <w:szCs w:val="24"/>
        </w:rPr>
        <w:t>website for States to download.  There are no costs to the Federal Government.</w:t>
      </w:r>
    </w:p>
    <w:p w:rsidR="008349D6" w:rsidRPr="00633AD5" w:rsidRDefault="008349D6" w:rsidP="008349D6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15.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Explanation for Program Changes or Adjustments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The adjustment in burden</w:t>
      </w:r>
      <w:r w:rsidR="00B91D92">
        <w:rPr>
          <w:rFonts w:ascii="Times New Roman" w:hAnsi="Times New Roman"/>
          <w:snapToGrid/>
          <w:sz w:val="24"/>
          <w:szCs w:val="24"/>
        </w:rPr>
        <w:t>,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for the </w:t>
      </w:r>
      <w:r w:rsidR="00702D5E">
        <w:rPr>
          <w:rFonts w:ascii="Times New Roman" w:hAnsi="Times New Roman"/>
          <w:snapToGrid/>
          <w:sz w:val="24"/>
          <w:szCs w:val="24"/>
        </w:rPr>
        <w:t>Administrative Subpoena</w:t>
      </w:r>
      <w:r w:rsidR="00B91D92">
        <w:rPr>
          <w:rFonts w:ascii="Times New Roman" w:hAnsi="Times New Roman"/>
          <w:snapToGrid/>
          <w:sz w:val="24"/>
          <w:szCs w:val="24"/>
        </w:rPr>
        <w:t>,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from the last review of the form is due to a decrease in the number of </w:t>
      </w:r>
      <w:r w:rsidR="00362433">
        <w:rPr>
          <w:rFonts w:ascii="Times New Roman" w:hAnsi="Times New Roman"/>
          <w:snapToGrid/>
          <w:sz w:val="24"/>
          <w:szCs w:val="24"/>
        </w:rPr>
        <w:t>Federal Parent Locator Service locate requests</w:t>
      </w:r>
      <w:r w:rsidR="00352E34">
        <w:rPr>
          <w:rFonts w:ascii="Times New Roman" w:hAnsi="Times New Roman"/>
          <w:snapToGrid/>
          <w:sz w:val="24"/>
          <w:szCs w:val="24"/>
        </w:rPr>
        <w:t xml:space="preserve"> since the last time this burden was calculated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.  This decrease resulted in a decrease in the number of forms a </w:t>
      </w:r>
      <w:r w:rsidR="009D6BFD">
        <w:rPr>
          <w:rFonts w:ascii="Times New Roman" w:hAnsi="Times New Roman"/>
          <w:snapToGrid/>
          <w:sz w:val="24"/>
          <w:szCs w:val="24"/>
        </w:rPr>
        <w:t>S</w:t>
      </w:r>
      <w:r w:rsidRPr="00633AD5">
        <w:rPr>
          <w:rFonts w:ascii="Times New Roman" w:hAnsi="Times New Roman"/>
          <w:snapToGrid/>
          <w:sz w:val="24"/>
          <w:szCs w:val="24"/>
        </w:rPr>
        <w:t>tate may use</w:t>
      </w:r>
      <w:r w:rsidR="00362433">
        <w:rPr>
          <w:rFonts w:ascii="Times New Roman" w:hAnsi="Times New Roman"/>
          <w:snapToGrid/>
          <w:sz w:val="24"/>
          <w:szCs w:val="24"/>
        </w:rPr>
        <w:t>, based on the calculation described under item 12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.  The time required to fill out the form itself remains unchanged at 30 minutes.  </w:t>
      </w:r>
    </w:p>
    <w:p w:rsidR="00633AD5" w:rsidRPr="00633AD5" w:rsidRDefault="0073263C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 xml:space="preserve">The burden </w:t>
      </w:r>
      <w:r w:rsidR="006237EF">
        <w:rPr>
          <w:rFonts w:ascii="Times New Roman" w:hAnsi="Times New Roman"/>
          <w:snapToGrid/>
          <w:sz w:val="24"/>
          <w:szCs w:val="24"/>
        </w:rPr>
        <w:t xml:space="preserve">estimates </w:t>
      </w:r>
      <w:r w:rsidR="00325E9E">
        <w:rPr>
          <w:rFonts w:ascii="Times New Roman" w:hAnsi="Times New Roman"/>
          <w:snapToGrid/>
          <w:sz w:val="24"/>
          <w:szCs w:val="24"/>
        </w:rPr>
        <w:t>have</w:t>
      </w:r>
      <w:r>
        <w:rPr>
          <w:rFonts w:ascii="Times New Roman" w:hAnsi="Times New Roman"/>
          <w:snapToGrid/>
          <w:sz w:val="24"/>
          <w:szCs w:val="24"/>
        </w:rPr>
        <w:t xml:space="preserve"> changed for the Notice of Lien form with an increase in the time required to fill out the form.  </w:t>
      </w:r>
      <w:r w:rsidR="00E35B6A">
        <w:rPr>
          <w:rFonts w:ascii="Times New Roman" w:hAnsi="Times New Roman"/>
          <w:snapToGrid/>
          <w:sz w:val="24"/>
          <w:szCs w:val="24"/>
        </w:rPr>
        <w:t>The workgroup</w:t>
      </w:r>
      <w:r>
        <w:rPr>
          <w:rFonts w:ascii="Times New Roman" w:hAnsi="Times New Roman"/>
          <w:snapToGrid/>
          <w:sz w:val="24"/>
          <w:szCs w:val="24"/>
        </w:rPr>
        <w:t>, formed</w:t>
      </w:r>
      <w:r w:rsidR="00E35B6A">
        <w:rPr>
          <w:rFonts w:ascii="Times New Roman" w:hAnsi="Times New Roman"/>
          <w:snapToGrid/>
          <w:sz w:val="24"/>
          <w:szCs w:val="24"/>
        </w:rPr>
        <w:t xml:space="preserve"> with state representatives</w:t>
      </w:r>
      <w:r>
        <w:rPr>
          <w:rFonts w:ascii="Times New Roman" w:hAnsi="Times New Roman"/>
          <w:snapToGrid/>
          <w:sz w:val="24"/>
          <w:szCs w:val="24"/>
        </w:rPr>
        <w:t>,</w:t>
      </w:r>
      <w:r w:rsidR="00E35B6A">
        <w:rPr>
          <w:rFonts w:ascii="Times New Roman" w:hAnsi="Times New Roman"/>
          <w:snapToGrid/>
          <w:sz w:val="24"/>
          <w:szCs w:val="24"/>
        </w:rPr>
        <w:t xml:space="preserve"> felt that the average burden hours per response should be the same a</w:t>
      </w:r>
      <w:r>
        <w:rPr>
          <w:rFonts w:ascii="Times New Roman" w:hAnsi="Times New Roman"/>
          <w:snapToGrid/>
          <w:sz w:val="24"/>
          <w:szCs w:val="24"/>
        </w:rPr>
        <w:t xml:space="preserve">s the Administrative Subpoena. </w:t>
      </w:r>
      <w:r w:rsidR="00352E34" w:rsidRPr="00633AD5">
        <w:rPr>
          <w:rFonts w:ascii="Times New Roman" w:hAnsi="Times New Roman"/>
          <w:snapToGrid/>
          <w:sz w:val="24"/>
          <w:szCs w:val="24"/>
        </w:rPr>
        <w:t xml:space="preserve"> </w:t>
      </w:r>
      <w:r w:rsidR="006237EF">
        <w:rPr>
          <w:rFonts w:ascii="Times New Roman" w:hAnsi="Times New Roman"/>
          <w:snapToGrid/>
          <w:sz w:val="24"/>
          <w:szCs w:val="24"/>
        </w:rPr>
        <w:t>Therefore, t</w:t>
      </w:r>
      <w:r w:rsidR="006237EF" w:rsidRPr="00633AD5">
        <w:rPr>
          <w:rFonts w:ascii="Times New Roman" w:hAnsi="Times New Roman"/>
          <w:snapToGrid/>
          <w:sz w:val="24"/>
          <w:szCs w:val="24"/>
        </w:rPr>
        <w:t>he time required to fill out the for</w:t>
      </w:r>
      <w:r w:rsidR="006237EF">
        <w:rPr>
          <w:rFonts w:ascii="Times New Roman" w:hAnsi="Times New Roman"/>
          <w:snapToGrid/>
          <w:sz w:val="24"/>
          <w:szCs w:val="24"/>
        </w:rPr>
        <w:t xml:space="preserve">m itself increased from </w:t>
      </w:r>
      <w:r w:rsidR="00325E9E">
        <w:rPr>
          <w:rFonts w:ascii="Times New Roman" w:hAnsi="Times New Roman"/>
          <w:snapToGrid/>
          <w:sz w:val="24"/>
          <w:szCs w:val="24"/>
        </w:rPr>
        <w:t>15 minutes to 30 minutes.</w:t>
      </w:r>
    </w:p>
    <w:p w:rsid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 xml:space="preserve">The changes are </w:t>
      </w:r>
      <w:r w:rsidR="0073263C">
        <w:rPr>
          <w:rFonts w:ascii="Times New Roman" w:hAnsi="Times New Roman"/>
          <w:snapToGrid/>
          <w:sz w:val="24"/>
          <w:szCs w:val="24"/>
        </w:rPr>
        <w:t xml:space="preserve">primarily </w:t>
      </w:r>
      <w:r w:rsidRPr="00633AD5">
        <w:rPr>
          <w:rFonts w:ascii="Times New Roman" w:hAnsi="Times New Roman"/>
          <w:snapToGrid/>
          <w:sz w:val="24"/>
          <w:szCs w:val="24"/>
        </w:rPr>
        <w:t>due to an adjus</w:t>
      </w:r>
      <w:r w:rsidR="009D6BFD">
        <w:rPr>
          <w:rFonts w:ascii="Times New Roman" w:hAnsi="Times New Roman"/>
          <w:snapToGrid/>
          <w:sz w:val="24"/>
          <w:szCs w:val="24"/>
        </w:rPr>
        <w:t>tment in the child support case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load </w:t>
      </w:r>
      <w:r w:rsidR="0073263C">
        <w:rPr>
          <w:rFonts w:ascii="Times New Roman" w:hAnsi="Times New Roman"/>
          <w:snapToGrid/>
          <w:sz w:val="24"/>
          <w:szCs w:val="24"/>
        </w:rPr>
        <w:t>and time required to complete the Notice of Lien.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 </w:t>
      </w:r>
    </w:p>
    <w:p w:rsidR="008349D6" w:rsidRPr="00633AD5" w:rsidRDefault="008349D6" w:rsidP="008349D6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16.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Plans for Tabulation and Publication and Project Time Schedule</w:t>
      </w:r>
    </w:p>
    <w:p w:rsidR="00633AD5" w:rsidRPr="00633AD5" w:rsidRDefault="00633AD5" w:rsidP="00633AD5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There are no plans to publish results of this information.</w:t>
      </w:r>
    </w:p>
    <w:p w:rsidR="008349D6" w:rsidRDefault="008349D6" w:rsidP="008349D6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17.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Reason(s) Display of OMB Expiration Date is Inappropriate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</w:p>
    <w:p w:rsidR="00633AD5" w:rsidRPr="00633AD5" w:rsidRDefault="00633AD5" w:rsidP="008349D6">
      <w:pPr>
        <w:widowControl/>
        <w:spacing w:after="100" w:afterAutospacing="1"/>
        <w:ind w:left="720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snapToGrid/>
          <w:sz w:val="24"/>
          <w:szCs w:val="24"/>
        </w:rPr>
        <w:t>Not applicable.</w:t>
      </w:r>
    </w:p>
    <w:p w:rsidR="008349D6" w:rsidRPr="00633AD5" w:rsidRDefault="008349D6" w:rsidP="008349D6">
      <w:pPr>
        <w:widowControl/>
        <w:tabs>
          <w:tab w:val="decimal" w:pos="540"/>
        </w:tabs>
        <w:spacing w:after="100" w:afterAutospacing="1"/>
        <w:rPr>
          <w:rFonts w:ascii="Times New Roman" w:hAnsi="Times New Roman"/>
          <w:snapToGrid/>
          <w:sz w:val="24"/>
          <w:szCs w:val="24"/>
        </w:rPr>
      </w:pPr>
      <w:r>
        <w:rPr>
          <w:rFonts w:ascii="Times New Roman" w:hAnsi="Times New Roman"/>
          <w:snapToGrid/>
          <w:sz w:val="24"/>
          <w:szCs w:val="24"/>
        </w:rPr>
        <w:tab/>
        <w:t>18.</w:t>
      </w:r>
      <w:r>
        <w:rPr>
          <w:rFonts w:ascii="Times New Roman" w:hAnsi="Times New Roman"/>
          <w:snapToGrid/>
          <w:sz w:val="24"/>
          <w:szCs w:val="24"/>
        </w:rPr>
        <w:tab/>
      </w:r>
      <w:r w:rsidRPr="00A33C3D">
        <w:rPr>
          <w:rFonts w:ascii="Times New Roman" w:hAnsi="Times New Roman"/>
          <w:snapToGrid/>
          <w:sz w:val="24"/>
          <w:szCs w:val="24"/>
        </w:rPr>
        <w:t>Exceptions to Certification for Paperwork Reduction Act Submissions</w:t>
      </w:r>
    </w:p>
    <w:p w:rsidR="00633AD5" w:rsidRPr="00633AD5" w:rsidRDefault="00633AD5" w:rsidP="00633AD5">
      <w:pPr>
        <w:widowControl/>
        <w:tabs>
          <w:tab w:val="left" w:pos="720"/>
        </w:tabs>
        <w:spacing w:after="100" w:afterAutospacing="1"/>
        <w:ind w:left="720"/>
        <w:rPr>
          <w:rFonts w:ascii="Times New Roman" w:hAnsi="Times New Roman"/>
          <w:bCs/>
          <w:snapToGrid/>
          <w:sz w:val="24"/>
          <w:szCs w:val="24"/>
        </w:rPr>
      </w:pPr>
      <w:r w:rsidRPr="00633AD5">
        <w:rPr>
          <w:rFonts w:ascii="Times New Roman" w:hAnsi="Times New Roman"/>
          <w:bCs/>
          <w:snapToGrid/>
          <w:sz w:val="24"/>
          <w:szCs w:val="24"/>
        </w:rPr>
        <w:t>There are no exceptions to the certification statement.</w:t>
      </w:r>
    </w:p>
    <w:p w:rsidR="00633AD5" w:rsidRPr="00633AD5" w:rsidRDefault="00633AD5" w:rsidP="00633AD5">
      <w:pPr>
        <w:widowControl/>
        <w:spacing w:after="100" w:afterAutospacing="1"/>
        <w:rPr>
          <w:rFonts w:ascii="Times New Roman" w:hAnsi="Times New Roman"/>
          <w:snapToGrid/>
          <w:sz w:val="24"/>
          <w:szCs w:val="24"/>
        </w:rPr>
      </w:pPr>
      <w:r w:rsidRPr="00633AD5">
        <w:rPr>
          <w:rFonts w:ascii="Times New Roman" w:hAnsi="Times New Roman"/>
          <w:b/>
          <w:bCs/>
          <w:snapToGrid/>
          <w:sz w:val="24"/>
          <w:szCs w:val="24"/>
        </w:rPr>
        <w:t>B.  Statistical Methods</w:t>
      </w:r>
      <w:r w:rsidRPr="00633AD5">
        <w:rPr>
          <w:rFonts w:ascii="Times New Roman" w:hAnsi="Times New Roman"/>
          <w:snapToGrid/>
          <w:sz w:val="24"/>
          <w:szCs w:val="24"/>
        </w:rPr>
        <w:t xml:space="preserve"> </w:t>
      </w:r>
      <w:r w:rsidRPr="00633AD5">
        <w:rPr>
          <w:rFonts w:ascii="Times New Roman" w:hAnsi="Times New Roman"/>
          <w:b/>
          <w:bCs/>
          <w:snapToGrid/>
          <w:sz w:val="24"/>
          <w:szCs w:val="24"/>
        </w:rPr>
        <w:t>(used for collection of information employing statistical methods)</w:t>
      </w:r>
    </w:p>
    <w:p w:rsidR="00633AD5" w:rsidRPr="00633AD5" w:rsidRDefault="00AE25F8" w:rsidP="00633AD5">
      <w:pPr>
        <w:widowControl/>
        <w:spacing w:after="100" w:afterAutospacing="1"/>
        <w:ind w:left="360"/>
        <w:rPr>
          <w:rFonts w:ascii="Times New Roman" w:hAnsi="Times New Roman"/>
          <w:snapToGrid/>
          <w:sz w:val="24"/>
          <w:szCs w:val="24"/>
        </w:rPr>
      </w:pPr>
      <w:r w:rsidRPr="00AE25F8">
        <w:rPr>
          <w:rFonts w:ascii="Times New Roman" w:hAnsi="Times New Roman"/>
          <w:snapToGrid/>
          <w:sz w:val="24"/>
          <w:szCs w:val="24"/>
        </w:rPr>
        <w:t xml:space="preserve">The </w:t>
      </w:r>
      <w:r w:rsidR="001028C9" w:rsidRPr="00AE25F8">
        <w:rPr>
          <w:rFonts w:ascii="Times New Roman" w:hAnsi="Times New Roman"/>
          <w:snapToGrid/>
          <w:sz w:val="24"/>
          <w:szCs w:val="24"/>
        </w:rPr>
        <w:t>use of these forms does</w:t>
      </w:r>
      <w:r w:rsidRPr="00AE25F8">
        <w:rPr>
          <w:rFonts w:ascii="Times New Roman" w:hAnsi="Times New Roman"/>
          <w:snapToGrid/>
          <w:sz w:val="24"/>
          <w:szCs w:val="24"/>
        </w:rPr>
        <w:t xml:space="preserve"> not require the use of statistical methods.</w:t>
      </w:r>
    </w:p>
    <w:p w:rsidR="00495780" w:rsidRPr="00633AD5" w:rsidRDefault="00495780" w:rsidP="00633AD5">
      <w:pPr>
        <w:spacing w:after="100" w:afterAutospacing="1"/>
        <w:rPr>
          <w:rFonts w:ascii="Times New Roman" w:hAnsi="Times New Roman"/>
          <w:sz w:val="24"/>
          <w:szCs w:val="24"/>
        </w:rPr>
      </w:pPr>
    </w:p>
    <w:sectPr w:rsidR="00495780" w:rsidRPr="00633AD5" w:rsidSect="00A918E4">
      <w:footerReference w:type="default" r:id="rId8"/>
      <w:endnotePr>
        <w:numFmt w:val="decimal"/>
      </w:endnotePr>
      <w:pgSz w:w="12240" w:h="15840"/>
      <w:pgMar w:top="1152" w:right="1440" w:bottom="864" w:left="1440" w:header="1440" w:footer="144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D6C" w:rsidRDefault="00137D6C">
      <w:r>
        <w:separator/>
      </w:r>
    </w:p>
  </w:endnote>
  <w:endnote w:type="continuationSeparator" w:id="0">
    <w:p w:rsidR="00137D6C" w:rsidRDefault="00137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1C23" w:rsidRDefault="000B3024">
    <w:pPr>
      <w:spacing w:before="140" w:line="100" w:lineRule="exact"/>
      <w:rPr>
        <w:sz w:val="10"/>
      </w:rPr>
    </w:pPr>
  </w:p>
  <w:p w:rsidR="00DC1C23" w:rsidRDefault="000B3024">
    <w:pPr>
      <w:tabs>
        <w:tab w:val="left" w:pos="-720"/>
      </w:tabs>
      <w:suppressAutoHyphens/>
      <w:rPr>
        <w:sz w:val="24"/>
      </w:rPr>
    </w:pPr>
  </w:p>
  <w:p w:rsidR="00DC1C23" w:rsidRDefault="00E27144">
    <w:pPr>
      <w:tabs>
        <w:tab w:val="left" w:pos="-720"/>
      </w:tabs>
      <w:suppressAutoHyphens/>
      <w:rPr>
        <w:sz w:val="24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52FC6752" wp14:editId="3814A076">
              <wp:simplePos x="0" y="0"/>
              <wp:positionH relativeFrom="margin">
                <wp:posOffset>19050</wp:posOffset>
              </wp:positionH>
              <wp:positionV relativeFrom="paragraph">
                <wp:posOffset>152400</wp:posOffset>
              </wp:positionV>
              <wp:extent cx="5905500" cy="15240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0550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DC1C23" w:rsidRDefault="00E27144">
                          <w:pPr>
                            <w:tabs>
                              <w:tab w:val="center" w:pos="4650"/>
                            </w:tabs>
                            <w:suppressAutoHyphens/>
                            <w:jc w:val="both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ab/>
                          </w:r>
                          <w:r>
                            <w:rPr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>page \* arabic</w:instrText>
                          </w:r>
                          <w:r>
                            <w:rPr>
                              <w:sz w:val="24"/>
                            </w:rPr>
                            <w:fldChar w:fldCharType="separate"/>
                          </w:r>
                          <w:r w:rsidR="000B3024">
                            <w:rPr>
                              <w:noProof/>
                              <w:sz w:val="24"/>
                            </w:rPr>
                            <w:t>2</w:t>
                          </w:r>
                          <w:r>
                            <w:rPr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.5pt;margin-top:12pt;width:46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" o:allowincell="f" filled="f" stroked="f" strokeweight="0">
              <v:textbox inset="0,0,0,0">
                <w:txbxContent>
                  <w:p w:rsidR="00DC1C23" w:rsidRDefault="00E27144">
                    <w:pPr>
                      <w:tabs>
                        <w:tab w:val="center" w:pos="4650"/>
                      </w:tabs>
                      <w:suppressAutoHyphens/>
                      <w:jc w:val="both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</w:rPr>
                      <w:instrText>page \* arabic</w:instrText>
                    </w:r>
                    <w:r>
                      <w:rPr>
                        <w:sz w:val="24"/>
                      </w:rPr>
                      <w:fldChar w:fldCharType="separate"/>
                    </w:r>
                    <w:r w:rsidR="000B3024">
                      <w:rPr>
                        <w:noProof/>
                        <w:sz w:val="24"/>
                      </w:rPr>
                      <w:t>2</w:t>
                    </w:r>
                    <w:r>
                      <w:rPr>
                        <w:sz w:val="24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D6C" w:rsidRDefault="00137D6C">
      <w:r>
        <w:separator/>
      </w:r>
    </w:p>
  </w:footnote>
  <w:footnote w:type="continuationSeparator" w:id="0">
    <w:p w:rsidR="00137D6C" w:rsidRDefault="00137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A1BD6"/>
    <w:multiLevelType w:val="multilevel"/>
    <w:tmpl w:val="1D2A3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7QwsDQ0MTKxMLI0MrdQ0lEKTi0uzszPAykwrgUAtsL+OywAAAA="/>
  </w:docVars>
  <w:rsids>
    <w:rsidRoot w:val="00633AD5"/>
    <w:rsid w:val="000030C6"/>
    <w:rsid w:val="000164A6"/>
    <w:rsid w:val="000B3024"/>
    <w:rsid w:val="001028C9"/>
    <w:rsid w:val="00132C38"/>
    <w:rsid w:val="00135772"/>
    <w:rsid w:val="00137D6C"/>
    <w:rsid w:val="00150CF7"/>
    <w:rsid w:val="00157452"/>
    <w:rsid w:val="001B689D"/>
    <w:rsid w:val="001C4E06"/>
    <w:rsid w:val="001D2152"/>
    <w:rsid w:val="001F6764"/>
    <w:rsid w:val="00204B94"/>
    <w:rsid w:val="002211EA"/>
    <w:rsid w:val="0028291F"/>
    <w:rsid w:val="00290AB1"/>
    <w:rsid w:val="002F079C"/>
    <w:rsid w:val="00325E9E"/>
    <w:rsid w:val="0033195A"/>
    <w:rsid w:val="00342F8A"/>
    <w:rsid w:val="00352E34"/>
    <w:rsid w:val="00362433"/>
    <w:rsid w:val="003767E1"/>
    <w:rsid w:val="003D57A4"/>
    <w:rsid w:val="004132CF"/>
    <w:rsid w:val="0043587B"/>
    <w:rsid w:val="0047471C"/>
    <w:rsid w:val="00495780"/>
    <w:rsid w:val="004F7233"/>
    <w:rsid w:val="0052290A"/>
    <w:rsid w:val="005337BD"/>
    <w:rsid w:val="00566210"/>
    <w:rsid w:val="005A42A3"/>
    <w:rsid w:val="005E169C"/>
    <w:rsid w:val="005E2A70"/>
    <w:rsid w:val="006237EF"/>
    <w:rsid w:val="00633AD5"/>
    <w:rsid w:val="006359ED"/>
    <w:rsid w:val="00702D5E"/>
    <w:rsid w:val="0073263C"/>
    <w:rsid w:val="007D0308"/>
    <w:rsid w:val="007E0AE4"/>
    <w:rsid w:val="008349D6"/>
    <w:rsid w:val="0083566B"/>
    <w:rsid w:val="008927FD"/>
    <w:rsid w:val="00915F61"/>
    <w:rsid w:val="0094270C"/>
    <w:rsid w:val="00943E04"/>
    <w:rsid w:val="00990C36"/>
    <w:rsid w:val="009A72BF"/>
    <w:rsid w:val="009D6BFD"/>
    <w:rsid w:val="009E39A8"/>
    <w:rsid w:val="00A02375"/>
    <w:rsid w:val="00A9032C"/>
    <w:rsid w:val="00A97FDA"/>
    <w:rsid w:val="00AE25F8"/>
    <w:rsid w:val="00B201A2"/>
    <w:rsid w:val="00B42931"/>
    <w:rsid w:val="00B831B9"/>
    <w:rsid w:val="00B90DE8"/>
    <w:rsid w:val="00B91D92"/>
    <w:rsid w:val="00BC3EBF"/>
    <w:rsid w:val="00C40399"/>
    <w:rsid w:val="00D63329"/>
    <w:rsid w:val="00D7205A"/>
    <w:rsid w:val="00DE0DFD"/>
    <w:rsid w:val="00E0606B"/>
    <w:rsid w:val="00E17AD6"/>
    <w:rsid w:val="00E27144"/>
    <w:rsid w:val="00E35B6A"/>
    <w:rsid w:val="00E7485E"/>
    <w:rsid w:val="00E92DF6"/>
    <w:rsid w:val="00EB79F2"/>
    <w:rsid w:val="00EF77F4"/>
    <w:rsid w:val="00F04E5E"/>
    <w:rsid w:val="00F1545F"/>
    <w:rsid w:val="00F15719"/>
    <w:rsid w:val="00F53775"/>
    <w:rsid w:val="00F63532"/>
    <w:rsid w:val="00F92C06"/>
    <w:rsid w:val="00FE1ADC"/>
    <w:rsid w:val="00FE6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D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633A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3AD5"/>
  </w:style>
  <w:style w:type="character" w:customStyle="1" w:styleId="CommentTextChar">
    <w:name w:val="Comment Text Char"/>
    <w:basedOn w:val="DefaultParagraphFont"/>
    <w:link w:val="CommentText"/>
    <w:rsid w:val="00633AD5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AD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A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8A"/>
    <w:rPr>
      <w:rFonts w:ascii="Courier New" w:eastAsia="Times New Roman" w:hAnsi="Courier New" w:cs="Times New Roman"/>
      <w:b/>
      <w:bCs/>
      <w:snapToGrid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AD5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rsid w:val="00633AD5"/>
    <w:rPr>
      <w:sz w:val="16"/>
      <w:szCs w:val="16"/>
    </w:rPr>
  </w:style>
  <w:style w:type="paragraph" w:styleId="CommentText">
    <w:name w:val="annotation text"/>
    <w:basedOn w:val="Normal"/>
    <w:link w:val="CommentTextChar"/>
    <w:rsid w:val="00633AD5"/>
  </w:style>
  <w:style w:type="character" w:customStyle="1" w:styleId="CommentTextChar">
    <w:name w:val="Comment Text Char"/>
    <w:basedOn w:val="DefaultParagraphFont"/>
    <w:link w:val="CommentText"/>
    <w:rsid w:val="00633AD5"/>
    <w:rPr>
      <w:rFonts w:ascii="Courier New" w:eastAsia="Times New Roman" w:hAnsi="Courier New" w:cs="Times New Roman"/>
      <w:snapToGrid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3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AD5"/>
    <w:rPr>
      <w:rFonts w:ascii="Tahoma" w:eastAsia="Times New Roman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33AD5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2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2F8A"/>
    <w:rPr>
      <w:rFonts w:ascii="Courier New" w:eastAsia="Times New Roman" w:hAnsi="Courier New" w:cs="Times New Roman"/>
      <w:b/>
      <w:bCs/>
      <w:snapToGrid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1234</Words>
  <Characters>7038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SYSTEM</cp:lastModifiedBy>
  <cp:revision>2</cp:revision>
  <cp:lastPrinted>2016-10-07T14:12:00Z</cp:lastPrinted>
  <dcterms:created xsi:type="dcterms:W3CDTF">2018-03-26T16:22:00Z</dcterms:created>
  <dcterms:modified xsi:type="dcterms:W3CDTF">2018-03-26T16:22:00Z</dcterms:modified>
</cp:coreProperties>
</file>