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1D8A17" w14:textId="27A10256" w:rsidR="00BC629D" w:rsidRDefault="00406101" w:rsidP="00406101">
      <w:pPr>
        <w:ind w:left="720"/>
        <w:jc w:val="center"/>
      </w:pPr>
      <w:bookmarkStart w:id="0" w:name="_GoBack"/>
      <w:bookmarkEnd w:id="0"/>
      <w:r>
        <w:t>Justification for Non</w:t>
      </w:r>
      <w:r w:rsidR="00BC629D">
        <w:t>s</w:t>
      </w:r>
      <w:r>
        <w:t xml:space="preserve">ubstantive </w:t>
      </w:r>
      <w:r w:rsidR="00BC629D">
        <w:t>Change</w:t>
      </w:r>
    </w:p>
    <w:p w14:paraId="2F4765F4" w14:textId="1068096A" w:rsidR="00BC629D" w:rsidRDefault="00AB79BE" w:rsidP="00406101">
      <w:pPr>
        <w:ind w:left="720"/>
        <w:jc w:val="center"/>
      </w:pPr>
      <w:r>
        <w:t>Healthy Indiana Program (HIP) 2.0 Beneficiary Surveys, Focus Groups, and Informational Interviews</w:t>
      </w:r>
    </w:p>
    <w:p w14:paraId="611F140F" w14:textId="36DCA83D" w:rsidR="00406101" w:rsidRDefault="00BC629D" w:rsidP="00406101">
      <w:pPr>
        <w:ind w:left="720"/>
        <w:jc w:val="center"/>
      </w:pPr>
      <w:r>
        <w:t>CMS-</w:t>
      </w:r>
      <w:r w:rsidR="00AB79BE">
        <w:t>10615</w:t>
      </w:r>
      <w:r>
        <w:t xml:space="preserve">, </w:t>
      </w:r>
      <w:r w:rsidR="00406101">
        <w:t xml:space="preserve">OMB </w:t>
      </w:r>
      <w:r w:rsidR="00AB79BE">
        <w:t>0938-1300</w:t>
      </w:r>
    </w:p>
    <w:p w14:paraId="69D94065" w14:textId="77777777" w:rsidR="006050A5" w:rsidRDefault="006050A5"/>
    <w:p w14:paraId="29E2EA5F" w14:textId="792C85D9" w:rsidR="001B684A" w:rsidRPr="001B684A" w:rsidRDefault="001B684A">
      <w:pPr>
        <w:rPr>
          <w:b/>
        </w:rPr>
      </w:pPr>
      <w:r w:rsidRPr="001B684A">
        <w:rPr>
          <w:b/>
        </w:rPr>
        <w:t>Summary</w:t>
      </w:r>
    </w:p>
    <w:p w14:paraId="014618A8" w14:textId="77777777" w:rsidR="001B684A" w:rsidRDefault="001B684A"/>
    <w:p w14:paraId="7CDEB54D" w14:textId="496C607A" w:rsidR="00B910D1" w:rsidRDefault="00B910D1" w:rsidP="00B910D1">
      <w:pPr>
        <w:rPr>
          <w:szCs w:val="24"/>
        </w:rPr>
      </w:pPr>
      <w:r>
        <w:rPr>
          <w:szCs w:val="24"/>
        </w:rPr>
        <w:t xml:space="preserve">The following describes this iteration’s nonsubstantive changes, consisting </w:t>
      </w:r>
      <w:r w:rsidRPr="00575FAE">
        <w:rPr>
          <w:szCs w:val="24"/>
        </w:rPr>
        <w:t>of three adjustments</w:t>
      </w:r>
      <w:r>
        <w:rPr>
          <w:szCs w:val="24"/>
        </w:rPr>
        <w:t>. Adjustment #1 removes the beneficiary survey data collection activities. Adjustment #2 increases the number of focus groups in the State of Indiana</w:t>
      </w:r>
      <w:r w:rsidRPr="00575FAE">
        <w:rPr>
          <w:szCs w:val="24"/>
        </w:rPr>
        <w:t xml:space="preserve">. Adjustment #3 </w:t>
      </w:r>
      <w:r>
        <w:rPr>
          <w:szCs w:val="24"/>
        </w:rPr>
        <w:t>reflects changes to the focus group moderator guide</w:t>
      </w:r>
      <w:r w:rsidRPr="00575FAE">
        <w:rPr>
          <w:szCs w:val="24"/>
        </w:rPr>
        <w:t>.</w:t>
      </w:r>
      <w:r>
        <w:rPr>
          <w:szCs w:val="24"/>
        </w:rPr>
        <w:t xml:space="preserve"> Adjustment #4 updates cost burden estimates based on more current wage rate data for Indiana.</w:t>
      </w:r>
    </w:p>
    <w:p w14:paraId="06DE3C1E" w14:textId="77777777" w:rsidR="00B910D1" w:rsidRDefault="00B910D1" w:rsidP="00B910D1">
      <w:pPr>
        <w:rPr>
          <w:szCs w:val="24"/>
        </w:rPr>
      </w:pPr>
    </w:p>
    <w:p w14:paraId="16B5092B" w14:textId="77777777" w:rsidR="00B910D1" w:rsidRDefault="00B910D1" w:rsidP="00B910D1">
      <w:pPr>
        <w:rPr>
          <w:szCs w:val="24"/>
        </w:rPr>
      </w:pPr>
      <w:r>
        <w:rPr>
          <w:szCs w:val="24"/>
        </w:rPr>
        <w:t>Adjustments 1 and 2 introduce changes to the burden. Overall, the burden will decrease.</w:t>
      </w:r>
    </w:p>
    <w:p w14:paraId="3A2D67ED" w14:textId="77777777" w:rsidR="00B910D1" w:rsidRDefault="00B910D1" w:rsidP="00B910D1">
      <w:pPr>
        <w:rPr>
          <w:szCs w:val="24"/>
        </w:rPr>
      </w:pPr>
    </w:p>
    <w:p w14:paraId="7AF8B680" w14:textId="77777777" w:rsidR="00B910D1" w:rsidRDefault="00B910D1" w:rsidP="00B910D1">
      <w:pPr>
        <w:rPr>
          <w:szCs w:val="24"/>
        </w:rPr>
      </w:pPr>
      <w:r>
        <w:rPr>
          <w:szCs w:val="24"/>
        </w:rPr>
        <w:t xml:space="preserve">While Adjustment #2 </w:t>
      </w:r>
      <w:r w:rsidRPr="00575FAE">
        <w:rPr>
          <w:szCs w:val="24"/>
        </w:rPr>
        <w:t>increase</w:t>
      </w:r>
      <w:r>
        <w:rPr>
          <w:szCs w:val="24"/>
        </w:rPr>
        <w:t>s the number of respondents, Adjustment #1 substantially decreases the overall number of respondents by eliminating the beneficiary survey.</w:t>
      </w:r>
    </w:p>
    <w:p w14:paraId="687AFEB8" w14:textId="77777777" w:rsidR="00632601" w:rsidRDefault="00632601"/>
    <w:p w14:paraId="41427DA4" w14:textId="6603EFB2" w:rsidR="00773016" w:rsidRDefault="00AF5E79">
      <w:r w:rsidRPr="00FC1C51">
        <w:t xml:space="preserve">This request does not revise any requirements, nor does it propose any program changes. </w:t>
      </w:r>
      <w:r w:rsidR="006050A5" w:rsidRPr="00FC1C51">
        <w:t>Likewise, our per response burden estimate is unchanged</w:t>
      </w:r>
      <w:r w:rsidR="00937970" w:rsidRPr="00FC1C51">
        <w:t xml:space="preserve"> for focus groups and informational interviews</w:t>
      </w:r>
      <w:r w:rsidR="006050A5" w:rsidRPr="00FC1C51">
        <w:t>.</w:t>
      </w:r>
    </w:p>
    <w:p w14:paraId="611FAD6C" w14:textId="295BB26D" w:rsidR="003E05F2" w:rsidRDefault="003E05F2" w:rsidP="00632601">
      <w:pPr>
        <w:rPr>
          <w:b/>
        </w:rPr>
      </w:pPr>
    </w:p>
    <w:p w14:paraId="3DD8B938" w14:textId="59C2BA70" w:rsidR="003E05F2" w:rsidRDefault="003E05F2" w:rsidP="00632601">
      <w:pPr>
        <w:rPr>
          <w:b/>
        </w:rPr>
      </w:pPr>
      <w:r>
        <w:rPr>
          <w:b/>
        </w:rPr>
        <w:t>Adjustment #1</w:t>
      </w:r>
    </w:p>
    <w:p w14:paraId="1E77361A" w14:textId="66C64B18" w:rsidR="003E05F2" w:rsidRDefault="003E05F2" w:rsidP="00632601">
      <w:r>
        <w:t xml:space="preserve">Our most recent information collection extension request (approved on </w:t>
      </w:r>
      <w:r w:rsidR="00575FAE">
        <w:t>11/15/</w:t>
      </w:r>
      <w:r>
        <w:t xml:space="preserve">2016) included beneficiary survey data collection activities. </w:t>
      </w:r>
    </w:p>
    <w:p w14:paraId="7A96351F" w14:textId="6F80CFD5" w:rsidR="003E05F2" w:rsidRDefault="003E05F2" w:rsidP="00632601"/>
    <w:p w14:paraId="3BB21C09" w14:textId="18BF3624" w:rsidR="003E05F2" w:rsidRDefault="003E05F2" w:rsidP="00632601">
      <w:r>
        <w:t>Since the approval of the information collection request, the scope of work in the federal evaluation has changed.</w:t>
      </w:r>
    </w:p>
    <w:p w14:paraId="12526DDD" w14:textId="62833003" w:rsidR="003E05F2" w:rsidRDefault="003E05F2" w:rsidP="00632601"/>
    <w:p w14:paraId="5DD5D0A2" w14:textId="39C8DB2D" w:rsidR="003E05F2" w:rsidRDefault="003E05F2" w:rsidP="00632601">
      <w:r>
        <w:t>This nonsubstantive iteration reflects those changes in the scope of work in the federal evaluation and removes all beneficiary survey data collection activities. Thereby, removing 5,182 respondents for this information collection.</w:t>
      </w:r>
    </w:p>
    <w:p w14:paraId="1FCBDA39" w14:textId="1239FA21" w:rsidR="003E05F2" w:rsidRDefault="003E05F2" w:rsidP="00632601"/>
    <w:p w14:paraId="553D7909" w14:textId="5B4A601F" w:rsidR="003E05F2" w:rsidRDefault="003E05F2" w:rsidP="00632601">
      <w:pPr>
        <w:rPr>
          <w:b/>
        </w:rPr>
      </w:pPr>
      <w:r>
        <w:rPr>
          <w:b/>
        </w:rPr>
        <w:t>Adjustment #2</w:t>
      </w:r>
    </w:p>
    <w:p w14:paraId="6ACF77EE" w14:textId="186BBA2F" w:rsidR="003E05F2" w:rsidRDefault="003E05F2" w:rsidP="003E05F2">
      <w:r>
        <w:t xml:space="preserve">Our most recent information collection extension request (approved on </w:t>
      </w:r>
      <w:r w:rsidR="00575FAE">
        <w:t>11/15/</w:t>
      </w:r>
      <w:r>
        <w:t xml:space="preserve">2016) included focus group data collection activities. </w:t>
      </w:r>
    </w:p>
    <w:p w14:paraId="4F565A28" w14:textId="04682CC0" w:rsidR="003E05F2" w:rsidRDefault="003E05F2" w:rsidP="00632601">
      <w:pPr>
        <w:rPr>
          <w:b/>
        </w:rPr>
      </w:pPr>
    </w:p>
    <w:p w14:paraId="0FFF6B39" w14:textId="77777777" w:rsidR="003E05F2" w:rsidRDefault="003E05F2" w:rsidP="003E05F2">
      <w:r>
        <w:t>Since the approval of the information collection request, the scope of work in the federal evaluation has changed.</w:t>
      </w:r>
    </w:p>
    <w:p w14:paraId="2B896CC3" w14:textId="54C11337" w:rsidR="003E05F2" w:rsidRDefault="003E05F2" w:rsidP="00632601">
      <w:pPr>
        <w:rPr>
          <w:b/>
        </w:rPr>
      </w:pPr>
    </w:p>
    <w:p w14:paraId="0E0B16F3" w14:textId="44608710" w:rsidR="003E05F2" w:rsidRDefault="003E05F2" w:rsidP="00632601">
      <w:r>
        <w:t xml:space="preserve">This nonsubstantive iteration reflects those changes in the scope of work in the federal evaluation and increases the number of focus groups from 4 to </w:t>
      </w:r>
      <w:r w:rsidR="000B6116">
        <w:t xml:space="preserve">up to </w:t>
      </w:r>
      <w:r w:rsidR="005B3BD1">
        <w:t>8</w:t>
      </w:r>
      <w:r w:rsidR="000B6116">
        <w:t>, t</w:t>
      </w:r>
      <w:r>
        <w:t xml:space="preserve">hereby increasing the </w:t>
      </w:r>
      <w:r w:rsidR="000B6116">
        <w:t xml:space="preserve">number of </w:t>
      </w:r>
      <w:r>
        <w:t xml:space="preserve">respondents from 40 to </w:t>
      </w:r>
      <w:r w:rsidR="000B6116">
        <w:t xml:space="preserve">up to </w:t>
      </w:r>
      <w:r w:rsidR="005B3BD1">
        <w:t xml:space="preserve">80 </w:t>
      </w:r>
      <w:r>
        <w:t xml:space="preserve">for this information collection.  </w:t>
      </w:r>
    </w:p>
    <w:p w14:paraId="65987FF4" w14:textId="516F7DD7" w:rsidR="003E05F2" w:rsidRDefault="003E05F2" w:rsidP="00632601"/>
    <w:p w14:paraId="56B282A3" w14:textId="77777777" w:rsidR="00292DCA" w:rsidRDefault="00292DCA" w:rsidP="00632601">
      <w:pPr>
        <w:rPr>
          <w:b/>
        </w:rPr>
      </w:pPr>
    </w:p>
    <w:p w14:paraId="194A8D1F" w14:textId="77777777" w:rsidR="00292DCA" w:rsidRDefault="00292DCA" w:rsidP="00632601">
      <w:pPr>
        <w:rPr>
          <w:b/>
        </w:rPr>
      </w:pPr>
    </w:p>
    <w:p w14:paraId="3D3B7626" w14:textId="48DA5083" w:rsidR="003E05F2" w:rsidRDefault="003E05F2" w:rsidP="00632601">
      <w:pPr>
        <w:rPr>
          <w:b/>
        </w:rPr>
      </w:pPr>
      <w:r>
        <w:rPr>
          <w:b/>
        </w:rPr>
        <w:lastRenderedPageBreak/>
        <w:t>Adjustment #3</w:t>
      </w:r>
    </w:p>
    <w:p w14:paraId="32E9C036" w14:textId="77777777" w:rsidR="00B910D1" w:rsidRDefault="00B910D1" w:rsidP="003E05F2"/>
    <w:p w14:paraId="55B9F5DD" w14:textId="77777777" w:rsidR="00B910D1" w:rsidRDefault="00B910D1" w:rsidP="00B910D1">
      <w:r>
        <w:t xml:space="preserve">Since the approval of the information collection request, the evaluation team re-engaged with the state of Indiana to obtain and incorporate their feedback on changes to the focus group moderator guide. These changes do not change the intent of the questions in the guide, but are updates to the phrasing of the questions that introduce more clarity and will enable the evaluation team to obtain more comprehensive responses from focus group participants. </w:t>
      </w:r>
    </w:p>
    <w:p w14:paraId="4C7F9668" w14:textId="77777777" w:rsidR="00B910D1" w:rsidRDefault="00B910D1" w:rsidP="003E05F2"/>
    <w:p w14:paraId="1C8B534D" w14:textId="77777777" w:rsidR="003E05F2" w:rsidRDefault="003E05F2" w:rsidP="00632601">
      <w:pPr>
        <w:rPr>
          <w:b/>
        </w:rPr>
      </w:pPr>
    </w:p>
    <w:p w14:paraId="658A9654" w14:textId="624DEA48" w:rsidR="00FD650C" w:rsidRDefault="00FD650C" w:rsidP="00FD650C">
      <w:pPr>
        <w:rPr>
          <w:b/>
        </w:rPr>
      </w:pPr>
      <w:r>
        <w:rPr>
          <w:b/>
        </w:rPr>
        <w:t>Adjustment #4</w:t>
      </w:r>
    </w:p>
    <w:p w14:paraId="3A7D8646" w14:textId="43743B04" w:rsidR="000A15F3" w:rsidRDefault="000A15F3" w:rsidP="000A15F3">
      <w:r>
        <w:t>Our most recent information collection extension request (approved on 11/15/2016) included information based on May 2015 wage rates for Indiana (median overall hourly wage estimates for the State of Indiana (</w:t>
      </w:r>
      <w:hyperlink r:id="rId11" w:tooltip="May 2015 State Occupational Employment and Wage Estimates" w:history="1">
        <w:r w:rsidRPr="007C42D8">
          <w:rPr>
            <w:rStyle w:val="Hyperlink"/>
          </w:rPr>
          <w:t>http://www.bls.gov/oes/current/oes_in.htm</w:t>
        </w:r>
      </w:hyperlink>
      <w:r>
        <w:t xml:space="preserve">). </w:t>
      </w:r>
    </w:p>
    <w:p w14:paraId="31C968C2" w14:textId="77777777" w:rsidR="000A15F3" w:rsidRDefault="000A15F3" w:rsidP="00FD650C"/>
    <w:p w14:paraId="074FE835" w14:textId="3863CDC8" w:rsidR="00632601" w:rsidRDefault="00AF6055" w:rsidP="00632601">
      <w:pPr>
        <w:rPr>
          <w:b/>
        </w:rPr>
      </w:pPr>
      <w:r>
        <w:t>T</w:t>
      </w:r>
      <w:r w:rsidR="00CC1D40">
        <w:t xml:space="preserve">his nonsubstantive iteration adjusts upward the cost </w:t>
      </w:r>
      <w:r w:rsidR="0081160A">
        <w:t xml:space="preserve">estimates </w:t>
      </w:r>
      <w:r w:rsidR="00CC1D40">
        <w:t>per respondent</w:t>
      </w:r>
      <w:r>
        <w:t xml:space="preserve"> based on most recent (May 2016) data on wage rates for Indiana</w:t>
      </w:r>
      <w:r w:rsidR="004F7F4A">
        <w:t xml:space="preserve">, </w:t>
      </w:r>
      <w:r>
        <w:t xml:space="preserve">and increases the estimates </w:t>
      </w:r>
      <w:r w:rsidR="004F7F4A">
        <w:t>from $15.82/hour to $16.25/hour</w:t>
      </w:r>
      <w:r w:rsidR="00CC1D40">
        <w:t xml:space="preserve">. </w:t>
      </w:r>
    </w:p>
    <w:p w14:paraId="6E20C889" w14:textId="77777777" w:rsidR="00FD650C" w:rsidRPr="003E05F2" w:rsidRDefault="00FD650C" w:rsidP="00632601">
      <w:pPr>
        <w:rPr>
          <w:b/>
        </w:rPr>
      </w:pPr>
    </w:p>
    <w:p w14:paraId="1F8BFB31" w14:textId="77777777" w:rsidR="00632601" w:rsidRPr="00632601" w:rsidRDefault="00632601" w:rsidP="00632601">
      <w:pPr>
        <w:rPr>
          <w:b/>
        </w:rPr>
      </w:pPr>
      <w:r w:rsidRPr="00632601">
        <w:rPr>
          <w:b/>
        </w:rPr>
        <w:t>Adjustment</w:t>
      </w:r>
    </w:p>
    <w:p w14:paraId="58305AA5" w14:textId="77777777" w:rsidR="00632601" w:rsidRDefault="00632601" w:rsidP="00632601"/>
    <w:p w14:paraId="52124F98" w14:textId="26E7F087" w:rsidR="00632601" w:rsidRDefault="00D72950" w:rsidP="00632601">
      <w:r>
        <w:t>T</w:t>
      </w:r>
      <w:r w:rsidR="00632601" w:rsidRPr="00A510E4">
        <w:t>his nonsubstantive iteration adjusts</w:t>
      </w:r>
      <w:r w:rsidR="00632601">
        <w:t>:</w:t>
      </w:r>
    </w:p>
    <w:p w14:paraId="77584B36" w14:textId="5C0AA515" w:rsidR="003E05F2" w:rsidRDefault="003E05F2" w:rsidP="00632601"/>
    <w:p w14:paraId="1F6C0D51" w14:textId="4FABE48B" w:rsidR="003E05F2" w:rsidRPr="00575FAE" w:rsidRDefault="003E05F2" w:rsidP="003E05F2">
      <w:pPr>
        <w:pStyle w:val="ListParagraph"/>
        <w:numPr>
          <w:ilvl w:val="0"/>
          <w:numId w:val="1"/>
        </w:numPr>
      </w:pPr>
      <w:r>
        <w:t>The o</w:t>
      </w:r>
      <w:r w:rsidR="00E60F1B">
        <w:t>verall</w:t>
      </w:r>
      <w:r w:rsidR="00575FAE">
        <w:t xml:space="preserve"> number of respondents </w:t>
      </w:r>
      <w:r w:rsidR="00575FAE" w:rsidRPr="00575FAE">
        <w:t xml:space="preserve">by </w:t>
      </w:r>
      <w:r w:rsidR="00E60F1B" w:rsidRPr="00575FAE">
        <w:t>-5,095</w:t>
      </w:r>
    </w:p>
    <w:p w14:paraId="1F7BAEE8" w14:textId="6E4F53B7" w:rsidR="00E60F1B" w:rsidRPr="00575FAE" w:rsidRDefault="00E60F1B" w:rsidP="00E60F1B">
      <w:pPr>
        <w:pStyle w:val="ListParagraph"/>
        <w:numPr>
          <w:ilvl w:val="0"/>
          <w:numId w:val="1"/>
        </w:numPr>
      </w:pPr>
      <w:r w:rsidRPr="00575FAE">
        <w:t>The overa</w:t>
      </w:r>
      <w:r w:rsidR="00575FAE" w:rsidRPr="00575FAE">
        <w:t xml:space="preserve">ll number of responses by </w:t>
      </w:r>
      <w:r w:rsidRPr="00575FAE">
        <w:t>-5,095</w:t>
      </w:r>
    </w:p>
    <w:p w14:paraId="48C513C7" w14:textId="4E6F53BB" w:rsidR="00E60F1B" w:rsidRDefault="00E60F1B" w:rsidP="003E05F2">
      <w:pPr>
        <w:pStyle w:val="ListParagraph"/>
        <w:numPr>
          <w:ilvl w:val="0"/>
          <w:numId w:val="1"/>
        </w:numPr>
      </w:pPr>
      <w:r>
        <w:t xml:space="preserve">The overall number of hours by </w:t>
      </w:r>
      <w:r w:rsidR="00575FAE">
        <w:t>-1,045.5</w:t>
      </w:r>
    </w:p>
    <w:p w14:paraId="1FEC178F" w14:textId="4408622E" w:rsidR="000C7170" w:rsidRDefault="000C7170" w:rsidP="003E05F2">
      <w:pPr>
        <w:pStyle w:val="ListParagraph"/>
        <w:numPr>
          <w:ilvl w:val="0"/>
          <w:numId w:val="1"/>
        </w:numPr>
      </w:pPr>
      <w:r>
        <w:t>The annual wage cost per respondent by +$0.43</w:t>
      </w:r>
    </w:p>
    <w:p w14:paraId="3E327855" w14:textId="608032BE" w:rsidR="00632601" w:rsidRDefault="00632601"/>
    <w:p w14:paraId="3FC876CF" w14:textId="77777777" w:rsidR="00DB5289" w:rsidRPr="00575FAE" w:rsidRDefault="00DB5289" w:rsidP="00DB5289">
      <w:pPr>
        <w:rPr>
          <w:b/>
        </w:rPr>
      </w:pPr>
      <w:r w:rsidRPr="00575FAE">
        <w:rPr>
          <w:b/>
        </w:rPr>
        <w:t>Summary of Changes</w:t>
      </w:r>
    </w:p>
    <w:p w14:paraId="0882A6CA" w14:textId="77777777" w:rsidR="00DB5289" w:rsidRPr="00575FAE" w:rsidRDefault="00DB5289" w:rsidP="00DB5289">
      <w:pPr>
        <w:widowControl w:val="0"/>
        <w:ind w:left="144"/>
      </w:pPr>
    </w:p>
    <w:p w14:paraId="174540B8" w14:textId="7AD2C4A6" w:rsidR="00DB5289" w:rsidRPr="00575FAE" w:rsidRDefault="00DB5289" w:rsidP="00DB5289">
      <w:pPr>
        <w:rPr>
          <w:szCs w:val="24"/>
        </w:rPr>
      </w:pPr>
      <w:r w:rsidRPr="00575FAE">
        <w:rPr>
          <w:szCs w:val="24"/>
        </w:rPr>
        <w:t>The following figures reconcile this iteration</w:t>
      </w:r>
      <w:r w:rsidR="00632B19">
        <w:rPr>
          <w:szCs w:val="24"/>
        </w:rPr>
        <w:t>’</w:t>
      </w:r>
      <w:r w:rsidRPr="00575FAE">
        <w:rPr>
          <w:szCs w:val="24"/>
        </w:rPr>
        <w:t xml:space="preserve">s nonsubstantive changes </w:t>
      </w:r>
      <w:r w:rsidR="00632B19">
        <w:rPr>
          <w:szCs w:val="24"/>
        </w:rPr>
        <w:t>that</w:t>
      </w:r>
      <w:r w:rsidRPr="00575FAE">
        <w:rPr>
          <w:szCs w:val="24"/>
        </w:rPr>
        <w:t xml:space="preserve"> culminate in our final burden estimates.</w:t>
      </w:r>
    </w:p>
    <w:p w14:paraId="56D08233" w14:textId="77777777" w:rsidR="00DB5289" w:rsidRPr="00FC1C51" w:rsidRDefault="00DB5289" w:rsidP="00DB5289">
      <w:pPr>
        <w:widowControl w:val="0"/>
        <w:ind w:left="144"/>
      </w:pPr>
    </w:p>
    <w:tbl>
      <w:tblPr>
        <w:tblW w:w="7740" w:type="dxa"/>
        <w:tblInd w:w="-113" w:type="dxa"/>
        <w:tblLook w:val="04A0" w:firstRow="1" w:lastRow="0" w:firstColumn="1" w:lastColumn="0" w:noHBand="0" w:noVBand="1"/>
      </w:tblPr>
      <w:tblGrid>
        <w:gridCol w:w="3515"/>
        <w:gridCol w:w="4225"/>
      </w:tblGrid>
      <w:tr w:rsidR="00DB5289" w:rsidRPr="002D5AE6" w14:paraId="12C5CD46" w14:textId="77777777" w:rsidTr="00FC1C51">
        <w:trPr>
          <w:trHeight w:val="86"/>
        </w:trPr>
        <w:tc>
          <w:tcPr>
            <w:tcW w:w="77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81FB094" w14:textId="0B9F2C32" w:rsidR="00DB5289" w:rsidRPr="00FC1C51" w:rsidRDefault="00DB5289" w:rsidP="00547CBA">
            <w:pPr>
              <w:widowControl w:val="0"/>
              <w:ind w:left="144"/>
              <w:jc w:val="center"/>
              <w:rPr>
                <w:b/>
                <w:bCs/>
                <w:color w:val="000000"/>
                <w:sz w:val="20"/>
              </w:rPr>
            </w:pPr>
            <w:r w:rsidRPr="00FC1C51">
              <w:rPr>
                <w:b/>
                <w:bCs/>
                <w:color w:val="000000"/>
                <w:sz w:val="20"/>
              </w:rPr>
              <w:t>Respondents</w:t>
            </w:r>
            <w:r w:rsidR="0036337F">
              <w:rPr>
                <w:b/>
                <w:bCs/>
                <w:color w:val="000000"/>
                <w:sz w:val="20"/>
              </w:rPr>
              <w:t xml:space="preserve"> (Total)</w:t>
            </w:r>
          </w:p>
        </w:tc>
      </w:tr>
      <w:tr w:rsidR="00DB5289" w:rsidRPr="002D5AE6" w14:paraId="6ED02710" w14:textId="77777777" w:rsidTr="00FC1C51">
        <w:trPr>
          <w:trHeight w:val="86"/>
        </w:trPr>
        <w:tc>
          <w:tcPr>
            <w:tcW w:w="3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0B00D" w14:textId="7E36AA9B" w:rsidR="00DB5289" w:rsidRPr="00FC1C51" w:rsidRDefault="009B3A9F" w:rsidP="009B3A9F">
            <w:pPr>
              <w:widowControl w:val="0"/>
              <w:ind w:left="144"/>
              <w:rPr>
                <w:color w:val="000000"/>
                <w:sz w:val="20"/>
              </w:rPr>
            </w:pPr>
            <w:r w:rsidRPr="00FC1C51">
              <w:rPr>
                <w:sz w:val="20"/>
              </w:rPr>
              <w:t>Nov.</w:t>
            </w:r>
            <w:r w:rsidR="00DB5289" w:rsidRPr="00FC1C51">
              <w:rPr>
                <w:sz w:val="20"/>
              </w:rPr>
              <w:t xml:space="preserve"> 15, 201</w:t>
            </w:r>
            <w:r w:rsidRPr="00FC1C51">
              <w:rPr>
                <w:sz w:val="20"/>
              </w:rPr>
              <w:t>6</w:t>
            </w:r>
            <w:r w:rsidR="00DB5289" w:rsidRPr="00FC1C51">
              <w:rPr>
                <w:sz w:val="20"/>
              </w:rPr>
              <w:t xml:space="preserve"> (</w:t>
            </w:r>
            <w:r w:rsidR="00DB5289" w:rsidRPr="00FC1C51">
              <w:rPr>
                <w:color w:val="000000"/>
                <w:sz w:val="20"/>
              </w:rPr>
              <w:t>Supporting Statement)</w:t>
            </w:r>
            <w:r w:rsidRPr="00FC1C51">
              <w:rPr>
                <w:color w:val="000000"/>
                <w:sz w:val="20"/>
              </w:rPr>
              <w:t xml:space="preserve"> – Beneficiary survey</w:t>
            </w:r>
          </w:p>
        </w:tc>
        <w:tc>
          <w:tcPr>
            <w:tcW w:w="4225" w:type="dxa"/>
            <w:tcBorders>
              <w:top w:val="single" w:sz="4" w:space="0" w:color="auto"/>
              <w:left w:val="nil"/>
              <w:bottom w:val="single" w:sz="4" w:space="0" w:color="auto"/>
              <w:right w:val="single" w:sz="4" w:space="0" w:color="auto"/>
            </w:tcBorders>
            <w:shd w:val="clear" w:color="auto" w:fill="auto"/>
            <w:noWrap/>
            <w:vAlign w:val="bottom"/>
            <w:hideMark/>
          </w:tcPr>
          <w:p w14:paraId="1D4EB05A" w14:textId="7E00E02B" w:rsidR="00DB5289" w:rsidRPr="00FC1C51" w:rsidRDefault="00FC5EF4" w:rsidP="00FC1C51">
            <w:pPr>
              <w:pStyle w:val="ListParagraph"/>
              <w:widowControl w:val="0"/>
              <w:numPr>
                <w:ilvl w:val="0"/>
                <w:numId w:val="3"/>
              </w:numPr>
              <w:jc w:val="right"/>
              <w:rPr>
                <w:color w:val="000000"/>
                <w:sz w:val="20"/>
              </w:rPr>
            </w:pPr>
            <w:r w:rsidRPr="00FC1C51">
              <w:rPr>
                <w:color w:val="000000"/>
                <w:sz w:val="20"/>
              </w:rPr>
              <w:t>(5,182 - 5,182)</w:t>
            </w:r>
          </w:p>
        </w:tc>
      </w:tr>
      <w:tr w:rsidR="00DB5289" w:rsidRPr="002D5AE6" w14:paraId="5D16CEDB" w14:textId="77777777" w:rsidTr="00FC1C51">
        <w:trPr>
          <w:trHeight w:val="86"/>
        </w:trPr>
        <w:tc>
          <w:tcPr>
            <w:tcW w:w="35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777DC2" w14:textId="2C635230" w:rsidR="00DB5289" w:rsidRPr="00FC1C51" w:rsidRDefault="00FE4FD2" w:rsidP="00FE4FD2">
            <w:pPr>
              <w:widowControl w:val="0"/>
              <w:rPr>
                <w:color w:val="000000"/>
                <w:sz w:val="20"/>
              </w:rPr>
            </w:pPr>
            <w:r w:rsidRPr="00FC1C51">
              <w:t xml:space="preserve">   </w:t>
            </w:r>
            <w:r w:rsidRPr="00FC1C51">
              <w:rPr>
                <w:color w:val="000000"/>
                <w:sz w:val="20"/>
              </w:rPr>
              <w:t xml:space="preserve">-- </w:t>
            </w:r>
            <w:r w:rsidR="009B3A9F" w:rsidRPr="00FC1C51">
              <w:rPr>
                <w:color w:val="000000"/>
                <w:sz w:val="20"/>
              </w:rPr>
              <w:t>Focus groups</w:t>
            </w:r>
          </w:p>
        </w:tc>
        <w:tc>
          <w:tcPr>
            <w:tcW w:w="4225" w:type="dxa"/>
            <w:tcBorders>
              <w:top w:val="single" w:sz="4" w:space="0" w:color="auto"/>
              <w:left w:val="nil"/>
              <w:bottom w:val="single" w:sz="4" w:space="0" w:color="auto"/>
              <w:right w:val="single" w:sz="4" w:space="0" w:color="auto"/>
            </w:tcBorders>
            <w:shd w:val="clear" w:color="auto" w:fill="auto"/>
            <w:noWrap/>
            <w:vAlign w:val="bottom"/>
          </w:tcPr>
          <w:p w14:paraId="7D205982" w14:textId="048E2499" w:rsidR="00DB5289" w:rsidRPr="00FC1C51" w:rsidRDefault="005B3BD1" w:rsidP="005B3BD1">
            <w:pPr>
              <w:widowControl w:val="0"/>
              <w:ind w:left="144"/>
              <w:jc w:val="right"/>
              <w:rPr>
                <w:color w:val="000000"/>
                <w:sz w:val="20"/>
              </w:rPr>
            </w:pPr>
            <w:r>
              <w:rPr>
                <w:color w:val="000000"/>
                <w:sz w:val="20"/>
              </w:rPr>
              <w:t>80</w:t>
            </w:r>
            <w:r w:rsidRPr="00FC1C51">
              <w:rPr>
                <w:color w:val="000000"/>
                <w:sz w:val="20"/>
              </w:rPr>
              <w:t xml:space="preserve"> </w:t>
            </w:r>
            <w:r w:rsidR="00FC5EF4" w:rsidRPr="00FC1C51">
              <w:rPr>
                <w:color w:val="000000"/>
                <w:sz w:val="20"/>
              </w:rPr>
              <w:t xml:space="preserve">(40 + </w:t>
            </w:r>
            <w:r>
              <w:rPr>
                <w:color w:val="000000"/>
                <w:sz w:val="20"/>
              </w:rPr>
              <w:t>4</w:t>
            </w:r>
            <w:r w:rsidRPr="00FC1C51">
              <w:rPr>
                <w:color w:val="000000"/>
                <w:sz w:val="20"/>
              </w:rPr>
              <w:t>0</w:t>
            </w:r>
            <w:r w:rsidR="00FC5EF4" w:rsidRPr="00FC1C51">
              <w:rPr>
                <w:color w:val="000000"/>
                <w:sz w:val="20"/>
              </w:rPr>
              <w:t>)</w:t>
            </w:r>
          </w:p>
        </w:tc>
      </w:tr>
      <w:tr w:rsidR="00DB5289" w:rsidRPr="002D5AE6" w14:paraId="173D1414" w14:textId="77777777" w:rsidTr="00FC1C51">
        <w:trPr>
          <w:trHeight w:val="86"/>
        </w:trPr>
        <w:tc>
          <w:tcPr>
            <w:tcW w:w="35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54E94F" w14:textId="77777777" w:rsidR="00DB5289" w:rsidRPr="00FC1C51" w:rsidRDefault="00DB5289" w:rsidP="00547CBA">
            <w:pPr>
              <w:widowControl w:val="0"/>
              <w:ind w:left="144"/>
              <w:rPr>
                <w:i/>
                <w:iCs/>
                <w:color w:val="000000"/>
                <w:sz w:val="20"/>
              </w:rPr>
            </w:pPr>
            <w:r w:rsidRPr="00FC1C51">
              <w:rPr>
                <w:color w:val="000000"/>
                <w:sz w:val="20"/>
              </w:rPr>
              <w:t>Adjustment</w:t>
            </w:r>
          </w:p>
        </w:tc>
        <w:tc>
          <w:tcPr>
            <w:tcW w:w="4225" w:type="dxa"/>
            <w:tcBorders>
              <w:top w:val="single" w:sz="4" w:space="0" w:color="auto"/>
              <w:left w:val="nil"/>
              <w:bottom w:val="single" w:sz="4" w:space="0" w:color="auto"/>
              <w:right w:val="single" w:sz="4" w:space="0" w:color="auto"/>
            </w:tcBorders>
            <w:shd w:val="clear" w:color="auto" w:fill="auto"/>
            <w:noWrap/>
            <w:vAlign w:val="bottom"/>
            <w:hideMark/>
          </w:tcPr>
          <w:p w14:paraId="2E874A60" w14:textId="5C1EB3A2" w:rsidR="00DB5289" w:rsidRPr="00FC1C51" w:rsidRDefault="00D20602" w:rsidP="005B3BD1">
            <w:pPr>
              <w:widowControl w:val="0"/>
              <w:ind w:left="144"/>
              <w:jc w:val="right"/>
              <w:rPr>
                <w:iCs/>
                <w:color w:val="000000"/>
                <w:sz w:val="20"/>
              </w:rPr>
            </w:pPr>
            <w:r w:rsidRPr="00FC1C51">
              <w:rPr>
                <w:iCs/>
                <w:color w:val="000000"/>
                <w:sz w:val="20"/>
              </w:rPr>
              <w:t xml:space="preserve">-5,095 </w:t>
            </w:r>
            <w:r w:rsidR="00FC5EF4" w:rsidRPr="00FC1C51">
              <w:rPr>
                <w:iCs/>
                <w:color w:val="000000"/>
                <w:sz w:val="20"/>
              </w:rPr>
              <w:t>(</w:t>
            </w:r>
            <w:r w:rsidR="005B3BD1">
              <w:rPr>
                <w:iCs/>
                <w:color w:val="000000"/>
                <w:sz w:val="20"/>
              </w:rPr>
              <w:t>40</w:t>
            </w:r>
            <w:r w:rsidR="00FC5EF4" w:rsidRPr="00FC1C51">
              <w:rPr>
                <w:iCs/>
                <w:color w:val="000000"/>
                <w:sz w:val="20"/>
              </w:rPr>
              <w:t xml:space="preserve"> – 5,182)</w:t>
            </w:r>
          </w:p>
        </w:tc>
      </w:tr>
      <w:tr w:rsidR="00DB5289" w:rsidRPr="002D5AE6" w14:paraId="1ADE5062" w14:textId="77777777" w:rsidTr="00FC1C51">
        <w:trPr>
          <w:trHeight w:val="86"/>
        </w:trPr>
        <w:tc>
          <w:tcPr>
            <w:tcW w:w="3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1D37F685" w14:textId="77777777" w:rsidR="00DB5289" w:rsidRPr="007132D5" w:rsidRDefault="00DB5289" w:rsidP="00547CBA">
            <w:pPr>
              <w:widowControl w:val="0"/>
              <w:ind w:left="144"/>
              <w:jc w:val="right"/>
              <w:rPr>
                <w:b/>
                <w:color w:val="000000"/>
                <w:sz w:val="20"/>
              </w:rPr>
            </w:pPr>
            <w:r w:rsidRPr="007132D5">
              <w:rPr>
                <w:b/>
                <w:iCs/>
                <w:color w:val="000000"/>
                <w:sz w:val="20"/>
              </w:rPr>
              <w:t>Final Estimate</w:t>
            </w:r>
          </w:p>
        </w:tc>
        <w:tc>
          <w:tcPr>
            <w:tcW w:w="4225"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06F90916" w14:textId="1E59170B" w:rsidR="00DB5289" w:rsidRPr="007132D5" w:rsidRDefault="007132D5" w:rsidP="007132D5">
            <w:pPr>
              <w:widowControl w:val="0"/>
              <w:ind w:left="144"/>
              <w:jc w:val="right"/>
              <w:rPr>
                <w:b/>
                <w:iCs/>
                <w:color w:val="000000"/>
                <w:sz w:val="20"/>
              </w:rPr>
            </w:pPr>
            <w:r>
              <w:rPr>
                <w:b/>
                <w:iCs/>
                <w:color w:val="000000"/>
                <w:sz w:val="20"/>
              </w:rPr>
              <w:t>80</w:t>
            </w:r>
            <w:r w:rsidRPr="007132D5">
              <w:rPr>
                <w:b/>
                <w:iCs/>
                <w:color w:val="000000"/>
                <w:sz w:val="20"/>
              </w:rPr>
              <w:t xml:space="preserve"> </w:t>
            </w:r>
            <w:r w:rsidR="00FC5EF4" w:rsidRPr="007132D5">
              <w:rPr>
                <w:b/>
                <w:iCs/>
                <w:color w:val="000000"/>
                <w:sz w:val="20"/>
              </w:rPr>
              <w:t>(5,182</w:t>
            </w:r>
            <w:r w:rsidR="00D20602" w:rsidRPr="007132D5">
              <w:rPr>
                <w:b/>
                <w:iCs/>
                <w:color w:val="000000"/>
                <w:sz w:val="20"/>
              </w:rPr>
              <w:t xml:space="preserve"> </w:t>
            </w:r>
            <w:r w:rsidR="00FC5EF4" w:rsidRPr="007132D5">
              <w:rPr>
                <w:b/>
                <w:iCs/>
                <w:color w:val="000000"/>
                <w:sz w:val="20"/>
              </w:rPr>
              <w:t>-</w:t>
            </w:r>
            <w:r w:rsidR="00D20602" w:rsidRPr="007132D5">
              <w:rPr>
                <w:b/>
                <w:iCs/>
                <w:color w:val="000000"/>
                <w:sz w:val="20"/>
              </w:rPr>
              <w:t xml:space="preserve"> </w:t>
            </w:r>
            <w:r w:rsidR="00FC5EF4" w:rsidRPr="007132D5">
              <w:rPr>
                <w:b/>
                <w:iCs/>
                <w:color w:val="000000"/>
                <w:sz w:val="20"/>
              </w:rPr>
              <w:t>5,182</w:t>
            </w:r>
            <w:r w:rsidR="00D20602" w:rsidRPr="007132D5">
              <w:rPr>
                <w:b/>
                <w:iCs/>
                <w:color w:val="000000"/>
                <w:sz w:val="20"/>
              </w:rPr>
              <w:t xml:space="preserve"> </w:t>
            </w:r>
            <w:r w:rsidR="00FC5EF4" w:rsidRPr="007132D5">
              <w:rPr>
                <w:b/>
                <w:iCs/>
                <w:color w:val="000000"/>
                <w:sz w:val="20"/>
              </w:rPr>
              <w:t>+</w:t>
            </w:r>
            <w:r w:rsidR="00D20602" w:rsidRPr="007132D5">
              <w:rPr>
                <w:b/>
                <w:iCs/>
                <w:color w:val="000000"/>
                <w:sz w:val="20"/>
              </w:rPr>
              <w:t xml:space="preserve"> </w:t>
            </w:r>
            <w:r w:rsidR="00FC5EF4" w:rsidRPr="007132D5">
              <w:rPr>
                <w:b/>
                <w:iCs/>
                <w:color w:val="000000"/>
                <w:sz w:val="20"/>
              </w:rPr>
              <w:t>40</w:t>
            </w:r>
            <w:r w:rsidR="00D20602" w:rsidRPr="007132D5">
              <w:rPr>
                <w:b/>
                <w:iCs/>
                <w:color w:val="000000"/>
                <w:sz w:val="20"/>
              </w:rPr>
              <w:t xml:space="preserve"> </w:t>
            </w:r>
            <w:r w:rsidR="00FC5EF4" w:rsidRPr="007132D5">
              <w:rPr>
                <w:b/>
                <w:iCs/>
                <w:color w:val="000000"/>
                <w:sz w:val="20"/>
              </w:rPr>
              <w:t>+</w:t>
            </w:r>
            <w:r w:rsidR="00D20602" w:rsidRPr="007132D5">
              <w:rPr>
                <w:b/>
                <w:iCs/>
                <w:color w:val="000000"/>
                <w:sz w:val="20"/>
              </w:rPr>
              <w:t xml:space="preserve"> </w:t>
            </w:r>
            <w:r>
              <w:rPr>
                <w:b/>
                <w:iCs/>
                <w:color w:val="000000"/>
                <w:sz w:val="20"/>
              </w:rPr>
              <w:t>40</w:t>
            </w:r>
            <w:r w:rsidRPr="007132D5">
              <w:rPr>
                <w:b/>
                <w:iCs/>
                <w:color w:val="000000"/>
                <w:sz w:val="20"/>
              </w:rPr>
              <w:t xml:space="preserve"> </w:t>
            </w:r>
            <w:r w:rsidR="00FC5EF4" w:rsidRPr="007132D5">
              <w:rPr>
                <w:b/>
                <w:iCs/>
                <w:color w:val="000000"/>
                <w:sz w:val="20"/>
              </w:rPr>
              <w:t>)</w:t>
            </w:r>
          </w:p>
        </w:tc>
      </w:tr>
    </w:tbl>
    <w:p w14:paraId="5DBE8CB4" w14:textId="77777777" w:rsidR="00DB5289" w:rsidRPr="00FC1C51" w:rsidRDefault="00DB5289" w:rsidP="00DB5289">
      <w:pPr>
        <w:widowControl w:val="0"/>
        <w:ind w:left="144"/>
      </w:pPr>
    </w:p>
    <w:p w14:paraId="56144F43" w14:textId="77777777" w:rsidR="00DB5289" w:rsidRPr="00FC1C51" w:rsidRDefault="00DB5289" w:rsidP="00DB5289">
      <w:pPr>
        <w:widowControl w:val="0"/>
        <w:ind w:left="144"/>
      </w:pPr>
    </w:p>
    <w:tbl>
      <w:tblPr>
        <w:tblW w:w="7740" w:type="dxa"/>
        <w:tblInd w:w="-113" w:type="dxa"/>
        <w:tblLook w:val="04A0" w:firstRow="1" w:lastRow="0" w:firstColumn="1" w:lastColumn="0" w:noHBand="0" w:noVBand="1"/>
      </w:tblPr>
      <w:tblGrid>
        <w:gridCol w:w="3515"/>
        <w:gridCol w:w="4225"/>
      </w:tblGrid>
      <w:tr w:rsidR="00DB5289" w:rsidRPr="002D5AE6" w14:paraId="6013D3C4" w14:textId="77777777" w:rsidTr="00FC1C51">
        <w:trPr>
          <w:trHeight w:val="80"/>
          <w:tblHeader/>
        </w:trPr>
        <w:tc>
          <w:tcPr>
            <w:tcW w:w="7740"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431A856" w14:textId="77777777" w:rsidR="00DB5289" w:rsidRPr="00FC1C51" w:rsidRDefault="00DB5289" w:rsidP="00547CBA">
            <w:pPr>
              <w:widowControl w:val="0"/>
              <w:ind w:left="144"/>
              <w:jc w:val="center"/>
              <w:rPr>
                <w:b/>
                <w:iCs/>
                <w:color w:val="000000"/>
                <w:sz w:val="20"/>
              </w:rPr>
            </w:pPr>
            <w:r w:rsidRPr="00FC1C51">
              <w:rPr>
                <w:b/>
                <w:iCs/>
                <w:color w:val="000000"/>
                <w:sz w:val="20"/>
              </w:rPr>
              <w:t>Responses (Total)</w:t>
            </w:r>
          </w:p>
        </w:tc>
      </w:tr>
      <w:tr w:rsidR="00FE4FD2" w:rsidRPr="002D5AE6" w14:paraId="1B44E4D4" w14:textId="77777777" w:rsidTr="00FC1C51">
        <w:trPr>
          <w:trHeight w:val="80"/>
        </w:trPr>
        <w:tc>
          <w:tcPr>
            <w:tcW w:w="3515" w:type="dxa"/>
            <w:tcBorders>
              <w:top w:val="nil"/>
              <w:left w:val="single" w:sz="4" w:space="0" w:color="auto"/>
              <w:bottom w:val="single" w:sz="4" w:space="0" w:color="auto"/>
              <w:right w:val="single" w:sz="4" w:space="0" w:color="auto"/>
            </w:tcBorders>
            <w:shd w:val="clear" w:color="auto" w:fill="FFFFFF" w:themeFill="background1"/>
            <w:noWrap/>
            <w:vAlign w:val="bottom"/>
          </w:tcPr>
          <w:p w14:paraId="6CCFBF17" w14:textId="77777777" w:rsidR="00FE4FD2" w:rsidRPr="00FC1C51" w:rsidRDefault="00FE4FD2" w:rsidP="00FE4FD2">
            <w:pPr>
              <w:widowControl w:val="0"/>
              <w:ind w:left="144"/>
              <w:rPr>
                <w:color w:val="000000"/>
                <w:sz w:val="20"/>
              </w:rPr>
            </w:pPr>
            <w:r w:rsidRPr="00FC1C51">
              <w:rPr>
                <w:sz w:val="20"/>
              </w:rPr>
              <w:t>Nov. 15, 2016 Jan 15, 2014 (</w:t>
            </w:r>
            <w:r w:rsidRPr="00FC1C51">
              <w:rPr>
                <w:color w:val="000000"/>
                <w:sz w:val="20"/>
              </w:rPr>
              <w:t xml:space="preserve">Supporting Statement) </w:t>
            </w:r>
          </w:p>
          <w:p w14:paraId="73AFEEF3" w14:textId="31FA4A7B" w:rsidR="00FE4FD2" w:rsidRPr="00FC1C51" w:rsidRDefault="00FE4FD2" w:rsidP="00FE4FD2">
            <w:pPr>
              <w:widowControl w:val="0"/>
              <w:ind w:left="144"/>
              <w:rPr>
                <w:color w:val="000000"/>
                <w:sz w:val="20"/>
              </w:rPr>
            </w:pPr>
            <w:r w:rsidRPr="00FC1C51">
              <w:rPr>
                <w:color w:val="000000"/>
                <w:sz w:val="20"/>
              </w:rPr>
              <w:t>– Beneficiary survey</w:t>
            </w:r>
          </w:p>
        </w:tc>
        <w:tc>
          <w:tcPr>
            <w:tcW w:w="4225" w:type="dxa"/>
            <w:tcBorders>
              <w:top w:val="nil"/>
              <w:left w:val="nil"/>
              <w:bottom w:val="single" w:sz="4" w:space="0" w:color="auto"/>
              <w:right w:val="single" w:sz="4" w:space="0" w:color="auto"/>
            </w:tcBorders>
            <w:shd w:val="clear" w:color="auto" w:fill="FFFFFF" w:themeFill="background1"/>
            <w:noWrap/>
            <w:vAlign w:val="bottom"/>
          </w:tcPr>
          <w:p w14:paraId="3F6EDDEF" w14:textId="6B332607" w:rsidR="00FE4FD2" w:rsidRPr="00FC1C51" w:rsidRDefault="00FE4FD2" w:rsidP="00FE4FD2">
            <w:pPr>
              <w:widowControl w:val="0"/>
              <w:ind w:left="144"/>
              <w:jc w:val="right"/>
              <w:rPr>
                <w:iCs/>
                <w:color w:val="000000"/>
                <w:sz w:val="20"/>
              </w:rPr>
            </w:pPr>
            <w:r w:rsidRPr="00FC1C51">
              <w:rPr>
                <w:color w:val="000000"/>
                <w:sz w:val="20"/>
              </w:rPr>
              <w:t>0 (5,182 - 5,182)</w:t>
            </w:r>
          </w:p>
        </w:tc>
      </w:tr>
      <w:tr w:rsidR="00FE4FD2" w:rsidRPr="002D5AE6" w14:paraId="7CFAC5C5" w14:textId="77777777" w:rsidTr="00FC1C51">
        <w:trPr>
          <w:trHeight w:val="80"/>
        </w:trPr>
        <w:tc>
          <w:tcPr>
            <w:tcW w:w="3515" w:type="dxa"/>
            <w:tcBorders>
              <w:top w:val="nil"/>
              <w:left w:val="single" w:sz="4" w:space="0" w:color="auto"/>
              <w:bottom w:val="single" w:sz="4" w:space="0" w:color="auto"/>
              <w:right w:val="single" w:sz="4" w:space="0" w:color="auto"/>
            </w:tcBorders>
            <w:shd w:val="clear" w:color="auto" w:fill="FFFFFF" w:themeFill="background1"/>
            <w:noWrap/>
            <w:vAlign w:val="bottom"/>
          </w:tcPr>
          <w:p w14:paraId="3D0B6C09" w14:textId="0F833D1B" w:rsidR="00FE4FD2" w:rsidRPr="00FC1C51" w:rsidRDefault="00FE4FD2" w:rsidP="00FE4FD2">
            <w:pPr>
              <w:widowControl w:val="0"/>
              <w:ind w:left="144"/>
              <w:rPr>
                <w:iCs/>
                <w:color w:val="000000"/>
                <w:sz w:val="20"/>
              </w:rPr>
            </w:pPr>
            <w:r w:rsidRPr="00FC1C51">
              <w:rPr>
                <w:color w:val="000000"/>
                <w:sz w:val="20"/>
              </w:rPr>
              <w:t>--Focus groups</w:t>
            </w:r>
            <w:r w:rsidRPr="00FC1C51" w:rsidDel="009B3A9F">
              <w:rPr>
                <w:color w:val="000000"/>
                <w:sz w:val="20"/>
              </w:rPr>
              <w:t xml:space="preserve"> </w:t>
            </w:r>
          </w:p>
        </w:tc>
        <w:tc>
          <w:tcPr>
            <w:tcW w:w="4225" w:type="dxa"/>
            <w:tcBorders>
              <w:top w:val="nil"/>
              <w:left w:val="nil"/>
              <w:bottom w:val="single" w:sz="4" w:space="0" w:color="auto"/>
              <w:right w:val="single" w:sz="4" w:space="0" w:color="auto"/>
            </w:tcBorders>
            <w:shd w:val="clear" w:color="auto" w:fill="FFFFFF" w:themeFill="background1"/>
            <w:noWrap/>
            <w:vAlign w:val="bottom"/>
          </w:tcPr>
          <w:p w14:paraId="7A3C78FF" w14:textId="57396C6F" w:rsidR="00FE4FD2" w:rsidRPr="00FC1C51" w:rsidRDefault="00B910D1" w:rsidP="00B910D1">
            <w:pPr>
              <w:widowControl w:val="0"/>
              <w:ind w:left="144"/>
              <w:jc w:val="right"/>
              <w:rPr>
                <w:iCs/>
                <w:color w:val="000000"/>
                <w:sz w:val="20"/>
              </w:rPr>
            </w:pPr>
            <w:r>
              <w:rPr>
                <w:color w:val="000000"/>
                <w:sz w:val="20"/>
              </w:rPr>
              <w:t>80</w:t>
            </w:r>
            <w:r w:rsidRPr="00FC1C51">
              <w:rPr>
                <w:color w:val="000000"/>
                <w:sz w:val="20"/>
              </w:rPr>
              <w:t xml:space="preserve"> </w:t>
            </w:r>
            <w:r w:rsidR="00FE4FD2" w:rsidRPr="00FC1C51">
              <w:rPr>
                <w:color w:val="000000"/>
                <w:sz w:val="20"/>
              </w:rPr>
              <w:t xml:space="preserve">(40 + </w:t>
            </w:r>
            <w:r>
              <w:rPr>
                <w:color w:val="000000"/>
                <w:sz w:val="20"/>
              </w:rPr>
              <w:t>40</w:t>
            </w:r>
            <w:r w:rsidR="00FE4FD2" w:rsidRPr="00FC1C51">
              <w:rPr>
                <w:color w:val="000000"/>
                <w:sz w:val="20"/>
              </w:rPr>
              <w:t>)</w:t>
            </w:r>
          </w:p>
        </w:tc>
      </w:tr>
      <w:tr w:rsidR="00042B14" w:rsidRPr="002D5AE6" w14:paraId="155E08EB" w14:textId="77777777" w:rsidTr="00FC1C51">
        <w:trPr>
          <w:trHeight w:val="80"/>
        </w:trPr>
        <w:tc>
          <w:tcPr>
            <w:tcW w:w="3515" w:type="dxa"/>
            <w:tcBorders>
              <w:top w:val="nil"/>
              <w:left w:val="single" w:sz="4" w:space="0" w:color="auto"/>
              <w:bottom w:val="single" w:sz="4" w:space="0" w:color="auto"/>
              <w:right w:val="single" w:sz="4" w:space="0" w:color="auto"/>
            </w:tcBorders>
            <w:shd w:val="clear" w:color="auto" w:fill="auto"/>
            <w:noWrap/>
            <w:vAlign w:val="bottom"/>
          </w:tcPr>
          <w:p w14:paraId="3B820F94" w14:textId="7901470C" w:rsidR="00042B14" w:rsidRPr="00FC1C51" w:rsidRDefault="00042B14" w:rsidP="00042B14">
            <w:pPr>
              <w:widowControl w:val="0"/>
              <w:ind w:left="144"/>
              <w:rPr>
                <w:iCs/>
                <w:color w:val="000000"/>
                <w:sz w:val="20"/>
              </w:rPr>
            </w:pPr>
            <w:r w:rsidRPr="00FC1C51">
              <w:rPr>
                <w:color w:val="000000"/>
                <w:sz w:val="20"/>
              </w:rPr>
              <w:t>--Informational Interviews</w:t>
            </w:r>
          </w:p>
        </w:tc>
        <w:tc>
          <w:tcPr>
            <w:tcW w:w="4225" w:type="dxa"/>
            <w:tcBorders>
              <w:top w:val="nil"/>
              <w:left w:val="nil"/>
              <w:bottom w:val="single" w:sz="4" w:space="0" w:color="auto"/>
              <w:right w:val="single" w:sz="4" w:space="0" w:color="auto"/>
            </w:tcBorders>
            <w:shd w:val="clear" w:color="auto" w:fill="auto"/>
            <w:noWrap/>
            <w:vAlign w:val="bottom"/>
          </w:tcPr>
          <w:p w14:paraId="079C61BB" w14:textId="4AA3EDB0" w:rsidR="00042B14" w:rsidRPr="00FC1C51" w:rsidRDefault="00B910D1" w:rsidP="00B910D1">
            <w:pPr>
              <w:widowControl w:val="0"/>
              <w:ind w:left="144"/>
              <w:jc w:val="right"/>
              <w:rPr>
                <w:iCs/>
                <w:color w:val="000000"/>
                <w:sz w:val="20"/>
              </w:rPr>
            </w:pPr>
            <w:r>
              <w:rPr>
                <w:color w:val="000000"/>
                <w:sz w:val="20"/>
              </w:rPr>
              <w:t>18</w:t>
            </w:r>
            <w:r w:rsidRPr="00FC1C51">
              <w:rPr>
                <w:color w:val="000000"/>
                <w:sz w:val="20"/>
              </w:rPr>
              <w:t xml:space="preserve"> </w:t>
            </w:r>
          </w:p>
        </w:tc>
      </w:tr>
      <w:tr w:rsidR="00042B14" w:rsidRPr="002D5AE6" w14:paraId="5CB175BC" w14:textId="77777777" w:rsidTr="00FC1C51">
        <w:trPr>
          <w:trHeight w:val="80"/>
        </w:trPr>
        <w:tc>
          <w:tcPr>
            <w:tcW w:w="3515"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5388EBDF" w14:textId="3C878B0C" w:rsidR="00042B14" w:rsidRPr="00FC1C51" w:rsidRDefault="00042B14" w:rsidP="00FC1C51">
            <w:pPr>
              <w:widowControl w:val="0"/>
              <w:rPr>
                <w:i/>
                <w:iCs/>
                <w:color w:val="000000"/>
                <w:sz w:val="20"/>
              </w:rPr>
            </w:pPr>
            <w:r w:rsidRPr="00FC1C51">
              <w:rPr>
                <w:color w:val="000000"/>
                <w:sz w:val="20"/>
              </w:rPr>
              <w:t>Adjustment</w:t>
            </w:r>
            <w:r w:rsidRPr="00FC1C51" w:rsidDel="00E807E5">
              <w:rPr>
                <w:i/>
                <w:color w:val="000000"/>
                <w:sz w:val="20"/>
              </w:rPr>
              <w:t xml:space="preserve"> </w:t>
            </w:r>
          </w:p>
        </w:tc>
        <w:tc>
          <w:tcPr>
            <w:tcW w:w="4225" w:type="dxa"/>
            <w:tcBorders>
              <w:top w:val="nil"/>
              <w:left w:val="nil"/>
              <w:bottom w:val="single" w:sz="4" w:space="0" w:color="auto"/>
              <w:right w:val="single" w:sz="4" w:space="0" w:color="auto"/>
            </w:tcBorders>
            <w:shd w:val="clear" w:color="auto" w:fill="F2F2F2" w:themeFill="background1" w:themeFillShade="F2"/>
            <w:noWrap/>
            <w:vAlign w:val="bottom"/>
          </w:tcPr>
          <w:p w14:paraId="46CDB54F" w14:textId="3F29A49C" w:rsidR="00042B14" w:rsidRPr="00FC1C51" w:rsidRDefault="00042B14" w:rsidP="00042B14">
            <w:pPr>
              <w:widowControl w:val="0"/>
              <w:ind w:left="144"/>
              <w:jc w:val="right"/>
              <w:rPr>
                <w:iCs/>
                <w:color w:val="000000"/>
                <w:sz w:val="20"/>
              </w:rPr>
            </w:pPr>
            <w:r w:rsidRPr="00FC1C51">
              <w:rPr>
                <w:iCs/>
                <w:color w:val="000000"/>
                <w:sz w:val="20"/>
              </w:rPr>
              <w:t>-5,095 (80 + 7 – 5,182)</w:t>
            </w:r>
          </w:p>
        </w:tc>
      </w:tr>
      <w:tr w:rsidR="00042B14" w:rsidRPr="002D5AE6" w14:paraId="069D03A7" w14:textId="77777777" w:rsidTr="00FC1C51">
        <w:trPr>
          <w:trHeight w:val="80"/>
        </w:trPr>
        <w:tc>
          <w:tcPr>
            <w:tcW w:w="3515"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42FF583" w14:textId="77777777" w:rsidR="00042B14" w:rsidRPr="00FC1C51" w:rsidRDefault="00042B14" w:rsidP="00042B14">
            <w:pPr>
              <w:widowControl w:val="0"/>
              <w:ind w:left="144"/>
              <w:jc w:val="right"/>
              <w:rPr>
                <w:b/>
                <w:iCs/>
                <w:color w:val="000000"/>
                <w:sz w:val="20"/>
              </w:rPr>
            </w:pPr>
            <w:r w:rsidRPr="00FC1C51">
              <w:rPr>
                <w:b/>
                <w:iCs/>
                <w:color w:val="000000"/>
                <w:sz w:val="20"/>
              </w:rPr>
              <w:t>Final Estimate</w:t>
            </w:r>
          </w:p>
        </w:tc>
        <w:tc>
          <w:tcPr>
            <w:tcW w:w="4225" w:type="dxa"/>
            <w:tcBorders>
              <w:top w:val="nil"/>
              <w:left w:val="nil"/>
              <w:bottom w:val="single" w:sz="4" w:space="0" w:color="auto"/>
              <w:right w:val="single" w:sz="4" w:space="0" w:color="auto"/>
            </w:tcBorders>
            <w:shd w:val="clear" w:color="auto" w:fill="D9D9D9" w:themeFill="background1" w:themeFillShade="D9"/>
            <w:noWrap/>
            <w:vAlign w:val="bottom"/>
          </w:tcPr>
          <w:p w14:paraId="7EEA892A" w14:textId="7143ABA6" w:rsidR="00042B14" w:rsidRPr="00FC1C51" w:rsidRDefault="007132D5" w:rsidP="007132D5">
            <w:pPr>
              <w:widowControl w:val="0"/>
              <w:ind w:left="144"/>
              <w:jc w:val="right"/>
              <w:rPr>
                <w:b/>
                <w:iCs/>
                <w:color w:val="000000"/>
                <w:sz w:val="20"/>
              </w:rPr>
            </w:pPr>
            <w:r>
              <w:rPr>
                <w:b/>
                <w:iCs/>
                <w:color w:val="000000"/>
                <w:sz w:val="20"/>
              </w:rPr>
              <w:t>80</w:t>
            </w:r>
            <w:r w:rsidRPr="00FC1C51">
              <w:rPr>
                <w:b/>
                <w:iCs/>
                <w:color w:val="000000"/>
                <w:sz w:val="20"/>
              </w:rPr>
              <w:t xml:space="preserve"> </w:t>
            </w:r>
            <w:r w:rsidR="00042B14" w:rsidRPr="00FC1C51">
              <w:rPr>
                <w:b/>
                <w:iCs/>
                <w:color w:val="000000"/>
                <w:sz w:val="20"/>
              </w:rPr>
              <w:t xml:space="preserve">(5,182 - 5,182 + 40 + </w:t>
            </w:r>
            <w:r>
              <w:rPr>
                <w:b/>
                <w:iCs/>
                <w:color w:val="000000"/>
                <w:sz w:val="20"/>
              </w:rPr>
              <w:t>40</w:t>
            </w:r>
            <w:r w:rsidR="00042B14" w:rsidRPr="00FC1C51">
              <w:rPr>
                <w:b/>
                <w:iCs/>
                <w:color w:val="000000"/>
                <w:sz w:val="20"/>
              </w:rPr>
              <w:t>)</w:t>
            </w:r>
          </w:p>
        </w:tc>
      </w:tr>
    </w:tbl>
    <w:p w14:paraId="50A1C6A7" w14:textId="77777777" w:rsidR="00DB5289" w:rsidRPr="00FC1C51" w:rsidRDefault="00DB5289" w:rsidP="00DB5289">
      <w:pPr>
        <w:widowControl w:val="0"/>
        <w:ind w:left="144"/>
      </w:pPr>
    </w:p>
    <w:tbl>
      <w:tblPr>
        <w:tblW w:w="54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0"/>
        <w:gridCol w:w="1599"/>
      </w:tblGrid>
      <w:tr w:rsidR="0026093C" w:rsidRPr="002D5AE6" w14:paraId="1231BD88" w14:textId="77777777" w:rsidTr="00FC1C51">
        <w:trPr>
          <w:trHeight w:val="80"/>
        </w:trPr>
        <w:tc>
          <w:tcPr>
            <w:tcW w:w="5469" w:type="dxa"/>
            <w:gridSpan w:val="2"/>
            <w:shd w:val="clear" w:color="auto" w:fill="FFFFFF" w:themeFill="background1"/>
            <w:noWrap/>
            <w:vAlign w:val="bottom"/>
          </w:tcPr>
          <w:p w14:paraId="453143B4" w14:textId="506B10CC" w:rsidR="0026093C" w:rsidRPr="00FC1C51" w:rsidDel="00850A91" w:rsidRDefault="0043613F" w:rsidP="0043613F">
            <w:pPr>
              <w:widowControl w:val="0"/>
              <w:ind w:left="144"/>
              <w:jc w:val="center"/>
              <w:rPr>
                <w:iCs/>
                <w:color w:val="000000"/>
                <w:sz w:val="20"/>
              </w:rPr>
            </w:pPr>
            <w:r w:rsidRPr="00FC1C51">
              <w:rPr>
                <w:b/>
                <w:sz w:val="20"/>
              </w:rPr>
              <w:t>Participation Time</w:t>
            </w:r>
            <w:r w:rsidR="0026093C" w:rsidRPr="00FC1C51">
              <w:rPr>
                <w:b/>
                <w:sz w:val="20"/>
              </w:rPr>
              <w:t xml:space="preserve"> </w:t>
            </w:r>
          </w:p>
        </w:tc>
      </w:tr>
      <w:tr w:rsidR="0026093C" w:rsidRPr="002D5AE6" w14:paraId="59AE2F35" w14:textId="77777777" w:rsidTr="00FC1C51">
        <w:trPr>
          <w:trHeight w:val="80"/>
        </w:trPr>
        <w:tc>
          <w:tcPr>
            <w:tcW w:w="3870" w:type="dxa"/>
            <w:shd w:val="clear" w:color="auto" w:fill="FFFFFF" w:themeFill="background1"/>
            <w:noWrap/>
            <w:vAlign w:val="bottom"/>
          </w:tcPr>
          <w:p w14:paraId="771714B4" w14:textId="77777777" w:rsidR="0026093C" w:rsidRPr="00FC1C51" w:rsidRDefault="0026093C" w:rsidP="003674C9">
            <w:pPr>
              <w:widowControl w:val="0"/>
              <w:ind w:left="144"/>
              <w:rPr>
                <w:color w:val="000000"/>
                <w:sz w:val="20"/>
              </w:rPr>
            </w:pPr>
            <w:r w:rsidRPr="00FC1C51">
              <w:rPr>
                <w:sz w:val="20"/>
              </w:rPr>
              <w:t>Nov. 15, 2016 Jan 15, 2014 (</w:t>
            </w:r>
            <w:r w:rsidRPr="00FC1C51">
              <w:rPr>
                <w:color w:val="000000"/>
                <w:sz w:val="20"/>
              </w:rPr>
              <w:t xml:space="preserve">Supporting Statement) </w:t>
            </w:r>
          </w:p>
          <w:p w14:paraId="247E5CF0" w14:textId="4B8230EE" w:rsidR="0026093C" w:rsidRPr="00FC1C51" w:rsidRDefault="0026093C" w:rsidP="00FC1C51">
            <w:pPr>
              <w:widowControl w:val="0"/>
              <w:ind w:left="144"/>
              <w:rPr>
                <w:sz w:val="20"/>
              </w:rPr>
            </w:pPr>
            <w:r w:rsidRPr="00FC1C51">
              <w:rPr>
                <w:color w:val="000000"/>
                <w:sz w:val="20"/>
              </w:rPr>
              <w:t>– Beneficiary survey</w:t>
            </w:r>
          </w:p>
        </w:tc>
        <w:tc>
          <w:tcPr>
            <w:tcW w:w="1599" w:type="dxa"/>
            <w:shd w:val="clear" w:color="auto" w:fill="FFFFFF" w:themeFill="background1"/>
            <w:vAlign w:val="bottom"/>
          </w:tcPr>
          <w:p w14:paraId="1EC0293F" w14:textId="1D34F78D" w:rsidR="0026093C" w:rsidRPr="00FC1C51" w:rsidRDefault="0043613F" w:rsidP="00FC1C51">
            <w:pPr>
              <w:widowControl w:val="0"/>
              <w:ind w:left="144"/>
              <w:jc w:val="right"/>
              <w:rPr>
                <w:iCs/>
                <w:color w:val="000000"/>
                <w:sz w:val="20"/>
              </w:rPr>
            </w:pPr>
            <w:r w:rsidRPr="00FC1C51">
              <w:rPr>
                <w:iCs/>
                <w:color w:val="000000"/>
                <w:sz w:val="20"/>
              </w:rPr>
              <w:t>0 hours (.25 - .25)</w:t>
            </w:r>
          </w:p>
        </w:tc>
      </w:tr>
      <w:tr w:rsidR="0026093C" w:rsidRPr="002D5AE6" w14:paraId="69111333" w14:textId="77777777" w:rsidTr="00FC1C51">
        <w:trPr>
          <w:trHeight w:val="80"/>
        </w:trPr>
        <w:tc>
          <w:tcPr>
            <w:tcW w:w="3870" w:type="dxa"/>
            <w:shd w:val="clear" w:color="auto" w:fill="FFFFFF" w:themeFill="background1"/>
            <w:noWrap/>
            <w:vAlign w:val="bottom"/>
          </w:tcPr>
          <w:p w14:paraId="0A55D900" w14:textId="51868D69" w:rsidR="0026093C" w:rsidRPr="00FC1C51" w:rsidRDefault="0026093C" w:rsidP="003674C9">
            <w:pPr>
              <w:widowControl w:val="0"/>
              <w:ind w:left="144"/>
              <w:rPr>
                <w:b/>
                <w:iCs/>
                <w:color w:val="000000"/>
                <w:sz w:val="20"/>
              </w:rPr>
            </w:pPr>
            <w:r w:rsidRPr="00FC1C51">
              <w:rPr>
                <w:color w:val="000000"/>
                <w:sz w:val="20"/>
              </w:rPr>
              <w:t>--Focus groups</w:t>
            </w:r>
            <w:r w:rsidRPr="00FC1C51" w:rsidDel="009B3A9F">
              <w:rPr>
                <w:color w:val="000000"/>
                <w:sz w:val="20"/>
              </w:rPr>
              <w:t xml:space="preserve"> </w:t>
            </w:r>
          </w:p>
        </w:tc>
        <w:tc>
          <w:tcPr>
            <w:tcW w:w="1599" w:type="dxa"/>
            <w:shd w:val="clear" w:color="auto" w:fill="FFFFFF" w:themeFill="background1"/>
            <w:vAlign w:val="bottom"/>
          </w:tcPr>
          <w:p w14:paraId="1A729930" w14:textId="1FEB90C1" w:rsidR="0026093C" w:rsidRPr="00FC1C51" w:rsidRDefault="0043613F" w:rsidP="00FC1C51">
            <w:pPr>
              <w:widowControl w:val="0"/>
              <w:ind w:left="144"/>
              <w:jc w:val="right"/>
              <w:rPr>
                <w:iCs/>
                <w:color w:val="000000"/>
                <w:sz w:val="20"/>
              </w:rPr>
            </w:pPr>
            <w:r w:rsidRPr="00FC1C51">
              <w:rPr>
                <w:iCs/>
                <w:color w:val="000000"/>
                <w:sz w:val="20"/>
              </w:rPr>
              <w:t>3 hours</w:t>
            </w:r>
          </w:p>
        </w:tc>
      </w:tr>
      <w:tr w:rsidR="0026093C" w:rsidRPr="002D5AE6" w14:paraId="2B308D70" w14:textId="77777777" w:rsidTr="00FC1C51">
        <w:trPr>
          <w:trHeight w:val="80"/>
        </w:trPr>
        <w:tc>
          <w:tcPr>
            <w:tcW w:w="3870" w:type="dxa"/>
            <w:shd w:val="clear" w:color="auto" w:fill="FFFFFF" w:themeFill="background1"/>
            <w:noWrap/>
            <w:vAlign w:val="bottom"/>
          </w:tcPr>
          <w:p w14:paraId="4F1A6BA9" w14:textId="2B1D004D" w:rsidR="0026093C" w:rsidRPr="00FC1C51" w:rsidRDefault="0026093C" w:rsidP="003674C9">
            <w:pPr>
              <w:widowControl w:val="0"/>
              <w:ind w:left="144"/>
              <w:rPr>
                <w:b/>
                <w:iCs/>
                <w:color w:val="000000"/>
                <w:sz w:val="20"/>
              </w:rPr>
            </w:pPr>
            <w:r w:rsidRPr="00FC1C51">
              <w:rPr>
                <w:color w:val="000000"/>
                <w:sz w:val="20"/>
              </w:rPr>
              <w:t>--Informational Interviews</w:t>
            </w:r>
          </w:p>
        </w:tc>
        <w:tc>
          <w:tcPr>
            <w:tcW w:w="1599" w:type="dxa"/>
            <w:shd w:val="clear" w:color="auto" w:fill="FFFFFF" w:themeFill="background1"/>
            <w:vAlign w:val="bottom"/>
          </w:tcPr>
          <w:p w14:paraId="43A10DF5" w14:textId="2BE04B34" w:rsidR="0026093C" w:rsidRPr="00FC1C51" w:rsidRDefault="0043613F" w:rsidP="00FC1C51">
            <w:pPr>
              <w:widowControl w:val="0"/>
              <w:ind w:left="144"/>
              <w:jc w:val="right"/>
              <w:rPr>
                <w:iCs/>
                <w:color w:val="000000"/>
                <w:sz w:val="20"/>
              </w:rPr>
            </w:pPr>
            <w:r w:rsidRPr="00FC1C51">
              <w:rPr>
                <w:iCs/>
                <w:color w:val="000000"/>
                <w:sz w:val="20"/>
              </w:rPr>
              <w:t>1.5 hours</w:t>
            </w:r>
          </w:p>
        </w:tc>
      </w:tr>
      <w:tr w:rsidR="0026093C" w:rsidRPr="002D5AE6" w14:paraId="3AD8C29E" w14:textId="77777777" w:rsidTr="00FC1C51">
        <w:trPr>
          <w:trHeight w:val="80"/>
        </w:trPr>
        <w:tc>
          <w:tcPr>
            <w:tcW w:w="3870" w:type="dxa"/>
            <w:shd w:val="clear" w:color="auto" w:fill="auto"/>
            <w:noWrap/>
            <w:vAlign w:val="bottom"/>
          </w:tcPr>
          <w:p w14:paraId="501EA4F0" w14:textId="77777777" w:rsidR="0026093C" w:rsidRPr="00FC1C51" w:rsidRDefault="0026093C" w:rsidP="00C14120">
            <w:pPr>
              <w:widowControl w:val="0"/>
              <w:ind w:left="144"/>
              <w:rPr>
                <w:iCs/>
                <w:color w:val="000000"/>
                <w:sz w:val="20"/>
              </w:rPr>
            </w:pPr>
            <w:r w:rsidRPr="00FC1C51">
              <w:rPr>
                <w:color w:val="000000"/>
                <w:sz w:val="20"/>
              </w:rPr>
              <w:t>Adjustment</w:t>
            </w:r>
          </w:p>
        </w:tc>
        <w:tc>
          <w:tcPr>
            <w:tcW w:w="1599" w:type="dxa"/>
            <w:shd w:val="clear" w:color="auto" w:fill="auto"/>
            <w:vAlign w:val="bottom"/>
          </w:tcPr>
          <w:p w14:paraId="42AA6733" w14:textId="18C0084F" w:rsidR="0026093C" w:rsidRPr="00FC1C51" w:rsidRDefault="0043613F" w:rsidP="00FC1C51">
            <w:pPr>
              <w:widowControl w:val="0"/>
              <w:ind w:left="144"/>
              <w:jc w:val="right"/>
              <w:rPr>
                <w:b/>
                <w:iCs/>
                <w:color w:val="000000"/>
                <w:sz w:val="20"/>
              </w:rPr>
            </w:pPr>
            <w:r w:rsidRPr="00FC1C51">
              <w:rPr>
                <w:iCs/>
                <w:color w:val="000000"/>
                <w:sz w:val="20"/>
              </w:rPr>
              <w:t>-.25 (4.75 - .25)</w:t>
            </w:r>
          </w:p>
        </w:tc>
      </w:tr>
      <w:tr w:rsidR="0026093C" w:rsidRPr="002D5AE6" w14:paraId="62081555" w14:textId="77777777" w:rsidTr="00FC1C51">
        <w:trPr>
          <w:trHeight w:val="80"/>
        </w:trPr>
        <w:tc>
          <w:tcPr>
            <w:tcW w:w="3870" w:type="dxa"/>
            <w:shd w:val="clear" w:color="auto" w:fill="D9D9D9" w:themeFill="background1" w:themeFillShade="D9"/>
            <w:noWrap/>
            <w:vAlign w:val="bottom"/>
          </w:tcPr>
          <w:p w14:paraId="28AF0031" w14:textId="77777777" w:rsidR="0026093C" w:rsidRPr="00FC1C51" w:rsidRDefault="0026093C" w:rsidP="003674C9">
            <w:pPr>
              <w:widowControl w:val="0"/>
              <w:ind w:left="144"/>
              <w:jc w:val="right"/>
              <w:rPr>
                <w:b/>
                <w:iCs/>
                <w:color w:val="000000"/>
                <w:sz w:val="20"/>
              </w:rPr>
            </w:pPr>
            <w:r w:rsidRPr="00FC1C51">
              <w:rPr>
                <w:b/>
                <w:iCs/>
                <w:color w:val="000000"/>
                <w:sz w:val="20"/>
              </w:rPr>
              <w:t>Final Estimate</w:t>
            </w:r>
          </w:p>
        </w:tc>
        <w:tc>
          <w:tcPr>
            <w:tcW w:w="1599" w:type="dxa"/>
            <w:shd w:val="clear" w:color="auto" w:fill="D9D9D9" w:themeFill="background1" w:themeFillShade="D9"/>
            <w:vAlign w:val="bottom"/>
          </w:tcPr>
          <w:p w14:paraId="5CA714A4" w14:textId="6E0E8DB3" w:rsidR="0026093C" w:rsidRPr="00FC1C51" w:rsidRDefault="0043613F" w:rsidP="003674C9">
            <w:pPr>
              <w:widowControl w:val="0"/>
              <w:ind w:left="144"/>
              <w:jc w:val="right"/>
              <w:rPr>
                <w:b/>
                <w:iCs/>
                <w:color w:val="000000"/>
                <w:sz w:val="20"/>
              </w:rPr>
            </w:pPr>
            <w:r w:rsidRPr="00FC1C51">
              <w:rPr>
                <w:b/>
                <w:iCs/>
                <w:color w:val="000000"/>
                <w:sz w:val="20"/>
              </w:rPr>
              <w:t xml:space="preserve">4.5 </w:t>
            </w:r>
          </w:p>
        </w:tc>
      </w:tr>
    </w:tbl>
    <w:p w14:paraId="78A2130E" w14:textId="0C8EF460" w:rsidR="007C0E21" w:rsidRPr="00FC1C51" w:rsidRDefault="007C0E21" w:rsidP="00FC1C51">
      <w:pPr>
        <w:widowControl w:val="0"/>
        <w:ind w:left="144"/>
      </w:pPr>
    </w:p>
    <w:tbl>
      <w:tblPr>
        <w:tblW w:w="77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4225"/>
      </w:tblGrid>
      <w:tr w:rsidR="00DB5289" w:rsidRPr="002D5AE6" w14:paraId="7A51A58F" w14:textId="77777777" w:rsidTr="00FC1C51">
        <w:trPr>
          <w:trHeight w:val="86"/>
        </w:trPr>
        <w:tc>
          <w:tcPr>
            <w:tcW w:w="7740" w:type="dxa"/>
            <w:gridSpan w:val="2"/>
            <w:shd w:val="clear" w:color="auto" w:fill="auto"/>
            <w:noWrap/>
            <w:vAlign w:val="center"/>
            <w:hideMark/>
          </w:tcPr>
          <w:p w14:paraId="5B7A350A" w14:textId="77777777" w:rsidR="00DB5289" w:rsidRPr="00FC1C51" w:rsidRDefault="00DB5289" w:rsidP="00547CBA">
            <w:pPr>
              <w:widowControl w:val="0"/>
              <w:ind w:left="144"/>
              <w:jc w:val="center"/>
              <w:rPr>
                <w:b/>
                <w:bCs/>
                <w:color w:val="000000"/>
                <w:sz w:val="20"/>
              </w:rPr>
            </w:pPr>
            <w:r w:rsidRPr="00FC1C51">
              <w:rPr>
                <w:b/>
                <w:bCs/>
                <w:color w:val="000000"/>
                <w:sz w:val="20"/>
              </w:rPr>
              <w:t>Total Hours (annual)</w:t>
            </w:r>
          </w:p>
        </w:tc>
      </w:tr>
      <w:tr w:rsidR="007F4074" w:rsidRPr="002D5AE6" w14:paraId="6052E5B6" w14:textId="77777777" w:rsidTr="00FC1C51">
        <w:trPr>
          <w:trHeight w:val="86"/>
        </w:trPr>
        <w:tc>
          <w:tcPr>
            <w:tcW w:w="3515" w:type="dxa"/>
            <w:shd w:val="clear" w:color="auto" w:fill="auto"/>
            <w:noWrap/>
            <w:vAlign w:val="bottom"/>
          </w:tcPr>
          <w:p w14:paraId="3F974893" w14:textId="77777777" w:rsidR="007F4074" w:rsidRPr="00FC1C51" w:rsidRDefault="007F4074" w:rsidP="007F4074">
            <w:pPr>
              <w:widowControl w:val="0"/>
              <w:ind w:left="144"/>
              <w:rPr>
                <w:color w:val="000000"/>
                <w:sz w:val="20"/>
              </w:rPr>
            </w:pPr>
            <w:r w:rsidRPr="00FC1C51">
              <w:rPr>
                <w:sz w:val="20"/>
              </w:rPr>
              <w:t>Nov. 15, 2016 Jan 15, 2014 (</w:t>
            </w:r>
            <w:r w:rsidRPr="00FC1C51">
              <w:rPr>
                <w:color w:val="000000"/>
                <w:sz w:val="20"/>
              </w:rPr>
              <w:t xml:space="preserve">Supporting Statement) </w:t>
            </w:r>
          </w:p>
          <w:p w14:paraId="2949527E" w14:textId="7E324E2C" w:rsidR="007F4074" w:rsidRPr="00FC1C51" w:rsidRDefault="007F4074" w:rsidP="007F4074">
            <w:pPr>
              <w:widowControl w:val="0"/>
              <w:ind w:left="144"/>
              <w:rPr>
                <w:color w:val="000000"/>
                <w:sz w:val="20"/>
              </w:rPr>
            </w:pPr>
            <w:r w:rsidRPr="00FC1C51">
              <w:rPr>
                <w:color w:val="000000"/>
                <w:sz w:val="20"/>
              </w:rPr>
              <w:t>– Beneficiary survey</w:t>
            </w:r>
          </w:p>
        </w:tc>
        <w:tc>
          <w:tcPr>
            <w:tcW w:w="4225" w:type="dxa"/>
            <w:shd w:val="clear" w:color="auto" w:fill="auto"/>
            <w:noWrap/>
            <w:vAlign w:val="bottom"/>
          </w:tcPr>
          <w:p w14:paraId="7CEE62D8" w14:textId="6AEDFB4C" w:rsidR="007F4074" w:rsidRPr="00FC1C51" w:rsidRDefault="00A86472" w:rsidP="007F4074">
            <w:pPr>
              <w:widowControl w:val="0"/>
              <w:ind w:left="144"/>
              <w:jc w:val="right"/>
              <w:rPr>
                <w:color w:val="000000"/>
                <w:sz w:val="20"/>
              </w:rPr>
            </w:pPr>
            <w:r w:rsidRPr="00FC1C51">
              <w:rPr>
                <w:color w:val="000000"/>
                <w:sz w:val="20"/>
              </w:rPr>
              <w:t>0 (1,296 – 1,296)</w:t>
            </w:r>
          </w:p>
        </w:tc>
      </w:tr>
      <w:tr w:rsidR="007F4074" w:rsidRPr="002D5AE6" w14:paraId="29F80771" w14:textId="77777777" w:rsidTr="00FC1C51">
        <w:trPr>
          <w:trHeight w:val="86"/>
        </w:trPr>
        <w:tc>
          <w:tcPr>
            <w:tcW w:w="3515" w:type="dxa"/>
            <w:shd w:val="clear" w:color="auto" w:fill="auto"/>
            <w:noWrap/>
            <w:vAlign w:val="bottom"/>
          </w:tcPr>
          <w:p w14:paraId="67437106" w14:textId="46CE82A1" w:rsidR="007F4074" w:rsidRPr="00FC1C51" w:rsidRDefault="007F4074" w:rsidP="007F4074">
            <w:pPr>
              <w:widowControl w:val="0"/>
              <w:ind w:left="144"/>
              <w:rPr>
                <w:color w:val="000000"/>
                <w:sz w:val="20"/>
              </w:rPr>
            </w:pPr>
            <w:r w:rsidRPr="00FC1C51">
              <w:rPr>
                <w:color w:val="000000"/>
                <w:sz w:val="20"/>
              </w:rPr>
              <w:t>--Focus groups</w:t>
            </w:r>
            <w:r w:rsidRPr="00FC1C51" w:rsidDel="009B3A9F">
              <w:rPr>
                <w:color w:val="000000"/>
                <w:sz w:val="20"/>
              </w:rPr>
              <w:t xml:space="preserve"> </w:t>
            </w:r>
          </w:p>
        </w:tc>
        <w:tc>
          <w:tcPr>
            <w:tcW w:w="4225" w:type="dxa"/>
            <w:shd w:val="clear" w:color="auto" w:fill="auto"/>
            <w:noWrap/>
            <w:vAlign w:val="bottom"/>
          </w:tcPr>
          <w:p w14:paraId="2153E154" w14:textId="415CD249" w:rsidR="007F4074" w:rsidRPr="00FC1C51" w:rsidRDefault="00B910D1" w:rsidP="00B910D1">
            <w:pPr>
              <w:widowControl w:val="0"/>
              <w:ind w:left="144"/>
              <w:jc w:val="right"/>
              <w:rPr>
                <w:color w:val="000000"/>
                <w:sz w:val="20"/>
              </w:rPr>
            </w:pPr>
            <w:r>
              <w:rPr>
                <w:color w:val="000000"/>
                <w:sz w:val="20"/>
              </w:rPr>
              <w:t>240</w:t>
            </w:r>
            <w:r w:rsidRPr="00FC1C51">
              <w:rPr>
                <w:color w:val="000000"/>
                <w:sz w:val="20"/>
              </w:rPr>
              <w:t xml:space="preserve"> </w:t>
            </w:r>
            <w:r w:rsidR="00A86472" w:rsidRPr="00FC1C51">
              <w:rPr>
                <w:color w:val="000000"/>
                <w:sz w:val="20"/>
              </w:rPr>
              <w:t xml:space="preserve">(120+ </w:t>
            </w:r>
            <w:r>
              <w:rPr>
                <w:color w:val="000000"/>
                <w:sz w:val="20"/>
              </w:rPr>
              <w:t>120</w:t>
            </w:r>
            <w:r w:rsidR="00A86472" w:rsidRPr="00FC1C51">
              <w:rPr>
                <w:color w:val="000000"/>
                <w:sz w:val="20"/>
              </w:rPr>
              <w:t>)</w:t>
            </w:r>
          </w:p>
        </w:tc>
      </w:tr>
      <w:tr w:rsidR="007F4074" w:rsidRPr="002D5AE6" w14:paraId="2C9FAFC7" w14:textId="77777777" w:rsidTr="00FC1C51">
        <w:trPr>
          <w:trHeight w:val="86"/>
        </w:trPr>
        <w:tc>
          <w:tcPr>
            <w:tcW w:w="3515" w:type="dxa"/>
            <w:shd w:val="clear" w:color="auto" w:fill="auto"/>
            <w:noWrap/>
            <w:vAlign w:val="bottom"/>
          </w:tcPr>
          <w:p w14:paraId="2B424F2C" w14:textId="7E32E9AC" w:rsidR="007F4074" w:rsidRPr="00FC1C51" w:rsidRDefault="007F4074" w:rsidP="007F4074">
            <w:pPr>
              <w:widowControl w:val="0"/>
              <w:ind w:left="144"/>
              <w:rPr>
                <w:color w:val="000000"/>
                <w:sz w:val="20"/>
              </w:rPr>
            </w:pPr>
            <w:r w:rsidRPr="00FC1C51">
              <w:rPr>
                <w:color w:val="000000"/>
                <w:sz w:val="20"/>
              </w:rPr>
              <w:t>--Informational Interviews</w:t>
            </w:r>
          </w:p>
        </w:tc>
        <w:tc>
          <w:tcPr>
            <w:tcW w:w="4225" w:type="dxa"/>
            <w:shd w:val="clear" w:color="auto" w:fill="auto"/>
            <w:noWrap/>
            <w:vAlign w:val="bottom"/>
          </w:tcPr>
          <w:p w14:paraId="29E40BA6" w14:textId="3794D925" w:rsidR="007F4074" w:rsidRPr="00FC1C51" w:rsidRDefault="00B910D1" w:rsidP="00B910D1">
            <w:pPr>
              <w:widowControl w:val="0"/>
              <w:ind w:left="144"/>
              <w:jc w:val="right"/>
              <w:rPr>
                <w:color w:val="000000"/>
                <w:sz w:val="20"/>
              </w:rPr>
            </w:pPr>
            <w:r>
              <w:rPr>
                <w:color w:val="000000"/>
                <w:sz w:val="20"/>
              </w:rPr>
              <w:t>18</w:t>
            </w:r>
            <w:r w:rsidR="00B17D31" w:rsidRPr="00FC1C51">
              <w:rPr>
                <w:color w:val="000000"/>
                <w:sz w:val="20"/>
              </w:rPr>
              <w:t xml:space="preserve"> (2</w:t>
            </w:r>
            <w:r w:rsidR="005F10AB" w:rsidRPr="00FC1C51">
              <w:rPr>
                <w:color w:val="000000"/>
                <w:sz w:val="20"/>
              </w:rPr>
              <w:t>7</w:t>
            </w:r>
            <w:r>
              <w:rPr>
                <w:color w:val="000000"/>
                <w:sz w:val="20"/>
              </w:rPr>
              <w:t>)</w:t>
            </w:r>
            <w:r w:rsidR="005F10AB" w:rsidRPr="00FC1C51">
              <w:rPr>
                <w:color w:val="000000"/>
                <w:sz w:val="20"/>
              </w:rPr>
              <w:t xml:space="preserve"> </w:t>
            </w:r>
          </w:p>
        </w:tc>
      </w:tr>
      <w:tr w:rsidR="007F4074" w:rsidRPr="002D5AE6" w14:paraId="60982A02" w14:textId="77777777" w:rsidTr="00FC1C51">
        <w:trPr>
          <w:trHeight w:val="86"/>
        </w:trPr>
        <w:tc>
          <w:tcPr>
            <w:tcW w:w="3515" w:type="dxa"/>
            <w:shd w:val="clear" w:color="auto" w:fill="auto"/>
            <w:vAlign w:val="bottom"/>
            <w:hideMark/>
          </w:tcPr>
          <w:p w14:paraId="3D6EEC7E" w14:textId="77777777" w:rsidR="007F4074" w:rsidRPr="00FC1C51" w:rsidRDefault="007F4074" w:rsidP="007F4074">
            <w:pPr>
              <w:widowControl w:val="0"/>
              <w:ind w:left="144"/>
              <w:rPr>
                <w:color w:val="000000"/>
                <w:sz w:val="20"/>
              </w:rPr>
            </w:pPr>
            <w:r w:rsidRPr="00FC1C51">
              <w:rPr>
                <w:color w:val="000000"/>
                <w:sz w:val="20"/>
              </w:rPr>
              <w:t>Adjustment</w:t>
            </w:r>
          </w:p>
        </w:tc>
        <w:tc>
          <w:tcPr>
            <w:tcW w:w="4225" w:type="dxa"/>
            <w:shd w:val="clear" w:color="auto" w:fill="auto"/>
            <w:noWrap/>
            <w:vAlign w:val="bottom"/>
          </w:tcPr>
          <w:p w14:paraId="63737D3B" w14:textId="12FF608F" w:rsidR="007F4074" w:rsidRPr="00FC1C51" w:rsidRDefault="00FC5E9C" w:rsidP="00FC1C51">
            <w:pPr>
              <w:pStyle w:val="ListParagraph"/>
              <w:widowControl w:val="0"/>
              <w:ind w:left="2880"/>
              <w:jc w:val="right"/>
              <w:rPr>
                <w:color w:val="000000"/>
                <w:sz w:val="20"/>
              </w:rPr>
            </w:pPr>
            <w:r w:rsidRPr="00FC1C51">
              <w:rPr>
                <w:color w:val="000000"/>
                <w:sz w:val="20"/>
              </w:rPr>
              <w:t>-</w:t>
            </w:r>
            <w:r w:rsidR="003C1A60" w:rsidRPr="00FC1C51">
              <w:rPr>
                <w:color w:val="000000"/>
                <w:sz w:val="20"/>
              </w:rPr>
              <w:t>1,045.5</w:t>
            </w:r>
          </w:p>
        </w:tc>
      </w:tr>
      <w:tr w:rsidR="007F4074" w:rsidRPr="009F6599" w14:paraId="31F8398D" w14:textId="77777777" w:rsidTr="00FC1C51">
        <w:trPr>
          <w:trHeight w:val="86"/>
        </w:trPr>
        <w:tc>
          <w:tcPr>
            <w:tcW w:w="3515" w:type="dxa"/>
            <w:shd w:val="clear" w:color="auto" w:fill="D9D9D9" w:themeFill="background1" w:themeFillShade="D9"/>
            <w:noWrap/>
            <w:vAlign w:val="bottom"/>
            <w:hideMark/>
          </w:tcPr>
          <w:p w14:paraId="489065F1" w14:textId="6A2811AF" w:rsidR="007F4074" w:rsidRPr="00FC1C51" w:rsidRDefault="007F4074" w:rsidP="00D26A2B">
            <w:pPr>
              <w:widowControl w:val="0"/>
              <w:ind w:left="144"/>
              <w:jc w:val="right"/>
              <w:rPr>
                <w:b/>
                <w:i/>
                <w:iCs/>
                <w:color w:val="000000"/>
                <w:sz w:val="20"/>
              </w:rPr>
            </w:pPr>
            <w:r w:rsidRPr="00FC1C51">
              <w:rPr>
                <w:b/>
                <w:iCs/>
                <w:color w:val="000000"/>
                <w:sz w:val="20"/>
              </w:rPr>
              <w:t>Final Estimate</w:t>
            </w:r>
          </w:p>
        </w:tc>
        <w:tc>
          <w:tcPr>
            <w:tcW w:w="4225" w:type="dxa"/>
            <w:shd w:val="clear" w:color="auto" w:fill="D9D9D9" w:themeFill="background1" w:themeFillShade="D9"/>
            <w:noWrap/>
            <w:vAlign w:val="bottom"/>
          </w:tcPr>
          <w:p w14:paraId="66A3B8DF" w14:textId="05FAFED1" w:rsidR="007F4074" w:rsidRPr="00FC1C51" w:rsidRDefault="00B910D1" w:rsidP="00B910D1">
            <w:pPr>
              <w:widowControl w:val="0"/>
              <w:ind w:left="144"/>
              <w:jc w:val="right"/>
              <w:rPr>
                <w:b/>
                <w:i/>
                <w:iCs/>
                <w:color w:val="000000"/>
                <w:sz w:val="20"/>
              </w:rPr>
            </w:pPr>
            <w:r>
              <w:rPr>
                <w:b/>
                <w:sz w:val="20"/>
              </w:rPr>
              <w:t>258</w:t>
            </w:r>
            <w:r w:rsidR="00E446FF" w:rsidRPr="00FC1C51">
              <w:rPr>
                <w:b/>
                <w:sz w:val="20"/>
              </w:rPr>
              <w:t xml:space="preserve"> (</w:t>
            </w:r>
            <w:r w:rsidR="00DC7F37" w:rsidRPr="00FC1C51">
              <w:rPr>
                <w:b/>
                <w:sz w:val="20"/>
              </w:rPr>
              <w:t>1,296 – 1,296 + 120 +</w:t>
            </w:r>
            <w:r>
              <w:rPr>
                <w:b/>
                <w:sz w:val="20"/>
              </w:rPr>
              <w:t>120</w:t>
            </w:r>
            <w:r w:rsidRPr="00FC1C51">
              <w:rPr>
                <w:b/>
                <w:sz w:val="20"/>
              </w:rPr>
              <w:t xml:space="preserve"> </w:t>
            </w:r>
            <w:r w:rsidR="00DC7F37" w:rsidRPr="00FC1C51">
              <w:rPr>
                <w:b/>
                <w:sz w:val="20"/>
              </w:rPr>
              <w:t>+27 )</w:t>
            </w:r>
          </w:p>
        </w:tc>
      </w:tr>
    </w:tbl>
    <w:p w14:paraId="313F2820" w14:textId="5F051A5E" w:rsidR="00632601" w:rsidRDefault="00632601"/>
    <w:tbl>
      <w:tblPr>
        <w:tblW w:w="77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4225"/>
      </w:tblGrid>
      <w:tr w:rsidR="00C860F8" w:rsidRPr="002D5AE6" w14:paraId="57EFE7A9" w14:textId="77777777" w:rsidTr="00243224">
        <w:trPr>
          <w:trHeight w:val="86"/>
        </w:trPr>
        <w:tc>
          <w:tcPr>
            <w:tcW w:w="7740" w:type="dxa"/>
            <w:gridSpan w:val="2"/>
            <w:shd w:val="clear" w:color="auto" w:fill="auto"/>
            <w:noWrap/>
            <w:vAlign w:val="center"/>
            <w:hideMark/>
          </w:tcPr>
          <w:p w14:paraId="297DBE07" w14:textId="404D2DE8" w:rsidR="00C860F8" w:rsidRPr="00FC1C51" w:rsidRDefault="00C860F8" w:rsidP="00C860F8">
            <w:pPr>
              <w:widowControl w:val="0"/>
              <w:ind w:left="144"/>
              <w:jc w:val="center"/>
              <w:rPr>
                <w:b/>
                <w:bCs/>
                <w:color w:val="000000"/>
                <w:sz w:val="20"/>
              </w:rPr>
            </w:pPr>
            <w:r w:rsidRPr="00FC1C51">
              <w:rPr>
                <w:b/>
                <w:bCs/>
                <w:color w:val="000000"/>
                <w:sz w:val="20"/>
              </w:rPr>
              <w:t>Wage Costs per Respondent per Hour (dollars)</w:t>
            </w:r>
          </w:p>
        </w:tc>
      </w:tr>
      <w:tr w:rsidR="00C860F8" w:rsidRPr="002D5AE6" w14:paraId="3EFAB876" w14:textId="77777777" w:rsidTr="00243224">
        <w:trPr>
          <w:trHeight w:val="86"/>
        </w:trPr>
        <w:tc>
          <w:tcPr>
            <w:tcW w:w="3515" w:type="dxa"/>
            <w:shd w:val="clear" w:color="auto" w:fill="auto"/>
            <w:noWrap/>
            <w:vAlign w:val="bottom"/>
          </w:tcPr>
          <w:p w14:paraId="2997256C" w14:textId="77777777" w:rsidR="00C860F8" w:rsidRPr="00FC5E9C" w:rsidRDefault="00C860F8" w:rsidP="00243224">
            <w:pPr>
              <w:widowControl w:val="0"/>
              <w:ind w:left="144"/>
              <w:rPr>
                <w:color w:val="000000"/>
                <w:sz w:val="20"/>
              </w:rPr>
            </w:pPr>
            <w:r w:rsidRPr="00FC5E9C">
              <w:rPr>
                <w:sz w:val="20"/>
              </w:rPr>
              <w:t>Nov. 15, 2016 Jan 15, 2014 (</w:t>
            </w:r>
            <w:r w:rsidRPr="00FC5E9C">
              <w:rPr>
                <w:color w:val="000000"/>
                <w:sz w:val="20"/>
              </w:rPr>
              <w:t xml:space="preserve">Supporting Statement) </w:t>
            </w:r>
          </w:p>
          <w:p w14:paraId="268370B6" w14:textId="77777777" w:rsidR="00C860F8" w:rsidRPr="00FC1C51" w:rsidRDefault="00C860F8" w:rsidP="00243224">
            <w:pPr>
              <w:widowControl w:val="0"/>
              <w:ind w:left="144"/>
              <w:rPr>
                <w:color w:val="000000"/>
                <w:sz w:val="20"/>
              </w:rPr>
            </w:pPr>
            <w:r w:rsidRPr="00FC5E9C">
              <w:rPr>
                <w:color w:val="000000"/>
                <w:sz w:val="20"/>
              </w:rPr>
              <w:t>– Beneficiary survey</w:t>
            </w:r>
          </w:p>
        </w:tc>
        <w:tc>
          <w:tcPr>
            <w:tcW w:w="4225" w:type="dxa"/>
            <w:shd w:val="clear" w:color="auto" w:fill="auto"/>
            <w:noWrap/>
            <w:vAlign w:val="bottom"/>
          </w:tcPr>
          <w:p w14:paraId="1B87ACBE" w14:textId="323EA194" w:rsidR="00C860F8" w:rsidRPr="00FC1C51" w:rsidRDefault="00C860F8" w:rsidP="00C860F8">
            <w:pPr>
              <w:widowControl w:val="0"/>
              <w:ind w:left="144"/>
              <w:jc w:val="right"/>
              <w:rPr>
                <w:color w:val="000000"/>
                <w:sz w:val="20"/>
              </w:rPr>
            </w:pPr>
            <w:r w:rsidRPr="00FC1C51">
              <w:rPr>
                <w:color w:val="000000"/>
                <w:sz w:val="20"/>
              </w:rPr>
              <w:t>0 (15.82 – 15.82)</w:t>
            </w:r>
          </w:p>
        </w:tc>
      </w:tr>
      <w:tr w:rsidR="00C860F8" w:rsidRPr="002D5AE6" w14:paraId="04B5414B" w14:textId="77777777" w:rsidTr="00243224">
        <w:trPr>
          <w:trHeight w:val="86"/>
        </w:trPr>
        <w:tc>
          <w:tcPr>
            <w:tcW w:w="3515" w:type="dxa"/>
            <w:shd w:val="clear" w:color="auto" w:fill="auto"/>
            <w:noWrap/>
            <w:vAlign w:val="bottom"/>
          </w:tcPr>
          <w:p w14:paraId="33834CA0" w14:textId="77777777" w:rsidR="00C860F8" w:rsidRPr="00FC1C51" w:rsidRDefault="00C860F8" w:rsidP="00243224">
            <w:pPr>
              <w:widowControl w:val="0"/>
              <w:ind w:left="144"/>
              <w:rPr>
                <w:color w:val="000000"/>
                <w:sz w:val="20"/>
              </w:rPr>
            </w:pPr>
            <w:r w:rsidRPr="00FC5E9C">
              <w:rPr>
                <w:color w:val="000000"/>
                <w:sz w:val="20"/>
              </w:rPr>
              <w:t>--Focus groups</w:t>
            </w:r>
            <w:r w:rsidRPr="00FC5E9C" w:rsidDel="009B3A9F">
              <w:rPr>
                <w:color w:val="000000"/>
                <w:sz w:val="20"/>
              </w:rPr>
              <w:t xml:space="preserve"> </w:t>
            </w:r>
          </w:p>
        </w:tc>
        <w:tc>
          <w:tcPr>
            <w:tcW w:w="4225" w:type="dxa"/>
            <w:shd w:val="clear" w:color="auto" w:fill="auto"/>
            <w:noWrap/>
            <w:vAlign w:val="bottom"/>
          </w:tcPr>
          <w:p w14:paraId="4F1F7416" w14:textId="468FE678" w:rsidR="00C860F8" w:rsidRPr="00FC1C51" w:rsidRDefault="00C860F8" w:rsidP="00C860F8">
            <w:pPr>
              <w:widowControl w:val="0"/>
              <w:ind w:left="144"/>
              <w:jc w:val="right"/>
              <w:rPr>
                <w:color w:val="000000"/>
                <w:sz w:val="20"/>
              </w:rPr>
            </w:pPr>
            <w:r w:rsidRPr="00FC1C51">
              <w:rPr>
                <w:color w:val="000000"/>
                <w:sz w:val="20"/>
              </w:rPr>
              <w:t>+0.43 (16.25 - 15.82)</w:t>
            </w:r>
          </w:p>
        </w:tc>
      </w:tr>
      <w:tr w:rsidR="00C860F8" w:rsidRPr="002D5AE6" w14:paraId="6DF95DA4" w14:textId="77777777" w:rsidTr="00243224">
        <w:trPr>
          <w:trHeight w:val="86"/>
        </w:trPr>
        <w:tc>
          <w:tcPr>
            <w:tcW w:w="3515" w:type="dxa"/>
            <w:shd w:val="clear" w:color="auto" w:fill="auto"/>
            <w:noWrap/>
            <w:vAlign w:val="bottom"/>
          </w:tcPr>
          <w:p w14:paraId="389690CB" w14:textId="77777777" w:rsidR="00C860F8" w:rsidRPr="00FC1C51" w:rsidRDefault="00C860F8" w:rsidP="00243224">
            <w:pPr>
              <w:widowControl w:val="0"/>
              <w:ind w:left="144"/>
              <w:rPr>
                <w:color w:val="000000"/>
                <w:sz w:val="20"/>
              </w:rPr>
            </w:pPr>
            <w:r w:rsidRPr="00FC5E9C">
              <w:rPr>
                <w:color w:val="000000"/>
                <w:sz w:val="20"/>
              </w:rPr>
              <w:t>--Informational Interviews</w:t>
            </w:r>
          </w:p>
        </w:tc>
        <w:tc>
          <w:tcPr>
            <w:tcW w:w="4225" w:type="dxa"/>
            <w:shd w:val="clear" w:color="auto" w:fill="auto"/>
            <w:noWrap/>
            <w:vAlign w:val="bottom"/>
          </w:tcPr>
          <w:p w14:paraId="033D9E95" w14:textId="5B7C11EA" w:rsidR="00C860F8" w:rsidRPr="00FC1C51" w:rsidRDefault="00E077E2" w:rsidP="00243224">
            <w:pPr>
              <w:widowControl w:val="0"/>
              <w:ind w:left="144"/>
              <w:jc w:val="right"/>
              <w:rPr>
                <w:color w:val="000000"/>
                <w:sz w:val="20"/>
              </w:rPr>
            </w:pPr>
            <w:r w:rsidRPr="00FC1C51">
              <w:rPr>
                <w:color w:val="000000"/>
                <w:sz w:val="20"/>
              </w:rPr>
              <w:t>+0.43 (16.25 - 15.82)</w:t>
            </w:r>
          </w:p>
        </w:tc>
      </w:tr>
      <w:tr w:rsidR="00C860F8" w:rsidRPr="002D5AE6" w14:paraId="396234BC" w14:textId="77777777" w:rsidTr="00243224">
        <w:trPr>
          <w:trHeight w:val="86"/>
        </w:trPr>
        <w:tc>
          <w:tcPr>
            <w:tcW w:w="3515" w:type="dxa"/>
            <w:shd w:val="clear" w:color="auto" w:fill="auto"/>
            <w:vAlign w:val="bottom"/>
            <w:hideMark/>
          </w:tcPr>
          <w:p w14:paraId="128A6088" w14:textId="77777777" w:rsidR="00C860F8" w:rsidRPr="00FC1C51" w:rsidRDefault="00C860F8" w:rsidP="00243224">
            <w:pPr>
              <w:widowControl w:val="0"/>
              <w:ind w:left="144"/>
              <w:rPr>
                <w:color w:val="000000"/>
                <w:sz w:val="20"/>
              </w:rPr>
            </w:pPr>
            <w:r w:rsidRPr="00FC1C51">
              <w:rPr>
                <w:color w:val="000000"/>
                <w:sz w:val="20"/>
              </w:rPr>
              <w:t>Adjustment</w:t>
            </w:r>
          </w:p>
        </w:tc>
        <w:tc>
          <w:tcPr>
            <w:tcW w:w="4225" w:type="dxa"/>
            <w:shd w:val="clear" w:color="auto" w:fill="auto"/>
            <w:noWrap/>
            <w:vAlign w:val="bottom"/>
          </w:tcPr>
          <w:p w14:paraId="61A606DD" w14:textId="3E22144C" w:rsidR="00C860F8" w:rsidRPr="00FC1C51" w:rsidRDefault="00E077E2" w:rsidP="00FC1C51">
            <w:pPr>
              <w:pStyle w:val="ListParagraph"/>
              <w:widowControl w:val="0"/>
              <w:jc w:val="right"/>
              <w:rPr>
                <w:color w:val="000000"/>
                <w:sz w:val="20"/>
              </w:rPr>
            </w:pPr>
            <w:r w:rsidRPr="00FC1C51">
              <w:rPr>
                <w:color w:val="000000"/>
                <w:sz w:val="20"/>
              </w:rPr>
              <w:t>+0.43</w:t>
            </w:r>
          </w:p>
        </w:tc>
      </w:tr>
      <w:tr w:rsidR="00C860F8" w:rsidRPr="009F6599" w14:paraId="126211C5" w14:textId="77777777" w:rsidTr="00243224">
        <w:trPr>
          <w:trHeight w:val="86"/>
        </w:trPr>
        <w:tc>
          <w:tcPr>
            <w:tcW w:w="3515" w:type="dxa"/>
            <w:shd w:val="clear" w:color="auto" w:fill="D9D9D9" w:themeFill="background1" w:themeFillShade="D9"/>
            <w:noWrap/>
            <w:vAlign w:val="bottom"/>
            <w:hideMark/>
          </w:tcPr>
          <w:p w14:paraId="078DF215" w14:textId="77777777" w:rsidR="00C860F8" w:rsidRPr="00FC1C51" w:rsidRDefault="00C860F8" w:rsidP="00243224">
            <w:pPr>
              <w:widowControl w:val="0"/>
              <w:ind w:left="144"/>
              <w:jc w:val="right"/>
              <w:rPr>
                <w:b/>
                <w:i/>
                <w:iCs/>
                <w:color w:val="000000"/>
                <w:sz w:val="20"/>
              </w:rPr>
            </w:pPr>
            <w:r w:rsidRPr="00FC5E9C">
              <w:rPr>
                <w:b/>
                <w:iCs/>
                <w:color w:val="000000"/>
                <w:sz w:val="20"/>
              </w:rPr>
              <w:t>Final Estimate</w:t>
            </w:r>
          </w:p>
        </w:tc>
        <w:tc>
          <w:tcPr>
            <w:tcW w:w="4225" w:type="dxa"/>
            <w:shd w:val="clear" w:color="auto" w:fill="D9D9D9" w:themeFill="background1" w:themeFillShade="D9"/>
            <w:noWrap/>
            <w:vAlign w:val="bottom"/>
          </w:tcPr>
          <w:p w14:paraId="6B8CC4AD" w14:textId="4487A7A4" w:rsidR="00C860F8" w:rsidRPr="00FC1C51" w:rsidRDefault="0009659B" w:rsidP="0009659B">
            <w:pPr>
              <w:widowControl w:val="0"/>
              <w:ind w:left="144"/>
              <w:jc w:val="right"/>
              <w:rPr>
                <w:b/>
                <w:i/>
                <w:iCs/>
                <w:color w:val="000000"/>
                <w:sz w:val="20"/>
              </w:rPr>
            </w:pPr>
            <w:r>
              <w:rPr>
                <w:b/>
                <w:sz w:val="20"/>
              </w:rPr>
              <w:t>16.25</w:t>
            </w:r>
            <w:r w:rsidR="00C860F8" w:rsidRPr="00FC1C51">
              <w:rPr>
                <w:b/>
                <w:sz w:val="20"/>
              </w:rPr>
              <w:t xml:space="preserve"> </w:t>
            </w:r>
          </w:p>
        </w:tc>
      </w:tr>
    </w:tbl>
    <w:p w14:paraId="61D15E2A" w14:textId="571470F1" w:rsidR="00C860F8" w:rsidRDefault="00C860F8"/>
    <w:p w14:paraId="463DC403" w14:textId="77777777" w:rsidR="000C7170" w:rsidRDefault="000C7170"/>
    <w:p w14:paraId="413BB58A" w14:textId="77777777" w:rsidR="00C860F8" w:rsidRDefault="00C860F8"/>
    <w:p w14:paraId="5EF325E5" w14:textId="02EE922A" w:rsidR="00632601" w:rsidRPr="00DB5289" w:rsidRDefault="00DB5289">
      <w:pPr>
        <w:rPr>
          <w:b/>
        </w:rPr>
      </w:pPr>
      <w:r w:rsidRPr="00DB5289">
        <w:rPr>
          <w:b/>
        </w:rPr>
        <w:t>Collection Instruments and Supplemental Documents</w:t>
      </w:r>
    </w:p>
    <w:p w14:paraId="53E8DC36" w14:textId="77777777" w:rsidR="00632601" w:rsidRDefault="00632601"/>
    <w:p w14:paraId="242AC1B0" w14:textId="3C141BCC" w:rsidR="00E60F1B" w:rsidRDefault="00AF5E79">
      <w:r>
        <w:t>The i</w:t>
      </w:r>
      <w:r w:rsidR="006C5AFE">
        <w:t xml:space="preserve">nformation </w:t>
      </w:r>
      <w:r>
        <w:t>c</w:t>
      </w:r>
      <w:r w:rsidR="006C5AFE">
        <w:t xml:space="preserve">ollection </w:t>
      </w:r>
      <w:r>
        <w:t>d</w:t>
      </w:r>
      <w:r w:rsidR="006C5AFE">
        <w:t xml:space="preserve">ocuments </w:t>
      </w:r>
      <w:r>
        <w:t>i</w:t>
      </w:r>
      <w:r w:rsidR="006C5AFE">
        <w:t xml:space="preserve">ncluded </w:t>
      </w:r>
      <w:r>
        <w:t xml:space="preserve">with </w:t>
      </w:r>
      <w:r w:rsidR="006C5AFE">
        <w:t xml:space="preserve">this </w:t>
      </w:r>
      <w:r>
        <w:t>r</w:t>
      </w:r>
      <w:r w:rsidR="006C5AFE">
        <w:t>equest</w:t>
      </w:r>
      <w:r>
        <w:t xml:space="preserve"> consists of the following:</w:t>
      </w:r>
    </w:p>
    <w:p w14:paraId="5CEFA7CF" w14:textId="65EDA254" w:rsidR="00E60F1B" w:rsidRDefault="00E60F1B"/>
    <w:p w14:paraId="687968D9" w14:textId="217F0C59" w:rsidR="00E60F1B" w:rsidRDefault="00E60F1B" w:rsidP="00E60F1B">
      <w:pPr>
        <w:pStyle w:val="ListParagraph"/>
        <w:numPr>
          <w:ilvl w:val="0"/>
          <w:numId w:val="1"/>
        </w:numPr>
      </w:pPr>
      <w:r>
        <w:t>Supporting Statement A (Revised)</w:t>
      </w:r>
    </w:p>
    <w:p w14:paraId="22096D9A" w14:textId="65A27931" w:rsidR="00E60F1B" w:rsidRDefault="00E60F1B" w:rsidP="00E60F1B">
      <w:pPr>
        <w:pStyle w:val="ListParagraph"/>
        <w:numPr>
          <w:ilvl w:val="0"/>
          <w:numId w:val="1"/>
        </w:numPr>
      </w:pPr>
      <w:r>
        <w:t>Supporting Statement B (Revised)</w:t>
      </w:r>
    </w:p>
    <w:p w14:paraId="25103EEB" w14:textId="01A65811" w:rsidR="00E60F1B" w:rsidRDefault="00E60F1B" w:rsidP="00E60F1B">
      <w:pPr>
        <w:pStyle w:val="ListParagraph"/>
        <w:numPr>
          <w:ilvl w:val="0"/>
          <w:numId w:val="1"/>
        </w:numPr>
      </w:pPr>
      <w:r>
        <w:t>Supporting Materials: Focus Groups (Revised)</w:t>
      </w:r>
    </w:p>
    <w:p w14:paraId="658D2631" w14:textId="2306B09B" w:rsidR="00E60F1B" w:rsidRDefault="00E60F1B" w:rsidP="00E60F1B">
      <w:pPr>
        <w:pStyle w:val="ListParagraph"/>
        <w:numPr>
          <w:ilvl w:val="0"/>
          <w:numId w:val="1"/>
        </w:numPr>
      </w:pPr>
      <w:r>
        <w:t>Beneficiary Surveys Paper Versions (Removed, N/A)</w:t>
      </w:r>
    </w:p>
    <w:p w14:paraId="52B20066" w14:textId="37A4D957" w:rsidR="00E60F1B" w:rsidRDefault="00E60F1B" w:rsidP="00E60F1B">
      <w:pPr>
        <w:pStyle w:val="ListParagraph"/>
        <w:numPr>
          <w:ilvl w:val="0"/>
          <w:numId w:val="1"/>
        </w:numPr>
      </w:pPr>
      <w:r>
        <w:t>Beneficiary Survey Web Screenshots (Removed, N/A)</w:t>
      </w:r>
    </w:p>
    <w:p w14:paraId="529E8F63" w14:textId="146DDB06" w:rsidR="00E60F1B" w:rsidRDefault="00E60F1B" w:rsidP="00E60F1B">
      <w:pPr>
        <w:pStyle w:val="ListParagraph"/>
        <w:numPr>
          <w:ilvl w:val="0"/>
          <w:numId w:val="1"/>
        </w:numPr>
      </w:pPr>
      <w:r>
        <w:t>Beneficiary Survey Cover Letter (Removed, N/A)</w:t>
      </w:r>
    </w:p>
    <w:p w14:paraId="766E9E1F" w14:textId="725E69F5" w:rsidR="00E60F1B" w:rsidRDefault="00E60F1B" w:rsidP="00E60F1B">
      <w:pPr>
        <w:pStyle w:val="ListParagraph"/>
        <w:numPr>
          <w:ilvl w:val="0"/>
          <w:numId w:val="1"/>
        </w:numPr>
      </w:pPr>
      <w:r>
        <w:t>Beneficiary Survey Envelopes (Removed, N/A)</w:t>
      </w:r>
    </w:p>
    <w:p w14:paraId="2B13DF21" w14:textId="209DD3BE" w:rsidR="00E60F1B" w:rsidRDefault="00E60F1B" w:rsidP="00E60F1B">
      <w:pPr>
        <w:pStyle w:val="ListParagraph"/>
        <w:numPr>
          <w:ilvl w:val="0"/>
          <w:numId w:val="1"/>
        </w:numPr>
      </w:pPr>
      <w:r>
        <w:t>Focus Group Recruitment Script (Revised)</w:t>
      </w:r>
    </w:p>
    <w:p w14:paraId="692A178F" w14:textId="485667FE" w:rsidR="00E60F1B" w:rsidRDefault="00E60F1B" w:rsidP="00E60F1B">
      <w:pPr>
        <w:pStyle w:val="ListParagraph"/>
        <w:numPr>
          <w:ilvl w:val="0"/>
          <w:numId w:val="1"/>
        </w:numPr>
      </w:pPr>
      <w:r>
        <w:t>Focus Group Moderator’s Guide (Revised)</w:t>
      </w:r>
    </w:p>
    <w:p w14:paraId="35E05B8F" w14:textId="1CBCD276" w:rsidR="00E60F1B" w:rsidRDefault="00E60F1B" w:rsidP="00E60F1B">
      <w:pPr>
        <w:pStyle w:val="ListParagraph"/>
        <w:numPr>
          <w:ilvl w:val="0"/>
          <w:numId w:val="1"/>
        </w:numPr>
      </w:pPr>
      <w:r>
        <w:t>Informational Interview Protocol (Revised)</w:t>
      </w:r>
    </w:p>
    <w:p w14:paraId="0C311D4D" w14:textId="5335768C" w:rsidR="00E60F1B" w:rsidRDefault="00E60F1B" w:rsidP="00E60F1B">
      <w:pPr>
        <w:pStyle w:val="ListParagraph"/>
        <w:numPr>
          <w:ilvl w:val="0"/>
          <w:numId w:val="1"/>
        </w:numPr>
      </w:pPr>
      <w:r>
        <w:t>Focus Group Recruitment Script Crosswalk (Revised)</w:t>
      </w:r>
    </w:p>
    <w:p w14:paraId="533DDA3B" w14:textId="64614381" w:rsidR="00E60F1B" w:rsidRDefault="00E60F1B" w:rsidP="00E60F1B">
      <w:pPr>
        <w:pStyle w:val="ListParagraph"/>
        <w:numPr>
          <w:ilvl w:val="0"/>
          <w:numId w:val="1"/>
        </w:numPr>
      </w:pPr>
      <w:r>
        <w:t>Focus Group Moderator’s Guide Crosswalk (Revised)</w:t>
      </w:r>
    </w:p>
    <w:p w14:paraId="06E9D950" w14:textId="46C1CBF2" w:rsidR="00E60F1B" w:rsidRDefault="00E60F1B" w:rsidP="00E60F1B">
      <w:pPr>
        <w:pStyle w:val="ListParagraph"/>
        <w:numPr>
          <w:ilvl w:val="0"/>
          <w:numId w:val="1"/>
        </w:numPr>
      </w:pPr>
      <w:r>
        <w:t>Focus Group Informed Consent Crosswalk (Revised)</w:t>
      </w:r>
    </w:p>
    <w:p w14:paraId="13B9D5CA" w14:textId="368CE2EC" w:rsidR="00D62DE8" w:rsidRPr="00EA32D6" w:rsidRDefault="00D62DE8" w:rsidP="00E60F1B">
      <w:pPr>
        <w:pStyle w:val="ListParagraph"/>
        <w:numPr>
          <w:ilvl w:val="0"/>
          <w:numId w:val="1"/>
        </w:numPr>
      </w:pPr>
      <w:r w:rsidRPr="00EA32D6">
        <w:t>Informational Interview Protocol Crosswalk</w:t>
      </w:r>
      <w:r w:rsidR="00EA32D6" w:rsidRPr="00FC1C51">
        <w:t xml:space="preserve"> (Revised)</w:t>
      </w:r>
    </w:p>
    <w:p w14:paraId="482241C1" w14:textId="74976EAC" w:rsidR="00E60F1B" w:rsidRDefault="00E60F1B" w:rsidP="00E60F1B"/>
    <w:p w14:paraId="707DBB1C" w14:textId="0710EB43" w:rsidR="00E60F1B" w:rsidRDefault="00E60F1B" w:rsidP="00E60F1B">
      <w:r>
        <w:t>All revised documents are provided in versions with tracked changes and a clean Word document in which all tracked changes have been accepted.</w:t>
      </w:r>
    </w:p>
    <w:p w14:paraId="159008C5" w14:textId="77777777" w:rsidR="00E60F1B" w:rsidRDefault="00E60F1B" w:rsidP="00E60F1B">
      <w:pPr>
        <w:pStyle w:val="ListParagraph"/>
      </w:pPr>
    </w:p>
    <w:p w14:paraId="3759D2BB" w14:textId="3C4E2C9B" w:rsidR="00760DCF" w:rsidRDefault="00760DCF"/>
    <w:sectPr w:rsidR="00760DCF">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23BAB8" w14:textId="77777777" w:rsidR="007A298F" w:rsidRDefault="007A298F" w:rsidP="007B5E1B">
      <w:r>
        <w:separator/>
      </w:r>
    </w:p>
  </w:endnote>
  <w:endnote w:type="continuationSeparator" w:id="0">
    <w:p w14:paraId="7C128A34" w14:textId="77777777" w:rsidR="007A298F" w:rsidRDefault="007A298F" w:rsidP="007B5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8526018"/>
      <w:docPartObj>
        <w:docPartGallery w:val="Page Numbers (Bottom of Page)"/>
        <w:docPartUnique/>
      </w:docPartObj>
    </w:sdtPr>
    <w:sdtEndPr>
      <w:rPr>
        <w:noProof/>
      </w:rPr>
    </w:sdtEndPr>
    <w:sdtContent>
      <w:p w14:paraId="3697D611" w14:textId="37B864FA" w:rsidR="007B5E1B" w:rsidRDefault="007B5E1B">
        <w:pPr>
          <w:pStyle w:val="Footer"/>
          <w:jc w:val="right"/>
        </w:pPr>
        <w:r>
          <w:fldChar w:fldCharType="begin"/>
        </w:r>
        <w:r>
          <w:instrText xml:space="preserve"> PAGE   \* MERGEFORMAT </w:instrText>
        </w:r>
        <w:r>
          <w:fldChar w:fldCharType="separate"/>
        </w:r>
        <w:r w:rsidR="0090298E">
          <w:rPr>
            <w:noProof/>
          </w:rPr>
          <w:t>1</w:t>
        </w:r>
        <w:r>
          <w:rPr>
            <w:noProof/>
          </w:rPr>
          <w:fldChar w:fldCharType="end"/>
        </w:r>
      </w:p>
    </w:sdtContent>
  </w:sdt>
  <w:p w14:paraId="2AE28666" w14:textId="77777777" w:rsidR="007B5E1B" w:rsidRDefault="007B5E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0FF2EC" w14:textId="77777777" w:rsidR="007A298F" w:rsidRDefault="007A298F" w:rsidP="007B5E1B">
      <w:r>
        <w:separator/>
      </w:r>
    </w:p>
  </w:footnote>
  <w:footnote w:type="continuationSeparator" w:id="0">
    <w:p w14:paraId="7B84E9AC" w14:textId="77777777" w:rsidR="007A298F" w:rsidRDefault="007A298F" w:rsidP="007B5E1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714F"/>
    <w:multiLevelType w:val="hybridMultilevel"/>
    <w:tmpl w:val="E154CF8C"/>
    <w:lvl w:ilvl="0" w:tplc="454CF5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DD548B"/>
    <w:multiLevelType w:val="hybridMultilevel"/>
    <w:tmpl w:val="AA6EBA08"/>
    <w:lvl w:ilvl="0" w:tplc="87901E16">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nsid w:val="36EB0A91"/>
    <w:multiLevelType w:val="hybridMultilevel"/>
    <w:tmpl w:val="FC74B2D4"/>
    <w:lvl w:ilvl="0" w:tplc="454CF566">
      <w:numFmt w:val="bullet"/>
      <w:lvlText w:val="-"/>
      <w:lvlJc w:val="left"/>
      <w:pPr>
        <w:ind w:left="864" w:hanging="360"/>
      </w:pPr>
      <w:rPr>
        <w:rFonts w:ascii="Times New Roman" w:eastAsia="Times New Roman" w:hAnsi="Times New Roman"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480"/>
    <w:rsid w:val="00031535"/>
    <w:rsid w:val="00042B14"/>
    <w:rsid w:val="0009659B"/>
    <w:rsid w:val="000A15F3"/>
    <w:rsid w:val="000A2779"/>
    <w:rsid w:val="000B6116"/>
    <w:rsid w:val="000C7170"/>
    <w:rsid w:val="000D2C54"/>
    <w:rsid w:val="001776E6"/>
    <w:rsid w:val="00196BAC"/>
    <w:rsid w:val="001B684A"/>
    <w:rsid w:val="001D536A"/>
    <w:rsid w:val="00250480"/>
    <w:rsid w:val="0026093C"/>
    <w:rsid w:val="00292DCA"/>
    <w:rsid w:val="002D5AE6"/>
    <w:rsid w:val="00336A3F"/>
    <w:rsid w:val="0036337F"/>
    <w:rsid w:val="003674C9"/>
    <w:rsid w:val="00387844"/>
    <w:rsid w:val="003B5054"/>
    <w:rsid w:val="003C1A60"/>
    <w:rsid w:val="003E05F2"/>
    <w:rsid w:val="00406101"/>
    <w:rsid w:val="00426782"/>
    <w:rsid w:val="0043613F"/>
    <w:rsid w:val="00495D90"/>
    <w:rsid w:val="004B3EA3"/>
    <w:rsid w:val="004F7F4A"/>
    <w:rsid w:val="00520064"/>
    <w:rsid w:val="00566846"/>
    <w:rsid w:val="00575FAE"/>
    <w:rsid w:val="00596AAC"/>
    <w:rsid w:val="005B3BD1"/>
    <w:rsid w:val="005E31D0"/>
    <w:rsid w:val="005F10AB"/>
    <w:rsid w:val="006050A5"/>
    <w:rsid w:val="006310C4"/>
    <w:rsid w:val="00632601"/>
    <w:rsid w:val="00632B19"/>
    <w:rsid w:val="00666D3A"/>
    <w:rsid w:val="00667ECC"/>
    <w:rsid w:val="0067720B"/>
    <w:rsid w:val="0068013E"/>
    <w:rsid w:val="0068434B"/>
    <w:rsid w:val="006C1EB7"/>
    <w:rsid w:val="006C5AFE"/>
    <w:rsid w:val="006D24B1"/>
    <w:rsid w:val="007132D5"/>
    <w:rsid w:val="00760DCF"/>
    <w:rsid w:val="00773016"/>
    <w:rsid w:val="007A298F"/>
    <w:rsid w:val="007A2D85"/>
    <w:rsid w:val="007B5E1B"/>
    <w:rsid w:val="007C0E21"/>
    <w:rsid w:val="007F4074"/>
    <w:rsid w:val="007F56FB"/>
    <w:rsid w:val="007F6A5B"/>
    <w:rsid w:val="0081160A"/>
    <w:rsid w:val="00821377"/>
    <w:rsid w:val="00850A91"/>
    <w:rsid w:val="00892382"/>
    <w:rsid w:val="008C6CEE"/>
    <w:rsid w:val="0090298E"/>
    <w:rsid w:val="009277FC"/>
    <w:rsid w:val="00933BDF"/>
    <w:rsid w:val="00937970"/>
    <w:rsid w:val="0097510B"/>
    <w:rsid w:val="009838BC"/>
    <w:rsid w:val="009B3A9F"/>
    <w:rsid w:val="009E652E"/>
    <w:rsid w:val="00A0127B"/>
    <w:rsid w:val="00A1292A"/>
    <w:rsid w:val="00A44077"/>
    <w:rsid w:val="00A86472"/>
    <w:rsid w:val="00A947AF"/>
    <w:rsid w:val="00AA7CA2"/>
    <w:rsid w:val="00AB79BE"/>
    <w:rsid w:val="00AF5E79"/>
    <w:rsid w:val="00AF6055"/>
    <w:rsid w:val="00B17D31"/>
    <w:rsid w:val="00B83C26"/>
    <w:rsid w:val="00B910D1"/>
    <w:rsid w:val="00BB06E4"/>
    <w:rsid w:val="00BC5E8F"/>
    <w:rsid w:val="00BC629D"/>
    <w:rsid w:val="00BD75B4"/>
    <w:rsid w:val="00C03716"/>
    <w:rsid w:val="00C14120"/>
    <w:rsid w:val="00C2582B"/>
    <w:rsid w:val="00C860F8"/>
    <w:rsid w:val="00CB0482"/>
    <w:rsid w:val="00CC1D40"/>
    <w:rsid w:val="00CE014E"/>
    <w:rsid w:val="00CF7839"/>
    <w:rsid w:val="00D20602"/>
    <w:rsid w:val="00D26A2B"/>
    <w:rsid w:val="00D62A65"/>
    <w:rsid w:val="00D62DE8"/>
    <w:rsid w:val="00D72950"/>
    <w:rsid w:val="00D84989"/>
    <w:rsid w:val="00D87664"/>
    <w:rsid w:val="00DB5289"/>
    <w:rsid w:val="00DC7F37"/>
    <w:rsid w:val="00DF5FD4"/>
    <w:rsid w:val="00E077E2"/>
    <w:rsid w:val="00E10593"/>
    <w:rsid w:val="00E27E81"/>
    <w:rsid w:val="00E446FF"/>
    <w:rsid w:val="00E60F1B"/>
    <w:rsid w:val="00E807E5"/>
    <w:rsid w:val="00E86B5A"/>
    <w:rsid w:val="00EA32D6"/>
    <w:rsid w:val="00EB38D8"/>
    <w:rsid w:val="00EB7EC7"/>
    <w:rsid w:val="00F07FE5"/>
    <w:rsid w:val="00F64FCD"/>
    <w:rsid w:val="00F953CC"/>
    <w:rsid w:val="00FC1C51"/>
    <w:rsid w:val="00FC5E9C"/>
    <w:rsid w:val="00FC5EF4"/>
    <w:rsid w:val="00FD650C"/>
    <w:rsid w:val="00FE4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18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48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31535"/>
    <w:rPr>
      <w:sz w:val="16"/>
      <w:szCs w:val="16"/>
    </w:rPr>
  </w:style>
  <w:style w:type="paragraph" w:styleId="CommentText">
    <w:name w:val="annotation text"/>
    <w:basedOn w:val="Normal"/>
    <w:link w:val="CommentTextChar"/>
    <w:uiPriority w:val="99"/>
    <w:semiHidden/>
    <w:unhideWhenUsed/>
    <w:rsid w:val="00031535"/>
    <w:rPr>
      <w:sz w:val="20"/>
    </w:rPr>
  </w:style>
  <w:style w:type="character" w:customStyle="1" w:styleId="CommentTextChar">
    <w:name w:val="Comment Text Char"/>
    <w:basedOn w:val="DefaultParagraphFont"/>
    <w:link w:val="CommentText"/>
    <w:uiPriority w:val="99"/>
    <w:semiHidden/>
    <w:rsid w:val="000315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1535"/>
    <w:rPr>
      <w:b/>
      <w:bCs/>
    </w:rPr>
  </w:style>
  <w:style w:type="character" w:customStyle="1" w:styleId="CommentSubjectChar">
    <w:name w:val="Comment Subject Char"/>
    <w:basedOn w:val="CommentTextChar"/>
    <w:link w:val="CommentSubject"/>
    <w:uiPriority w:val="99"/>
    <w:semiHidden/>
    <w:rsid w:val="0003153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315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535"/>
    <w:rPr>
      <w:rFonts w:ascii="Segoe UI" w:eastAsia="Times New Roman" w:hAnsi="Segoe UI" w:cs="Segoe UI"/>
      <w:sz w:val="18"/>
      <w:szCs w:val="18"/>
    </w:rPr>
  </w:style>
  <w:style w:type="paragraph" w:styleId="ListParagraph">
    <w:name w:val="List Paragraph"/>
    <w:basedOn w:val="Normal"/>
    <w:uiPriority w:val="34"/>
    <w:qFormat/>
    <w:rsid w:val="003E05F2"/>
    <w:pPr>
      <w:ind w:left="720"/>
      <w:contextualSpacing/>
    </w:pPr>
  </w:style>
  <w:style w:type="paragraph" w:styleId="Header">
    <w:name w:val="header"/>
    <w:basedOn w:val="Normal"/>
    <w:link w:val="HeaderChar"/>
    <w:uiPriority w:val="99"/>
    <w:unhideWhenUsed/>
    <w:rsid w:val="007B5E1B"/>
    <w:pPr>
      <w:tabs>
        <w:tab w:val="center" w:pos="4680"/>
        <w:tab w:val="right" w:pos="9360"/>
      </w:tabs>
    </w:pPr>
  </w:style>
  <w:style w:type="character" w:customStyle="1" w:styleId="HeaderChar">
    <w:name w:val="Header Char"/>
    <w:basedOn w:val="DefaultParagraphFont"/>
    <w:link w:val="Header"/>
    <w:uiPriority w:val="99"/>
    <w:rsid w:val="007B5E1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B5E1B"/>
    <w:pPr>
      <w:tabs>
        <w:tab w:val="center" w:pos="4680"/>
        <w:tab w:val="right" w:pos="9360"/>
      </w:tabs>
    </w:pPr>
  </w:style>
  <w:style w:type="character" w:customStyle="1" w:styleId="FooterChar">
    <w:name w:val="Footer Char"/>
    <w:basedOn w:val="DefaultParagraphFont"/>
    <w:link w:val="Footer"/>
    <w:uiPriority w:val="99"/>
    <w:rsid w:val="007B5E1B"/>
    <w:rPr>
      <w:rFonts w:ascii="Times New Roman" w:eastAsia="Times New Roman" w:hAnsi="Times New Roman" w:cs="Times New Roman"/>
      <w:sz w:val="24"/>
      <w:szCs w:val="20"/>
    </w:rPr>
  </w:style>
  <w:style w:type="paragraph" w:styleId="Revision">
    <w:name w:val="Revision"/>
    <w:hidden/>
    <w:uiPriority w:val="99"/>
    <w:semiHidden/>
    <w:rsid w:val="00937970"/>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nhideWhenUsed/>
    <w:rsid w:val="000A15F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0480"/>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31535"/>
    <w:rPr>
      <w:sz w:val="16"/>
      <w:szCs w:val="16"/>
    </w:rPr>
  </w:style>
  <w:style w:type="paragraph" w:styleId="CommentText">
    <w:name w:val="annotation text"/>
    <w:basedOn w:val="Normal"/>
    <w:link w:val="CommentTextChar"/>
    <w:uiPriority w:val="99"/>
    <w:semiHidden/>
    <w:unhideWhenUsed/>
    <w:rsid w:val="00031535"/>
    <w:rPr>
      <w:sz w:val="20"/>
    </w:rPr>
  </w:style>
  <w:style w:type="character" w:customStyle="1" w:styleId="CommentTextChar">
    <w:name w:val="Comment Text Char"/>
    <w:basedOn w:val="DefaultParagraphFont"/>
    <w:link w:val="CommentText"/>
    <w:uiPriority w:val="99"/>
    <w:semiHidden/>
    <w:rsid w:val="000315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31535"/>
    <w:rPr>
      <w:b/>
      <w:bCs/>
    </w:rPr>
  </w:style>
  <w:style w:type="character" w:customStyle="1" w:styleId="CommentSubjectChar">
    <w:name w:val="Comment Subject Char"/>
    <w:basedOn w:val="CommentTextChar"/>
    <w:link w:val="CommentSubject"/>
    <w:uiPriority w:val="99"/>
    <w:semiHidden/>
    <w:rsid w:val="0003153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315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535"/>
    <w:rPr>
      <w:rFonts w:ascii="Segoe UI" w:eastAsia="Times New Roman" w:hAnsi="Segoe UI" w:cs="Segoe UI"/>
      <w:sz w:val="18"/>
      <w:szCs w:val="18"/>
    </w:rPr>
  </w:style>
  <w:style w:type="paragraph" w:styleId="ListParagraph">
    <w:name w:val="List Paragraph"/>
    <w:basedOn w:val="Normal"/>
    <w:uiPriority w:val="34"/>
    <w:qFormat/>
    <w:rsid w:val="003E05F2"/>
    <w:pPr>
      <w:ind w:left="720"/>
      <w:contextualSpacing/>
    </w:pPr>
  </w:style>
  <w:style w:type="paragraph" w:styleId="Header">
    <w:name w:val="header"/>
    <w:basedOn w:val="Normal"/>
    <w:link w:val="HeaderChar"/>
    <w:uiPriority w:val="99"/>
    <w:unhideWhenUsed/>
    <w:rsid w:val="007B5E1B"/>
    <w:pPr>
      <w:tabs>
        <w:tab w:val="center" w:pos="4680"/>
        <w:tab w:val="right" w:pos="9360"/>
      </w:tabs>
    </w:pPr>
  </w:style>
  <w:style w:type="character" w:customStyle="1" w:styleId="HeaderChar">
    <w:name w:val="Header Char"/>
    <w:basedOn w:val="DefaultParagraphFont"/>
    <w:link w:val="Header"/>
    <w:uiPriority w:val="99"/>
    <w:rsid w:val="007B5E1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B5E1B"/>
    <w:pPr>
      <w:tabs>
        <w:tab w:val="center" w:pos="4680"/>
        <w:tab w:val="right" w:pos="9360"/>
      </w:tabs>
    </w:pPr>
  </w:style>
  <w:style w:type="character" w:customStyle="1" w:styleId="FooterChar">
    <w:name w:val="Footer Char"/>
    <w:basedOn w:val="DefaultParagraphFont"/>
    <w:link w:val="Footer"/>
    <w:uiPriority w:val="99"/>
    <w:rsid w:val="007B5E1B"/>
    <w:rPr>
      <w:rFonts w:ascii="Times New Roman" w:eastAsia="Times New Roman" w:hAnsi="Times New Roman" w:cs="Times New Roman"/>
      <w:sz w:val="24"/>
      <w:szCs w:val="20"/>
    </w:rPr>
  </w:style>
  <w:style w:type="paragraph" w:styleId="Revision">
    <w:name w:val="Revision"/>
    <w:hidden/>
    <w:uiPriority w:val="99"/>
    <w:semiHidden/>
    <w:rsid w:val="00937970"/>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nhideWhenUsed/>
    <w:rsid w:val="000A15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bls.gov/oes/current/oes_i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C018143DA3EE40A4AE04DE1A32ABDE" ma:contentTypeVersion="0" ma:contentTypeDescription="Create a new document." ma:contentTypeScope="" ma:versionID="5cd20d1e393cd72db2dabbacbbba726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A82464-086C-4486-BA56-25FA40AA1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B5B6186-77DD-4F07-8C13-BD93119ED5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51C699-A67B-471D-98E3-5C6C56362A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5620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GERSHMAN</dc:creator>
  <cp:keywords/>
  <dc:description/>
  <cp:lastModifiedBy>SYSTEM</cp:lastModifiedBy>
  <cp:revision>2</cp:revision>
  <cp:lastPrinted>2017-04-19T17:46:00Z</cp:lastPrinted>
  <dcterms:created xsi:type="dcterms:W3CDTF">2018-03-30T20:46:00Z</dcterms:created>
  <dcterms:modified xsi:type="dcterms:W3CDTF">2018-03-30T20:46:00Z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-1571834213</vt:i4>
  </property>
  <property fmtid="{D5CDD505-2E9C-101B-9397-08002B2CF9AE}" pid="3" name="_NewReviewCycle">
    <vt:lpwstr/>
  </property>
  <property fmtid="{D5CDD505-2E9C-101B-9397-08002B2CF9AE}" pid="4" name="_EmailSubject">
    <vt:lpwstr>CORRECTION: RE: Action Needed ASAP &gt; RE: OMB Follow Up &gt; RE: Actions Needed &gt; RE: Indiana PRA Issue (CMS-10615, OMB 0938-1300)</vt:lpwstr>
  </property>
  <property fmtid="{D5CDD505-2E9C-101B-9397-08002B2CF9AE}" pid="5" name="_AuthorEmail">
    <vt:lpwstr>Serge.King@cms.hhs.gov</vt:lpwstr>
  </property>
  <property fmtid="{D5CDD505-2E9C-101B-9397-08002B2CF9AE}" pid="6" name="_AuthorEmailDisplayName">
    <vt:lpwstr>King, Serge A. (CMS/CMCS)</vt:lpwstr>
  </property>
  <property fmtid="{D5CDD505-2E9C-101B-9397-08002B2CF9AE}" pid="7" name="_PreviousAdHocReviewCycleID">
    <vt:i4>-1040541050</vt:i4>
  </property>
  <property fmtid="{D5CDD505-2E9C-101B-9397-08002B2CF9AE}" pid="8" name="ContentTypeId">
    <vt:lpwstr>0x0101003EC018143DA3EE40A4AE04DE1A32ABDE</vt:lpwstr>
  </property>
  <property fmtid="{D5CDD505-2E9C-101B-9397-08002B2CF9AE}" pid="9" name="_ReviewingToolsShownOnce">
    <vt:lpwstr/>
  </property>
</Properties>
</file>