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topFromText="374" w:vertAnchor="text" w:horzAnchor="margin" w:tblpY="217"/>
        <w:tblOverlap w:val="neve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28"/>
        <w:gridCol w:w="1440"/>
        <w:gridCol w:w="2880"/>
        <w:gridCol w:w="7488"/>
        <w:gridCol w:w="288"/>
      </w:tblGrid>
      <w:tr w:rsidR="004A3A88" w:rsidRPr="00D302D3" w14:paraId="3D68A6F2" w14:textId="77777777" w:rsidTr="00E612B0">
        <w:trPr>
          <w:gridAfter w:val="1"/>
          <w:wAfter w:w="288" w:type="dxa"/>
          <w:cantSplit/>
          <w:tblHeader/>
        </w:trPr>
        <w:tc>
          <w:tcPr>
            <w:tcW w:w="1728" w:type="dxa"/>
            <w:shd w:val="pct10" w:color="auto" w:fill="FFFFFF"/>
          </w:tcPr>
          <w:p w14:paraId="57D783BB" w14:textId="77777777" w:rsidR="004A3A88" w:rsidRPr="00D302D3" w:rsidRDefault="004A3A88" w:rsidP="0018347A">
            <w:pPr>
              <w:rPr>
                <w:rFonts w:asciiTheme="minorHAnsi" w:hAnsiTheme="minorHAnsi"/>
                <w:b/>
                <w:sz w:val="22"/>
                <w:szCs w:val="22"/>
              </w:rPr>
            </w:pPr>
            <w:bookmarkStart w:id="0" w:name="_GoBack"/>
            <w:bookmarkEnd w:id="0"/>
            <w:r w:rsidRPr="00D302D3">
              <w:rPr>
                <w:rFonts w:asciiTheme="minorHAnsi" w:hAnsiTheme="minorHAnsi"/>
                <w:b/>
                <w:sz w:val="22"/>
                <w:szCs w:val="22"/>
              </w:rPr>
              <w:t xml:space="preserve">Domain </w:t>
            </w:r>
          </w:p>
        </w:tc>
        <w:tc>
          <w:tcPr>
            <w:tcW w:w="1440" w:type="dxa"/>
            <w:shd w:val="pct10" w:color="auto" w:fill="FFFFFF"/>
          </w:tcPr>
          <w:p w14:paraId="01E590A1" w14:textId="77777777" w:rsidR="004A3A88" w:rsidRPr="00D302D3" w:rsidRDefault="004A3A88" w:rsidP="0018347A">
            <w:pPr>
              <w:pStyle w:val="Header"/>
              <w:keepNext/>
              <w:tabs>
                <w:tab w:val="left" w:pos="720"/>
              </w:tabs>
              <w:spacing w:after="40"/>
              <w:jc w:val="center"/>
              <w:rPr>
                <w:rFonts w:asciiTheme="minorHAnsi" w:hAnsiTheme="minorHAnsi"/>
                <w:b/>
                <w:sz w:val="22"/>
                <w:szCs w:val="22"/>
              </w:rPr>
            </w:pPr>
            <w:r>
              <w:rPr>
                <w:rFonts w:asciiTheme="minorHAnsi" w:hAnsiTheme="minorHAnsi"/>
                <w:b/>
                <w:sz w:val="22"/>
                <w:szCs w:val="22"/>
              </w:rPr>
              <w:t>Subdomain</w:t>
            </w:r>
          </w:p>
        </w:tc>
        <w:tc>
          <w:tcPr>
            <w:tcW w:w="2880" w:type="dxa"/>
            <w:shd w:val="pct10" w:color="auto" w:fill="FFFFFF"/>
            <w:hideMark/>
          </w:tcPr>
          <w:p w14:paraId="5EEA0EFC" w14:textId="77777777" w:rsidR="004A3A88" w:rsidRPr="00D302D3" w:rsidRDefault="004A3A88" w:rsidP="0018347A">
            <w:pPr>
              <w:pStyle w:val="Header"/>
              <w:keepNext/>
              <w:tabs>
                <w:tab w:val="left" w:pos="720"/>
              </w:tabs>
              <w:spacing w:after="40"/>
              <w:jc w:val="center"/>
              <w:rPr>
                <w:rFonts w:asciiTheme="minorHAnsi" w:hAnsiTheme="minorHAnsi"/>
                <w:b/>
                <w:sz w:val="22"/>
                <w:szCs w:val="22"/>
              </w:rPr>
            </w:pPr>
            <w:r w:rsidRPr="00D302D3">
              <w:rPr>
                <w:rFonts w:asciiTheme="minorHAnsi" w:hAnsiTheme="minorHAnsi"/>
                <w:b/>
                <w:sz w:val="22"/>
                <w:szCs w:val="22"/>
              </w:rPr>
              <w:t>Questions</w:t>
            </w:r>
          </w:p>
        </w:tc>
        <w:tc>
          <w:tcPr>
            <w:tcW w:w="7488" w:type="dxa"/>
            <w:shd w:val="pct10" w:color="auto" w:fill="FFFFFF"/>
          </w:tcPr>
          <w:p w14:paraId="544DB09D" w14:textId="77777777" w:rsidR="004A3A88" w:rsidRPr="00D302D3" w:rsidRDefault="004A3A88" w:rsidP="0018347A">
            <w:pPr>
              <w:keepNext/>
              <w:spacing w:after="40"/>
              <w:jc w:val="center"/>
              <w:rPr>
                <w:rFonts w:asciiTheme="minorHAnsi" w:hAnsiTheme="minorHAnsi"/>
                <w:b/>
                <w:sz w:val="22"/>
                <w:szCs w:val="22"/>
              </w:rPr>
            </w:pPr>
            <w:r>
              <w:rPr>
                <w:rFonts w:asciiTheme="minorHAnsi" w:hAnsiTheme="minorHAnsi"/>
                <w:b/>
                <w:sz w:val="22"/>
                <w:szCs w:val="22"/>
              </w:rPr>
              <w:t>Reason</w:t>
            </w:r>
            <w:r w:rsidRPr="00D302D3">
              <w:rPr>
                <w:rFonts w:asciiTheme="minorHAnsi" w:hAnsiTheme="minorHAnsi"/>
                <w:b/>
                <w:sz w:val="22"/>
                <w:szCs w:val="22"/>
              </w:rPr>
              <w:t xml:space="preserve"> for Inclusion</w:t>
            </w:r>
            <w:r>
              <w:rPr>
                <w:rFonts w:asciiTheme="minorHAnsi" w:hAnsiTheme="minorHAnsi"/>
                <w:b/>
                <w:sz w:val="22"/>
                <w:szCs w:val="22"/>
              </w:rPr>
              <w:t xml:space="preserve"> &amp; Example References</w:t>
            </w:r>
          </w:p>
        </w:tc>
      </w:tr>
      <w:tr w:rsidR="004A3A88" w:rsidRPr="00D302D3" w14:paraId="32D539BE" w14:textId="77777777" w:rsidTr="00E612B0">
        <w:trPr>
          <w:gridAfter w:val="1"/>
          <w:wAfter w:w="288" w:type="dxa"/>
          <w:cantSplit/>
        </w:trPr>
        <w:tc>
          <w:tcPr>
            <w:tcW w:w="1728" w:type="dxa"/>
            <w:vAlign w:val="center"/>
          </w:tcPr>
          <w:p w14:paraId="72D97976" w14:textId="77777777" w:rsidR="004A3A88" w:rsidRPr="00BD5BA3" w:rsidRDefault="004A3A88" w:rsidP="00F56DC1">
            <w:pPr>
              <w:keepNext/>
              <w:keepLine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Demographics</w:t>
            </w:r>
          </w:p>
        </w:tc>
        <w:tc>
          <w:tcPr>
            <w:tcW w:w="1440" w:type="dxa"/>
            <w:vAlign w:val="center"/>
          </w:tcPr>
          <w:p w14:paraId="1C15A51F" w14:textId="77777777" w:rsidR="004A3A88" w:rsidRDefault="004A3A88" w:rsidP="00F56DC1">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vAlign w:val="center"/>
          </w:tcPr>
          <w:p w14:paraId="056C567B"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Page1</w:t>
            </w:r>
          </w:p>
          <w:p w14:paraId="283E5359"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Questions: 1 – 12</w:t>
            </w:r>
          </w:p>
        </w:tc>
        <w:tc>
          <w:tcPr>
            <w:tcW w:w="7488" w:type="dxa"/>
          </w:tcPr>
          <w:p w14:paraId="7A104CAE" w14:textId="77777777" w:rsidR="004A3A88" w:rsidRDefault="004A3A88" w:rsidP="00F56DC1">
            <w:pPr>
              <w:keepNext/>
              <w:keepLines/>
              <w:rPr>
                <w:rFonts w:asciiTheme="minorHAnsi" w:hAnsiTheme="minorHAnsi"/>
                <w:sz w:val="22"/>
                <w:szCs w:val="22"/>
              </w:rPr>
            </w:pPr>
            <w:r>
              <w:rPr>
                <w:rFonts w:asciiTheme="minorHAnsi" w:hAnsiTheme="minorHAnsi"/>
                <w:sz w:val="22"/>
                <w:szCs w:val="22"/>
              </w:rPr>
              <w:t xml:space="preserve">Demographics information is necessary to describe the sample collected as well as potential differentiating characteristics among perpetrators. For example, certain typologies of perpetrators may be more likely to be male or to be younger.  </w:t>
            </w:r>
          </w:p>
          <w:p w14:paraId="5E5A96C3" w14:textId="77777777" w:rsidR="004A3A88" w:rsidRDefault="004A3A88" w:rsidP="00F56DC1">
            <w:pPr>
              <w:keepNext/>
              <w:keepLines/>
              <w:rPr>
                <w:rFonts w:asciiTheme="minorHAnsi" w:hAnsiTheme="minorHAnsi"/>
                <w:sz w:val="22"/>
                <w:szCs w:val="22"/>
              </w:rPr>
            </w:pPr>
          </w:p>
          <w:p w14:paraId="545691E0" w14:textId="77777777" w:rsidR="004A3A88" w:rsidRPr="00C77B22" w:rsidRDefault="004A3A88" w:rsidP="00F56DC1">
            <w:pPr>
              <w:keepNext/>
              <w:keepLines/>
              <w:rPr>
                <w:rFonts w:asciiTheme="minorHAnsi" w:hAnsiTheme="minorHAnsi"/>
                <w:sz w:val="22"/>
                <w:szCs w:val="22"/>
              </w:rPr>
            </w:pPr>
            <w:r>
              <w:rPr>
                <w:rFonts w:asciiTheme="minorHAnsi" w:hAnsiTheme="minorHAnsi"/>
                <w:sz w:val="22"/>
                <w:szCs w:val="22"/>
              </w:rPr>
              <w:t>Johnson (2011)</w:t>
            </w:r>
          </w:p>
        </w:tc>
      </w:tr>
      <w:tr w:rsidR="004A3A88" w:rsidRPr="00D302D3" w14:paraId="0368D61E" w14:textId="77777777" w:rsidTr="00E612B0">
        <w:trPr>
          <w:gridAfter w:val="1"/>
          <w:wAfter w:w="288" w:type="dxa"/>
          <w:cantSplit/>
        </w:trPr>
        <w:tc>
          <w:tcPr>
            <w:tcW w:w="1728" w:type="dxa"/>
            <w:vMerge w:val="restart"/>
            <w:vAlign w:val="center"/>
          </w:tcPr>
          <w:p w14:paraId="3915023E" w14:textId="77777777" w:rsidR="004A3A88" w:rsidRPr="00BD5BA3" w:rsidRDefault="004A3A88" w:rsidP="00F56DC1">
            <w:pPr>
              <w:keepNext/>
              <w:keepLines/>
              <w:rPr>
                <w:rFonts w:asciiTheme="minorHAnsi" w:hAnsiTheme="minorHAnsi" w:cstheme="minorHAnsi"/>
                <w:b/>
                <w:sz w:val="22"/>
                <w:szCs w:val="22"/>
              </w:rPr>
            </w:pPr>
            <w:r w:rsidRPr="00BD5BA3">
              <w:rPr>
                <w:rFonts w:asciiTheme="minorHAnsi" w:hAnsiTheme="minorHAnsi" w:cstheme="minorHAnsi"/>
                <w:b/>
                <w:color w:val="000000" w:themeColor="text1"/>
                <w:sz w:val="22"/>
                <w:szCs w:val="22"/>
              </w:rPr>
              <w:t>Stress and Emotional Regulation Skills</w:t>
            </w:r>
          </w:p>
        </w:tc>
        <w:tc>
          <w:tcPr>
            <w:tcW w:w="1440" w:type="dxa"/>
            <w:vAlign w:val="center"/>
          </w:tcPr>
          <w:p w14:paraId="7603E4A7" w14:textId="77777777" w:rsidR="004A3A88" w:rsidRPr="00D302D3" w:rsidRDefault="004A3A88" w:rsidP="00F56DC1">
            <w:pPr>
              <w:keepNext/>
              <w:keepLines/>
              <w:rPr>
                <w:rFonts w:asciiTheme="minorHAnsi" w:hAnsiTheme="minorHAnsi" w:cstheme="minorHAnsi"/>
                <w:bCs/>
                <w:sz w:val="22"/>
                <w:szCs w:val="22"/>
              </w:rPr>
            </w:pPr>
            <w:r>
              <w:rPr>
                <w:rFonts w:asciiTheme="minorHAnsi" w:hAnsiTheme="minorHAnsi" w:cstheme="minorHAnsi"/>
                <w:bCs/>
                <w:sz w:val="22"/>
                <w:szCs w:val="22"/>
              </w:rPr>
              <w:t>Stress</w:t>
            </w:r>
          </w:p>
        </w:tc>
        <w:tc>
          <w:tcPr>
            <w:tcW w:w="2880" w:type="dxa"/>
            <w:vAlign w:val="center"/>
            <w:hideMark/>
          </w:tcPr>
          <w:p w14:paraId="0E67DC99"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3</w:t>
            </w:r>
          </w:p>
          <w:p w14:paraId="41868BDC"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13a – d </w:t>
            </w:r>
            <w:r w:rsidRPr="00D302D3">
              <w:rPr>
                <w:rFonts w:asciiTheme="minorHAnsi" w:hAnsiTheme="minorHAnsi" w:cstheme="minorHAnsi"/>
                <w:bCs/>
                <w:sz w:val="22"/>
                <w:szCs w:val="22"/>
              </w:rPr>
              <w:t xml:space="preserve"> </w:t>
            </w:r>
          </w:p>
          <w:p w14:paraId="61B04C30" w14:textId="77777777" w:rsidR="004A3A88" w:rsidRDefault="004A3A88" w:rsidP="00D76D0B">
            <w:pPr>
              <w:keepNext/>
              <w:keepLines/>
              <w:rPr>
                <w:rFonts w:asciiTheme="minorHAnsi" w:hAnsiTheme="minorHAnsi" w:cstheme="minorHAnsi"/>
                <w:bCs/>
                <w:sz w:val="22"/>
                <w:szCs w:val="22"/>
              </w:rPr>
            </w:pPr>
          </w:p>
          <w:p w14:paraId="4367C267" w14:textId="77777777" w:rsidR="004A3A88" w:rsidRPr="00D302D3" w:rsidRDefault="004A3A88" w:rsidP="00D76D0B">
            <w:pPr>
              <w:keepNext/>
              <w:keepLines/>
              <w:rPr>
                <w:rFonts w:asciiTheme="minorHAnsi" w:hAnsiTheme="minorHAnsi" w:cstheme="minorHAnsi"/>
                <w:b/>
                <w:sz w:val="22"/>
                <w:szCs w:val="22"/>
              </w:rPr>
            </w:pPr>
          </w:p>
        </w:tc>
        <w:tc>
          <w:tcPr>
            <w:tcW w:w="7488" w:type="dxa"/>
          </w:tcPr>
          <w:p w14:paraId="7E99B1A5" w14:textId="77777777" w:rsidR="004A3A88" w:rsidRPr="00C77B22" w:rsidRDefault="004A3A88" w:rsidP="00F56DC1">
            <w:pPr>
              <w:keepNext/>
              <w:keepLines/>
              <w:rPr>
                <w:rFonts w:asciiTheme="minorHAnsi" w:hAnsiTheme="minorHAnsi"/>
                <w:sz w:val="22"/>
                <w:szCs w:val="22"/>
              </w:rPr>
            </w:pPr>
            <w:r w:rsidRPr="00C77B22">
              <w:rPr>
                <w:rFonts w:asciiTheme="minorHAnsi" w:hAnsiTheme="minorHAnsi"/>
                <w:sz w:val="22"/>
                <w:szCs w:val="22"/>
              </w:rPr>
              <w:t xml:space="preserve">Experiencing high global stress coupled with an increased sense of loss of agency in one’s life have been found to correlate to IPV perpetration. </w:t>
            </w:r>
          </w:p>
          <w:p w14:paraId="69410B0A" w14:textId="77777777" w:rsidR="004A3A88" w:rsidRPr="00D302D3" w:rsidRDefault="004A3A88" w:rsidP="00F56DC1">
            <w:pPr>
              <w:keepNext/>
              <w:keepLines/>
              <w:rPr>
                <w:rFonts w:asciiTheme="minorHAnsi" w:hAnsiTheme="minorHAnsi"/>
                <w:sz w:val="22"/>
                <w:szCs w:val="22"/>
              </w:rPr>
            </w:pPr>
          </w:p>
          <w:p w14:paraId="7F516176" w14:textId="77777777" w:rsidR="004A3A88" w:rsidRDefault="004A3A88" w:rsidP="00F56DC1">
            <w:pPr>
              <w:keepNext/>
              <w:keepLines/>
              <w:rPr>
                <w:rFonts w:asciiTheme="minorHAnsi" w:hAnsiTheme="minorHAnsi"/>
                <w:sz w:val="22"/>
                <w:szCs w:val="22"/>
              </w:rPr>
            </w:pPr>
            <w:r>
              <w:rPr>
                <w:rFonts w:asciiTheme="minorHAnsi" w:hAnsiTheme="minorHAnsi"/>
                <w:sz w:val="22"/>
                <w:szCs w:val="22"/>
              </w:rPr>
              <w:t xml:space="preserve">Ames et al. (2013); </w:t>
            </w:r>
          </w:p>
          <w:p w14:paraId="7014DC1B" w14:textId="77777777" w:rsidR="004A3A88" w:rsidRPr="00D302D3" w:rsidRDefault="004A3A88" w:rsidP="00F56DC1">
            <w:pPr>
              <w:keepNext/>
              <w:keepLines/>
              <w:rPr>
                <w:rFonts w:asciiTheme="minorHAnsi" w:hAnsiTheme="minorHAnsi"/>
                <w:sz w:val="22"/>
                <w:szCs w:val="22"/>
              </w:rPr>
            </w:pPr>
            <w:r>
              <w:rPr>
                <w:rFonts w:asciiTheme="minorHAnsi" w:hAnsiTheme="minorHAnsi"/>
                <w:sz w:val="22"/>
                <w:szCs w:val="22"/>
              </w:rPr>
              <w:t xml:space="preserve">Buzawa </w:t>
            </w:r>
            <w:r w:rsidRPr="001B3484">
              <w:rPr>
                <w:rFonts w:asciiTheme="minorHAnsi" w:hAnsiTheme="minorHAnsi"/>
                <w:sz w:val="22"/>
                <w:szCs w:val="22"/>
              </w:rPr>
              <w:t xml:space="preserve">&amp; Buzawa, </w:t>
            </w:r>
            <w:r>
              <w:rPr>
                <w:rFonts w:asciiTheme="minorHAnsi" w:hAnsiTheme="minorHAnsi"/>
                <w:sz w:val="22"/>
                <w:szCs w:val="22"/>
              </w:rPr>
              <w:t>(2013)</w:t>
            </w:r>
          </w:p>
        </w:tc>
      </w:tr>
      <w:tr w:rsidR="004A3A88" w:rsidRPr="00D302D3" w14:paraId="408459F7" w14:textId="77777777" w:rsidTr="00E612B0">
        <w:trPr>
          <w:gridAfter w:val="1"/>
          <w:wAfter w:w="288" w:type="dxa"/>
          <w:cantSplit/>
        </w:trPr>
        <w:tc>
          <w:tcPr>
            <w:tcW w:w="1728" w:type="dxa"/>
            <w:vMerge/>
          </w:tcPr>
          <w:p w14:paraId="67EAE07D" w14:textId="77777777" w:rsidR="004A3A88" w:rsidRPr="00D302D3" w:rsidRDefault="004A3A88" w:rsidP="00F56DC1">
            <w:pPr>
              <w:keepNext/>
              <w:keepLines/>
              <w:rPr>
                <w:rFonts w:asciiTheme="minorHAnsi" w:hAnsiTheme="minorHAnsi" w:cstheme="minorHAnsi"/>
                <w:color w:val="000000" w:themeColor="text1"/>
                <w:sz w:val="22"/>
                <w:szCs w:val="22"/>
              </w:rPr>
            </w:pPr>
          </w:p>
        </w:tc>
        <w:tc>
          <w:tcPr>
            <w:tcW w:w="1440" w:type="dxa"/>
            <w:vAlign w:val="center"/>
          </w:tcPr>
          <w:p w14:paraId="38B2FFF7" w14:textId="77777777" w:rsidR="004A3A88" w:rsidRPr="00D302D3" w:rsidRDefault="004A3A88" w:rsidP="00F56DC1">
            <w:pPr>
              <w:keepNext/>
              <w:keepLines/>
              <w:rPr>
                <w:rFonts w:asciiTheme="minorHAnsi" w:hAnsiTheme="minorHAnsi" w:cstheme="minorHAnsi"/>
                <w:bCs/>
                <w:sz w:val="22"/>
                <w:szCs w:val="22"/>
              </w:rPr>
            </w:pPr>
            <w:r>
              <w:rPr>
                <w:rFonts w:asciiTheme="minorHAnsi" w:hAnsiTheme="minorHAnsi" w:cstheme="minorHAnsi"/>
                <w:bCs/>
                <w:sz w:val="22"/>
                <w:szCs w:val="22"/>
              </w:rPr>
              <w:t xml:space="preserve">Anger </w:t>
            </w:r>
          </w:p>
        </w:tc>
        <w:tc>
          <w:tcPr>
            <w:tcW w:w="2880" w:type="dxa"/>
            <w:vAlign w:val="center"/>
          </w:tcPr>
          <w:p w14:paraId="4612776E"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4</w:t>
            </w:r>
          </w:p>
          <w:p w14:paraId="4D7C827D"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14a – o </w:t>
            </w:r>
          </w:p>
          <w:p w14:paraId="3CA6D2D9" w14:textId="77777777" w:rsidR="004A3A88" w:rsidRPr="00D302D3" w:rsidRDefault="004A3A88" w:rsidP="00D76D0B">
            <w:pPr>
              <w:keepNext/>
              <w:keepLines/>
              <w:rPr>
                <w:rFonts w:asciiTheme="minorHAnsi" w:hAnsiTheme="minorHAnsi" w:cstheme="minorHAnsi"/>
                <w:bCs/>
                <w:sz w:val="22"/>
                <w:szCs w:val="22"/>
              </w:rPr>
            </w:pPr>
            <w:r w:rsidRPr="001B3484">
              <w:rPr>
                <w:rFonts w:asciiTheme="minorHAnsi" w:hAnsiTheme="minorHAnsi" w:cstheme="minorHAnsi"/>
                <w:bCs/>
                <w:sz w:val="22"/>
                <w:szCs w:val="22"/>
              </w:rPr>
              <w:t xml:space="preserve"> </w:t>
            </w:r>
          </w:p>
        </w:tc>
        <w:tc>
          <w:tcPr>
            <w:tcW w:w="7488" w:type="dxa"/>
          </w:tcPr>
          <w:p w14:paraId="66F395B6" w14:textId="77777777" w:rsidR="004A3A88" w:rsidRPr="00C77B22" w:rsidRDefault="004A3A88" w:rsidP="00F56DC1">
            <w:pPr>
              <w:keepNext/>
              <w:keepLines/>
              <w:rPr>
                <w:rFonts w:asciiTheme="minorHAnsi" w:hAnsiTheme="minorHAnsi"/>
                <w:sz w:val="22"/>
                <w:szCs w:val="22"/>
              </w:rPr>
            </w:pPr>
            <w:r w:rsidRPr="00C77B22">
              <w:rPr>
                <w:rFonts w:asciiTheme="minorHAnsi" w:hAnsiTheme="minorHAnsi"/>
                <w:sz w:val="22"/>
                <w:szCs w:val="22"/>
              </w:rPr>
              <w:t>IPV perpetrators frequently report high levels of anger.</w:t>
            </w:r>
          </w:p>
          <w:p w14:paraId="29C360E1" w14:textId="77777777" w:rsidR="004A3A88" w:rsidRDefault="004A3A88" w:rsidP="00F56DC1">
            <w:pPr>
              <w:keepNext/>
              <w:keepLines/>
              <w:rPr>
                <w:rFonts w:asciiTheme="minorHAnsi" w:hAnsiTheme="minorHAnsi"/>
                <w:sz w:val="22"/>
                <w:szCs w:val="22"/>
              </w:rPr>
            </w:pPr>
          </w:p>
          <w:p w14:paraId="47685195" w14:textId="77777777" w:rsidR="004A3A88" w:rsidRDefault="004A3A88" w:rsidP="00F56DC1">
            <w:pPr>
              <w:keepNext/>
              <w:keepLines/>
              <w:rPr>
                <w:rFonts w:asciiTheme="minorHAnsi" w:hAnsiTheme="minorHAnsi"/>
                <w:sz w:val="22"/>
                <w:szCs w:val="22"/>
              </w:rPr>
            </w:pPr>
            <w:r>
              <w:rPr>
                <w:rFonts w:asciiTheme="minorHAnsi" w:hAnsiTheme="minorHAnsi"/>
                <w:sz w:val="22"/>
                <w:szCs w:val="22"/>
              </w:rPr>
              <w:t xml:space="preserve">Holtzworth-Munroe et al., (2000); </w:t>
            </w:r>
          </w:p>
          <w:p w14:paraId="080EA3AA" w14:textId="77777777" w:rsidR="004A3A88" w:rsidRDefault="004A3A88" w:rsidP="00F56DC1">
            <w:pPr>
              <w:keepNext/>
              <w:keepLines/>
              <w:rPr>
                <w:rFonts w:asciiTheme="minorHAnsi" w:hAnsiTheme="minorHAnsi"/>
                <w:sz w:val="22"/>
                <w:szCs w:val="22"/>
              </w:rPr>
            </w:pPr>
            <w:r w:rsidRPr="00D11F82">
              <w:rPr>
                <w:rFonts w:asciiTheme="minorHAnsi" w:hAnsiTheme="minorHAnsi"/>
                <w:sz w:val="22"/>
                <w:szCs w:val="22"/>
              </w:rPr>
              <w:t>Persampiere</w:t>
            </w:r>
            <w:r>
              <w:rPr>
                <w:rFonts w:asciiTheme="minorHAnsi" w:hAnsiTheme="minorHAnsi"/>
                <w:sz w:val="22"/>
                <w:szCs w:val="22"/>
              </w:rPr>
              <w:t xml:space="preserve"> et al., (2014) </w:t>
            </w:r>
          </w:p>
          <w:p w14:paraId="34A95EC4" w14:textId="77777777" w:rsidR="004A3A88" w:rsidRDefault="004A3A88" w:rsidP="00F56DC1">
            <w:pPr>
              <w:keepNext/>
              <w:keepLines/>
              <w:rPr>
                <w:rFonts w:asciiTheme="minorHAnsi" w:hAnsiTheme="minorHAnsi"/>
                <w:sz w:val="22"/>
                <w:szCs w:val="22"/>
              </w:rPr>
            </w:pPr>
            <w:r>
              <w:rPr>
                <w:rFonts w:asciiTheme="minorHAnsi" w:hAnsiTheme="minorHAnsi"/>
                <w:sz w:val="22"/>
                <w:szCs w:val="22"/>
              </w:rPr>
              <w:t>Smith-Darden et al., (2017)</w:t>
            </w:r>
          </w:p>
        </w:tc>
      </w:tr>
      <w:tr w:rsidR="004A3A88" w:rsidRPr="00D302D3" w14:paraId="050F345A" w14:textId="77777777" w:rsidTr="00E612B0">
        <w:trPr>
          <w:gridAfter w:val="1"/>
          <w:wAfter w:w="288" w:type="dxa"/>
          <w:cantSplit/>
        </w:trPr>
        <w:tc>
          <w:tcPr>
            <w:tcW w:w="1728" w:type="dxa"/>
            <w:vMerge/>
          </w:tcPr>
          <w:p w14:paraId="307C31F9" w14:textId="77777777" w:rsidR="004A3A88" w:rsidRPr="00D302D3" w:rsidRDefault="004A3A88" w:rsidP="00F56DC1">
            <w:pPr>
              <w:keepNext/>
              <w:keepLines/>
              <w:rPr>
                <w:rFonts w:asciiTheme="minorHAnsi" w:hAnsiTheme="minorHAnsi" w:cstheme="minorHAnsi"/>
                <w:color w:val="000000" w:themeColor="text1"/>
                <w:sz w:val="22"/>
                <w:szCs w:val="22"/>
              </w:rPr>
            </w:pPr>
          </w:p>
        </w:tc>
        <w:tc>
          <w:tcPr>
            <w:tcW w:w="1440" w:type="dxa"/>
            <w:vAlign w:val="center"/>
          </w:tcPr>
          <w:p w14:paraId="2795DDBF" w14:textId="77777777" w:rsidR="004A3A88" w:rsidRPr="00D302D3" w:rsidRDefault="004A3A88" w:rsidP="00F56DC1">
            <w:pPr>
              <w:keepNext/>
              <w:keepLines/>
              <w:rPr>
                <w:rFonts w:asciiTheme="minorHAnsi" w:hAnsiTheme="minorHAnsi" w:cstheme="minorHAnsi"/>
                <w:bCs/>
                <w:sz w:val="22"/>
                <w:szCs w:val="22"/>
              </w:rPr>
            </w:pPr>
            <w:r>
              <w:rPr>
                <w:rFonts w:asciiTheme="minorHAnsi" w:hAnsiTheme="minorHAnsi" w:cstheme="minorHAnsi"/>
                <w:bCs/>
                <w:sz w:val="22"/>
                <w:szCs w:val="22"/>
              </w:rPr>
              <w:t xml:space="preserve">Hostility </w:t>
            </w:r>
          </w:p>
        </w:tc>
        <w:tc>
          <w:tcPr>
            <w:tcW w:w="2880" w:type="dxa"/>
            <w:vAlign w:val="center"/>
          </w:tcPr>
          <w:p w14:paraId="3B68BC62"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5</w:t>
            </w:r>
          </w:p>
          <w:p w14:paraId="3C0FC6D5"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15a – o </w:t>
            </w:r>
          </w:p>
          <w:p w14:paraId="444B9AF1" w14:textId="77777777" w:rsidR="004A3A88" w:rsidRDefault="004A3A88" w:rsidP="00D76D0B">
            <w:pPr>
              <w:keepNext/>
              <w:keepLines/>
              <w:rPr>
                <w:rFonts w:asciiTheme="minorHAnsi" w:hAnsiTheme="minorHAnsi" w:cstheme="minorHAnsi"/>
                <w:bCs/>
                <w:sz w:val="22"/>
                <w:szCs w:val="22"/>
              </w:rPr>
            </w:pPr>
          </w:p>
          <w:p w14:paraId="2383E6EB" w14:textId="77777777" w:rsidR="004A3A88" w:rsidRPr="00D302D3" w:rsidRDefault="004A3A88" w:rsidP="00D76D0B">
            <w:pPr>
              <w:keepNext/>
              <w:keepLines/>
              <w:rPr>
                <w:rFonts w:asciiTheme="minorHAnsi" w:hAnsiTheme="minorHAnsi" w:cstheme="minorHAnsi"/>
                <w:bCs/>
                <w:sz w:val="22"/>
                <w:szCs w:val="22"/>
              </w:rPr>
            </w:pPr>
          </w:p>
        </w:tc>
        <w:tc>
          <w:tcPr>
            <w:tcW w:w="7488" w:type="dxa"/>
          </w:tcPr>
          <w:p w14:paraId="163E9745" w14:textId="77777777" w:rsidR="004A3A88" w:rsidRDefault="004A3A88" w:rsidP="00F56DC1">
            <w:pPr>
              <w:keepNext/>
              <w:keepLines/>
              <w:rPr>
                <w:rFonts w:asciiTheme="minorHAnsi" w:hAnsiTheme="minorHAnsi"/>
                <w:sz w:val="22"/>
                <w:szCs w:val="22"/>
              </w:rPr>
            </w:pPr>
            <w:r>
              <w:rPr>
                <w:rFonts w:asciiTheme="minorHAnsi" w:hAnsiTheme="minorHAnsi"/>
                <w:sz w:val="22"/>
                <w:szCs w:val="22"/>
              </w:rPr>
              <w:t>Hostility toward others has been shown to predict IPV perpetration.</w:t>
            </w:r>
          </w:p>
          <w:p w14:paraId="7A3DF9FF" w14:textId="77777777" w:rsidR="004A3A88" w:rsidRDefault="004A3A88" w:rsidP="00F56DC1">
            <w:pPr>
              <w:keepNext/>
              <w:keepLines/>
              <w:rPr>
                <w:rFonts w:asciiTheme="minorHAnsi" w:hAnsiTheme="minorHAnsi"/>
                <w:sz w:val="22"/>
                <w:szCs w:val="22"/>
              </w:rPr>
            </w:pPr>
            <w:r>
              <w:rPr>
                <w:rFonts w:asciiTheme="minorHAnsi" w:hAnsiTheme="minorHAnsi"/>
                <w:sz w:val="22"/>
                <w:szCs w:val="22"/>
              </w:rPr>
              <w:t xml:space="preserve"> </w:t>
            </w:r>
          </w:p>
          <w:p w14:paraId="36AC93DD" w14:textId="77777777" w:rsidR="004A3A88" w:rsidRDefault="004A3A88" w:rsidP="00F56DC1">
            <w:pPr>
              <w:keepNext/>
              <w:keepLines/>
              <w:rPr>
                <w:rFonts w:asciiTheme="minorHAnsi" w:hAnsiTheme="minorHAnsi"/>
                <w:sz w:val="22"/>
                <w:szCs w:val="22"/>
              </w:rPr>
            </w:pPr>
            <w:r>
              <w:rPr>
                <w:rFonts w:asciiTheme="minorHAnsi" w:hAnsiTheme="minorHAnsi"/>
                <w:sz w:val="22"/>
                <w:szCs w:val="22"/>
              </w:rPr>
              <w:t>Norlander &amp; Eckhardt, (2005)</w:t>
            </w:r>
          </w:p>
          <w:p w14:paraId="15B1523D" w14:textId="77777777" w:rsidR="004A3A88" w:rsidRDefault="004A3A88" w:rsidP="00F56DC1">
            <w:pPr>
              <w:keepNext/>
              <w:keepLines/>
              <w:rPr>
                <w:rFonts w:asciiTheme="minorHAnsi" w:hAnsiTheme="minorHAnsi"/>
                <w:sz w:val="22"/>
                <w:szCs w:val="22"/>
              </w:rPr>
            </w:pPr>
            <w:r>
              <w:rPr>
                <w:rFonts w:asciiTheme="minorHAnsi" w:hAnsiTheme="minorHAnsi"/>
                <w:sz w:val="22"/>
                <w:szCs w:val="22"/>
              </w:rPr>
              <w:t xml:space="preserve">Ortiz (2015); </w:t>
            </w:r>
          </w:p>
          <w:p w14:paraId="4EACB68A" w14:textId="77777777" w:rsidR="004A3A88" w:rsidRDefault="004A3A88" w:rsidP="00F56DC1">
            <w:pPr>
              <w:keepNext/>
              <w:keepLines/>
              <w:rPr>
                <w:rFonts w:asciiTheme="minorHAnsi" w:hAnsiTheme="minorHAnsi"/>
                <w:sz w:val="22"/>
                <w:szCs w:val="22"/>
              </w:rPr>
            </w:pPr>
            <w:r>
              <w:rPr>
                <w:rFonts w:asciiTheme="minorHAnsi" w:hAnsiTheme="minorHAnsi"/>
                <w:sz w:val="22"/>
                <w:szCs w:val="22"/>
              </w:rPr>
              <w:t>Tharp et al., (2013)</w:t>
            </w:r>
          </w:p>
        </w:tc>
      </w:tr>
      <w:tr w:rsidR="004A3A88" w:rsidRPr="00D302D3" w14:paraId="13566898" w14:textId="77777777" w:rsidTr="00E612B0">
        <w:trPr>
          <w:gridAfter w:val="1"/>
          <w:wAfter w:w="288" w:type="dxa"/>
          <w:cantSplit/>
        </w:trPr>
        <w:tc>
          <w:tcPr>
            <w:tcW w:w="1728" w:type="dxa"/>
            <w:vMerge w:val="restart"/>
            <w:vAlign w:val="center"/>
          </w:tcPr>
          <w:p w14:paraId="3358245B" w14:textId="77777777" w:rsidR="004A3A88" w:rsidRPr="00C13E92" w:rsidRDefault="004A3A88" w:rsidP="00F56DC1">
            <w:pPr>
              <w:keepNext/>
              <w:keepLines/>
              <w:rPr>
                <w:rFonts w:asciiTheme="minorHAnsi" w:hAnsiTheme="minorHAnsi" w:cstheme="minorHAnsi"/>
                <w:b/>
                <w:color w:val="000000" w:themeColor="text1"/>
                <w:sz w:val="22"/>
                <w:szCs w:val="22"/>
              </w:rPr>
            </w:pPr>
            <w:r w:rsidRPr="00C13E92">
              <w:rPr>
                <w:rFonts w:asciiTheme="minorHAnsi" w:hAnsiTheme="minorHAnsi" w:cstheme="minorHAnsi"/>
                <w:b/>
                <w:color w:val="000000" w:themeColor="text1"/>
                <w:sz w:val="22"/>
                <w:szCs w:val="22"/>
              </w:rPr>
              <w:t>General Aggression &amp; Typologies</w:t>
            </w:r>
          </w:p>
        </w:tc>
        <w:tc>
          <w:tcPr>
            <w:tcW w:w="1440" w:type="dxa"/>
            <w:vAlign w:val="center"/>
          </w:tcPr>
          <w:p w14:paraId="577791B9" w14:textId="77777777" w:rsidR="004A3A88" w:rsidRPr="00D302D3" w:rsidRDefault="004A3A88" w:rsidP="00F56DC1">
            <w:pPr>
              <w:keepNext/>
              <w:keepLines/>
              <w:rPr>
                <w:rFonts w:asciiTheme="minorHAnsi" w:hAnsiTheme="minorHAnsi" w:cstheme="minorHAnsi"/>
                <w:bCs/>
                <w:sz w:val="22"/>
                <w:szCs w:val="22"/>
              </w:rPr>
            </w:pPr>
            <w:r>
              <w:rPr>
                <w:rFonts w:asciiTheme="minorHAnsi" w:hAnsiTheme="minorHAnsi" w:cstheme="minorHAnsi"/>
                <w:bCs/>
                <w:sz w:val="22"/>
                <w:szCs w:val="22"/>
              </w:rPr>
              <w:t>A</w:t>
            </w:r>
            <w:r w:rsidRPr="00C13E92">
              <w:rPr>
                <w:rFonts w:asciiTheme="minorHAnsi" w:hAnsiTheme="minorHAnsi" w:cstheme="minorHAnsi"/>
                <w:bCs/>
                <w:sz w:val="22"/>
                <w:szCs w:val="22"/>
              </w:rPr>
              <w:t>ggressive thoughts, feelings, and behavior</w:t>
            </w:r>
          </w:p>
        </w:tc>
        <w:tc>
          <w:tcPr>
            <w:tcW w:w="2880" w:type="dxa"/>
            <w:vAlign w:val="center"/>
          </w:tcPr>
          <w:p w14:paraId="211E37CE"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6</w:t>
            </w:r>
          </w:p>
          <w:p w14:paraId="1F4FAC42"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Questions: 16a – p; 18a – f; 19-22</w:t>
            </w:r>
          </w:p>
          <w:p w14:paraId="4E903252" w14:textId="77777777" w:rsidR="004A3A88" w:rsidRDefault="004A3A88" w:rsidP="00D76D0B">
            <w:pPr>
              <w:keepNext/>
              <w:keepLines/>
              <w:rPr>
                <w:rFonts w:asciiTheme="minorHAnsi" w:hAnsiTheme="minorHAnsi" w:cstheme="minorHAnsi"/>
                <w:bCs/>
                <w:sz w:val="22"/>
                <w:szCs w:val="22"/>
              </w:rPr>
            </w:pPr>
          </w:p>
          <w:p w14:paraId="0CE76589" w14:textId="77777777" w:rsidR="004A3A88" w:rsidRPr="00D302D3" w:rsidRDefault="004A3A88" w:rsidP="00D76D0B">
            <w:pPr>
              <w:keepNext/>
              <w:keepLines/>
              <w:rPr>
                <w:rFonts w:asciiTheme="minorHAnsi" w:hAnsiTheme="minorHAnsi" w:cstheme="minorHAnsi"/>
                <w:bCs/>
                <w:sz w:val="22"/>
                <w:szCs w:val="22"/>
              </w:rPr>
            </w:pPr>
          </w:p>
        </w:tc>
        <w:tc>
          <w:tcPr>
            <w:tcW w:w="7488" w:type="dxa"/>
          </w:tcPr>
          <w:p w14:paraId="242EE1E8" w14:textId="77777777" w:rsidR="004A3A88" w:rsidRDefault="004A3A88" w:rsidP="00F56DC1">
            <w:pPr>
              <w:keepNext/>
              <w:keepLines/>
              <w:rPr>
                <w:rFonts w:asciiTheme="minorHAnsi" w:hAnsiTheme="minorHAnsi"/>
                <w:sz w:val="22"/>
                <w:szCs w:val="22"/>
              </w:rPr>
            </w:pPr>
            <w:r>
              <w:rPr>
                <w:rFonts w:asciiTheme="minorHAnsi" w:hAnsiTheme="minorHAnsi"/>
                <w:sz w:val="22"/>
                <w:szCs w:val="22"/>
              </w:rPr>
              <w:t xml:space="preserve">General aggressivity is a strong predictor of IPV perpetration. However, some perpetrators may only be aggressive toward intimate partners and not generally aggressive. Distinguishing perpetrators by general or family specific aggression may be important. </w:t>
            </w:r>
          </w:p>
          <w:p w14:paraId="359D5068" w14:textId="77777777" w:rsidR="004A3A88" w:rsidRDefault="004A3A88" w:rsidP="00F56DC1">
            <w:pPr>
              <w:keepNext/>
              <w:keepLines/>
              <w:rPr>
                <w:rFonts w:asciiTheme="minorHAnsi" w:hAnsiTheme="minorHAnsi"/>
                <w:sz w:val="22"/>
                <w:szCs w:val="22"/>
              </w:rPr>
            </w:pPr>
          </w:p>
          <w:p w14:paraId="6F22786D" w14:textId="77777777" w:rsidR="004A3A88" w:rsidRDefault="004A3A88" w:rsidP="00F56DC1">
            <w:pPr>
              <w:keepNext/>
              <w:keepLines/>
              <w:rPr>
                <w:rFonts w:asciiTheme="minorHAnsi" w:hAnsiTheme="minorHAnsi"/>
                <w:sz w:val="22"/>
                <w:szCs w:val="22"/>
              </w:rPr>
            </w:pPr>
            <w:r>
              <w:rPr>
                <w:rFonts w:asciiTheme="minorHAnsi" w:hAnsiTheme="minorHAnsi"/>
                <w:sz w:val="22"/>
                <w:szCs w:val="22"/>
              </w:rPr>
              <w:t>Holtzworth-Munroe et al., (2000)</w:t>
            </w:r>
          </w:p>
          <w:p w14:paraId="1872D4DA" w14:textId="77777777" w:rsidR="004A3A88" w:rsidRDefault="004A3A88" w:rsidP="00F56DC1">
            <w:pPr>
              <w:keepNext/>
              <w:keepLines/>
              <w:rPr>
                <w:rFonts w:asciiTheme="minorHAnsi" w:hAnsiTheme="minorHAnsi"/>
                <w:sz w:val="22"/>
                <w:szCs w:val="22"/>
              </w:rPr>
            </w:pPr>
            <w:r>
              <w:rPr>
                <w:rFonts w:asciiTheme="minorHAnsi" w:hAnsiTheme="minorHAnsi"/>
                <w:sz w:val="22"/>
                <w:szCs w:val="22"/>
              </w:rPr>
              <w:t>LaViolette, A. (2009)</w:t>
            </w:r>
          </w:p>
          <w:p w14:paraId="085C6E5D" w14:textId="77777777" w:rsidR="004A3A88" w:rsidRDefault="004A3A88" w:rsidP="00F56DC1">
            <w:pPr>
              <w:keepNext/>
              <w:keepLines/>
              <w:rPr>
                <w:rFonts w:asciiTheme="minorHAnsi" w:hAnsiTheme="minorHAnsi"/>
                <w:sz w:val="22"/>
                <w:szCs w:val="22"/>
              </w:rPr>
            </w:pPr>
            <w:r>
              <w:rPr>
                <w:rFonts w:asciiTheme="minorHAnsi" w:hAnsiTheme="minorHAnsi"/>
                <w:sz w:val="22"/>
                <w:szCs w:val="22"/>
              </w:rPr>
              <w:t>Parrott &amp; Zeichner (2003)</w:t>
            </w:r>
          </w:p>
          <w:p w14:paraId="5D029DFB" w14:textId="77777777" w:rsidR="004A3A88" w:rsidRDefault="004A3A88" w:rsidP="00F56DC1">
            <w:pPr>
              <w:keepNext/>
              <w:keepLines/>
              <w:rPr>
                <w:rFonts w:asciiTheme="minorHAnsi" w:hAnsiTheme="minorHAnsi"/>
                <w:sz w:val="22"/>
                <w:szCs w:val="22"/>
              </w:rPr>
            </w:pPr>
            <w:r>
              <w:rPr>
                <w:rFonts w:asciiTheme="minorHAnsi" w:hAnsiTheme="minorHAnsi"/>
                <w:sz w:val="22"/>
                <w:szCs w:val="22"/>
              </w:rPr>
              <w:t>Salis et al., (2014)</w:t>
            </w:r>
          </w:p>
        </w:tc>
      </w:tr>
      <w:tr w:rsidR="004A3A88" w:rsidRPr="00D302D3" w14:paraId="0697F8FF" w14:textId="77777777" w:rsidTr="00E612B0">
        <w:trPr>
          <w:gridAfter w:val="1"/>
          <w:wAfter w:w="288" w:type="dxa"/>
          <w:cantSplit/>
        </w:trPr>
        <w:tc>
          <w:tcPr>
            <w:tcW w:w="1728" w:type="dxa"/>
            <w:vMerge/>
          </w:tcPr>
          <w:p w14:paraId="74F74EAE" w14:textId="77777777" w:rsidR="004A3A88" w:rsidRPr="00D302D3" w:rsidRDefault="004A3A88" w:rsidP="00F56DC1">
            <w:pPr>
              <w:keepNext/>
              <w:keepLines/>
              <w:rPr>
                <w:rFonts w:asciiTheme="minorHAnsi" w:hAnsiTheme="minorHAnsi" w:cstheme="minorHAnsi"/>
                <w:color w:val="000000" w:themeColor="text1"/>
                <w:sz w:val="22"/>
                <w:szCs w:val="22"/>
              </w:rPr>
            </w:pPr>
          </w:p>
        </w:tc>
        <w:tc>
          <w:tcPr>
            <w:tcW w:w="1440" w:type="dxa"/>
            <w:vAlign w:val="center"/>
          </w:tcPr>
          <w:p w14:paraId="4E9263A5" w14:textId="77777777" w:rsidR="004A3A88" w:rsidRPr="00D302D3" w:rsidRDefault="004A3A88" w:rsidP="00F56DC1">
            <w:pPr>
              <w:keepNext/>
              <w:keepLines/>
              <w:rPr>
                <w:rFonts w:asciiTheme="minorHAnsi" w:hAnsiTheme="minorHAnsi" w:cstheme="minorHAnsi"/>
                <w:bCs/>
                <w:sz w:val="22"/>
                <w:szCs w:val="22"/>
              </w:rPr>
            </w:pPr>
            <w:r w:rsidRPr="00C13E92">
              <w:rPr>
                <w:rFonts w:asciiTheme="minorHAnsi" w:hAnsiTheme="minorHAnsi" w:cstheme="minorHAnsi"/>
                <w:bCs/>
                <w:sz w:val="22"/>
                <w:szCs w:val="22"/>
              </w:rPr>
              <w:t>Reactive-Proactive Aggression</w:t>
            </w:r>
          </w:p>
        </w:tc>
        <w:tc>
          <w:tcPr>
            <w:tcW w:w="2880" w:type="dxa"/>
            <w:vAlign w:val="center"/>
          </w:tcPr>
          <w:p w14:paraId="61058349"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7</w:t>
            </w:r>
          </w:p>
          <w:p w14:paraId="2B8A7943" w14:textId="77777777" w:rsidR="004A3A88" w:rsidRPr="00D302D3"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17a –i </w:t>
            </w:r>
          </w:p>
        </w:tc>
        <w:tc>
          <w:tcPr>
            <w:tcW w:w="7488" w:type="dxa"/>
          </w:tcPr>
          <w:p w14:paraId="7A5ACED6" w14:textId="77777777" w:rsidR="004A3A88" w:rsidRDefault="004A3A88" w:rsidP="00F56DC1">
            <w:pPr>
              <w:keepNext/>
              <w:keepLines/>
              <w:rPr>
                <w:rFonts w:asciiTheme="minorHAnsi" w:hAnsiTheme="minorHAnsi"/>
                <w:sz w:val="22"/>
                <w:szCs w:val="22"/>
              </w:rPr>
            </w:pPr>
            <w:r>
              <w:rPr>
                <w:rFonts w:asciiTheme="minorHAnsi" w:hAnsiTheme="minorHAnsi"/>
                <w:sz w:val="22"/>
                <w:szCs w:val="22"/>
              </w:rPr>
              <w:t>A wealth of research suggests that there is a distinction between reactive and proactive aggression relating neurobiological and developmental differences. Importantly, these different forms of aggression likely have different implications for development and treatment and many researchers have suggested that IPV perpetrators may be distinguished based on these violence characteristics.</w:t>
            </w:r>
          </w:p>
          <w:p w14:paraId="08BDDD3C" w14:textId="77777777" w:rsidR="004A3A88" w:rsidRDefault="004A3A88" w:rsidP="00F56DC1">
            <w:pPr>
              <w:keepNext/>
              <w:keepLines/>
              <w:rPr>
                <w:rFonts w:asciiTheme="minorHAnsi" w:hAnsiTheme="minorHAnsi"/>
                <w:sz w:val="22"/>
                <w:szCs w:val="22"/>
              </w:rPr>
            </w:pPr>
          </w:p>
          <w:p w14:paraId="76DCF314" w14:textId="77777777" w:rsidR="004A3A88" w:rsidRDefault="004A3A88" w:rsidP="00F56DC1">
            <w:pPr>
              <w:keepNext/>
              <w:keepLines/>
              <w:rPr>
                <w:rFonts w:asciiTheme="minorHAnsi" w:hAnsiTheme="minorHAnsi"/>
                <w:sz w:val="22"/>
                <w:szCs w:val="22"/>
              </w:rPr>
            </w:pPr>
            <w:r w:rsidRPr="007E2049">
              <w:rPr>
                <w:rFonts w:asciiTheme="minorHAnsi" w:hAnsiTheme="minorHAnsi"/>
                <w:sz w:val="22"/>
                <w:szCs w:val="22"/>
              </w:rPr>
              <w:t>Chase</w:t>
            </w:r>
            <w:r>
              <w:rPr>
                <w:rFonts w:asciiTheme="minorHAnsi" w:hAnsiTheme="minorHAnsi"/>
                <w:sz w:val="22"/>
                <w:szCs w:val="22"/>
              </w:rPr>
              <w:t xml:space="preserve"> et al., </w:t>
            </w:r>
            <w:r w:rsidRPr="007E2049">
              <w:rPr>
                <w:rFonts w:asciiTheme="minorHAnsi" w:hAnsiTheme="minorHAnsi"/>
                <w:sz w:val="22"/>
                <w:szCs w:val="22"/>
              </w:rPr>
              <w:t>(2001)</w:t>
            </w:r>
          </w:p>
          <w:p w14:paraId="15662D85" w14:textId="77777777" w:rsidR="004A3A88" w:rsidRDefault="004A3A88" w:rsidP="00F56DC1">
            <w:pPr>
              <w:keepNext/>
              <w:keepLines/>
              <w:rPr>
                <w:rFonts w:asciiTheme="minorHAnsi" w:hAnsiTheme="minorHAnsi"/>
                <w:sz w:val="22"/>
                <w:szCs w:val="22"/>
              </w:rPr>
            </w:pPr>
            <w:r w:rsidRPr="00F83B0C">
              <w:rPr>
                <w:rFonts w:asciiTheme="minorHAnsi" w:hAnsiTheme="minorHAnsi"/>
                <w:sz w:val="22"/>
                <w:szCs w:val="22"/>
              </w:rPr>
              <w:t>Ross</w:t>
            </w:r>
            <w:r>
              <w:rPr>
                <w:rFonts w:asciiTheme="minorHAnsi" w:hAnsiTheme="minorHAnsi"/>
                <w:sz w:val="22"/>
                <w:szCs w:val="22"/>
              </w:rPr>
              <w:t xml:space="preserve"> </w:t>
            </w:r>
            <w:r w:rsidRPr="00F83B0C">
              <w:rPr>
                <w:rFonts w:asciiTheme="minorHAnsi" w:hAnsiTheme="minorHAnsi"/>
                <w:sz w:val="22"/>
                <w:szCs w:val="22"/>
              </w:rPr>
              <w:t>&amp; Babcock</w:t>
            </w:r>
            <w:r>
              <w:rPr>
                <w:rFonts w:asciiTheme="minorHAnsi" w:hAnsiTheme="minorHAnsi"/>
                <w:sz w:val="22"/>
                <w:szCs w:val="22"/>
              </w:rPr>
              <w:t xml:space="preserve"> (2009)</w:t>
            </w:r>
          </w:p>
          <w:p w14:paraId="0BED067C" w14:textId="77777777" w:rsidR="004A3A88" w:rsidRDefault="004A3A88" w:rsidP="00F56DC1">
            <w:pPr>
              <w:keepNext/>
              <w:keepLines/>
              <w:rPr>
                <w:rFonts w:asciiTheme="minorHAnsi" w:hAnsiTheme="minorHAnsi"/>
                <w:sz w:val="22"/>
                <w:szCs w:val="22"/>
              </w:rPr>
            </w:pPr>
            <w:r>
              <w:rPr>
                <w:rFonts w:asciiTheme="minorHAnsi" w:hAnsiTheme="minorHAnsi"/>
                <w:sz w:val="22"/>
                <w:szCs w:val="22"/>
              </w:rPr>
              <w:t>Reidy et al., (2011)</w:t>
            </w:r>
          </w:p>
          <w:p w14:paraId="1F1E7B3F" w14:textId="77777777" w:rsidR="004A3A88" w:rsidRDefault="004A3A88" w:rsidP="00F56DC1">
            <w:pPr>
              <w:keepNext/>
              <w:keepLines/>
              <w:rPr>
                <w:rFonts w:asciiTheme="minorHAnsi" w:hAnsiTheme="minorHAnsi"/>
                <w:sz w:val="22"/>
                <w:szCs w:val="22"/>
              </w:rPr>
            </w:pPr>
            <w:r>
              <w:rPr>
                <w:rFonts w:asciiTheme="minorHAnsi" w:hAnsiTheme="minorHAnsi"/>
                <w:sz w:val="22"/>
                <w:szCs w:val="22"/>
              </w:rPr>
              <w:t>Stanford et al., (2008)</w:t>
            </w:r>
          </w:p>
          <w:p w14:paraId="6F6ADC34" w14:textId="77777777" w:rsidR="004A3A88" w:rsidRDefault="004A3A88" w:rsidP="00F56DC1">
            <w:pPr>
              <w:keepNext/>
              <w:keepLines/>
              <w:rPr>
                <w:rFonts w:asciiTheme="minorHAnsi" w:hAnsiTheme="minorHAnsi"/>
                <w:sz w:val="22"/>
                <w:szCs w:val="22"/>
              </w:rPr>
            </w:pPr>
            <w:r>
              <w:rPr>
                <w:rFonts w:asciiTheme="minorHAnsi" w:hAnsiTheme="minorHAnsi"/>
                <w:sz w:val="22"/>
                <w:szCs w:val="22"/>
              </w:rPr>
              <w:t>Vitello &amp; Stoff (1997)</w:t>
            </w:r>
          </w:p>
        </w:tc>
      </w:tr>
      <w:tr w:rsidR="004A3A88" w:rsidRPr="00D302D3" w14:paraId="4D4DC195" w14:textId="77777777" w:rsidTr="00E612B0">
        <w:trPr>
          <w:cantSplit/>
          <w:trHeight w:val="3024"/>
        </w:trPr>
        <w:tc>
          <w:tcPr>
            <w:tcW w:w="1728" w:type="dxa"/>
            <w:vMerge w:val="restart"/>
            <w:vAlign w:val="center"/>
          </w:tcPr>
          <w:p w14:paraId="0F37FC6C" w14:textId="77777777" w:rsidR="004A3A88" w:rsidRPr="00D63B55" w:rsidRDefault="004A3A88" w:rsidP="00D76D0B">
            <w:pPr>
              <w:keepNext/>
              <w:keepLines/>
              <w:rPr>
                <w:rFonts w:asciiTheme="minorHAnsi" w:hAnsiTheme="minorHAnsi" w:cstheme="minorHAnsi"/>
                <w:b/>
                <w:color w:val="000000" w:themeColor="text1"/>
                <w:sz w:val="22"/>
                <w:szCs w:val="22"/>
              </w:rPr>
            </w:pPr>
            <w:r w:rsidRPr="00D63B55">
              <w:rPr>
                <w:rFonts w:asciiTheme="minorHAnsi" w:hAnsiTheme="minorHAnsi" w:cstheme="minorHAnsi"/>
                <w:b/>
                <w:color w:val="000000" w:themeColor="text1"/>
                <w:sz w:val="22"/>
                <w:szCs w:val="22"/>
              </w:rPr>
              <w:lastRenderedPageBreak/>
              <w:t>Adverse Childhood Experience</w:t>
            </w:r>
          </w:p>
        </w:tc>
        <w:tc>
          <w:tcPr>
            <w:tcW w:w="1440" w:type="dxa"/>
            <w:vAlign w:val="center"/>
          </w:tcPr>
          <w:p w14:paraId="71DB6E08" w14:textId="77777777" w:rsidR="004A3A88" w:rsidRPr="00D302D3"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Trauma in household </w:t>
            </w:r>
          </w:p>
        </w:tc>
        <w:tc>
          <w:tcPr>
            <w:tcW w:w="2880" w:type="dxa"/>
            <w:vAlign w:val="center"/>
          </w:tcPr>
          <w:p w14:paraId="0A192EF5"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11</w:t>
            </w:r>
          </w:p>
          <w:p w14:paraId="032B1ED6"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Questions: 23a – i; 24-27</w:t>
            </w:r>
          </w:p>
          <w:p w14:paraId="284AA334" w14:textId="77777777" w:rsidR="004A3A88" w:rsidRDefault="004A3A88" w:rsidP="00D76D0B">
            <w:pPr>
              <w:keepNext/>
              <w:keepLines/>
              <w:rPr>
                <w:rFonts w:asciiTheme="minorHAnsi" w:hAnsiTheme="minorHAnsi" w:cstheme="minorHAnsi"/>
                <w:bCs/>
                <w:sz w:val="22"/>
                <w:szCs w:val="22"/>
              </w:rPr>
            </w:pPr>
          </w:p>
          <w:p w14:paraId="5263C2DB" w14:textId="77777777" w:rsidR="004A3A88" w:rsidRPr="00D302D3" w:rsidRDefault="004A3A88" w:rsidP="00D76D0B">
            <w:pPr>
              <w:keepNext/>
              <w:keepLines/>
              <w:rPr>
                <w:rFonts w:asciiTheme="minorHAnsi" w:hAnsiTheme="minorHAnsi" w:cstheme="minorHAnsi"/>
                <w:bCs/>
                <w:sz w:val="22"/>
                <w:szCs w:val="22"/>
              </w:rPr>
            </w:pPr>
          </w:p>
        </w:tc>
        <w:tc>
          <w:tcPr>
            <w:tcW w:w="7776" w:type="dxa"/>
            <w:gridSpan w:val="2"/>
            <w:vMerge w:val="restart"/>
          </w:tcPr>
          <w:p w14:paraId="5837288B" w14:textId="77777777" w:rsidR="004A3A88" w:rsidRDefault="004A3A88" w:rsidP="00D76D0B">
            <w:pPr>
              <w:keepNext/>
              <w:keepLines/>
              <w:rPr>
                <w:rFonts w:asciiTheme="minorHAnsi" w:hAnsiTheme="minorHAnsi"/>
                <w:sz w:val="22"/>
                <w:szCs w:val="22"/>
              </w:rPr>
            </w:pPr>
            <w:r>
              <w:rPr>
                <w:rFonts w:asciiTheme="minorHAnsi" w:hAnsiTheme="minorHAnsi"/>
                <w:sz w:val="22"/>
                <w:szCs w:val="22"/>
              </w:rPr>
              <w:t>Adverse childhood experiences (such as abuse and neglect) are correlated with IPV perpetration and victimization across all ages. Additionally, current research suggests a relationship between growing up in a community with extensive violence and IPV perpetration as an adult. However, not all youth exposed to violence will perpetrate IPV and not all persons who perpetrate IPV have a history of violence exposure. Thus, adverse childhood experiences including exposure to violence may distinguish classes of perpetrators.</w:t>
            </w:r>
          </w:p>
          <w:p w14:paraId="571B464B" w14:textId="77777777" w:rsidR="004A3A88" w:rsidRDefault="004A3A88" w:rsidP="00D76D0B">
            <w:pPr>
              <w:keepNext/>
              <w:keepLines/>
              <w:rPr>
                <w:rFonts w:asciiTheme="minorHAnsi" w:hAnsiTheme="minorHAnsi"/>
                <w:sz w:val="22"/>
                <w:szCs w:val="22"/>
              </w:rPr>
            </w:pPr>
          </w:p>
          <w:p w14:paraId="4C64975E" w14:textId="77777777" w:rsidR="004A3A88" w:rsidRDefault="004A3A88" w:rsidP="00D76D0B">
            <w:pPr>
              <w:keepNext/>
              <w:keepLines/>
              <w:rPr>
                <w:rFonts w:asciiTheme="minorHAnsi" w:hAnsiTheme="minorHAnsi"/>
                <w:sz w:val="22"/>
                <w:szCs w:val="22"/>
              </w:rPr>
            </w:pPr>
            <w:r>
              <w:rPr>
                <w:rFonts w:asciiTheme="minorHAnsi" w:hAnsiTheme="minorHAnsi"/>
                <w:sz w:val="22"/>
                <w:szCs w:val="22"/>
              </w:rPr>
              <w:t>Capaldi et al., (2012)</w:t>
            </w:r>
          </w:p>
          <w:p w14:paraId="4A0FCF1C" w14:textId="77777777" w:rsidR="004A3A88" w:rsidRDefault="004A3A88" w:rsidP="00D76D0B">
            <w:pPr>
              <w:keepNext/>
              <w:keepLines/>
              <w:rPr>
                <w:rFonts w:asciiTheme="minorHAnsi" w:hAnsiTheme="minorHAnsi"/>
                <w:sz w:val="22"/>
                <w:szCs w:val="22"/>
              </w:rPr>
            </w:pPr>
            <w:r>
              <w:rPr>
                <w:rFonts w:asciiTheme="minorHAnsi" w:hAnsiTheme="minorHAnsi"/>
                <w:sz w:val="22"/>
                <w:szCs w:val="22"/>
              </w:rPr>
              <w:t xml:space="preserve">Copp et al.,  (2015); </w:t>
            </w:r>
          </w:p>
          <w:p w14:paraId="5B893678" w14:textId="77777777" w:rsidR="004A3A88" w:rsidRDefault="004A3A88" w:rsidP="00D76D0B">
            <w:pPr>
              <w:keepNext/>
              <w:keepLines/>
              <w:rPr>
                <w:rFonts w:asciiTheme="minorHAnsi" w:hAnsiTheme="minorHAnsi"/>
                <w:sz w:val="22"/>
                <w:szCs w:val="22"/>
              </w:rPr>
            </w:pPr>
            <w:r>
              <w:rPr>
                <w:rFonts w:asciiTheme="minorHAnsi" w:hAnsiTheme="minorHAnsi"/>
                <w:sz w:val="22"/>
                <w:szCs w:val="22"/>
              </w:rPr>
              <w:t>Fox &amp; Benson</w:t>
            </w:r>
            <w:r w:rsidRPr="00EA133D">
              <w:rPr>
                <w:rFonts w:asciiTheme="minorHAnsi" w:hAnsiTheme="minorHAnsi"/>
                <w:sz w:val="22"/>
                <w:szCs w:val="22"/>
              </w:rPr>
              <w:t xml:space="preserve"> </w:t>
            </w:r>
            <w:r>
              <w:rPr>
                <w:rFonts w:asciiTheme="minorHAnsi" w:hAnsiTheme="minorHAnsi"/>
                <w:sz w:val="22"/>
                <w:szCs w:val="22"/>
              </w:rPr>
              <w:t xml:space="preserve">(2006) </w:t>
            </w:r>
          </w:p>
          <w:p w14:paraId="39FB7681" w14:textId="77777777" w:rsidR="004A3A88" w:rsidRDefault="004A3A88" w:rsidP="00D76D0B">
            <w:pPr>
              <w:keepNext/>
              <w:keepLines/>
              <w:rPr>
                <w:rFonts w:asciiTheme="minorHAnsi" w:hAnsiTheme="minorHAnsi"/>
                <w:sz w:val="22"/>
                <w:szCs w:val="22"/>
              </w:rPr>
            </w:pPr>
            <w:r>
              <w:rPr>
                <w:rFonts w:asciiTheme="minorHAnsi" w:hAnsiTheme="minorHAnsi"/>
                <w:sz w:val="22"/>
                <w:szCs w:val="22"/>
              </w:rPr>
              <w:t>Mair et al., (2012)</w:t>
            </w:r>
          </w:p>
          <w:p w14:paraId="7EFE15B1" w14:textId="77777777" w:rsidR="004A3A88" w:rsidRDefault="004A3A88" w:rsidP="00D76D0B">
            <w:pPr>
              <w:keepNext/>
              <w:keepLines/>
              <w:rPr>
                <w:rFonts w:asciiTheme="minorHAnsi" w:hAnsiTheme="minorHAnsi"/>
                <w:sz w:val="22"/>
                <w:szCs w:val="22"/>
              </w:rPr>
            </w:pPr>
            <w:r>
              <w:rPr>
                <w:rFonts w:asciiTheme="minorHAnsi" w:hAnsiTheme="minorHAnsi"/>
                <w:sz w:val="22"/>
                <w:szCs w:val="22"/>
              </w:rPr>
              <w:t>Mbilinyi et al., (2012);</w:t>
            </w:r>
          </w:p>
          <w:p w14:paraId="7493178A" w14:textId="77777777" w:rsidR="004A3A88" w:rsidRDefault="004A3A88" w:rsidP="00D76D0B">
            <w:pPr>
              <w:keepNext/>
              <w:keepLines/>
              <w:rPr>
                <w:rFonts w:asciiTheme="minorHAnsi" w:hAnsiTheme="minorHAnsi"/>
                <w:sz w:val="22"/>
                <w:szCs w:val="22"/>
              </w:rPr>
            </w:pPr>
            <w:r w:rsidRPr="007F2556">
              <w:rPr>
                <w:rFonts w:asciiTheme="minorHAnsi" w:hAnsiTheme="minorHAnsi"/>
                <w:sz w:val="22"/>
                <w:szCs w:val="22"/>
              </w:rPr>
              <w:t>Roberts</w:t>
            </w:r>
            <w:r>
              <w:rPr>
                <w:rFonts w:asciiTheme="minorHAnsi" w:hAnsiTheme="minorHAnsi"/>
                <w:sz w:val="22"/>
                <w:szCs w:val="22"/>
              </w:rPr>
              <w:t xml:space="preserve"> et al., (2011) </w:t>
            </w:r>
          </w:p>
          <w:p w14:paraId="49FB0D3B" w14:textId="77777777" w:rsidR="004A3A88" w:rsidRDefault="004A3A88" w:rsidP="00D76D0B">
            <w:pPr>
              <w:keepNext/>
              <w:keepLines/>
              <w:rPr>
                <w:rFonts w:asciiTheme="minorHAnsi" w:hAnsiTheme="minorHAnsi"/>
                <w:sz w:val="22"/>
                <w:szCs w:val="22"/>
              </w:rPr>
            </w:pPr>
            <w:r>
              <w:rPr>
                <w:rFonts w:asciiTheme="minorHAnsi" w:hAnsiTheme="minorHAnsi"/>
                <w:sz w:val="22"/>
                <w:szCs w:val="22"/>
              </w:rPr>
              <w:t>Reidy et al., (2017)</w:t>
            </w:r>
          </w:p>
        </w:tc>
      </w:tr>
      <w:tr w:rsidR="004A3A88" w:rsidRPr="00D302D3" w14:paraId="67E00C48" w14:textId="77777777" w:rsidTr="00E612B0">
        <w:trPr>
          <w:cantSplit/>
          <w:trHeight w:val="1166"/>
        </w:trPr>
        <w:tc>
          <w:tcPr>
            <w:tcW w:w="1728" w:type="dxa"/>
            <w:vMerge/>
          </w:tcPr>
          <w:p w14:paraId="3B084EB7" w14:textId="77777777" w:rsidR="004A3A88" w:rsidRPr="00D302D3" w:rsidRDefault="004A3A88" w:rsidP="00D76D0B">
            <w:pPr>
              <w:keepNext/>
              <w:keepLines/>
              <w:rPr>
                <w:rFonts w:asciiTheme="minorHAnsi" w:hAnsiTheme="minorHAnsi" w:cstheme="minorHAnsi"/>
                <w:color w:val="000000" w:themeColor="text1"/>
                <w:sz w:val="22"/>
                <w:szCs w:val="22"/>
              </w:rPr>
            </w:pPr>
          </w:p>
        </w:tc>
        <w:tc>
          <w:tcPr>
            <w:tcW w:w="1440" w:type="dxa"/>
            <w:vAlign w:val="center"/>
          </w:tcPr>
          <w:p w14:paraId="48C0974D" w14:textId="77777777" w:rsidR="004A3A88" w:rsidRPr="00D302D3"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Violence in the Community </w:t>
            </w:r>
          </w:p>
        </w:tc>
        <w:tc>
          <w:tcPr>
            <w:tcW w:w="2880" w:type="dxa"/>
            <w:vAlign w:val="center"/>
          </w:tcPr>
          <w:p w14:paraId="1F793021"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13</w:t>
            </w:r>
          </w:p>
          <w:p w14:paraId="07381C96"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28a – d </w:t>
            </w:r>
          </w:p>
          <w:p w14:paraId="0EAD5B9F" w14:textId="77777777" w:rsidR="004A3A88" w:rsidRDefault="004A3A88" w:rsidP="00D76D0B">
            <w:pPr>
              <w:keepNext/>
              <w:keepLines/>
              <w:rPr>
                <w:rFonts w:asciiTheme="minorHAnsi" w:hAnsiTheme="minorHAnsi" w:cstheme="minorHAnsi"/>
                <w:bCs/>
                <w:sz w:val="22"/>
                <w:szCs w:val="22"/>
              </w:rPr>
            </w:pPr>
          </w:p>
          <w:p w14:paraId="2BA08DEC" w14:textId="77777777" w:rsidR="004A3A88" w:rsidRPr="00D302D3" w:rsidRDefault="004A3A88" w:rsidP="00D76D0B">
            <w:pPr>
              <w:keepNext/>
              <w:keepLines/>
              <w:rPr>
                <w:rFonts w:asciiTheme="minorHAnsi" w:hAnsiTheme="minorHAnsi" w:cstheme="minorHAnsi"/>
                <w:bCs/>
                <w:sz w:val="22"/>
                <w:szCs w:val="22"/>
              </w:rPr>
            </w:pPr>
          </w:p>
        </w:tc>
        <w:tc>
          <w:tcPr>
            <w:tcW w:w="7776" w:type="dxa"/>
            <w:gridSpan w:val="2"/>
            <w:vMerge/>
          </w:tcPr>
          <w:p w14:paraId="49716230" w14:textId="77777777" w:rsidR="004A3A88" w:rsidRDefault="004A3A88" w:rsidP="00D76D0B">
            <w:pPr>
              <w:keepNext/>
              <w:keepLines/>
              <w:rPr>
                <w:rFonts w:asciiTheme="minorHAnsi" w:hAnsiTheme="minorHAnsi"/>
                <w:sz w:val="22"/>
                <w:szCs w:val="22"/>
              </w:rPr>
            </w:pPr>
          </w:p>
        </w:tc>
      </w:tr>
      <w:tr w:rsidR="004A3A88" w:rsidRPr="00D302D3" w14:paraId="2A38862E" w14:textId="77777777" w:rsidTr="00E612B0">
        <w:trPr>
          <w:cantSplit/>
        </w:trPr>
        <w:tc>
          <w:tcPr>
            <w:tcW w:w="1728" w:type="dxa"/>
            <w:vAlign w:val="center"/>
          </w:tcPr>
          <w:p w14:paraId="19441F8B" w14:textId="77777777" w:rsidR="004A3A88" w:rsidRPr="006C23E3" w:rsidRDefault="004A3A88" w:rsidP="00D76D0B">
            <w:pPr>
              <w:keepNext/>
              <w:keepLines/>
              <w:rPr>
                <w:rFonts w:asciiTheme="minorHAnsi" w:hAnsiTheme="minorHAnsi" w:cstheme="minorHAnsi"/>
                <w:b/>
                <w:color w:val="000000" w:themeColor="text1"/>
                <w:sz w:val="22"/>
                <w:szCs w:val="22"/>
              </w:rPr>
            </w:pPr>
            <w:r w:rsidRPr="006C23E3">
              <w:rPr>
                <w:rFonts w:asciiTheme="minorHAnsi" w:hAnsiTheme="minorHAnsi" w:cstheme="minorHAnsi"/>
                <w:b/>
                <w:color w:val="000000" w:themeColor="text1"/>
                <w:sz w:val="22"/>
                <w:szCs w:val="22"/>
              </w:rPr>
              <w:t>Acceptance of Violence</w:t>
            </w:r>
          </w:p>
        </w:tc>
        <w:tc>
          <w:tcPr>
            <w:tcW w:w="1440" w:type="dxa"/>
            <w:vAlign w:val="center"/>
          </w:tcPr>
          <w:p w14:paraId="657AD4DC" w14:textId="77777777" w:rsidR="004A3A88" w:rsidRPr="00923B90" w:rsidRDefault="004A3A88" w:rsidP="00D76D0B">
            <w:pPr>
              <w:keepNext/>
              <w:keepLines/>
              <w:rPr>
                <w:rFonts w:asciiTheme="minorHAnsi" w:hAnsiTheme="minorHAnsi" w:cstheme="minorHAnsi"/>
                <w:sz w:val="22"/>
                <w:szCs w:val="22"/>
              </w:rPr>
            </w:pPr>
            <w:r>
              <w:rPr>
                <w:rFonts w:asciiTheme="minorHAnsi" w:hAnsiTheme="minorHAnsi" w:cstheme="minorHAnsi"/>
                <w:bCs/>
                <w:sz w:val="22"/>
                <w:szCs w:val="22"/>
              </w:rPr>
              <w:t>NA</w:t>
            </w:r>
          </w:p>
        </w:tc>
        <w:tc>
          <w:tcPr>
            <w:tcW w:w="2880" w:type="dxa"/>
            <w:vAlign w:val="center"/>
          </w:tcPr>
          <w:p w14:paraId="3444F30F"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13</w:t>
            </w:r>
          </w:p>
          <w:p w14:paraId="542D58F2"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29a – e; 30a – c;  31a – e </w:t>
            </w:r>
          </w:p>
          <w:p w14:paraId="6ABA153A" w14:textId="77777777" w:rsidR="004A3A88" w:rsidRDefault="004A3A88" w:rsidP="00D76D0B">
            <w:pPr>
              <w:keepNext/>
              <w:keepLines/>
              <w:rPr>
                <w:rFonts w:asciiTheme="minorHAnsi" w:hAnsiTheme="minorHAnsi" w:cstheme="minorHAnsi"/>
                <w:bCs/>
                <w:sz w:val="22"/>
                <w:szCs w:val="22"/>
              </w:rPr>
            </w:pPr>
          </w:p>
          <w:p w14:paraId="7FCD3FB0" w14:textId="77777777" w:rsidR="004A3A88" w:rsidRPr="00D302D3" w:rsidRDefault="004A3A88" w:rsidP="00D76D0B">
            <w:pPr>
              <w:keepNext/>
              <w:keepLines/>
              <w:rPr>
                <w:rFonts w:asciiTheme="minorHAnsi" w:hAnsiTheme="minorHAnsi" w:cstheme="minorHAnsi"/>
                <w:bCs/>
                <w:sz w:val="22"/>
                <w:szCs w:val="22"/>
              </w:rPr>
            </w:pPr>
          </w:p>
        </w:tc>
        <w:tc>
          <w:tcPr>
            <w:tcW w:w="7776" w:type="dxa"/>
            <w:gridSpan w:val="2"/>
          </w:tcPr>
          <w:p w14:paraId="0011392E" w14:textId="77777777" w:rsidR="004A3A88" w:rsidRDefault="004A3A88" w:rsidP="00D76D0B">
            <w:pPr>
              <w:keepNext/>
              <w:keepLines/>
              <w:rPr>
                <w:rFonts w:asciiTheme="minorHAnsi" w:hAnsiTheme="minorHAnsi"/>
                <w:sz w:val="22"/>
                <w:szCs w:val="22"/>
              </w:rPr>
            </w:pPr>
            <w:r>
              <w:rPr>
                <w:rFonts w:asciiTheme="minorHAnsi" w:hAnsiTheme="minorHAnsi"/>
                <w:sz w:val="22"/>
                <w:szCs w:val="22"/>
              </w:rPr>
              <w:t>Beliefs about the propriety of violence correlate with IPV perpetration across ages and may differentially influence IPV perpetration based on gender. Additionally, some evidence suggests that changing these attitudes can reduce TDV perpetration.</w:t>
            </w:r>
          </w:p>
          <w:p w14:paraId="2FCB3F1A" w14:textId="77777777" w:rsidR="004A3A88" w:rsidRDefault="004A3A88" w:rsidP="00D76D0B">
            <w:pPr>
              <w:keepNext/>
              <w:keepLines/>
              <w:rPr>
                <w:rFonts w:asciiTheme="minorHAnsi" w:hAnsiTheme="minorHAnsi"/>
                <w:sz w:val="22"/>
                <w:szCs w:val="22"/>
              </w:rPr>
            </w:pPr>
          </w:p>
          <w:p w14:paraId="2340946D" w14:textId="77777777" w:rsidR="004A3A88" w:rsidRDefault="004A3A88" w:rsidP="00D76D0B">
            <w:pPr>
              <w:keepNext/>
              <w:keepLines/>
              <w:rPr>
                <w:rFonts w:asciiTheme="minorHAnsi" w:hAnsiTheme="minorHAnsi"/>
                <w:sz w:val="22"/>
                <w:szCs w:val="22"/>
              </w:rPr>
            </w:pPr>
            <w:r>
              <w:rPr>
                <w:rFonts w:asciiTheme="minorHAnsi" w:hAnsiTheme="minorHAnsi"/>
                <w:sz w:val="22"/>
                <w:szCs w:val="22"/>
              </w:rPr>
              <w:t>Ames et al., (2013)</w:t>
            </w:r>
          </w:p>
          <w:p w14:paraId="7F8AE1C0" w14:textId="77777777" w:rsidR="004A3A88" w:rsidRDefault="004A3A88" w:rsidP="00D76D0B">
            <w:pPr>
              <w:keepNext/>
              <w:keepLines/>
              <w:rPr>
                <w:rFonts w:asciiTheme="minorHAnsi" w:hAnsiTheme="minorHAnsi"/>
                <w:sz w:val="22"/>
                <w:szCs w:val="22"/>
              </w:rPr>
            </w:pPr>
            <w:r>
              <w:rPr>
                <w:rFonts w:asciiTheme="minorHAnsi" w:hAnsiTheme="minorHAnsi"/>
                <w:sz w:val="22"/>
                <w:szCs w:val="22"/>
              </w:rPr>
              <w:t>Eckhardt &amp; Crane (2014)</w:t>
            </w:r>
          </w:p>
          <w:p w14:paraId="0E037FE2" w14:textId="77777777" w:rsidR="004A3A88" w:rsidRDefault="004A3A88" w:rsidP="00D76D0B">
            <w:pPr>
              <w:keepNext/>
              <w:keepLines/>
              <w:rPr>
                <w:rFonts w:asciiTheme="minorHAnsi" w:hAnsiTheme="minorHAnsi"/>
                <w:sz w:val="22"/>
                <w:szCs w:val="22"/>
              </w:rPr>
            </w:pPr>
            <w:r>
              <w:rPr>
                <w:rFonts w:asciiTheme="minorHAnsi" w:hAnsiTheme="minorHAnsi"/>
                <w:sz w:val="22"/>
                <w:szCs w:val="22"/>
              </w:rPr>
              <w:t>Foshee et al., (2001)</w:t>
            </w:r>
          </w:p>
          <w:p w14:paraId="374DC1C4"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Smith-Darden et al., (2017)</w:t>
            </w:r>
          </w:p>
          <w:p w14:paraId="3D0F4CAD"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Simon et al., (2001)</w:t>
            </w:r>
          </w:p>
        </w:tc>
      </w:tr>
      <w:tr w:rsidR="004A3A88" w:rsidRPr="00D302D3" w14:paraId="137EFEFB" w14:textId="77777777" w:rsidTr="00E612B0">
        <w:tblPrEx>
          <w:tblLook w:val="04A0" w:firstRow="1" w:lastRow="0" w:firstColumn="1" w:lastColumn="0" w:noHBand="0" w:noVBand="1"/>
        </w:tblPrEx>
        <w:trPr>
          <w:cantSplit/>
        </w:trPr>
        <w:tc>
          <w:tcPr>
            <w:tcW w:w="1728" w:type="dxa"/>
            <w:vAlign w:val="center"/>
          </w:tcPr>
          <w:p w14:paraId="55805878" w14:textId="77777777" w:rsidR="004A3A88" w:rsidRDefault="004A3A88" w:rsidP="00D76D0B">
            <w:pPr>
              <w:keepNext/>
              <w:keepLines/>
              <w:rPr>
                <w:rFonts w:asciiTheme="minorHAnsi" w:hAnsiTheme="minorHAnsi" w:cstheme="minorHAnsi"/>
                <w:b/>
                <w:color w:val="000000" w:themeColor="text1"/>
                <w:sz w:val="22"/>
                <w:szCs w:val="22"/>
              </w:rPr>
            </w:pPr>
            <w:r w:rsidRPr="00087C32">
              <w:rPr>
                <w:rFonts w:asciiTheme="minorHAnsi" w:hAnsiTheme="minorHAnsi" w:cstheme="minorHAnsi"/>
                <w:b/>
                <w:color w:val="000000" w:themeColor="text1"/>
                <w:sz w:val="22"/>
                <w:szCs w:val="22"/>
              </w:rPr>
              <w:t xml:space="preserve">Stalking </w:t>
            </w:r>
          </w:p>
          <w:p w14:paraId="37CED18E" w14:textId="77777777" w:rsidR="004A3A88" w:rsidRPr="00604992" w:rsidRDefault="004A3A88" w:rsidP="00D76D0B">
            <w:pPr>
              <w:keepNext/>
              <w:keepLines/>
              <w:rPr>
                <w:rFonts w:asciiTheme="minorHAnsi" w:hAnsiTheme="minorHAnsi" w:cstheme="minorHAnsi"/>
                <w:sz w:val="22"/>
                <w:szCs w:val="22"/>
              </w:rPr>
            </w:pPr>
          </w:p>
        </w:tc>
        <w:tc>
          <w:tcPr>
            <w:tcW w:w="1440" w:type="dxa"/>
            <w:vAlign w:val="center"/>
          </w:tcPr>
          <w:p w14:paraId="144A05E3" w14:textId="77777777" w:rsidR="004A3A88" w:rsidRPr="00D302D3"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vAlign w:val="center"/>
          </w:tcPr>
          <w:p w14:paraId="76D08C02"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15</w:t>
            </w:r>
          </w:p>
          <w:p w14:paraId="399831EC"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32a – h </w:t>
            </w:r>
          </w:p>
          <w:p w14:paraId="1EBFF4B1" w14:textId="77777777" w:rsidR="004A3A88" w:rsidRDefault="004A3A88" w:rsidP="00D76D0B">
            <w:pPr>
              <w:keepNext/>
              <w:keepLines/>
              <w:rPr>
                <w:rFonts w:asciiTheme="minorHAnsi" w:hAnsiTheme="minorHAnsi" w:cstheme="minorHAnsi"/>
                <w:bCs/>
                <w:sz w:val="22"/>
                <w:szCs w:val="22"/>
              </w:rPr>
            </w:pPr>
          </w:p>
          <w:p w14:paraId="451AE87E" w14:textId="77777777" w:rsidR="004A3A88" w:rsidRPr="00D302D3" w:rsidRDefault="004A3A88" w:rsidP="00D76D0B">
            <w:pPr>
              <w:keepNext/>
              <w:keepLines/>
              <w:rPr>
                <w:rFonts w:asciiTheme="minorHAnsi" w:hAnsiTheme="minorHAnsi" w:cstheme="minorHAnsi"/>
                <w:bCs/>
                <w:sz w:val="22"/>
                <w:szCs w:val="22"/>
              </w:rPr>
            </w:pPr>
          </w:p>
        </w:tc>
        <w:tc>
          <w:tcPr>
            <w:tcW w:w="7776" w:type="dxa"/>
            <w:gridSpan w:val="2"/>
          </w:tcPr>
          <w:p w14:paraId="3455FA79"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Stalking is crucially linked to IPV and while not all IPV perpetrators engage in stalking, many do. Understanding which perpetrators go on to stalk partners may help understand which individuals will perpetrate more severe violence and potentially even intimate partner homicides. Likewise stalking intimate partners may differ by gender.</w:t>
            </w:r>
          </w:p>
          <w:p w14:paraId="6176BF7C" w14:textId="77777777" w:rsidR="004A3A88" w:rsidRDefault="004A3A88" w:rsidP="00D76D0B">
            <w:pPr>
              <w:keepNext/>
              <w:keepLines/>
              <w:rPr>
                <w:rFonts w:asciiTheme="minorHAnsi" w:hAnsiTheme="minorHAnsi"/>
                <w:sz w:val="22"/>
                <w:szCs w:val="22"/>
              </w:rPr>
            </w:pPr>
          </w:p>
          <w:p w14:paraId="239CD57C"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Senkans et al., (2017)</w:t>
            </w:r>
          </w:p>
          <w:p w14:paraId="52B6BCEE" w14:textId="77777777" w:rsidR="004A3A88" w:rsidRDefault="004A3A88" w:rsidP="00D76D0B">
            <w:pPr>
              <w:keepNext/>
              <w:keepLines/>
              <w:rPr>
                <w:rFonts w:asciiTheme="minorHAnsi" w:hAnsiTheme="minorHAnsi"/>
                <w:sz w:val="22"/>
                <w:szCs w:val="22"/>
              </w:rPr>
            </w:pPr>
            <w:r w:rsidRPr="00B354B1">
              <w:rPr>
                <w:rFonts w:asciiTheme="minorHAnsi" w:hAnsiTheme="minorHAnsi"/>
                <w:sz w:val="22"/>
                <w:szCs w:val="22"/>
              </w:rPr>
              <w:t>Hall</w:t>
            </w:r>
            <w:r>
              <w:rPr>
                <w:rFonts w:asciiTheme="minorHAnsi" w:hAnsiTheme="minorHAnsi"/>
                <w:sz w:val="22"/>
                <w:szCs w:val="22"/>
              </w:rPr>
              <w:t xml:space="preserve"> et al., </w:t>
            </w:r>
            <w:r w:rsidRPr="00B354B1">
              <w:rPr>
                <w:rFonts w:asciiTheme="minorHAnsi" w:hAnsiTheme="minorHAnsi"/>
                <w:sz w:val="22"/>
                <w:szCs w:val="22"/>
              </w:rPr>
              <w:t xml:space="preserve">(2012). </w:t>
            </w:r>
            <w:r>
              <w:rPr>
                <w:rFonts w:asciiTheme="minorHAnsi" w:hAnsiTheme="minorHAnsi"/>
                <w:sz w:val="22"/>
                <w:szCs w:val="22"/>
              </w:rPr>
              <w:t xml:space="preserve"> </w:t>
            </w:r>
          </w:p>
          <w:p w14:paraId="477AC9DB" w14:textId="77777777" w:rsidR="004A3A88" w:rsidRDefault="004A3A88" w:rsidP="00D76D0B">
            <w:pPr>
              <w:keepNext/>
              <w:keepLines/>
              <w:rPr>
                <w:rFonts w:asciiTheme="minorHAnsi" w:hAnsiTheme="minorHAnsi"/>
                <w:sz w:val="22"/>
                <w:szCs w:val="22"/>
              </w:rPr>
            </w:pPr>
            <w:r w:rsidRPr="00B354B1">
              <w:rPr>
                <w:rFonts w:asciiTheme="minorHAnsi" w:hAnsiTheme="minorHAnsi"/>
                <w:sz w:val="22"/>
                <w:szCs w:val="22"/>
              </w:rPr>
              <w:t>Melton, H. C. (2007)</w:t>
            </w:r>
          </w:p>
          <w:p w14:paraId="4C9EB6C4"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Smith-Darden et al., (2016)</w:t>
            </w:r>
          </w:p>
          <w:p w14:paraId="7FD65FBB" w14:textId="77777777" w:rsidR="004A3A88" w:rsidRDefault="004A3A88" w:rsidP="00D76D0B">
            <w:pPr>
              <w:keepNext/>
              <w:keepLines/>
              <w:rPr>
                <w:rFonts w:asciiTheme="minorHAnsi" w:hAnsiTheme="minorHAnsi"/>
                <w:sz w:val="22"/>
                <w:szCs w:val="22"/>
              </w:rPr>
            </w:pPr>
            <w:r>
              <w:rPr>
                <w:rFonts w:asciiTheme="minorHAnsi" w:hAnsiTheme="minorHAnsi"/>
                <w:sz w:val="22"/>
                <w:szCs w:val="22"/>
              </w:rPr>
              <w:t>Black et al., (2011)</w:t>
            </w:r>
          </w:p>
        </w:tc>
      </w:tr>
      <w:tr w:rsidR="004A3A88" w:rsidRPr="00D302D3" w14:paraId="2BE65E0B" w14:textId="77777777" w:rsidTr="00E612B0">
        <w:tblPrEx>
          <w:tblLook w:val="04A0" w:firstRow="1" w:lastRow="0" w:firstColumn="1" w:lastColumn="0" w:noHBand="0" w:noVBand="1"/>
        </w:tblPrEx>
        <w:trPr>
          <w:cantSplit/>
        </w:trPr>
        <w:tc>
          <w:tcPr>
            <w:tcW w:w="1728" w:type="dxa"/>
            <w:vAlign w:val="center"/>
          </w:tcPr>
          <w:p w14:paraId="0A089E15" w14:textId="77777777" w:rsidR="004A3A88" w:rsidRPr="002033D9" w:rsidRDefault="004A3A88" w:rsidP="00D76D0B">
            <w:pPr>
              <w:keepNext/>
              <w:keepLines/>
              <w:rPr>
                <w:rFonts w:asciiTheme="minorHAnsi" w:hAnsiTheme="minorHAnsi" w:cstheme="minorHAnsi"/>
                <w:b/>
                <w:color w:val="000000" w:themeColor="text1"/>
                <w:sz w:val="22"/>
                <w:szCs w:val="22"/>
              </w:rPr>
            </w:pPr>
            <w:r w:rsidRPr="002033D9">
              <w:rPr>
                <w:rFonts w:asciiTheme="minorHAnsi" w:hAnsiTheme="minorHAnsi" w:cstheme="minorHAnsi"/>
                <w:b/>
                <w:color w:val="000000" w:themeColor="text1"/>
                <w:sz w:val="22"/>
                <w:szCs w:val="22"/>
              </w:rPr>
              <w:t>Relationship Context</w:t>
            </w:r>
          </w:p>
        </w:tc>
        <w:tc>
          <w:tcPr>
            <w:tcW w:w="1440" w:type="dxa"/>
            <w:vAlign w:val="center"/>
          </w:tcPr>
          <w:p w14:paraId="07A53644" w14:textId="77777777" w:rsidR="004A3A88" w:rsidRPr="002033D9" w:rsidRDefault="004A3A88" w:rsidP="00D76D0B">
            <w:pPr>
              <w:keepNext/>
              <w:keepLines/>
              <w:rPr>
                <w:rFonts w:asciiTheme="minorHAnsi" w:hAnsiTheme="minorHAnsi" w:cstheme="minorHAnsi"/>
                <w:bCs/>
                <w:sz w:val="22"/>
                <w:szCs w:val="22"/>
              </w:rPr>
            </w:pPr>
            <w:r w:rsidRPr="002033D9">
              <w:rPr>
                <w:rFonts w:asciiTheme="minorHAnsi" w:hAnsiTheme="minorHAnsi" w:cstheme="minorHAnsi"/>
                <w:bCs/>
                <w:sz w:val="22"/>
                <w:szCs w:val="22"/>
              </w:rPr>
              <w:t>NA</w:t>
            </w:r>
          </w:p>
        </w:tc>
        <w:tc>
          <w:tcPr>
            <w:tcW w:w="2880" w:type="dxa"/>
            <w:vAlign w:val="center"/>
          </w:tcPr>
          <w:p w14:paraId="681F8FBD" w14:textId="77777777" w:rsidR="004A3A88" w:rsidRPr="002033D9" w:rsidRDefault="004A3A88" w:rsidP="00D76D0B">
            <w:pPr>
              <w:keepNext/>
              <w:keepLines/>
              <w:rPr>
                <w:rFonts w:asciiTheme="minorHAnsi" w:hAnsiTheme="minorHAnsi" w:cstheme="minorHAnsi"/>
                <w:bCs/>
                <w:sz w:val="22"/>
                <w:szCs w:val="22"/>
              </w:rPr>
            </w:pPr>
            <w:r w:rsidRPr="002033D9">
              <w:rPr>
                <w:rFonts w:asciiTheme="minorHAnsi" w:hAnsiTheme="minorHAnsi" w:cstheme="minorHAnsi"/>
                <w:bCs/>
                <w:sz w:val="22"/>
                <w:szCs w:val="22"/>
              </w:rPr>
              <w:t>Page 16</w:t>
            </w:r>
          </w:p>
          <w:p w14:paraId="1DDA38FA" w14:textId="77777777" w:rsidR="004A3A88" w:rsidRPr="002033D9" w:rsidRDefault="004A3A88" w:rsidP="00D76D0B">
            <w:pPr>
              <w:keepNext/>
              <w:keepLines/>
              <w:rPr>
                <w:rFonts w:asciiTheme="minorHAnsi" w:hAnsiTheme="minorHAnsi" w:cstheme="minorHAnsi"/>
                <w:bCs/>
                <w:sz w:val="22"/>
                <w:szCs w:val="22"/>
              </w:rPr>
            </w:pPr>
            <w:r w:rsidRPr="002033D9">
              <w:rPr>
                <w:rFonts w:asciiTheme="minorHAnsi" w:hAnsiTheme="minorHAnsi" w:cstheme="minorHAnsi"/>
                <w:bCs/>
                <w:sz w:val="22"/>
                <w:szCs w:val="22"/>
              </w:rPr>
              <w:t>Questions: 33 - 43</w:t>
            </w:r>
          </w:p>
        </w:tc>
        <w:tc>
          <w:tcPr>
            <w:tcW w:w="7776" w:type="dxa"/>
            <w:gridSpan w:val="2"/>
          </w:tcPr>
          <w:p w14:paraId="57C89733" w14:textId="77777777" w:rsidR="004A3A88" w:rsidRPr="002033D9" w:rsidRDefault="004A3A88" w:rsidP="00D76D0B">
            <w:pPr>
              <w:keepNext/>
              <w:keepLines/>
              <w:rPr>
                <w:rFonts w:asciiTheme="minorHAnsi" w:hAnsiTheme="minorHAnsi"/>
                <w:sz w:val="22"/>
                <w:szCs w:val="22"/>
              </w:rPr>
            </w:pPr>
            <w:r w:rsidRPr="002033D9">
              <w:rPr>
                <w:rFonts w:asciiTheme="minorHAnsi" w:hAnsiTheme="minorHAnsi"/>
                <w:sz w:val="22"/>
                <w:szCs w:val="22"/>
              </w:rPr>
              <w:t>It is important to identify characteristics of the individuals’ current and past dating history to understand opportunities for perpetration as well persistence vs. desistance within and across relationships.</w:t>
            </w:r>
          </w:p>
        </w:tc>
      </w:tr>
      <w:tr w:rsidR="004A3A88" w:rsidRPr="00D302D3" w14:paraId="2ED1B02C" w14:textId="77777777" w:rsidTr="00E612B0">
        <w:tblPrEx>
          <w:tblLook w:val="04A0" w:firstRow="1" w:lastRow="0" w:firstColumn="1" w:lastColumn="0" w:noHBand="0" w:noVBand="1"/>
        </w:tblPrEx>
        <w:trPr>
          <w:cantSplit/>
        </w:trPr>
        <w:tc>
          <w:tcPr>
            <w:tcW w:w="1728" w:type="dxa"/>
            <w:vAlign w:val="center"/>
          </w:tcPr>
          <w:p w14:paraId="3FB28FA8" w14:textId="77777777" w:rsidR="004A3A88" w:rsidRPr="00087C32" w:rsidRDefault="004A3A88" w:rsidP="00D76D0B">
            <w:pPr>
              <w:keepNext/>
              <w:keepLines/>
              <w:rPr>
                <w:rFonts w:asciiTheme="minorHAnsi" w:hAnsiTheme="minorHAnsi" w:cstheme="minorHAnsi"/>
                <w:b/>
                <w:color w:val="000000" w:themeColor="text1"/>
                <w:sz w:val="22"/>
                <w:szCs w:val="22"/>
              </w:rPr>
            </w:pPr>
            <w:r w:rsidRPr="00B479C6">
              <w:rPr>
                <w:rFonts w:asciiTheme="minorHAnsi" w:hAnsiTheme="minorHAnsi" w:cstheme="minorHAnsi"/>
                <w:b/>
                <w:color w:val="000000" w:themeColor="text1"/>
                <w:sz w:val="22"/>
                <w:szCs w:val="22"/>
              </w:rPr>
              <w:t>Relationship Discord/Satisfaction</w:t>
            </w:r>
          </w:p>
        </w:tc>
        <w:tc>
          <w:tcPr>
            <w:tcW w:w="1440" w:type="dxa"/>
            <w:vAlign w:val="center"/>
          </w:tcPr>
          <w:p w14:paraId="403DFAB2" w14:textId="77777777" w:rsidR="004A3A88" w:rsidRPr="00923B90" w:rsidRDefault="004A3A88" w:rsidP="00D76D0B">
            <w:pPr>
              <w:keepNext/>
              <w:keepLines/>
              <w:rPr>
                <w:rFonts w:asciiTheme="minorHAnsi" w:hAnsiTheme="minorHAnsi" w:cstheme="minorHAnsi"/>
                <w:sz w:val="22"/>
                <w:szCs w:val="22"/>
              </w:rPr>
            </w:pPr>
            <w:r>
              <w:rPr>
                <w:rFonts w:asciiTheme="minorHAnsi" w:hAnsiTheme="minorHAnsi" w:cstheme="minorHAnsi"/>
                <w:bCs/>
                <w:sz w:val="22"/>
                <w:szCs w:val="22"/>
              </w:rPr>
              <w:t>NA</w:t>
            </w:r>
          </w:p>
        </w:tc>
        <w:tc>
          <w:tcPr>
            <w:tcW w:w="2880" w:type="dxa"/>
            <w:vAlign w:val="center"/>
          </w:tcPr>
          <w:p w14:paraId="24C75043"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18</w:t>
            </w:r>
          </w:p>
          <w:p w14:paraId="0D5EECC4"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Questions: 44a – g; 45-48</w:t>
            </w:r>
          </w:p>
          <w:p w14:paraId="0DADC730" w14:textId="77777777" w:rsidR="004A3A88" w:rsidRDefault="004A3A88" w:rsidP="00D76D0B">
            <w:pPr>
              <w:keepNext/>
              <w:keepLines/>
              <w:rPr>
                <w:rFonts w:asciiTheme="minorHAnsi" w:hAnsiTheme="minorHAnsi" w:cstheme="minorHAnsi"/>
                <w:bCs/>
                <w:sz w:val="22"/>
                <w:szCs w:val="22"/>
              </w:rPr>
            </w:pPr>
          </w:p>
          <w:p w14:paraId="5EBF47D0" w14:textId="77777777" w:rsidR="004A3A88" w:rsidRDefault="004A3A88" w:rsidP="00D76D0B">
            <w:pPr>
              <w:keepNext/>
              <w:keepLines/>
              <w:rPr>
                <w:rFonts w:asciiTheme="minorHAnsi" w:hAnsiTheme="minorHAnsi" w:cstheme="minorHAnsi"/>
                <w:bCs/>
                <w:sz w:val="22"/>
                <w:szCs w:val="22"/>
              </w:rPr>
            </w:pPr>
          </w:p>
        </w:tc>
        <w:tc>
          <w:tcPr>
            <w:tcW w:w="7776" w:type="dxa"/>
            <w:gridSpan w:val="2"/>
          </w:tcPr>
          <w:p w14:paraId="6B32EC6C" w14:textId="77777777" w:rsidR="004A3A88" w:rsidRDefault="004A3A88" w:rsidP="00D76D0B">
            <w:pPr>
              <w:keepNext/>
              <w:keepLines/>
              <w:rPr>
                <w:rFonts w:asciiTheme="minorHAnsi" w:hAnsiTheme="minorHAnsi"/>
                <w:sz w:val="22"/>
                <w:szCs w:val="22"/>
              </w:rPr>
            </w:pPr>
            <w:r>
              <w:rPr>
                <w:rFonts w:asciiTheme="minorHAnsi" w:hAnsiTheme="minorHAnsi"/>
                <w:sz w:val="22"/>
                <w:szCs w:val="22"/>
              </w:rPr>
              <w:t xml:space="preserve">Some research has pointed to general relationship discord as a risk factor for IPV. This risk factor may differentiate reciprocally violent relationships where the violence is instigated by anger versus unidirectional violent relationships where the violence is a mechanism of control and potentially more severe. </w:t>
            </w:r>
          </w:p>
          <w:p w14:paraId="1BA4E0B9" w14:textId="77777777" w:rsidR="004A3A88" w:rsidRDefault="004A3A88" w:rsidP="00D76D0B">
            <w:pPr>
              <w:keepNext/>
              <w:keepLines/>
              <w:rPr>
                <w:rFonts w:asciiTheme="minorHAnsi" w:hAnsiTheme="minorHAnsi"/>
                <w:sz w:val="22"/>
                <w:szCs w:val="22"/>
              </w:rPr>
            </w:pPr>
          </w:p>
          <w:p w14:paraId="1F4DEBDB" w14:textId="77777777" w:rsidR="004A3A88" w:rsidRDefault="004A3A88" w:rsidP="00D76D0B">
            <w:pPr>
              <w:keepNext/>
              <w:keepLines/>
              <w:rPr>
                <w:rFonts w:asciiTheme="minorHAnsi" w:hAnsiTheme="minorHAnsi"/>
                <w:sz w:val="22"/>
                <w:szCs w:val="22"/>
              </w:rPr>
            </w:pPr>
            <w:r>
              <w:rPr>
                <w:rFonts w:asciiTheme="minorHAnsi" w:hAnsiTheme="minorHAnsi"/>
                <w:sz w:val="22"/>
                <w:szCs w:val="22"/>
              </w:rPr>
              <w:t>Byun (2012)</w:t>
            </w:r>
          </w:p>
          <w:p w14:paraId="0B5DF173" w14:textId="77777777" w:rsidR="004A3A88" w:rsidRDefault="004A3A88" w:rsidP="00D76D0B">
            <w:pPr>
              <w:keepNext/>
              <w:keepLines/>
              <w:rPr>
                <w:rFonts w:asciiTheme="minorHAnsi" w:hAnsiTheme="minorHAnsi"/>
                <w:sz w:val="22"/>
                <w:szCs w:val="22"/>
              </w:rPr>
            </w:pPr>
            <w:r>
              <w:rPr>
                <w:rFonts w:asciiTheme="minorHAnsi" w:hAnsiTheme="minorHAnsi"/>
                <w:sz w:val="22"/>
                <w:szCs w:val="22"/>
              </w:rPr>
              <w:t>Capaldi et al., (2012)</w:t>
            </w:r>
          </w:p>
          <w:p w14:paraId="2E0487CB"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Slep et al., (2010)</w:t>
            </w:r>
          </w:p>
          <w:p w14:paraId="7EDA475E"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Stith et al., (2008)</w:t>
            </w:r>
          </w:p>
        </w:tc>
      </w:tr>
      <w:tr w:rsidR="004A3A88" w:rsidRPr="00D302D3" w14:paraId="1D233291" w14:textId="77777777" w:rsidTr="00E612B0">
        <w:tblPrEx>
          <w:tblLook w:val="04A0" w:firstRow="1" w:lastRow="0" w:firstColumn="1" w:lastColumn="0" w:noHBand="0" w:noVBand="1"/>
        </w:tblPrEx>
        <w:trPr>
          <w:gridAfter w:val="1"/>
          <w:wAfter w:w="288" w:type="dxa"/>
          <w:cantSplit/>
        </w:trPr>
        <w:tc>
          <w:tcPr>
            <w:tcW w:w="1728" w:type="dxa"/>
            <w:vAlign w:val="center"/>
          </w:tcPr>
          <w:p w14:paraId="3D605576" w14:textId="77777777" w:rsidR="004A3A88" w:rsidRPr="00087C32" w:rsidRDefault="004A3A88" w:rsidP="00D76D0B">
            <w:pPr>
              <w:keepNext/>
              <w:keepLines/>
              <w:rPr>
                <w:rFonts w:asciiTheme="minorHAnsi" w:hAnsiTheme="minorHAnsi" w:cstheme="minorHAnsi"/>
                <w:b/>
                <w:color w:val="000000" w:themeColor="text1"/>
                <w:sz w:val="22"/>
                <w:szCs w:val="22"/>
              </w:rPr>
            </w:pPr>
            <w:r w:rsidRPr="00EE2F18">
              <w:rPr>
                <w:rFonts w:asciiTheme="minorHAnsi" w:hAnsiTheme="minorHAnsi" w:cstheme="minorHAnsi"/>
                <w:b/>
                <w:color w:val="000000" w:themeColor="text1"/>
                <w:sz w:val="22"/>
                <w:szCs w:val="22"/>
              </w:rPr>
              <w:t>Communication and Conflict Management</w:t>
            </w:r>
          </w:p>
        </w:tc>
        <w:tc>
          <w:tcPr>
            <w:tcW w:w="1440" w:type="dxa"/>
            <w:vAlign w:val="center"/>
          </w:tcPr>
          <w:p w14:paraId="33BB62AA" w14:textId="77777777" w:rsidR="004A3A88" w:rsidRPr="00D302D3"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vAlign w:val="center"/>
          </w:tcPr>
          <w:p w14:paraId="36C4E295"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20</w:t>
            </w:r>
          </w:p>
          <w:p w14:paraId="3A354B44"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49a – u </w:t>
            </w:r>
          </w:p>
        </w:tc>
        <w:tc>
          <w:tcPr>
            <w:tcW w:w="7488" w:type="dxa"/>
          </w:tcPr>
          <w:p w14:paraId="29954114" w14:textId="77777777" w:rsidR="004A3A88" w:rsidRDefault="004A3A88" w:rsidP="00D76D0B">
            <w:pPr>
              <w:keepNext/>
              <w:keepLines/>
              <w:rPr>
                <w:rFonts w:asciiTheme="minorHAnsi" w:hAnsiTheme="minorHAnsi"/>
                <w:sz w:val="22"/>
                <w:szCs w:val="22"/>
              </w:rPr>
            </w:pPr>
            <w:r>
              <w:rPr>
                <w:rFonts w:asciiTheme="minorHAnsi" w:hAnsiTheme="minorHAnsi"/>
                <w:sz w:val="22"/>
                <w:szCs w:val="22"/>
              </w:rPr>
              <w:t xml:space="preserve">In general negative or hostile communication styles and poor conflict management skills are linked to perpetration by men and women both. </w:t>
            </w:r>
          </w:p>
          <w:p w14:paraId="5DEE59C8" w14:textId="77777777" w:rsidR="004A3A88" w:rsidRDefault="004A3A88" w:rsidP="00D76D0B">
            <w:pPr>
              <w:keepNext/>
              <w:keepLines/>
              <w:rPr>
                <w:rFonts w:asciiTheme="minorHAnsi" w:hAnsiTheme="minorHAnsi"/>
                <w:sz w:val="22"/>
                <w:szCs w:val="22"/>
              </w:rPr>
            </w:pPr>
          </w:p>
          <w:p w14:paraId="1BF72C5E" w14:textId="77777777" w:rsidR="004A3A88" w:rsidRDefault="004A3A88" w:rsidP="00D76D0B">
            <w:pPr>
              <w:keepNext/>
              <w:keepLines/>
              <w:rPr>
                <w:rFonts w:asciiTheme="minorHAnsi" w:hAnsiTheme="minorHAnsi"/>
                <w:sz w:val="22"/>
                <w:szCs w:val="22"/>
              </w:rPr>
            </w:pPr>
            <w:r>
              <w:rPr>
                <w:rFonts w:asciiTheme="minorHAnsi" w:hAnsiTheme="minorHAnsi"/>
                <w:sz w:val="22"/>
                <w:szCs w:val="22"/>
              </w:rPr>
              <w:t>Andrews et al., (2000)</w:t>
            </w:r>
          </w:p>
          <w:p w14:paraId="746DDC66" w14:textId="77777777" w:rsidR="004A3A88" w:rsidRDefault="004A3A88" w:rsidP="00D76D0B">
            <w:pPr>
              <w:keepNext/>
              <w:keepLines/>
              <w:rPr>
                <w:rFonts w:asciiTheme="minorHAnsi" w:hAnsiTheme="minorHAnsi"/>
                <w:sz w:val="22"/>
                <w:szCs w:val="22"/>
              </w:rPr>
            </w:pPr>
            <w:r>
              <w:rPr>
                <w:rFonts w:asciiTheme="minorHAnsi" w:hAnsiTheme="minorHAnsi"/>
                <w:sz w:val="22"/>
                <w:szCs w:val="22"/>
              </w:rPr>
              <w:t>Babcock et al., (1993)</w:t>
            </w:r>
          </w:p>
          <w:p w14:paraId="35AD357C" w14:textId="77777777" w:rsidR="004A3A88" w:rsidRDefault="004A3A88" w:rsidP="00D76D0B">
            <w:pPr>
              <w:keepNext/>
              <w:keepLines/>
              <w:rPr>
                <w:rFonts w:asciiTheme="minorHAnsi" w:hAnsiTheme="minorHAnsi"/>
                <w:sz w:val="22"/>
                <w:szCs w:val="22"/>
              </w:rPr>
            </w:pPr>
            <w:r>
              <w:rPr>
                <w:rFonts w:asciiTheme="minorHAnsi" w:hAnsiTheme="minorHAnsi"/>
                <w:sz w:val="22"/>
                <w:szCs w:val="22"/>
              </w:rPr>
              <w:t>Capaldi et al., (2012)</w:t>
            </w:r>
          </w:p>
          <w:p w14:paraId="50E99669" w14:textId="77777777" w:rsidR="004A3A88" w:rsidRDefault="004A3A88" w:rsidP="00D76D0B">
            <w:pPr>
              <w:keepNext/>
              <w:keepLines/>
              <w:rPr>
                <w:rFonts w:asciiTheme="minorHAnsi" w:hAnsiTheme="minorHAnsi"/>
                <w:sz w:val="22"/>
                <w:szCs w:val="22"/>
              </w:rPr>
            </w:pPr>
            <w:r>
              <w:rPr>
                <w:rFonts w:asciiTheme="minorHAnsi" w:hAnsiTheme="minorHAnsi"/>
                <w:sz w:val="22"/>
                <w:szCs w:val="22"/>
              </w:rPr>
              <w:t>Hamby (2009)</w:t>
            </w:r>
          </w:p>
          <w:p w14:paraId="2C3C151C" w14:textId="77777777" w:rsidR="004A3A88" w:rsidRDefault="004A3A88" w:rsidP="00D76D0B">
            <w:pPr>
              <w:keepNext/>
              <w:keepLines/>
              <w:rPr>
                <w:rFonts w:asciiTheme="minorHAnsi" w:hAnsiTheme="minorHAnsi"/>
                <w:sz w:val="22"/>
                <w:szCs w:val="22"/>
              </w:rPr>
            </w:pPr>
            <w:r>
              <w:rPr>
                <w:rFonts w:asciiTheme="minorHAnsi" w:hAnsiTheme="minorHAnsi"/>
                <w:sz w:val="22"/>
                <w:szCs w:val="22"/>
              </w:rPr>
              <w:t>Smith-Darden et al., (2017)</w:t>
            </w:r>
          </w:p>
          <w:p w14:paraId="18029A48" w14:textId="77777777" w:rsidR="004A3A88" w:rsidRDefault="004A3A88" w:rsidP="00D76D0B">
            <w:pPr>
              <w:keepNext/>
              <w:keepLines/>
              <w:rPr>
                <w:rFonts w:asciiTheme="minorHAnsi" w:hAnsiTheme="minorHAnsi"/>
                <w:sz w:val="22"/>
                <w:szCs w:val="22"/>
              </w:rPr>
            </w:pPr>
            <w:r w:rsidRPr="00793C3F">
              <w:rPr>
                <w:rFonts w:asciiTheme="minorHAnsi" w:hAnsiTheme="minorHAnsi"/>
                <w:sz w:val="22"/>
                <w:szCs w:val="22"/>
              </w:rPr>
              <w:t xml:space="preserve">Vives-Cases, </w:t>
            </w:r>
            <w:r>
              <w:rPr>
                <w:rFonts w:asciiTheme="minorHAnsi" w:hAnsiTheme="minorHAnsi"/>
                <w:sz w:val="22"/>
                <w:szCs w:val="22"/>
              </w:rPr>
              <w:t xml:space="preserve">et al., </w:t>
            </w:r>
            <w:r w:rsidRPr="00793C3F">
              <w:rPr>
                <w:rFonts w:asciiTheme="minorHAnsi" w:hAnsiTheme="minorHAnsi"/>
                <w:sz w:val="22"/>
                <w:szCs w:val="22"/>
              </w:rPr>
              <w:t>(</w:t>
            </w:r>
            <w:r>
              <w:rPr>
                <w:rFonts w:asciiTheme="minorHAnsi" w:hAnsiTheme="minorHAnsi"/>
                <w:sz w:val="22"/>
                <w:szCs w:val="22"/>
              </w:rPr>
              <w:t>2009)</w:t>
            </w:r>
            <w:r w:rsidRPr="00793C3F">
              <w:rPr>
                <w:rFonts w:asciiTheme="minorHAnsi" w:hAnsiTheme="minorHAnsi"/>
                <w:sz w:val="22"/>
                <w:szCs w:val="22"/>
              </w:rPr>
              <w:t xml:space="preserve"> </w:t>
            </w:r>
            <w:r>
              <w:rPr>
                <w:rFonts w:asciiTheme="minorHAnsi" w:hAnsiTheme="minorHAnsi"/>
                <w:sz w:val="22"/>
                <w:szCs w:val="22"/>
              </w:rPr>
              <w:t xml:space="preserve"> </w:t>
            </w:r>
          </w:p>
        </w:tc>
      </w:tr>
      <w:tr w:rsidR="004A3A88" w:rsidRPr="00D302D3" w14:paraId="72990995" w14:textId="77777777" w:rsidTr="00E612B0">
        <w:tblPrEx>
          <w:tblLook w:val="04A0" w:firstRow="1" w:lastRow="0" w:firstColumn="1" w:lastColumn="0" w:noHBand="0" w:noVBand="1"/>
        </w:tblPrEx>
        <w:trPr>
          <w:gridAfter w:val="1"/>
          <w:wAfter w:w="288" w:type="dxa"/>
          <w:cantSplit/>
        </w:trPr>
        <w:tc>
          <w:tcPr>
            <w:tcW w:w="1728" w:type="dxa"/>
            <w:vAlign w:val="center"/>
          </w:tcPr>
          <w:p w14:paraId="6A57A1F7" w14:textId="77777777" w:rsidR="004A3A88" w:rsidRPr="00EE2F18" w:rsidRDefault="004A3A88" w:rsidP="002152A8">
            <w:pPr>
              <w:keepNext/>
              <w:keepLine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Power &amp; Control </w:t>
            </w:r>
          </w:p>
        </w:tc>
        <w:tc>
          <w:tcPr>
            <w:tcW w:w="1440" w:type="dxa"/>
            <w:vAlign w:val="center"/>
          </w:tcPr>
          <w:p w14:paraId="3EED70E6" w14:textId="77777777" w:rsidR="004A3A88" w:rsidRPr="00D302D3" w:rsidRDefault="004A3A88" w:rsidP="002152A8">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vAlign w:val="center"/>
          </w:tcPr>
          <w:p w14:paraId="3610FE2C" w14:textId="77777777" w:rsidR="004A3A88" w:rsidRDefault="004A3A88" w:rsidP="002152A8">
            <w:pPr>
              <w:keepNext/>
              <w:keepLines/>
              <w:rPr>
                <w:rFonts w:asciiTheme="minorHAnsi" w:hAnsiTheme="minorHAnsi" w:cstheme="minorHAnsi"/>
                <w:bCs/>
                <w:sz w:val="22"/>
                <w:szCs w:val="22"/>
              </w:rPr>
            </w:pPr>
            <w:r>
              <w:rPr>
                <w:rFonts w:asciiTheme="minorHAnsi" w:hAnsiTheme="minorHAnsi" w:cstheme="minorHAnsi"/>
                <w:bCs/>
                <w:sz w:val="22"/>
                <w:szCs w:val="22"/>
              </w:rPr>
              <w:t>Page 22</w:t>
            </w:r>
          </w:p>
          <w:p w14:paraId="44F3B6ED" w14:textId="77777777" w:rsidR="004A3A88" w:rsidRDefault="004A3A88" w:rsidP="002152A8">
            <w:pPr>
              <w:keepNext/>
              <w:keepLines/>
              <w:rPr>
                <w:rFonts w:asciiTheme="minorHAnsi" w:hAnsiTheme="minorHAnsi" w:cstheme="minorHAnsi"/>
                <w:bCs/>
                <w:sz w:val="22"/>
                <w:szCs w:val="22"/>
              </w:rPr>
            </w:pPr>
            <w:r>
              <w:rPr>
                <w:rFonts w:asciiTheme="minorHAnsi" w:hAnsiTheme="minorHAnsi" w:cstheme="minorHAnsi"/>
                <w:bCs/>
                <w:sz w:val="22"/>
                <w:szCs w:val="22"/>
              </w:rPr>
              <w:t>Questions: 50a – l</w:t>
            </w:r>
          </w:p>
          <w:p w14:paraId="54BD6CE0" w14:textId="77777777" w:rsidR="004A3A88" w:rsidRDefault="004A3A88" w:rsidP="002152A8">
            <w:pPr>
              <w:keepNext/>
              <w:keepLines/>
              <w:rPr>
                <w:rFonts w:asciiTheme="minorHAnsi" w:hAnsiTheme="minorHAnsi" w:cstheme="minorHAnsi"/>
                <w:bCs/>
                <w:sz w:val="22"/>
                <w:szCs w:val="22"/>
              </w:rPr>
            </w:pPr>
          </w:p>
          <w:p w14:paraId="0206B1DC" w14:textId="77777777" w:rsidR="004A3A88" w:rsidRDefault="004A3A88" w:rsidP="002152A8">
            <w:pPr>
              <w:keepNext/>
              <w:keepLines/>
              <w:rPr>
                <w:rFonts w:asciiTheme="minorHAnsi" w:hAnsiTheme="minorHAnsi" w:cstheme="minorHAnsi"/>
                <w:bCs/>
                <w:sz w:val="22"/>
                <w:szCs w:val="22"/>
              </w:rPr>
            </w:pPr>
          </w:p>
        </w:tc>
        <w:tc>
          <w:tcPr>
            <w:tcW w:w="7488" w:type="dxa"/>
          </w:tcPr>
          <w:p w14:paraId="55E1E849" w14:textId="77777777" w:rsidR="004A3A88" w:rsidRDefault="004A3A88" w:rsidP="002152A8">
            <w:pPr>
              <w:keepNext/>
              <w:keepLines/>
              <w:rPr>
                <w:rFonts w:asciiTheme="minorHAnsi" w:hAnsiTheme="minorHAnsi"/>
                <w:sz w:val="22"/>
                <w:szCs w:val="22"/>
              </w:rPr>
            </w:pPr>
            <w:r>
              <w:rPr>
                <w:rFonts w:asciiTheme="minorHAnsi" w:hAnsiTheme="minorHAnsi"/>
                <w:sz w:val="22"/>
                <w:szCs w:val="22"/>
              </w:rPr>
              <w:t>The concept of “power and control” has been central to IPV research for decades. It is most frequently espoused in connection to unidirectional violence perpetrated by men against women as method of controlling and maintaining dominance over women. However, given that we know women can perpetrate IPV too, it is likely that this factor not associated with all forms of IPV perpetration. Likewise, some evidence suggests that perpetrators that are controlling and coercive may be more</w:t>
            </w:r>
          </w:p>
          <w:p w14:paraId="56992E88" w14:textId="77777777" w:rsidR="004A3A88" w:rsidRDefault="004A3A88" w:rsidP="002152A8">
            <w:pPr>
              <w:keepNext/>
              <w:keepLines/>
              <w:rPr>
                <w:rFonts w:asciiTheme="minorHAnsi" w:hAnsiTheme="minorHAnsi"/>
                <w:sz w:val="22"/>
                <w:szCs w:val="22"/>
              </w:rPr>
            </w:pPr>
          </w:p>
          <w:p w14:paraId="4D9B0B78" w14:textId="77777777" w:rsidR="004A3A88" w:rsidRDefault="004A3A88" w:rsidP="002152A8">
            <w:pPr>
              <w:keepNext/>
              <w:keepLines/>
              <w:rPr>
                <w:rFonts w:asciiTheme="minorHAnsi" w:hAnsiTheme="minorHAnsi"/>
                <w:sz w:val="22"/>
                <w:szCs w:val="22"/>
              </w:rPr>
            </w:pPr>
            <w:r w:rsidRPr="004440AB">
              <w:rPr>
                <w:rFonts w:asciiTheme="minorHAnsi" w:hAnsiTheme="minorHAnsi"/>
                <w:sz w:val="22"/>
                <w:szCs w:val="22"/>
              </w:rPr>
              <w:t>Spencer</w:t>
            </w:r>
            <w:r>
              <w:rPr>
                <w:rFonts w:asciiTheme="minorHAnsi" w:hAnsiTheme="minorHAnsi"/>
                <w:sz w:val="22"/>
                <w:szCs w:val="22"/>
              </w:rPr>
              <w:t xml:space="preserve"> et al., (2016) </w:t>
            </w:r>
          </w:p>
          <w:p w14:paraId="5013E24B" w14:textId="77777777" w:rsidR="004A3A88" w:rsidRDefault="004A3A88" w:rsidP="002152A8">
            <w:pPr>
              <w:keepNext/>
              <w:keepLines/>
              <w:rPr>
                <w:rFonts w:asciiTheme="minorHAnsi" w:hAnsiTheme="minorHAnsi"/>
                <w:sz w:val="22"/>
                <w:szCs w:val="22"/>
              </w:rPr>
            </w:pPr>
            <w:r w:rsidRPr="00A517B8">
              <w:rPr>
                <w:rFonts w:asciiTheme="minorHAnsi" w:hAnsiTheme="minorHAnsi"/>
                <w:sz w:val="22"/>
                <w:szCs w:val="22"/>
              </w:rPr>
              <w:t xml:space="preserve">Loree </w:t>
            </w:r>
            <w:r>
              <w:rPr>
                <w:rFonts w:asciiTheme="minorHAnsi" w:hAnsiTheme="minorHAnsi"/>
                <w:sz w:val="22"/>
                <w:szCs w:val="22"/>
              </w:rPr>
              <w:t xml:space="preserve">&amp; </w:t>
            </w:r>
            <w:r w:rsidRPr="00A517B8">
              <w:rPr>
                <w:rFonts w:asciiTheme="minorHAnsi" w:hAnsiTheme="minorHAnsi"/>
                <w:sz w:val="22"/>
                <w:szCs w:val="22"/>
              </w:rPr>
              <w:t xml:space="preserve">Cook-Daniels </w:t>
            </w:r>
            <w:r>
              <w:rPr>
                <w:rFonts w:asciiTheme="minorHAnsi" w:hAnsiTheme="minorHAnsi"/>
                <w:sz w:val="22"/>
                <w:szCs w:val="22"/>
              </w:rPr>
              <w:t>(2015)</w:t>
            </w:r>
          </w:p>
          <w:p w14:paraId="25DD4013" w14:textId="77777777" w:rsidR="004A3A88" w:rsidRDefault="004A3A88" w:rsidP="002152A8">
            <w:pPr>
              <w:keepNext/>
              <w:keepLines/>
              <w:rPr>
                <w:rFonts w:asciiTheme="minorHAnsi" w:hAnsiTheme="minorHAnsi"/>
                <w:sz w:val="22"/>
                <w:szCs w:val="22"/>
              </w:rPr>
            </w:pPr>
            <w:r>
              <w:rPr>
                <w:rFonts w:asciiTheme="minorHAnsi" w:hAnsiTheme="minorHAnsi"/>
                <w:sz w:val="22"/>
                <w:szCs w:val="22"/>
              </w:rPr>
              <w:t>Johnson, (2006, 2011)</w:t>
            </w:r>
          </w:p>
          <w:p w14:paraId="33EFD0CD" w14:textId="77777777" w:rsidR="004A3A88" w:rsidRPr="00793C3F" w:rsidRDefault="004A3A88" w:rsidP="002152A8">
            <w:pPr>
              <w:keepNext/>
              <w:keepLines/>
              <w:rPr>
                <w:rFonts w:asciiTheme="minorHAnsi" w:hAnsiTheme="minorHAnsi"/>
                <w:sz w:val="22"/>
                <w:szCs w:val="22"/>
              </w:rPr>
            </w:pPr>
            <w:r>
              <w:rPr>
                <w:rFonts w:asciiTheme="minorHAnsi" w:hAnsiTheme="minorHAnsi"/>
                <w:sz w:val="22"/>
                <w:szCs w:val="22"/>
              </w:rPr>
              <w:t>Messinger et al., (2014)</w:t>
            </w:r>
          </w:p>
        </w:tc>
      </w:tr>
    </w:tbl>
    <w:tbl>
      <w:tblPr>
        <w:tblpPr w:leftFromText="180" w:rightFromText="180" w:vertAnchor="text" w:horzAnchor="margin" w:tblpY="280"/>
        <w:tblW w:w="13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2880"/>
        <w:gridCol w:w="7488"/>
      </w:tblGrid>
      <w:tr w:rsidR="004A3A88" w:rsidRPr="00D302D3" w14:paraId="662B2B9C" w14:textId="77777777" w:rsidTr="00E612B0">
        <w:trPr>
          <w:cantSplit/>
        </w:trPr>
        <w:tc>
          <w:tcPr>
            <w:tcW w:w="1728" w:type="dxa"/>
            <w:vMerge w:val="restart"/>
            <w:tcBorders>
              <w:top w:val="single" w:sz="4" w:space="0" w:color="auto"/>
              <w:left w:val="single" w:sz="4" w:space="0" w:color="auto"/>
              <w:right w:val="single" w:sz="4" w:space="0" w:color="auto"/>
            </w:tcBorders>
            <w:vAlign w:val="center"/>
          </w:tcPr>
          <w:p w14:paraId="74117D74" w14:textId="77777777" w:rsidR="004A3A88" w:rsidRDefault="004A3A88" w:rsidP="00B370C2">
            <w:pPr>
              <w:keepNext/>
              <w:keepLines/>
              <w:rPr>
                <w:rFonts w:asciiTheme="minorHAnsi" w:hAnsiTheme="minorHAnsi" w:cstheme="minorHAnsi"/>
                <w:b/>
                <w:color w:val="000000" w:themeColor="text1"/>
                <w:sz w:val="22"/>
                <w:szCs w:val="22"/>
              </w:rPr>
            </w:pPr>
            <w:r w:rsidRPr="004440AB">
              <w:rPr>
                <w:rFonts w:asciiTheme="minorHAnsi" w:hAnsiTheme="minorHAnsi" w:cstheme="minorHAnsi"/>
                <w:b/>
                <w:color w:val="000000" w:themeColor="text1"/>
                <w:sz w:val="22"/>
                <w:szCs w:val="22"/>
              </w:rPr>
              <w:t xml:space="preserve">Intimate Partner Violence Perpetration </w:t>
            </w:r>
            <w:r>
              <w:rPr>
                <w:rFonts w:asciiTheme="minorHAnsi" w:hAnsiTheme="minorHAnsi" w:cstheme="minorHAnsi"/>
                <w:b/>
                <w:color w:val="000000" w:themeColor="text1"/>
                <w:sz w:val="22"/>
                <w:szCs w:val="22"/>
              </w:rPr>
              <w:t>&amp; Victimization</w:t>
            </w:r>
          </w:p>
        </w:tc>
        <w:tc>
          <w:tcPr>
            <w:tcW w:w="1440" w:type="dxa"/>
            <w:tcBorders>
              <w:top w:val="single" w:sz="4" w:space="0" w:color="auto"/>
              <w:left w:val="single" w:sz="4" w:space="0" w:color="auto"/>
              <w:bottom w:val="single" w:sz="4" w:space="0" w:color="auto"/>
              <w:right w:val="single" w:sz="4" w:space="0" w:color="auto"/>
            </w:tcBorders>
            <w:vAlign w:val="center"/>
          </w:tcPr>
          <w:p w14:paraId="5E06D3BC" w14:textId="77777777" w:rsidR="004A3A88" w:rsidRPr="00D302D3"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 xml:space="preserve">Physical </w:t>
            </w:r>
          </w:p>
        </w:tc>
        <w:tc>
          <w:tcPr>
            <w:tcW w:w="2880" w:type="dxa"/>
            <w:tcBorders>
              <w:top w:val="single" w:sz="4" w:space="0" w:color="auto"/>
              <w:left w:val="single" w:sz="4" w:space="0" w:color="auto"/>
              <w:bottom w:val="single" w:sz="4" w:space="0" w:color="auto"/>
              <w:right w:val="single" w:sz="4" w:space="0" w:color="auto"/>
            </w:tcBorders>
            <w:vAlign w:val="center"/>
          </w:tcPr>
          <w:p w14:paraId="46F5B23B"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Page 23</w:t>
            </w:r>
          </w:p>
          <w:p w14:paraId="5AC36097"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Questions: 51a – g; 52; 53; 54a – u; 55a – e; 56a – g; 57-59; 60a –g; 61</w:t>
            </w:r>
          </w:p>
        </w:tc>
        <w:tc>
          <w:tcPr>
            <w:tcW w:w="7488" w:type="dxa"/>
            <w:vMerge w:val="restart"/>
            <w:tcBorders>
              <w:top w:val="single" w:sz="4" w:space="0" w:color="auto"/>
              <w:left w:val="single" w:sz="4" w:space="0" w:color="auto"/>
              <w:right w:val="single" w:sz="4" w:space="0" w:color="auto"/>
            </w:tcBorders>
          </w:tcPr>
          <w:p w14:paraId="145D74EC" w14:textId="77777777" w:rsidR="004A3A88" w:rsidRDefault="004A3A88" w:rsidP="00B370C2">
            <w:pPr>
              <w:keepNext/>
              <w:keepLines/>
              <w:rPr>
                <w:rFonts w:asciiTheme="minorHAnsi" w:hAnsiTheme="minorHAnsi"/>
                <w:sz w:val="22"/>
                <w:szCs w:val="22"/>
              </w:rPr>
            </w:pPr>
            <w:r>
              <w:rPr>
                <w:rFonts w:asciiTheme="minorHAnsi" w:hAnsiTheme="minorHAnsi"/>
                <w:sz w:val="22"/>
                <w:szCs w:val="22"/>
              </w:rPr>
              <w:t xml:space="preserve">Perpetrators of intimate violence will vary in the frequency, intensity, severity, and modality. For example, verbal/emotional violence is far more prevalent than physical and sexual IPV is the least common. Understanding the different ways in which individuals perpetrate may help identify distinct classes of perpetrators and may be associated with different risk factors. </w:t>
            </w:r>
          </w:p>
          <w:p w14:paraId="605B4312" w14:textId="77777777" w:rsidR="004A3A88" w:rsidRDefault="004A3A88" w:rsidP="00B370C2">
            <w:pPr>
              <w:keepNext/>
              <w:keepLines/>
              <w:rPr>
                <w:rFonts w:asciiTheme="minorHAnsi" w:hAnsiTheme="minorHAnsi"/>
                <w:sz w:val="22"/>
                <w:szCs w:val="22"/>
              </w:rPr>
            </w:pPr>
          </w:p>
          <w:p w14:paraId="2828F25E" w14:textId="77777777" w:rsidR="004A3A88" w:rsidRDefault="004A3A88" w:rsidP="00B370C2">
            <w:pPr>
              <w:keepNext/>
              <w:keepLines/>
              <w:rPr>
                <w:rFonts w:asciiTheme="minorHAnsi" w:hAnsiTheme="minorHAnsi"/>
                <w:sz w:val="22"/>
                <w:szCs w:val="22"/>
              </w:rPr>
            </w:pPr>
            <w:r>
              <w:rPr>
                <w:rFonts w:asciiTheme="minorHAnsi" w:hAnsiTheme="minorHAnsi"/>
                <w:sz w:val="22"/>
                <w:szCs w:val="22"/>
              </w:rPr>
              <w:t>Breiding et al., (2014)</w:t>
            </w:r>
          </w:p>
          <w:p w14:paraId="45E6B80B" w14:textId="77777777" w:rsidR="004A3A88" w:rsidRDefault="004A3A88" w:rsidP="00B370C2">
            <w:pPr>
              <w:keepNext/>
              <w:keepLines/>
              <w:rPr>
                <w:rFonts w:asciiTheme="minorHAnsi" w:hAnsiTheme="minorHAnsi"/>
                <w:sz w:val="22"/>
                <w:szCs w:val="22"/>
              </w:rPr>
            </w:pPr>
            <w:r>
              <w:rPr>
                <w:rFonts w:asciiTheme="minorHAnsi" w:hAnsiTheme="minorHAnsi"/>
                <w:sz w:val="22"/>
                <w:szCs w:val="22"/>
              </w:rPr>
              <w:t>Capaldi et al., (2012)</w:t>
            </w:r>
          </w:p>
          <w:p w14:paraId="3F2F6B2B" w14:textId="77777777" w:rsidR="004A3A88" w:rsidRDefault="004A3A88" w:rsidP="00B370C2">
            <w:pPr>
              <w:keepNext/>
              <w:keepLines/>
              <w:rPr>
                <w:rFonts w:asciiTheme="minorHAnsi" w:hAnsiTheme="minorHAnsi"/>
                <w:sz w:val="22"/>
                <w:szCs w:val="22"/>
              </w:rPr>
            </w:pPr>
            <w:r>
              <w:rPr>
                <w:rFonts w:asciiTheme="minorHAnsi" w:hAnsiTheme="minorHAnsi"/>
                <w:sz w:val="22"/>
                <w:szCs w:val="22"/>
              </w:rPr>
              <w:t>Chase et al., (2001)</w:t>
            </w:r>
          </w:p>
          <w:p w14:paraId="192F1D0D" w14:textId="77777777" w:rsidR="004A3A88" w:rsidRDefault="004A3A88" w:rsidP="00B370C2">
            <w:pPr>
              <w:keepNext/>
              <w:keepLines/>
              <w:rPr>
                <w:rFonts w:asciiTheme="minorHAnsi" w:hAnsiTheme="minorHAnsi"/>
                <w:sz w:val="22"/>
                <w:szCs w:val="22"/>
              </w:rPr>
            </w:pPr>
            <w:r>
              <w:rPr>
                <w:rFonts w:asciiTheme="minorHAnsi" w:hAnsiTheme="minorHAnsi"/>
                <w:sz w:val="22"/>
                <w:szCs w:val="22"/>
              </w:rPr>
              <w:t>Johnson, (2006, 2011)</w:t>
            </w:r>
          </w:p>
          <w:p w14:paraId="3F7A39B0" w14:textId="77777777" w:rsidR="004A3A88" w:rsidRPr="004440AB" w:rsidRDefault="004A3A88" w:rsidP="00B370C2">
            <w:pPr>
              <w:keepNext/>
              <w:keepLines/>
              <w:rPr>
                <w:rFonts w:asciiTheme="minorHAnsi" w:hAnsiTheme="minorHAnsi"/>
                <w:sz w:val="22"/>
                <w:szCs w:val="22"/>
              </w:rPr>
            </w:pPr>
            <w:r>
              <w:rPr>
                <w:rFonts w:asciiTheme="minorHAnsi" w:hAnsiTheme="minorHAnsi"/>
                <w:sz w:val="22"/>
                <w:szCs w:val="22"/>
              </w:rPr>
              <w:t>Messinger et al., (2014)</w:t>
            </w:r>
          </w:p>
        </w:tc>
      </w:tr>
      <w:tr w:rsidR="004A3A88" w:rsidRPr="00D302D3" w14:paraId="4F370CD1" w14:textId="77777777" w:rsidTr="00E612B0">
        <w:trPr>
          <w:cantSplit/>
        </w:trPr>
        <w:tc>
          <w:tcPr>
            <w:tcW w:w="1728" w:type="dxa"/>
            <w:vMerge/>
            <w:tcBorders>
              <w:left w:val="single" w:sz="4" w:space="0" w:color="auto"/>
              <w:right w:val="single" w:sz="4" w:space="0" w:color="auto"/>
            </w:tcBorders>
          </w:tcPr>
          <w:p w14:paraId="2134DBFC" w14:textId="77777777" w:rsidR="004A3A88" w:rsidRDefault="004A3A88" w:rsidP="00B370C2">
            <w:pPr>
              <w:keepNext/>
              <w:keepLines/>
              <w:rPr>
                <w:rFonts w:asciiTheme="minorHAnsi" w:hAnsiTheme="minorHAnsi" w:cstheme="minorHAnsi"/>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3E823FF" w14:textId="77777777" w:rsidR="004A3A88" w:rsidRPr="00D302D3"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Sexual</w:t>
            </w:r>
          </w:p>
        </w:tc>
        <w:tc>
          <w:tcPr>
            <w:tcW w:w="2880" w:type="dxa"/>
            <w:tcBorders>
              <w:top w:val="single" w:sz="4" w:space="0" w:color="auto"/>
              <w:left w:val="single" w:sz="4" w:space="0" w:color="auto"/>
              <w:bottom w:val="single" w:sz="4" w:space="0" w:color="auto"/>
              <w:right w:val="single" w:sz="4" w:space="0" w:color="auto"/>
            </w:tcBorders>
            <w:vAlign w:val="center"/>
          </w:tcPr>
          <w:p w14:paraId="7BB9B21E"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Page 27</w:t>
            </w:r>
          </w:p>
          <w:p w14:paraId="1DF329DA"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62a-l; 63; 64; </w:t>
            </w:r>
          </w:p>
          <w:p w14:paraId="14995AE7"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65a – p; 66a – l; 67-70</w:t>
            </w:r>
          </w:p>
        </w:tc>
        <w:tc>
          <w:tcPr>
            <w:tcW w:w="7488" w:type="dxa"/>
            <w:vMerge/>
            <w:tcBorders>
              <w:left w:val="single" w:sz="4" w:space="0" w:color="auto"/>
              <w:right w:val="single" w:sz="4" w:space="0" w:color="auto"/>
            </w:tcBorders>
          </w:tcPr>
          <w:p w14:paraId="5A410710" w14:textId="77777777" w:rsidR="004A3A88" w:rsidRPr="004440AB" w:rsidRDefault="004A3A88" w:rsidP="00B370C2">
            <w:pPr>
              <w:keepNext/>
              <w:keepLines/>
              <w:rPr>
                <w:rFonts w:asciiTheme="minorHAnsi" w:hAnsiTheme="minorHAnsi"/>
                <w:sz w:val="22"/>
                <w:szCs w:val="22"/>
              </w:rPr>
            </w:pPr>
          </w:p>
        </w:tc>
      </w:tr>
      <w:tr w:rsidR="004A3A88" w:rsidRPr="00D302D3" w14:paraId="4196EC12" w14:textId="77777777" w:rsidTr="00E612B0">
        <w:trPr>
          <w:cantSplit/>
        </w:trPr>
        <w:tc>
          <w:tcPr>
            <w:tcW w:w="1728" w:type="dxa"/>
            <w:vMerge/>
            <w:tcBorders>
              <w:left w:val="single" w:sz="4" w:space="0" w:color="auto"/>
              <w:bottom w:val="single" w:sz="4" w:space="0" w:color="auto"/>
              <w:right w:val="single" w:sz="4" w:space="0" w:color="auto"/>
            </w:tcBorders>
          </w:tcPr>
          <w:p w14:paraId="0DF38E83" w14:textId="77777777" w:rsidR="004A3A88" w:rsidRDefault="004A3A88" w:rsidP="00B370C2">
            <w:pPr>
              <w:keepNext/>
              <w:keepLines/>
              <w:rPr>
                <w:rFonts w:asciiTheme="minorHAnsi" w:hAnsiTheme="minorHAnsi" w:cstheme="minorHAnsi"/>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3AEF03C"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Verbal / Emotional</w:t>
            </w:r>
          </w:p>
        </w:tc>
        <w:tc>
          <w:tcPr>
            <w:tcW w:w="2880" w:type="dxa"/>
            <w:tcBorders>
              <w:top w:val="single" w:sz="4" w:space="0" w:color="auto"/>
              <w:left w:val="single" w:sz="4" w:space="0" w:color="auto"/>
              <w:bottom w:val="single" w:sz="4" w:space="0" w:color="auto"/>
              <w:right w:val="single" w:sz="4" w:space="0" w:color="auto"/>
            </w:tcBorders>
            <w:vAlign w:val="center"/>
          </w:tcPr>
          <w:p w14:paraId="794313EC"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Page 33</w:t>
            </w:r>
          </w:p>
          <w:p w14:paraId="1D6034AE"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Questions: 71a –g; 72; 73; 74a –g; 75; 76; 77a –g; 78</w:t>
            </w:r>
          </w:p>
        </w:tc>
        <w:tc>
          <w:tcPr>
            <w:tcW w:w="7488" w:type="dxa"/>
            <w:vMerge/>
            <w:tcBorders>
              <w:left w:val="single" w:sz="4" w:space="0" w:color="auto"/>
              <w:bottom w:val="single" w:sz="4" w:space="0" w:color="auto"/>
              <w:right w:val="single" w:sz="4" w:space="0" w:color="auto"/>
            </w:tcBorders>
          </w:tcPr>
          <w:p w14:paraId="0ED1B914" w14:textId="77777777" w:rsidR="004A3A88" w:rsidRPr="004440AB" w:rsidRDefault="004A3A88" w:rsidP="00B370C2">
            <w:pPr>
              <w:keepNext/>
              <w:keepLines/>
              <w:rPr>
                <w:rFonts w:asciiTheme="minorHAnsi" w:hAnsiTheme="minorHAnsi"/>
                <w:sz w:val="22"/>
                <w:szCs w:val="22"/>
              </w:rPr>
            </w:pPr>
          </w:p>
        </w:tc>
      </w:tr>
      <w:tr w:rsidR="004A3A88" w:rsidRPr="00D302D3" w14:paraId="78101748" w14:textId="77777777" w:rsidTr="00E612B0">
        <w:trPr>
          <w:cantSplit/>
        </w:trPr>
        <w:tc>
          <w:tcPr>
            <w:tcW w:w="1728" w:type="dxa"/>
            <w:tcBorders>
              <w:top w:val="single" w:sz="4" w:space="0" w:color="auto"/>
              <w:left w:val="single" w:sz="4" w:space="0" w:color="auto"/>
              <w:bottom w:val="single" w:sz="4" w:space="0" w:color="auto"/>
              <w:right w:val="single" w:sz="4" w:space="0" w:color="auto"/>
            </w:tcBorders>
            <w:vAlign w:val="center"/>
          </w:tcPr>
          <w:p w14:paraId="55EB37F8" w14:textId="77777777" w:rsidR="004A3A88" w:rsidRDefault="004A3A88" w:rsidP="00B370C2">
            <w:pPr>
              <w:keepNext/>
              <w:keepLines/>
              <w:rPr>
                <w:rFonts w:asciiTheme="minorHAnsi" w:hAnsiTheme="minorHAnsi" w:cstheme="minorHAnsi"/>
                <w:b/>
                <w:color w:val="000000" w:themeColor="text1"/>
                <w:sz w:val="22"/>
                <w:szCs w:val="22"/>
              </w:rPr>
            </w:pPr>
            <w:r w:rsidRPr="00FD7DEC">
              <w:rPr>
                <w:rFonts w:asciiTheme="minorHAnsi" w:hAnsiTheme="minorHAnsi" w:cstheme="minorHAnsi"/>
                <w:b/>
                <w:color w:val="000000" w:themeColor="text1"/>
                <w:sz w:val="22"/>
                <w:szCs w:val="22"/>
              </w:rPr>
              <w:t>Psychological Conditions</w:t>
            </w:r>
          </w:p>
        </w:tc>
        <w:tc>
          <w:tcPr>
            <w:tcW w:w="1440" w:type="dxa"/>
            <w:tcBorders>
              <w:top w:val="single" w:sz="4" w:space="0" w:color="auto"/>
              <w:left w:val="single" w:sz="4" w:space="0" w:color="auto"/>
              <w:bottom w:val="single" w:sz="4" w:space="0" w:color="auto"/>
              <w:right w:val="single" w:sz="4" w:space="0" w:color="auto"/>
            </w:tcBorders>
            <w:vAlign w:val="center"/>
          </w:tcPr>
          <w:p w14:paraId="3BCEFF3C"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0F2267FB"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Page 36</w:t>
            </w:r>
          </w:p>
          <w:p w14:paraId="35FBD117" w14:textId="77777777" w:rsidR="004A3A88" w:rsidRDefault="004A3A88" w:rsidP="00B370C2">
            <w:pPr>
              <w:keepNext/>
              <w:keepLines/>
              <w:rPr>
                <w:rFonts w:asciiTheme="minorHAnsi" w:hAnsiTheme="minorHAnsi" w:cstheme="minorHAnsi"/>
                <w:bCs/>
                <w:sz w:val="22"/>
                <w:szCs w:val="22"/>
              </w:rPr>
            </w:pPr>
            <w:r>
              <w:rPr>
                <w:rFonts w:asciiTheme="minorHAnsi" w:hAnsiTheme="minorHAnsi" w:cstheme="minorHAnsi"/>
                <w:bCs/>
                <w:sz w:val="22"/>
                <w:szCs w:val="22"/>
              </w:rPr>
              <w:t>Questions: 79a –i; 80; 81</w:t>
            </w:r>
          </w:p>
          <w:p w14:paraId="18912F15" w14:textId="77777777" w:rsidR="004A3A88" w:rsidRPr="002D4EC2" w:rsidRDefault="004A3A88" w:rsidP="00B370C2">
            <w:pPr>
              <w:rPr>
                <w:rFonts w:asciiTheme="minorHAnsi" w:hAnsiTheme="minorHAnsi" w:cstheme="minorHAnsi"/>
                <w:sz w:val="22"/>
                <w:szCs w:val="22"/>
              </w:rPr>
            </w:pPr>
          </w:p>
          <w:p w14:paraId="14C7F64C" w14:textId="77777777" w:rsidR="004A3A88" w:rsidRPr="002D4EC2" w:rsidRDefault="004A3A88" w:rsidP="00B370C2">
            <w:pPr>
              <w:rPr>
                <w:rFonts w:asciiTheme="minorHAnsi" w:hAnsiTheme="minorHAnsi" w:cstheme="minorHAnsi"/>
                <w:sz w:val="22"/>
                <w:szCs w:val="22"/>
              </w:rPr>
            </w:pPr>
          </w:p>
          <w:p w14:paraId="564087E4" w14:textId="77777777" w:rsidR="004A3A88" w:rsidRPr="002D4EC2" w:rsidRDefault="004A3A88" w:rsidP="00B370C2">
            <w:pPr>
              <w:rPr>
                <w:rFonts w:asciiTheme="minorHAnsi" w:hAnsiTheme="minorHAnsi" w:cstheme="minorHAnsi"/>
                <w:sz w:val="22"/>
                <w:szCs w:val="22"/>
              </w:rPr>
            </w:pPr>
          </w:p>
        </w:tc>
        <w:tc>
          <w:tcPr>
            <w:tcW w:w="7488" w:type="dxa"/>
            <w:tcBorders>
              <w:top w:val="single" w:sz="4" w:space="0" w:color="auto"/>
              <w:left w:val="single" w:sz="4" w:space="0" w:color="auto"/>
              <w:bottom w:val="single" w:sz="4" w:space="0" w:color="auto"/>
              <w:right w:val="single" w:sz="4" w:space="0" w:color="auto"/>
            </w:tcBorders>
          </w:tcPr>
          <w:p w14:paraId="04AA1E35" w14:textId="33FB28ED" w:rsidR="004A3A88" w:rsidRDefault="004A3A88" w:rsidP="00B370C2">
            <w:pPr>
              <w:keepNext/>
              <w:keepLines/>
              <w:rPr>
                <w:rFonts w:asciiTheme="minorHAnsi" w:hAnsiTheme="minorHAnsi"/>
                <w:sz w:val="22"/>
                <w:szCs w:val="22"/>
              </w:rPr>
            </w:pPr>
            <w:r>
              <w:rPr>
                <w:rFonts w:asciiTheme="minorHAnsi" w:hAnsiTheme="minorHAnsi"/>
                <w:sz w:val="22"/>
                <w:szCs w:val="22"/>
              </w:rPr>
              <w:t xml:space="preserve">Some psychological conditions are seen more frequently in IPV perpetrators as compared to men and women in nonviolent relationships. Different forms of psychopathology may differentiate types of perpetrators and point to different areas of intervention. </w:t>
            </w:r>
          </w:p>
          <w:p w14:paraId="0D558BB5" w14:textId="77777777" w:rsidR="004A3A88" w:rsidRDefault="004A3A88" w:rsidP="00B370C2">
            <w:pPr>
              <w:keepNext/>
              <w:keepLines/>
              <w:rPr>
                <w:rFonts w:asciiTheme="minorHAnsi" w:hAnsiTheme="minorHAnsi"/>
                <w:sz w:val="22"/>
                <w:szCs w:val="22"/>
              </w:rPr>
            </w:pPr>
          </w:p>
          <w:p w14:paraId="25DD57ED" w14:textId="77777777" w:rsidR="004A3A88" w:rsidRDefault="004A3A88" w:rsidP="00B370C2">
            <w:pPr>
              <w:keepNext/>
              <w:keepLines/>
              <w:rPr>
                <w:rFonts w:asciiTheme="minorHAnsi" w:hAnsiTheme="minorHAnsi"/>
                <w:sz w:val="22"/>
                <w:szCs w:val="22"/>
              </w:rPr>
            </w:pPr>
            <w:r>
              <w:rPr>
                <w:rFonts w:asciiTheme="minorHAnsi" w:hAnsiTheme="minorHAnsi"/>
                <w:sz w:val="22"/>
                <w:szCs w:val="22"/>
              </w:rPr>
              <w:t>Capaldi et al., (2012)</w:t>
            </w:r>
          </w:p>
          <w:p w14:paraId="3782E947" w14:textId="77777777" w:rsidR="004A3A88" w:rsidRDefault="004A3A88" w:rsidP="00B370C2">
            <w:pPr>
              <w:keepNext/>
              <w:keepLines/>
              <w:rPr>
                <w:rFonts w:asciiTheme="minorHAnsi" w:hAnsiTheme="minorHAnsi"/>
                <w:sz w:val="22"/>
                <w:szCs w:val="22"/>
              </w:rPr>
            </w:pPr>
            <w:r w:rsidRPr="003D62DF">
              <w:rPr>
                <w:rFonts w:asciiTheme="minorHAnsi" w:hAnsiTheme="minorHAnsi"/>
                <w:sz w:val="22"/>
                <w:szCs w:val="22"/>
              </w:rPr>
              <w:t xml:space="preserve">Hoyt, </w:t>
            </w:r>
            <w:r>
              <w:rPr>
                <w:rFonts w:asciiTheme="minorHAnsi" w:hAnsiTheme="minorHAnsi"/>
                <w:sz w:val="22"/>
                <w:szCs w:val="22"/>
              </w:rPr>
              <w:t xml:space="preserve">et al., </w:t>
            </w:r>
            <w:r w:rsidRPr="003D62DF">
              <w:rPr>
                <w:rFonts w:asciiTheme="minorHAnsi" w:hAnsiTheme="minorHAnsi"/>
                <w:sz w:val="22"/>
                <w:szCs w:val="22"/>
              </w:rPr>
              <w:t xml:space="preserve">(2012). </w:t>
            </w:r>
            <w:r>
              <w:rPr>
                <w:rFonts w:asciiTheme="minorHAnsi" w:hAnsiTheme="minorHAnsi"/>
                <w:sz w:val="22"/>
                <w:szCs w:val="22"/>
              </w:rPr>
              <w:t xml:space="preserve"> </w:t>
            </w:r>
          </w:p>
          <w:p w14:paraId="343C1BE4" w14:textId="77777777" w:rsidR="004A3A88" w:rsidRDefault="004A3A88" w:rsidP="00B370C2">
            <w:pPr>
              <w:keepNext/>
              <w:keepLines/>
              <w:rPr>
                <w:rFonts w:asciiTheme="minorHAnsi" w:hAnsiTheme="minorHAnsi"/>
                <w:sz w:val="22"/>
                <w:szCs w:val="22"/>
              </w:rPr>
            </w:pPr>
            <w:r>
              <w:rPr>
                <w:rFonts w:asciiTheme="minorHAnsi" w:hAnsiTheme="minorHAnsi"/>
                <w:sz w:val="22"/>
                <w:szCs w:val="22"/>
              </w:rPr>
              <w:t>Huss &amp; Langhinrichsen-Rohling, (2006)</w:t>
            </w:r>
          </w:p>
          <w:p w14:paraId="0106BE2B" w14:textId="77777777" w:rsidR="004A3A88" w:rsidRPr="004440AB" w:rsidRDefault="004A3A88" w:rsidP="00B370C2">
            <w:pPr>
              <w:keepNext/>
              <w:keepLines/>
              <w:rPr>
                <w:rFonts w:asciiTheme="minorHAnsi" w:hAnsiTheme="minorHAnsi"/>
                <w:sz w:val="22"/>
                <w:szCs w:val="22"/>
              </w:rPr>
            </w:pPr>
            <w:r>
              <w:rPr>
                <w:rFonts w:asciiTheme="minorHAnsi" w:hAnsiTheme="minorHAnsi"/>
                <w:sz w:val="22"/>
                <w:szCs w:val="22"/>
              </w:rPr>
              <w:t>Ross &amp; Babcock (2009)</w:t>
            </w:r>
          </w:p>
        </w:tc>
      </w:tr>
    </w:tbl>
    <w:p w14:paraId="1C5A237D" w14:textId="77777777" w:rsidR="00CF08B7" w:rsidRDefault="00CF08B7">
      <w:pPr>
        <w:spacing w:after="160" w:line="259" w:lineRule="auto"/>
      </w:pPr>
      <w:r>
        <w:br w:type="page"/>
      </w:r>
    </w:p>
    <w:p w14:paraId="49102F7A" w14:textId="77777777" w:rsidR="00F56DC1" w:rsidRDefault="00F56DC1" w:rsidP="002D153F">
      <w:pPr>
        <w:spacing w:after="160" w:line="259" w:lineRule="auto"/>
      </w:pPr>
    </w:p>
    <w:tbl>
      <w:tblPr>
        <w:tblpPr w:leftFromText="180" w:rightFromText="180" w:vertAnchor="text" w:horzAnchor="margin" w:tblpY="-614"/>
        <w:tblW w:w="13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2880"/>
        <w:gridCol w:w="7488"/>
      </w:tblGrid>
      <w:tr w:rsidR="004A3A88" w:rsidRPr="00D302D3" w14:paraId="14D4370F" w14:textId="77777777" w:rsidTr="00E612B0">
        <w:trPr>
          <w:cantSplit/>
        </w:trPr>
        <w:tc>
          <w:tcPr>
            <w:tcW w:w="1728" w:type="dxa"/>
            <w:tcBorders>
              <w:top w:val="single" w:sz="4" w:space="0" w:color="auto"/>
              <w:left w:val="single" w:sz="4" w:space="0" w:color="auto"/>
              <w:bottom w:val="single" w:sz="4" w:space="0" w:color="auto"/>
              <w:right w:val="single" w:sz="4" w:space="0" w:color="auto"/>
            </w:tcBorders>
            <w:vAlign w:val="center"/>
          </w:tcPr>
          <w:p w14:paraId="0CFA3696" w14:textId="77777777" w:rsidR="004A3A88" w:rsidRPr="00FD7DEC" w:rsidRDefault="004A3A88" w:rsidP="006A131F">
            <w:pPr>
              <w:keepNext/>
              <w:keepLine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Substance Use</w:t>
            </w:r>
          </w:p>
        </w:tc>
        <w:tc>
          <w:tcPr>
            <w:tcW w:w="1440" w:type="dxa"/>
            <w:tcBorders>
              <w:top w:val="single" w:sz="4" w:space="0" w:color="auto"/>
              <w:left w:val="single" w:sz="4" w:space="0" w:color="auto"/>
              <w:bottom w:val="single" w:sz="4" w:space="0" w:color="auto"/>
              <w:right w:val="single" w:sz="4" w:space="0" w:color="auto"/>
            </w:tcBorders>
            <w:vAlign w:val="center"/>
          </w:tcPr>
          <w:p w14:paraId="760CD51B" w14:textId="77777777" w:rsidR="004A3A88" w:rsidRDefault="004A3A88" w:rsidP="006A131F">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65586AFC"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37</w:t>
            </w:r>
          </w:p>
          <w:p w14:paraId="0C0D4142"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82a –i; 83a – i; </w:t>
            </w:r>
          </w:p>
          <w:p w14:paraId="738D302E" w14:textId="77777777" w:rsidR="004A3A88" w:rsidRDefault="004A3A88" w:rsidP="00D76D0B">
            <w:pPr>
              <w:keepNext/>
              <w:keepLines/>
              <w:rPr>
                <w:rFonts w:asciiTheme="minorHAnsi" w:hAnsiTheme="minorHAnsi" w:cstheme="minorHAnsi"/>
                <w:bCs/>
                <w:sz w:val="22"/>
                <w:szCs w:val="22"/>
              </w:rPr>
            </w:pPr>
          </w:p>
        </w:tc>
        <w:tc>
          <w:tcPr>
            <w:tcW w:w="7488" w:type="dxa"/>
            <w:tcBorders>
              <w:top w:val="single" w:sz="4" w:space="0" w:color="auto"/>
              <w:left w:val="single" w:sz="4" w:space="0" w:color="auto"/>
              <w:bottom w:val="single" w:sz="4" w:space="0" w:color="auto"/>
              <w:right w:val="single" w:sz="4" w:space="0" w:color="auto"/>
            </w:tcBorders>
          </w:tcPr>
          <w:p w14:paraId="0A7E3F30" w14:textId="77777777" w:rsidR="004A3A88" w:rsidRDefault="004A3A88" w:rsidP="006A131F">
            <w:pPr>
              <w:keepNext/>
              <w:keepLines/>
              <w:rPr>
                <w:rFonts w:asciiTheme="minorHAnsi" w:hAnsiTheme="minorHAnsi"/>
                <w:sz w:val="22"/>
                <w:szCs w:val="22"/>
              </w:rPr>
            </w:pPr>
            <w:r>
              <w:rPr>
                <w:rFonts w:asciiTheme="minorHAnsi" w:hAnsiTheme="minorHAnsi"/>
                <w:sz w:val="22"/>
                <w:szCs w:val="22"/>
              </w:rPr>
              <w:t>Substance use has frequently co-exists with IPV perpetration and been uniquely associated with violent incidents on days of consumption.</w:t>
            </w:r>
          </w:p>
          <w:p w14:paraId="284ACC43" w14:textId="77777777" w:rsidR="004A3A88" w:rsidRDefault="004A3A88" w:rsidP="006A131F">
            <w:pPr>
              <w:keepNext/>
              <w:keepLines/>
              <w:rPr>
                <w:rFonts w:asciiTheme="minorHAnsi" w:hAnsiTheme="minorHAnsi"/>
                <w:sz w:val="22"/>
                <w:szCs w:val="22"/>
              </w:rPr>
            </w:pPr>
          </w:p>
          <w:p w14:paraId="588AE62D" w14:textId="77777777" w:rsidR="004A3A88" w:rsidRDefault="004A3A88" w:rsidP="006A131F">
            <w:pPr>
              <w:keepNext/>
              <w:keepLines/>
              <w:rPr>
                <w:rFonts w:asciiTheme="minorHAnsi" w:hAnsiTheme="minorHAnsi"/>
                <w:sz w:val="22"/>
                <w:szCs w:val="22"/>
              </w:rPr>
            </w:pPr>
            <w:r>
              <w:rPr>
                <w:rFonts w:asciiTheme="minorHAnsi" w:hAnsiTheme="minorHAnsi"/>
                <w:sz w:val="22"/>
                <w:szCs w:val="22"/>
              </w:rPr>
              <w:t>Capaldi et al., (2012)</w:t>
            </w:r>
          </w:p>
          <w:p w14:paraId="63AD4342" w14:textId="77777777" w:rsidR="004A3A88" w:rsidRDefault="004A3A88" w:rsidP="006A131F">
            <w:pPr>
              <w:keepNext/>
              <w:keepLines/>
              <w:rPr>
                <w:rFonts w:asciiTheme="minorHAnsi" w:hAnsiTheme="minorHAnsi"/>
                <w:sz w:val="22"/>
                <w:szCs w:val="22"/>
              </w:rPr>
            </w:pPr>
            <w:r>
              <w:rPr>
                <w:rFonts w:asciiTheme="minorHAnsi" w:hAnsiTheme="minorHAnsi"/>
                <w:sz w:val="22"/>
                <w:szCs w:val="22"/>
              </w:rPr>
              <w:t>Ruff et al., (2010)</w:t>
            </w:r>
          </w:p>
          <w:p w14:paraId="08FA1EEF" w14:textId="77777777" w:rsidR="004A3A88" w:rsidRDefault="004A3A88" w:rsidP="006A131F">
            <w:pPr>
              <w:keepNext/>
              <w:keepLines/>
              <w:rPr>
                <w:rFonts w:asciiTheme="minorHAnsi" w:hAnsiTheme="minorHAnsi"/>
                <w:sz w:val="22"/>
                <w:szCs w:val="22"/>
              </w:rPr>
            </w:pPr>
            <w:r>
              <w:rPr>
                <w:rFonts w:asciiTheme="minorHAnsi" w:hAnsiTheme="minorHAnsi"/>
                <w:sz w:val="22"/>
                <w:szCs w:val="22"/>
              </w:rPr>
              <w:t>Testa et al., (2003)</w:t>
            </w:r>
          </w:p>
          <w:p w14:paraId="7E817623" w14:textId="77777777" w:rsidR="004A3A88" w:rsidRPr="004440AB" w:rsidRDefault="004A3A88" w:rsidP="006A131F">
            <w:pPr>
              <w:keepNext/>
              <w:keepLines/>
              <w:rPr>
                <w:rFonts w:asciiTheme="minorHAnsi" w:hAnsiTheme="minorHAnsi"/>
                <w:sz w:val="22"/>
                <w:szCs w:val="22"/>
              </w:rPr>
            </w:pPr>
            <w:r>
              <w:rPr>
                <w:rFonts w:asciiTheme="minorHAnsi" w:hAnsiTheme="minorHAnsi"/>
                <w:sz w:val="22"/>
                <w:szCs w:val="22"/>
              </w:rPr>
              <w:t>Ting et al., (2009)</w:t>
            </w:r>
          </w:p>
        </w:tc>
      </w:tr>
      <w:tr w:rsidR="004A3A88" w:rsidRPr="00D302D3" w14:paraId="69A82B6A" w14:textId="77777777" w:rsidTr="00E612B0">
        <w:trPr>
          <w:cantSplit/>
        </w:trPr>
        <w:tc>
          <w:tcPr>
            <w:tcW w:w="1728" w:type="dxa"/>
            <w:tcBorders>
              <w:top w:val="single" w:sz="4" w:space="0" w:color="auto"/>
              <w:left w:val="single" w:sz="4" w:space="0" w:color="auto"/>
              <w:bottom w:val="single" w:sz="4" w:space="0" w:color="auto"/>
              <w:right w:val="single" w:sz="4" w:space="0" w:color="auto"/>
            </w:tcBorders>
            <w:vAlign w:val="center"/>
          </w:tcPr>
          <w:p w14:paraId="2C50F725" w14:textId="77777777" w:rsidR="004A3A88" w:rsidRDefault="004A3A88" w:rsidP="006A131F">
            <w:pPr>
              <w:keepNext/>
              <w:keepLines/>
              <w:rPr>
                <w:rFonts w:asciiTheme="minorHAnsi" w:hAnsiTheme="minorHAnsi" w:cstheme="minorHAnsi"/>
                <w:b/>
                <w:color w:val="000000" w:themeColor="text1"/>
                <w:sz w:val="22"/>
                <w:szCs w:val="22"/>
              </w:rPr>
            </w:pPr>
            <w:r w:rsidRPr="00FD7DEC">
              <w:rPr>
                <w:rFonts w:asciiTheme="minorHAnsi" w:hAnsiTheme="minorHAnsi" w:cstheme="minorHAnsi"/>
                <w:b/>
                <w:color w:val="000000" w:themeColor="text1"/>
                <w:sz w:val="22"/>
                <w:szCs w:val="22"/>
              </w:rPr>
              <w:t>Sexual Preference and Attraction</w:t>
            </w:r>
          </w:p>
        </w:tc>
        <w:tc>
          <w:tcPr>
            <w:tcW w:w="1440" w:type="dxa"/>
            <w:tcBorders>
              <w:top w:val="single" w:sz="4" w:space="0" w:color="auto"/>
              <w:left w:val="single" w:sz="4" w:space="0" w:color="auto"/>
              <w:bottom w:val="single" w:sz="4" w:space="0" w:color="auto"/>
              <w:right w:val="single" w:sz="4" w:space="0" w:color="auto"/>
            </w:tcBorders>
            <w:vAlign w:val="center"/>
          </w:tcPr>
          <w:p w14:paraId="3925FEDD" w14:textId="77777777" w:rsidR="004A3A88" w:rsidRDefault="004A3A88" w:rsidP="006A131F">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01AF3583"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39</w:t>
            </w:r>
          </w:p>
          <w:p w14:paraId="39A4922C"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Questions: 84-86</w:t>
            </w:r>
          </w:p>
          <w:p w14:paraId="79886292" w14:textId="77777777" w:rsidR="004A3A88" w:rsidRDefault="004A3A88" w:rsidP="00D76D0B">
            <w:pPr>
              <w:keepNext/>
              <w:keepLines/>
              <w:rPr>
                <w:rFonts w:asciiTheme="minorHAnsi" w:hAnsiTheme="minorHAnsi" w:cstheme="minorHAnsi"/>
                <w:bCs/>
                <w:sz w:val="22"/>
                <w:szCs w:val="22"/>
              </w:rPr>
            </w:pPr>
          </w:p>
          <w:p w14:paraId="003A81EA" w14:textId="77777777" w:rsidR="004A3A88" w:rsidRDefault="004A3A88" w:rsidP="00D76D0B">
            <w:pPr>
              <w:keepNext/>
              <w:keepLines/>
              <w:rPr>
                <w:rFonts w:asciiTheme="minorHAnsi" w:hAnsiTheme="minorHAnsi" w:cstheme="minorHAnsi"/>
                <w:bCs/>
                <w:sz w:val="22"/>
                <w:szCs w:val="22"/>
              </w:rPr>
            </w:pPr>
          </w:p>
        </w:tc>
        <w:tc>
          <w:tcPr>
            <w:tcW w:w="7488" w:type="dxa"/>
            <w:tcBorders>
              <w:top w:val="single" w:sz="4" w:space="0" w:color="auto"/>
              <w:left w:val="single" w:sz="4" w:space="0" w:color="auto"/>
              <w:bottom w:val="single" w:sz="4" w:space="0" w:color="auto"/>
              <w:right w:val="single" w:sz="4" w:space="0" w:color="auto"/>
            </w:tcBorders>
          </w:tcPr>
          <w:p w14:paraId="5F969FAF" w14:textId="77777777" w:rsidR="004A3A88" w:rsidRDefault="004A3A88" w:rsidP="006A131F">
            <w:pPr>
              <w:keepNext/>
              <w:keepLines/>
              <w:rPr>
                <w:rFonts w:asciiTheme="minorHAnsi" w:hAnsiTheme="minorHAnsi"/>
                <w:sz w:val="22"/>
                <w:szCs w:val="22"/>
              </w:rPr>
            </w:pPr>
            <w:r>
              <w:rPr>
                <w:rFonts w:asciiTheme="minorHAnsi" w:hAnsiTheme="minorHAnsi"/>
                <w:sz w:val="22"/>
                <w:szCs w:val="22"/>
              </w:rPr>
              <w:t xml:space="preserve">Some research suggests that the rates and nature of IPV perpetration and victimization may be affected by the sexual orientation of the relationship (i.e., same-sex vs. heterosexual). Given that little is known about risk and protective factors and relationships dynamics among gay and lesbian populations, it critical to assess the potential that class of perpetrators may be influenced by sexuality. </w:t>
            </w:r>
          </w:p>
          <w:p w14:paraId="3078E6D3" w14:textId="77777777" w:rsidR="004A3A88" w:rsidRDefault="004A3A88" w:rsidP="006A131F">
            <w:pPr>
              <w:keepNext/>
              <w:keepLines/>
              <w:rPr>
                <w:rFonts w:asciiTheme="minorHAnsi" w:hAnsiTheme="minorHAnsi"/>
                <w:sz w:val="22"/>
                <w:szCs w:val="22"/>
              </w:rPr>
            </w:pPr>
          </w:p>
          <w:p w14:paraId="293C043F" w14:textId="77777777" w:rsidR="004A3A88" w:rsidRDefault="004A3A88" w:rsidP="006A131F">
            <w:pPr>
              <w:keepNext/>
              <w:keepLines/>
              <w:rPr>
                <w:rFonts w:asciiTheme="minorHAnsi" w:hAnsiTheme="minorHAnsi" w:cstheme="minorHAnsi"/>
                <w:sz w:val="22"/>
              </w:rPr>
            </w:pPr>
            <w:r w:rsidRPr="00C86092">
              <w:rPr>
                <w:rFonts w:asciiTheme="minorHAnsi" w:hAnsiTheme="minorHAnsi" w:cstheme="minorHAnsi"/>
                <w:sz w:val="22"/>
              </w:rPr>
              <w:t xml:space="preserve">Edwards et al., 2015; </w:t>
            </w:r>
          </w:p>
          <w:p w14:paraId="7E7BA552" w14:textId="77777777" w:rsidR="004A3A88" w:rsidRDefault="004A3A88" w:rsidP="006A131F">
            <w:pPr>
              <w:keepNext/>
              <w:keepLines/>
              <w:rPr>
                <w:rFonts w:asciiTheme="minorHAnsi" w:hAnsiTheme="minorHAnsi" w:cstheme="minorHAnsi"/>
                <w:sz w:val="22"/>
              </w:rPr>
            </w:pPr>
            <w:r w:rsidRPr="00C86092">
              <w:rPr>
                <w:rFonts w:asciiTheme="minorHAnsi" w:hAnsiTheme="minorHAnsi" w:cstheme="minorHAnsi"/>
                <w:sz w:val="22"/>
              </w:rPr>
              <w:t xml:space="preserve">Graham et al., 2016; </w:t>
            </w:r>
          </w:p>
          <w:p w14:paraId="68824315" w14:textId="77777777" w:rsidR="004A3A88" w:rsidRDefault="004A3A88" w:rsidP="00C86092">
            <w:pPr>
              <w:keepNext/>
              <w:keepLines/>
              <w:rPr>
                <w:rFonts w:asciiTheme="minorHAnsi" w:hAnsiTheme="minorHAnsi"/>
                <w:sz w:val="22"/>
                <w:szCs w:val="22"/>
              </w:rPr>
            </w:pPr>
            <w:r>
              <w:rPr>
                <w:rFonts w:asciiTheme="minorHAnsi" w:hAnsiTheme="minorHAnsi"/>
                <w:sz w:val="22"/>
                <w:szCs w:val="22"/>
              </w:rPr>
              <w:t>Gonzalez-Guarda et al., (2013)</w:t>
            </w:r>
          </w:p>
          <w:p w14:paraId="6854660D" w14:textId="77777777" w:rsidR="004A3A88" w:rsidRDefault="004A3A88" w:rsidP="006A131F">
            <w:pPr>
              <w:keepNext/>
              <w:keepLines/>
              <w:rPr>
                <w:rFonts w:asciiTheme="minorHAnsi" w:hAnsiTheme="minorHAnsi" w:cstheme="minorHAnsi"/>
                <w:sz w:val="22"/>
              </w:rPr>
            </w:pPr>
            <w:r w:rsidRPr="00C86092">
              <w:rPr>
                <w:rFonts w:asciiTheme="minorHAnsi" w:hAnsiTheme="minorHAnsi" w:cstheme="minorHAnsi"/>
                <w:sz w:val="22"/>
              </w:rPr>
              <w:t xml:space="preserve">Stiles-Shields &amp; Carroll, 2015; </w:t>
            </w:r>
          </w:p>
          <w:p w14:paraId="08DBF05F" w14:textId="77777777" w:rsidR="004A3A88" w:rsidRDefault="004A3A88" w:rsidP="00C86092">
            <w:pPr>
              <w:keepNext/>
              <w:keepLines/>
              <w:rPr>
                <w:rFonts w:asciiTheme="minorHAnsi" w:hAnsiTheme="minorHAnsi"/>
                <w:sz w:val="22"/>
                <w:szCs w:val="22"/>
              </w:rPr>
            </w:pPr>
            <w:r>
              <w:rPr>
                <w:rFonts w:asciiTheme="minorHAnsi" w:hAnsiTheme="minorHAnsi"/>
                <w:sz w:val="22"/>
                <w:szCs w:val="22"/>
              </w:rPr>
              <w:t>Reidy et al., (2014)</w:t>
            </w:r>
          </w:p>
          <w:p w14:paraId="78A11259" w14:textId="77777777" w:rsidR="004A3A88" w:rsidRPr="004440AB" w:rsidRDefault="004A3A88" w:rsidP="00C86092">
            <w:pPr>
              <w:keepNext/>
              <w:keepLines/>
              <w:rPr>
                <w:rFonts w:asciiTheme="minorHAnsi" w:hAnsiTheme="minorHAnsi"/>
                <w:sz w:val="22"/>
                <w:szCs w:val="22"/>
              </w:rPr>
            </w:pPr>
            <w:r w:rsidRPr="00C86092">
              <w:rPr>
                <w:rFonts w:asciiTheme="minorHAnsi" w:hAnsiTheme="minorHAnsi" w:cstheme="minorHAnsi"/>
                <w:sz w:val="22"/>
              </w:rPr>
              <w:t>Walters et al., 2013</w:t>
            </w:r>
            <w:r w:rsidRPr="00F65BEE">
              <w:rPr>
                <w:rFonts w:asciiTheme="minorHAnsi" w:hAnsiTheme="minorHAnsi"/>
                <w:sz w:val="22"/>
                <w:szCs w:val="22"/>
              </w:rPr>
              <w:t xml:space="preserve"> </w:t>
            </w:r>
            <w:r>
              <w:rPr>
                <w:rFonts w:asciiTheme="minorHAnsi" w:hAnsiTheme="minorHAnsi"/>
                <w:sz w:val="22"/>
                <w:szCs w:val="22"/>
              </w:rPr>
              <w:t xml:space="preserve"> </w:t>
            </w:r>
            <w:r w:rsidRPr="00F65BEE">
              <w:rPr>
                <w:rFonts w:asciiTheme="minorHAnsi" w:hAnsiTheme="minorHAnsi"/>
                <w:sz w:val="22"/>
                <w:szCs w:val="22"/>
              </w:rPr>
              <w:t xml:space="preserve"> </w:t>
            </w:r>
            <w:r>
              <w:rPr>
                <w:rFonts w:asciiTheme="minorHAnsi" w:hAnsiTheme="minorHAnsi"/>
                <w:sz w:val="22"/>
                <w:szCs w:val="22"/>
              </w:rPr>
              <w:t xml:space="preserve"> </w:t>
            </w:r>
          </w:p>
        </w:tc>
      </w:tr>
      <w:tr w:rsidR="004A3A88" w:rsidRPr="00D302D3" w14:paraId="1F212C95" w14:textId="77777777" w:rsidTr="00E612B0">
        <w:trPr>
          <w:cantSplit/>
        </w:trPr>
        <w:tc>
          <w:tcPr>
            <w:tcW w:w="1728" w:type="dxa"/>
            <w:tcBorders>
              <w:top w:val="single" w:sz="4" w:space="0" w:color="auto"/>
              <w:left w:val="single" w:sz="4" w:space="0" w:color="auto"/>
              <w:bottom w:val="single" w:sz="4" w:space="0" w:color="auto"/>
              <w:right w:val="single" w:sz="4" w:space="0" w:color="auto"/>
            </w:tcBorders>
            <w:vAlign w:val="center"/>
          </w:tcPr>
          <w:p w14:paraId="73967EA3" w14:textId="77777777" w:rsidR="004A3A88" w:rsidRPr="00FD7DEC" w:rsidRDefault="004A3A88" w:rsidP="006A131F">
            <w:pPr>
              <w:keepNext/>
              <w:keepLine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Gender Roles</w:t>
            </w:r>
          </w:p>
        </w:tc>
        <w:tc>
          <w:tcPr>
            <w:tcW w:w="1440" w:type="dxa"/>
            <w:tcBorders>
              <w:top w:val="single" w:sz="4" w:space="0" w:color="auto"/>
              <w:left w:val="single" w:sz="4" w:space="0" w:color="auto"/>
              <w:bottom w:val="single" w:sz="4" w:space="0" w:color="auto"/>
              <w:right w:val="single" w:sz="4" w:space="0" w:color="auto"/>
            </w:tcBorders>
            <w:vAlign w:val="center"/>
          </w:tcPr>
          <w:p w14:paraId="6F851A17" w14:textId="77777777" w:rsidR="004A3A88" w:rsidRDefault="004A3A88" w:rsidP="006A131F">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6046CD54"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40</w:t>
            </w:r>
          </w:p>
          <w:p w14:paraId="173FFBCA"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87a –k; 88a – p; 89a – k; 90a – k </w:t>
            </w:r>
          </w:p>
          <w:p w14:paraId="0CAB39EB" w14:textId="77777777" w:rsidR="004A3A88" w:rsidRDefault="004A3A88" w:rsidP="00D76D0B">
            <w:pPr>
              <w:keepNext/>
              <w:keepLines/>
              <w:rPr>
                <w:rFonts w:asciiTheme="minorHAnsi" w:hAnsiTheme="minorHAnsi" w:cstheme="minorHAnsi"/>
                <w:bCs/>
                <w:sz w:val="22"/>
                <w:szCs w:val="22"/>
              </w:rPr>
            </w:pPr>
          </w:p>
          <w:p w14:paraId="1FD9B56E" w14:textId="77777777" w:rsidR="004A3A88" w:rsidRDefault="004A3A88" w:rsidP="00D76D0B">
            <w:pPr>
              <w:keepNext/>
              <w:keepLines/>
              <w:rPr>
                <w:rFonts w:asciiTheme="minorHAnsi" w:hAnsiTheme="minorHAnsi" w:cstheme="minorHAnsi"/>
                <w:bCs/>
                <w:sz w:val="22"/>
                <w:szCs w:val="22"/>
              </w:rPr>
            </w:pPr>
          </w:p>
        </w:tc>
        <w:tc>
          <w:tcPr>
            <w:tcW w:w="7488" w:type="dxa"/>
            <w:tcBorders>
              <w:top w:val="single" w:sz="4" w:space="0" w:color="auto"/>
              <w:left w:val="single" w:sz="4" w:space="0" w:color="auto"/>
              <w:bottom w:val="single" w:sz="4" w:space="0" w:color="auto"/>
              <w:right w:val="single" w:sz="4" w:space="0" w:color="auto"/>
            </w:tcBorders>
          </w:tcPr>
          <w:p w14:paraId="7E11F441" w14:textId="77777777" w:rsidR="004A3A88" w:rsidRDefault="004A3A88" w:rsidP="006A131F">
            <w:pPr>
              <w:keepNext/>
              <w:keepLines/>
              <w:rPr>
                <w:rFonts w:asciiTheme="minorHAnsi" w:hAnsiTheme="minorHAnsi"/>
                <w:sz w:val="22"/>
                <w:szCs w:val="22"/>
              </w:rPr>
            </w:pPr>
            <w:r>
              <w:rPr>
                <w:rFonts w:asciiTheme="minorHAnsi" w:hAnsiTheme="minorHAnsi"/>
                <w:sz w:val="22"/>
                <w:szCs w:val="22"/>
              </w:rPr>
              <w:t xml:space="preserve">Belief is rigid or stereotypical gender roles correlates to IPV. However there are number disitnctions among gender roles and the manner one (non)conforms and the potential forms of stress that may be associated with gender role conformity and IPV. </w:t>
            </w:r>
          </w:p>
          <w:p w14:paraId="11D463C4" w14:textId="77777777" w:rsidR="004A3A88" w:rsidRDefault="004A3A88" w:rsidP="006A131F">
            <w:pPr>
              <w:keepNext/>
              <w:keepLines/>
              <w:rPr>
                <w:rFonts w:asciiTheme="minorHAnsi" w:hAnsiTheme="minorHAnsi"/>
                <w:sz w:val="22"/>
                <w:szCs w:val="22"/>
              </w:rPr>
            </w:pPr>
          </w:p>
          <w:p w14:paraId="1C041D50" w14:textId="77777777" w:rsidR="004A3A88" w:rsidRDefault="004A3A88" w:rsidP="006A131F">
            <w:pPr>
              <w:keepNext/>
              <w:keepLines/>
              <w:rPr>
                <w:rFonts w:asciiTheme="minorHAnsi" w:hAnsiTheme="minorHAnsi"/>
                <w:sz w:val="22"/>
                <w:szCs w:val="22"/>
              </w:rPr>
            </w:pPr>
            <w:r w:rsidRPr="00167B05">
              <w:rPr>
                <w:rFonts w:asciiTheme="minorHAnsi" w:hAnsiTheme="minorHAnsi"/>
                <w:sz w:val="22"/>
                <w:szCs w:val="22"/>
              </w:rPr>
              <w:t>Eaton</w:t>
            </w:r>
            <w:r>
              <w:rPr>
                <w:rFonts w:asciiTheme="minorHAnsi" w:hAnsiTheme="minorHAnsi"/>
                <w:sz w:val="22"/>
                <w:szCs w:val="22"/>
              </w:rPr>
              <w:t xml:space="preserve"> &amp; Matamala, (2014)</w:t>
            </w:r>
          </w:p>
          <w:p w14:paraId="64E547FF" w14:textId="77777777" w:rsidR="004A3A88" w:rsidRDefault="004A3A88" w:rsidP="006A131F">
            <w:pPr>
              <w:keepNext/>
              <w:keepLines/>
              <w:rPr>
                <w:rFonts w:asciiTheme="minorHAnsi" w:hAnsiTheme="minorHAnsi"/>
                <w:sz w:val="22"/>
                <w:szCs w:val="22"/>
              </w:rPr>
            </w:pPr>
            <w:r>
              <w:rPr>
                <w:rFonts w:asciiTheme="minorHAnsi" w:hAnsiTheme="minorHAnsi"/>
                <w:sz w:val="22"/>
                <w:szCs w:val="22"/>
              </w:rPr>
              <w:t>Guerrero, (2009)</w:t>
            </w:r>
          </w:p>
          <w:p w14:paraId="4B07FBD8" w14:textId="77777777" w:rsidR="004A3A88" w:rsidRDefault="004A3A88" w:rsidP="006A131F">
            <w:pPr>
              <w:keepNext/>
              <w:keepLines/>
              <w:rPr>
                <w:rFonts w:asciiTheme="minorHAnsi" w:hAnsiTheme="minorHAnsi"/>
                <w:sz w:val="22"/>
                <w:szCs w:val="22"/>
              </w:rPr>
            </w:pPr>
            <w:r>
              <w:rPr>
                <w:rFonts w:asciiTheme="minorHAnsi" w:hAnsiTheme="minorHAnsi"/>
                <w:sz w:val="22"/>
                <w:szCs w:val="22"/>
              </w:rPr>
              <w:t>Parrott &amp; Zeichner (2003)</w:t>
            </w:r>
          </w:p>
          <w:p w14:paraId="0C557120" w14:textId="77777777" w:rsidR="004A3A88" w:rsidRPr="004440AB" w:rsidRDefault="004A3A88" w:rsidP="006A131F">
            <w:pPr>
              <w:keepNext/>
              <w:keepLines/>
              <w:rPr>
                <w:rFonts w:asciiTheme="minorHAnsi" w:hAnsiTheme="minorHAnsi"/>
                <w:sz w:val="22"/>
                <w:szCs w:val="22"/>
              </w:rPr>
            </w:pPr>
            <w:r>
              <w:rPr>
                <w:rFonts w:asciiTheme="minorHAnsi" w:hAnsiTheme="minorHAnsi"/>
                <w:sz w:val="22"/>
                <w:szCs w:val="22"/>
              </w:rPr>
              <w:t>Reidy et al., (2014)</w:t>
            </w:r>
          </w:p>
        </w:tc>
      </w:tr>
      <w:tr w:rsidR="004A3A88" w:rsidRPr="00D302D3" w14:paraId="5C912378" w14:textId="77777777" w:rsidTr="00E612B0">
        <w:trPr>
          <w:cantSplit/>
        </w:trPr>
        <w:tc>
          <w:tcPr>
            <w:tcW w:w="1728" w:type="dxa"/>
            <w:tcBorders>
              <w:top w:val="single" w:sz="4" w:space="0" w:color="auto"/>
              <w:left w:val="single" w:sz="4" w:space="0" w:color="auto"/>
              <w:bottom w:val="single" w:sz="4" w:space="0" w:color="auto"/>
              <w:right w:val="single" w:sz="4" w:space="0" w:color="auto"/>
            </w:tcBorders>
            <w:vAlign w:val="center"/>
          </w:tcPr>
          <w:p w14:paraId="56B802B4" w14:textId="77777777" w:rsidR="004A3A88" w:rsidRDefault="004A3A88" w:rsidP="006A131F">
            <w:pPr>
              <w:keepNext/>
              <w:keepLines/>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Self-esteem and Self-efficacy </w:t>
            </w:r>
          </w:p>
        </w:tc>
        <w:tc>
          <w:tcPr>
            <w:tcW w:w="1440" w:type="dxa"/>
            <w:tcBorders>
              <w:top w:val="single" w:sz="4" w:space="0" w:color="auto"/>
              <w:left w:val="single" w:sz="4" w:space="0" w:color="auto"/>
              <w:bottom w:val="single" w:sz="4" w:space="0" w:color="auto"/>
              <w:right w:val="single" w:sz="4" w:space="0" w:color="auto"/>
            </w:tcBorders>
            <w:vAlign w:val="center"/>
          </w:tcPr>
          <w:p w14:paraId="6C4CA488" w14:textId="77777777" w:rsidR="004A3A88" w:rsidRDefault="004A3A88" w:rsidP="006A131F">
            <w:pPr>
              <w:keepNext/>
              <w:keepLines/>
              <w:rPr>
                <w:rFonts w:asciiTheme="minorHAnsi" w:hAnsiTheme="minorHAnsi" w:cstheme="minorHAnsi"/>
                <w:bCs/>
                <w:sz w:val="22"/>
                <w:szCs w:val="22"/>
              </w:rPr>
            </w:pPr>
            <w:r>
              <w:rPr>
                <w:rFonts w:asciiTheme="minorHAnsi" w:hAnsiTheme="minorHAnsi" w:cstheme="minorHAnsi"/>
                <w:bCs/>
                <w:sz w:val="22"/>
                <w:szCs w:val="22"/>
              </w:rPr>
              <w:t>NA</w:t>
            </w:r>
          </w:p>
        </w:tc>
        <w:tc>
          <w:tcPr>
            <w:tcW w:w="2880" w:type="dxa"/>
            <w:tcBorders>
              <w:top w:val="single" w:sz="4" w:space="0" w:color="auto"/>
              <w:left w:val="single" w:sz="4" w:space="0" w:color="auto"/>
              <w:bottom w:val="single" w:sz="4" w:space="0" w:color="auto"/>
              <w:right w:val="single" w:sz="4" w:space="0" w:color="auto"/>
            </w:tcBorders>
            <w:vAlign w:val="center"/>
          </w:tcPr>
          <w:p w14:paraId="5350D9E2"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Page 44</w:t>
            </w:r>
          </w:p>
          <w:p w14:paraId="5FC3A345" w14:textId="77777777" w:rsidR="004A3A88" w:rsidRDefault="004A3A88" w:rsidP="00D76D0B">
            <w:pPr>
              <w:keepNext/>
              <w:keepLines/>
              <w:rPr>
                <w:rFonts w:asciiTheme="minorHAnsi" w:hAnsiTheme="minorHAnsi" w:cstheme="minorHAnsi"/>
                <w:bCs/>
                <w:sz w:val="22"/>
                <w:szCs w:val="22"/>
              </w:rPr>
            </w:pPr>
            <w:r>
              <w:rPr>
                <w:rFonts w:asciiTheme="minorHAnsi" w:hAnsiTheme="minorHAnsi" w:cstheme="minorHAnsi"/>
                <w:bCs/>
                <w:sz w:val="22"/>
                <w:szCs w:val="22"/>
              </w:rPr>
              <w:t xml:space="preserve">Questions: 91a –j; 92a –j </w:t>
            </w:r>
          </w:p>
          <w:p w14:paraId="6F5B64AE" w14:textId="77777777" w:rsidR="004A3A88" w:rsidRDefault="004A3A88" w:rsidP="00D76D0B">
            <w:pPr>
              <w:keepNext/>
              <w:keepLines/>
              <w:rPr>
                <w:rFonts w:asciiTheme="minorHAnsi" w:hAnsiTheme="minorHAnsi" w:cstheme="minorHAnsi"/>
                <w:bCs/>
                <w:sz w:val="22"/>
                <w:szCs w:val="22"/>
              </w:rPr>
            </w:pPr>
          </w:p>
          <w:p w14:paraId="20326684" w14:textId="77777777" w:rsidR="004A3A88" w:rsidRDefault="004A3A88" w:rsidP="00D76D0B">
            <w:pPr>
              <w:keepNext/>
              <w:keepLines/>
              <w:rPr>
                <w:rFonts w:asciiTheme="minorHAnsi" w:hAnsiTheme="minorHAnsi" w:cstheme="minorHAnsi"/>
                <w:bCs/>
                <w:sz w:val="22"/>
                <w:szCs w:val="22"/>
              </w:rPr>
            </w:pPr>
          </w:p>
        </w:tc>
        <w:tc>
          <w:tcPr>
            <w:tcW w:w="7488" w:type="dxa"/>
            <w:tcBorders>
              <w:top w:val="single" w:sz="4" w:space="0" w:color="auto"/>
              <w:left w:val="single" w:sz="4" w:space="0" w:color="auto"/>
              <w:bottom w:val="single" w:sz="4" w:space="0" w:color="auto"/>
              <w:right w:val="single" w:sz="4" w:space="0" w:color="auto"/>
            </w:tcBorders>
          </w:tcPr>
          <w:p w14:paraId="4893A0CE" w14:textId="77777777" w:rsidR="004A3A88" w:rsidRDefault="004A3A88" w:rsidP="006A131F">
            <w:pPr>
              <w:keepNext/>
              <w:keepLines/>
              <w:rPr>
                <w:rFonts w:asciiTheme="minorHAnsi" w:hAnsiTheme="minorHAnsi"/>
                <w:sz w:val="22"/>
                <w:szCs w:val="22"/>
              </w:rPr>
            </w:pPr>
            <w:r>
              <w:rPr>
                <w:rFonts w:asciiTheme="minorHAnsi" w:hAnsiTheme="minorHAnsi"/>
                <w:sz w:val="22"/>
                <w:szCs w:val="22"/>
              </w:rPr>
              <w:t>Research has found that both extremely high and low self-esteem correlate with IPV.</w:t>
            </w:r>
          </w:p>
          <w:p w14:paraId="628CEA48" w14:textId="77777777" w:rsidR="004A3A88" w:rsidRDefault="004A3A88" w:rsidP="006A131F">
            <w:pPr>
              <w:keepNext/>
              <w:keepLines/>
              <w:rPr>
                <w:rFonts w:asciiTheme="minorHAnsi" w:hAnsiTheme="minorHAnsi"/>
                <w:sz w:val="22"/>
                <w:szCs w:val="22"/>
              </w:rPr>
            </w:pPr>
          </w:p>
          <w:p w14:paraId="5304B821" w14:textId="77777777" w:rsidR="004A3A88" w:rsidRDefault="004A3A88" w:rsidP="006A131F">
            <w:pPr>
              <w:keepNext/>
              <w:keepLines/>
              <w:rPr>
                <w:rFonts w:asciiTheme="minorHAnsi" w:hAnsiTheme="minorHAnsi"/>
                <w:sz w:val="22"/>
                <w:szCs w:val="22"/>
              </w:rPr>
            </w:pPr>
            <w:r w:rsidRPr="00F65BEE">
              <w:rPr>
                <w:rFonts w:asciiTheme="minorHAnsi" w:hAnsiTheme="minorHAnsi"/>
                <w:sz w:val="22"/>
                <w:szCs w:val="22"/>
              </w:rPr>
              <w:t>Bassuk</w:t>
            </w:r>
            <w:r>
              <w:rPr>
                <w:rFonts w:asciiTheme="minorHAnsi" w:hAnsiTheme="minorHAnsi"/>
                <w:sz w:val="22"/>
                <w:szCs w:val="22"/>
              </w:rPr>
              <w:t xml:space="preserve"> et al., (2006)</w:t>
            </w:r>
          </w:p>
          <w:p w14:paraId="77189A02" w14:textId="77777777" w:rsidR="004A3A88" w:rsidRPr="00D0430D" w:rsidRDefault="004A3A88" w:rsidP="004277E1">
            <w:pPr>
              <w:shd w:val="clear" w:color="auto" w:fill="FFFFFF"/>
              <w:rPr>
                <w:rFonts w:asciiTheme="minorHAnsi" w:hAnsiTheme="minorHAnsi" w:cstheme="minorHAnsi"/>
                <w:sz w:val="22"/>
                <w:szCs w:val="22"/>
                <w:lang w:val="en"/>
              </w:rPr>
            </w:pPr>
            <w:r w:rsidRPr="00D0430D">
              <w:rPr>
                <w:rFonts w:asciiTheme="minorHAnsi" w:hAnsiTheme="minorHAnsi" w:cstheme="minorHAnsi"/>
                <w:sz w:val="22"/>
                <w:szCs w:val="22"/>
                <w:lang w:val="en"/>
              </w:rPr>
              <w:t>Hamberger &amp; Hastings, 1986;</w:t>
            </w:r>
          </w:p>
          <w:p w14:paraId="05D93EA2" w14:textId="77777777" w:rsidR="004A3A88" w:rsidRDefault="004A3A88" w:rsidP="004277E1">
            <w:pPr>
              <w:shd w:val="clear" w:color="auto" w:fill="FFFFFF"/>
              <w:rPr>
                <w:rFonts w:cstheme="minorHAnsi"/>
                <w:lang w:val="en"/>
              </w:rPr>
            </w:pPr>
            <w:r w:rsidRPr="00D0430D">
              <w:rPr>
                <w:rFonts w:asciiTheme="minorHAnsi" w:hAnsiTheme="minorHAnsi" w:cstheme="minorHAnsi"/>
                <w:sz w:val="22"/>
                <w:szCs w:val="22"/>
                <w:lang w:val="en"/>
              </w:rPr>
              <w:t xml:space="preserve">Kaufman Kantor &amp; Straus, </w:t>
            </w:r>
            <w:r>
              <w:rPr>
                <w:rFonts w:cstheme="minorHAnsi"/>
                <w:lang w:val="en"/>
              </w:rPr>
              <w:t>1990</w:t>
            </w:r>
            <w:r w:rsidRPr="00D0430D">
              <w:rPr>
                <w:rFonts w:asciiTheme="minorHAnsi" w:hAnsiTheme="minorHAnsi" w:cstheme="minorHAnsi"/>
                <w:sz w:val="22"/>
                <w:szCs w:val="22"/>
                <w:lang w:val="en"/>
              </w:rPr>
              <w:t xml:space="preserve">; </w:t>
            </w:r>
          </w:p>
          <w:p w14:paraId="7A4482B9" w14:textId="77777777" w:rsidR="004A3A88" w:rsidRDefault="004A3A88" w:rsidP="004277E1">
            <w:pPr>
              <w:shd w:val="clear" w:color="auto" w:fill="FFFFFF"/>
              <w:rPr>
                <w:rFonts w:cstheme="minorHAnsi"/>
                <w:lang w:val="en"/>
              </w:rPr>
            </w:pPr>
            <w:r w:rsidRPr="00D0430D">
              <w:rPr>
                <w:rFonts w:asciiTheme="minorHAnsi" w:hAnsiTheme="minorHAnsi" w:cstheme="minorHAnsi"/>
                <w:sz w:val="22"/>
                <w:szCs w:val="22"/>
                <w:lang w:val="en"/>
              </w:rPr>
              <w:t>Pan et al.,</w:t>
            </w:r>
            <w:r>
              <w:rPr>
                <w:rFonts w:cstheme="minorHAnsi"/>
                <w:lang w:val="en"/>
              </w:rPr>
              <w:t xml:space="preserve"> </w:t>
            </w:r>
            <w:r w:rsidRPr="00D0430D">
              <w:rPr>
                <w:rFonts w:asciiTheme="minorHAnsi" w:hAnsiTheme="minorHAnsi" w:cstheme="minorHAnsi"/>
                <w:sz w:val="22"/>
                <w:szCs w:val="22"/>
                <w:lang w:val="en"/>
              </w:rPr>
              <w:t>1994</w:t>
            </w:r>
          </w:p>
          <w:p w14:paraId="3157E40D" w14:textId="77777777" w:rsidR="004A3A88" w:rsidRPr="004440AB" w:rsidRDefault="004A3A88" w:rsidP="004277E1">
            <w:pPr>
              <w:keepNext/>
              <w:keepLines/>
              <w:rPr>
                <w:rFonts w:asciiTheme="minorHAnsi" w:hAnsiTheme="minorHAnsi"/>
                <w:sz w:val="22"/>
                <w:szCs w:val="22"/>
              </w:rPr>
            </w:pPr>
            <w:r w:rsidRPr="00D0430D">
              <w:rPr>
                <w:rFonts w:asciiTheme="minorHAnsi" w:hAnsiTheme="minorHAnsi" w:cstheme="minorHAnsi"/>
                <w:sz w:val="22"/>
                <w:szCs w:val="22"/>
                <w:lang w:val="en"/>
              </w:rPr>
              <w:t>Straus, 1990a</w:t>
            </w:r>
          </w:p>
        </w:tc>
      </w:tr>
    </w:tbl>
    <w:p w14:paraId="470A9EDD" w14:textId="77777777" w:rsidR="00141B9F" w:rsidRDefault="00141B9F" w:rsidP="004277E1">
      <w:pPr>
        <w:tabs>
          <w:tab w:val="left" w:pos="7425"/>
        </w:tabs>
        <w:rPr>
          <w:b/>
        </w:rPr>
        <w:sectPr w:rsidR="00141B9F" w:rsidSect="00B370C2">
          <w:headerReference w:type="first" r:id="rId8"/>
          <w:pgSz w:w="15840" w:h="15840" w:code="1"/>
          <w:pgMar w:top="1440" w:right="1440" w:bottom="1440" w:left="1440" w:header="720" w:footer="720" w:gutter="0"/>
          <w:cols w:space="720"/>
          <w:titlePg/>
          <w:docGrid w:linePitch="360"/>
        </w:sectPr>
      </w:pPr>
    </w:p>
    <w:p w14:paraId="7D7D702E" w14:textId="77777777" w:rsidR="00F44C2A" w:rsidRPr="00CF27DE" w:rsidRDefault="00141B9F" w:rsidP="00CF27DE">
      <w:pPr>
        <w:spacing w:after="240"/>
        <w:rPr>
          <w:rFonts w:asciiTheme="minorHAnsi" w:hAnsiTheme="minorHAnsi" w:cstheme="minorHAnsi"/>
          <w:b/>
          <w:sz w:val="22"/>
          <w:szCs w:val="22"/>
        </w:rPr>
      </w:pPr>
      <w:r w:rsidRPr="00CF27DE">
        <w:rPr>
          <w:rFonts w:asciiTheme="minorHAnsi" w:hAnsiTheme="minorHAnsi" w:cstheme="minorHAnsi"/>
          <w:b/>
          <w:sz w:val="22"/>
          <w:szCs w:val="22"/>
        </w:rPr>
        <w:t>References:</w:t>
      </w:r>
    </w:p>
    <w:p w14:paraId="50458421"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Ames, G. M., Cunradi, C. B., Duke, M., Todd, M., &amp; Chen, M. J. (2013). Contributions of work stressors, alcohol, and normative beliefs to partner violence. Journal of studies on alcohol and drugs, 74(2), 195-204.</w:t>
      </w:r>
    </w:p>
    <w:p w14:paraId="15EAC3BA" w14:textId="77777777" w:rsidR="00083A67" w:rsidRPr="00CF27DE" w:rsidRDefault="00083A67"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 xml:space="preserve">Andrews, J. A., Foster, S. L., Capaldi, D., &amp; Hops, H. (2000). Adolescent and family predictors of physical aggression, communication, and satisfaction in young adult couples: a prospective analysis. Journal of consulting and clinical psychology, 68(2), 195. </w:t>
      </w:r>
    </w:p>
    <w:p w14:paraId="6A6372F6" w14:textId="77777777" w:rsidR="00F36860" w:rsidRPr="00CF27DE" w:rsidRDefault="00F36860" w:rsidP="00CF27DE">
      <w:pPr>
        <w:widowControl w:val="0"/>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Babcock, J. C., Waltz, J., Jacobson, N. S., &amp; Gottman, J. M. (1993). Power and violence: the relation between communication patterns, power discrepancies, and domestic violence. Journal of consulting and clinical psychology, 61(1), 40.</w:t>
      </w:r>
    </w:p>
    <w:p w14:paraId="043E30A5" w14:textId="77777777" w:rsidR="00141B9F" w:rsidRPr="00CF27DE" w:rsidRDefault="00141B9F" w:rsidP="00CF27DE">
      <w:pPr>
        <w:widowControl w:val="0"/>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Bassuk, E., Dawson, R., &amp; Huntington, N. (2006). Intimate partner violence in extremely poor women: Longitudinal patterns and risk markers. Journal of Family Violence, 21(6), 387-399.</w:t>
      </w:r>
    </w:p>
    <w:p w14:paraId="60DCE548"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Buzawa, E. S., &amp; Buzawa, C. G. (2013). What does research suggest are the primary risk and protective factors for intimate partner violence (IPV) and what is the role of economic factors? Journal of Policy Analysis and Management, 32(1), 128-137.</w:t>
      </w:r>
    </w:p>
    <w:p w14:paraId="1554F5F7" w14:textId="77777777" w:rsidR="00252A5C" w:rsidRPr="00CF27DE" w:rsidRDefault="00252A5C" w:rsidP="00CF27DE">
      <w:pPr>
        <w:spacing w:after="240"/>
        <w:rPr>
          <w:rFonts w:asciiTheme="minorHAnsi" w:hAnsiTheme="minorHAnsi" w:cstheme="minorHAnsi"/>
          <w:sz w:val="22"/>
          <w:szCs w:val="22"/>
        </w:rPr>
      </w:pPr>
      <w:r w:rsidRPr="00CF27DE">
        <w:rPr>
          <w:rFonts w:asciiTheme="minorHAnsi" w:hAnsiTheme="minorHAnsi" w:cstheme="minorHAnsi"/>
          <w:sz w:val="22"/>
          <w:szCs w:val="22"/>
        </w:rPr>
        <w:t xml:space="preserve">Byun, S. (2012). What happens before intimate partner violence? Distal and proximal antecedents. </w:t>
      </w:r>
      <w:r w:rsidRPr="00CF27DE">
        <w:rPr>
          <w:rFonts w:asciiTheme="minorHAnsi" w:hAnsiTheme="minorHAnsi" w:cstheme="minorHAnsi"/>
          <w:i/>
          <w:sz w:val="22"/>
          <w:szCs w:val="22"/>
        </w:rPr>
        <w:t>Journal of Family Violence, 27</w:t>
      </w:r>
      <w:r w:rsidRPr="00CF27DE">
        <w:rPr>
          <w:rFonts w:asciiTheme="minorHAnsi" w:hAnsiTheme="minorHAnsi" w:cstheme="minorHAnsi"/>
          <w:sz w:val="22"/>
          <w:szCs w:val="22"/>
        </w:rPr>
        <w:t>(8), 783-799.</w:t>
      </w:r>
    </w:p>
    <w:p w14:paraId="776CD367" w14:textId="77777777" w:rsidR="00252A5C" w:rsidRPr="00CF27DE" w:rsidRDefault="00252A5C" w:rsidP="00CF27DE">
      <w:pPr>
        <w:spacing w:after="240"/>
        <w:rPr>
          <w:rFonts w:asciiTheme="minorHAnsi" w:hAnsiTheme="minorHAnsi" w:cstheme="minorHAnsi"/>
          <w:sz w:val="22"/>
          <w:szCs w:val="22"/>
        </w:rPr>
      </w:pPr>
      <w:r w:rsidRPr="00CF27DE">
        <w:rPr>
          <w:rFonts w:asciiTheme="minorHAnsi" w:hAnsiTheme="minorHAnsi" w:cstheme="minorHAnsi"/>
          <w:sz w:val="22"/>
          <w:szCs w:val="22"/>
        </w:rPr>
        <w:t xml:space="preserve">Capaldi, D. M., Knoble, N. B., Shortt, J. W., &amp; Kim, H. K. (2012). A systematic review of risk factors for intimate partner violence. </w:t>
      </w:r>
      <w:r w:rsidRPr="00CF27DE">
        <w:rPr>
          <w:rFonts w:asciiTheme="minorHAnsi" w:hAnsiTheme="minorHAnsi" w:cstheme="minorHAnsi"/>
          <w:i/>
          <w:iCs/>
          <w:sz w:val="22"/>
          <w:szCs w:val="22"/>
        </w:rPr>
        <w:t>Partner abuse, 3</w:t>
      </w:r>
      <w:r w:rsidRPr="00CF27DE">
        <w:rPr>
          <w:rFonts w:asciiTheme="minorHAnsi" w:hAnsiTheme="minorHAnsi" w:cstheme="minorHAnsi"/>
          <w:sz w:val="22"/>
          <w:szCs w:val="22"/>
        </w:rPr>
        <w:t xml:space="preserve">(2), 231-280. </w:t>
      </w:r>
    </w:p>
    <w:p w14:paraId="24F70BFC"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Chase, K. A., O'leary, K. D., &amp; Heyman, R. E. (2001). Categorizing partner-violent men within the reactive–proactive typology model. Journal of consulting and clinical psychology, 69(3), 567.</w:t>
      </w:r>
    </w:p>
    <w:p w14:paraId="349375E0"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Copp, J. E., Kuhl, D. C., Giordano, P. C., Longmore, M. A., &amp; Manning, W. D. (2015). Intimate partner violence in neighborhood context: the roles of structural disadvantage, subjective disorder, and emotional distress. Social science research, 53, 59-72.</w:t>
      </w:r>
    </w:p>
    <w:p w14:paraId="181DD61D"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Eaton, A. A., &amp; Matamala, A. (2014). The relationship between heteronormative beliefs and verbal sexual coercion in college students. Archives of sexual behavior, 43(7), 1443-1457.</w:t>
      </w:r>
    </w:p>
    <w:p w14:paraId="4BABD1CE"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Eckhardt, C. I., &amp; Crane, C. A. (2014). Male perpetrators of intimate partner violence and implicit attitudes toward violence: Associations with treatment outcomes. Cognitive therapy and research, 38(3), 291-301.</w:t>
      </w:r>
    </w:p>
    <w:p w14:paraId="199C9951" w14:textId="77777777" w:rsidR="00604531" w:rsidRPr="00CF27DE" w:rsidRDefault="00604531" w:rsidP="00CF27DE">
      <w:pPr>
        <w:spacing w:after="240"/>
        <w:rPr>
          <w:rFonts w:asciiTheme="minorHAnsi" w:hAnsiTheme="minorHAnsi" w:cstheme="minorHAnsi"/>
          <w:sz w:val="22"/>
          <w:szCs w:val="22"/>
        </w:rPr>
      </w:pPr>
      <w:r w:rsidRPr="00CF27DE">
        <w:rPr>
          <w:rFonts w:asciiTheme="minorHAnsi" w:hAnsiTheme="minorHAnsi" w:cstheme="minorHAnsi"/>
          <w:sz w:val="22"/>
          <w:szCs w:val="22"/>
        </w:rPr>
        <w:t>Foshee, V. A., Benefield, T. S., Ennett, S. T., Bauman, K. E., &amp; Suchindran, C. (2004). Longitudinal predictors of serious physical and sexual dating violence victimization during adolescence. Preventive medicine, 39(5), 1007-1016.</w:t>
      </w:r>
    </w:p>
    <w:p w14:paraId="27B264DC" w14:textId="77777777" w:rsid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Fox, G. L., &amp; Benson, M. L. (2006). Household and neighborhood contexts of intimate partner violence. Public health reports, 121(4), 419-427.</w:t>
      </w:r>
    </w:p>
    <w:p w14:paraId="01D41AC0"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Gonzalez-Guarda, R. M., De Santis, J. P., &amp; Vasquez, E. P. (2013). Sexual orientation and demographic, cultural, and psychological factors associated with the perpetration and victimization of intimate partner violence among Hispanic men. Issues in mental health nursing, 34(2), 103-109.</w:t>
      </w:r>
    </w:p>
    <w:p w14:paraId="4112EE86"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Guerrero, D. A. V. (2009). Hypermasculinity, intimate partner violence, sexual aggression, social support, and child maltreatment risk in urban, heterosexual fathers taking parenting classes. Child welfare, 88(4), 135.</w:t>
      </w:r>
    </w:p>
    <w:p w14:paraId="0E555C0F"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Hall, J. E., Walters, M. L., &amp; Basile, K. C. (2012). Intimate partner violence perpetration by court-ordered men: Distinctions among subtypes of physical violence, sexual violence, psychological abuse, and stalking. Journal of interpersonal violence, 27(7), 1374-1395.</w:t>
      </w:r>
    </w:p>
    <w:p w14:paraId="7BB9599A"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Hamberger, L. K., &amp; Guse, C. (2005). Typology of reactions to intimate partner violence among men and women arrested for partner violence. Violence and Victims, 20(3), 303.</w:t>
      </w:r>
    </w:p>
    <w:p w14:paraId="10AF64F4" w14:textId="77777777" w:rsidR="004277E1" w:rsidRPr="00CF27DE" w:rsidRDefault="004277E1" w:rsidP="00CF27DE">
      <w:pPr>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 xml:space="preserve">Hamberger, L. K., &amp; Hastings, J. (1986). Personality correlates of men who abuse their partners: A cross-validation study. </w:t>
      </w:r>
      <w:r w:rsidRPr="00CF27DE">
        <w:rPr>
          <w:rFonts w:asciiTheme="minorHAnsi" w:hAnsiTheme="minorHAnsi" w:cstheme="minorHAnsi"/>
          <w:i/>
          <w:iCs/>
          <w:sz w:val="22"/>
          <w:szCs w:val="22"/>
        </w:rPr>
        <w:t xml:space="preserve">Journal of Family Violence, 1, </w:t>
      </w:r>
      <w:r w:rsidRPr="00CF27DE">
        <w:rPr>
          <w:rFonts w:asciiTheme="minorHAnsi" w:hAnsiTheme="minorHAnsi" w:cstheme="minorHAnsi"/>
          <w:sz w:val="22"/>
          <w:szCs w:val="22"/>
        </w:rPr>
        <w:t>323– 346.</w:t>
      </w:r>
    </w:p>
    <w:p w14:paraId="33C0AFCB" w14:textId="77777777" w:rsidR="004B4738" w:rsidRPr="00CF27DE" w:rsidRDefault="004B4738" w:rsidP="00CF27DE">
      <w:pPr>
        <w:spacing w:after="240"/>
        <w:rPr>
          <w:rFonts w:asciiTheme="minorHAnsi" w:hAnsiTheme="minorHAnsi" w:cstheme="minorHAnsi"/>
          <w:sz w:val="22"/>
          <w:szCs w:val="22"/>
        </w:rPr>
      </w:pPr>
      <w:r w:rsidRPr="00CF27DE">
        <w:rPr>
          <w:rFonts w:asciiTheme="minorHAnsi" w:hAnsiTheme="minorHAnsi" w:cstheme="minorHAnsi"/>
          <w:sz w:val="22"/>
          <w:szCs w:val="22"/>
        </w:rPr>
        <w:t>Hamby, S. (2009). The gender debate about intimate partner violence: solutions and dead ends. Psychological Trauma: Theory, Research, Practice, and Policy, 1(1), 24.</w:t>
      </w:r>
    </w:p>
    <w:p w14:paraId="0224DFB5"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Holtzworth-Munroe, A., Rehman, U., &amp; Herron, K. (2000). General and spouse-specific anger and hostility in subtypes of maritally violent men and nonviolent men. Behavior Therapy, 31(4), 603-630.</w:t>
      </w:r>
    </w:p>
    <w:p w14:paraId="5BA6D7E0"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Hoyt, T., Wray, A. M., Wiggins, K. T., Gerstle, M., &amp; Maclean, P. C. (2012). Personality profiles of intimate partner violence offenders with and without PTSD. Journal of Offender Rehabilitation, 51(4), 239-256.</w:t>
      </w:r>
    </w:p>
    <w:p w14:paraId="2AB4A444" w14:textId="77777777" w:rsidR="00141B9F" w:rsidRPr="00B20006"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 xml:space="preserve">Huss, M. T., &amp; Langhinrichsen-Rohling, J. (2006). Assessing the generalization of psychopathy in a clinical sample of </w:t>
      </w:r>
      <w:r w:rsidRPr="00B20006">
        <w:rPr>
          <w:rFonts w:asciiTheme="minorHAnsi" w:hAnsiTheme="minorHAnsi" w:cstheme="minorHAnsi"/>
          <w:sz w:val="22"/>
          <w:szCs w:val="22"/>
        </w:rPr>
        <w:t>domestic violence perpetrators. Law and human behavior, 30(5), 571-586.</w:t>
      </w:r>
    </w:p>
    <w:p w14:paraId="6F0E80CB" w14:textId="77777777" w:rsidR="00B20006" w:rsidRDefault="00B20006" w:rsidP="00B20006">
      <w:pPr>
        <w:autoSpaceDE w:val="0"/>
        <w:autoSpaceDN w:val="0"/>
        <w:adjustRightInd w:val="0"/>
        <w:rPr>
          <w:rFonts w:asciiTheme="minorHAnsi" w:eastAsia="TimesNewRomanPSMT" w:hAnsiTheme="minorHAnsi" w:cstheme="minorHAnsi"/>
          <w:sz w:val="22"/>
          <w:szCs w:val="22"/>
        </w:rPr>
      </w:pPr>
      <w:r w:rsidRPr="00B20006">
        <w:rPr>
          <w:rFonts w:asciiTheme="minorHAnsi" w:eastAsia="TimesNewRomanPSMT" w:hAnsiTheme="minorHAnsi" w:cstheme="minorHAnsi"/>
          <w:sz w:val="22"/>
          <w:szCs w:val="22"/>
        </w:rPr>
        <w:t>Johnson, M. P. (2006). Conflict and control: Gender symmetry and asymmetry in domestic</w:t>
      </w:r>
      <w:r>
        <w:rPr>
          <w:rFonts w:asciiTheme="minorHAnsi" w:eastAsia="TimesNewRomanPSMT" w:hAnsiTheme="minorHAnsi" w:cstheme="minorHAnsi"/>
          <w:sz w:val="22"/>
          <w:szCs w:val="22"/>
        </w:rPr>
        <w:t xml:space="preserve"> </w:t>
      </w:r>
      <w:r w:rsidRPr="00B20006">
        <w:rPr>
          <w:rFonts w:asciiTheme="minorHAnsi" w:eastAsia="TimesNewRomanPSMT" w:hAnsiTheme="minorHAnsi" w:cstheme="minorHAnsi"/>
          <w:sz w:val="22"/>
          <w:szCs w:val="22"/>
        </w:rPr>
        <w:t xml:space="preserve">violence. </w:t>
      </w:r>
      <w:r w:rsidRPr="00B20006">
        <w:rPr>
          <w:rFonts w:asciiTheme="minorHAnsi" w:eastAsia="TimesNewRomanPSMT" w:hAnsiTheme="minorHAnsi" w:cstheme="minorHAnsi"/>
          <w:i/>
          <w:iCs/>
          <w:sz w:val="22"/>
          <w:szCs w:val="22"/>
        </w:rPr>
        <w:t>Violence Against Women</w:t>
      </w:r>
      <w:r w:rsidRPr="00B20006">
        <w:rPr>
          <w:rFonts w:asciiTheme="minorHAnsi" w:eastAsia="TimesNewRomanPSMT" w:hAnsiTheme="minorHAnsi" w:cstheme="minorHAnsi"/>
          <w:sz w:val="22"/>
          <w:szCs w:val="22"/>
        </w:rPr>
        <w:t xml:space="preserve">, </w:t>
      </w:r>
      <w:r w:rsidRPr="00B20006">
        <w:rPr>
          <w:rFonts w:asciiTheme="minorHAnsi" w:eastAsia="TimesNewRomanPSMT" w:hAnsiTheme="minorHAnsi" w:cstheme="minorHAnsi"/>
          <w:i/>
          <w:iCs/>
          <w:sz w:val="22"/>
          <w:szCs w:val="22"/>
        </w:rPr>
        <w:t>12</w:t>
      </w:r>
      <w:r w:rsidRPr="00B20006">
        <w:rPr>
          <w:rFonts w:asciiTheme="minorHAnsi" w:eastAsia="TimesNewRomanPSMT" w:hAnsiTheme="minorHAnsi" w:cstheme="minorHAnsi"/>
          <w:sz w:val="22"/>
          <w:szCs w:val="22"/>
        </w:rPr>
        <w:t>, 1003-1018.</w:t>
      </w:r>
    </w:p>
    <w:p w14:paraId="1A6FDF83" w14:textId="77777777" w:rsidR="00B20006" w:rsidRPr="00B20006" w:rsidRDefault="00B20006" w:rsidP="00B20006">
      <w:pPr>
        <w:autoSpaceDE w:val="0"/>
        <w:autoSpaceDN w:val="0"/>
        <w:adjustRightInd w:val="0"/>
        <w:rPr>
          <w:rFonts w:asciiTheme="minorHAnsi" w:eastAsia="TimesNewRomanPSMT" w:hAnsiTheme="minorHAnsi" w:cstheme="minorHAnsi"/>
          <w:sz w:val="22"/>
          <w:szCs w:val="22"/>
        </w:rPr>
      </w:pPr>
    </w:p>
    <w:p w14:paraId="50DE707E" w14:textId="77777777" w:rsidR="005C188C" w:rsidRPr="00CF27DE" w:rsidRDefault="005C188C" w:rsidP="00B20006">
      <w:pPr>
        <w:spacing w:after="240"/>
        <w:rPr>
          <w:rFonts w:asciiTheme="minorHAnsi" w:hAnsiTheme="minorHAnsi" w:cstheme="minorHAnsi"/>
          <w:sz w:val="22"/>
          <w:szCs w:val="22"/>
        </w:rPr>
      </w:pPr>
      <w:r w:rsidRPr="00B20006">
        <w:rPr>
          <w:rFonts w:asciiTheme="minorHAnsi" w:hAnsiTheme="minorHAnsi" w:cstheme="minorHAnsi"/>
          <w:sz w:val="22"/>
          <w:szCs w:val="22"/>
        </w:rPr>
        <w:t>Johnson, M. P. (2011). Gender and types of intimate partner violence: A response to an anti-feminist literature review. Aggression and Violent Behavior, 16(4), 289-296</w:t>
      </w:r>
      <w:r w:rsidRPr="00CF27DE">
        <w:rPr>
          <w:rFonts w:asciiTheme="minorHAnsi" w:hAnsiTheme="minorHAnsi" w:cstheme="minorHAnsi"/>
          <w:sz w:val="22"/>
          <w:szCs w:val="22"/>
        </w:rPr>
        <w:t xml:space="preserve">. </w:t>
      </w:r>
    </w:p>
    <w:p w14:paraId="008E6BB1" w14:textId="77777777" w:rsidR="004277E1" w:rsidRPr="00CF27DE" w:rsidRDefault="004277E1" w:rsidP="00CF27DE">
      <w:pPr>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Kaufman Kantor, G. K., &amp; Straus, M. A. (1990). The ‘‘drunken bum’’ t</w:t>
      </w:r>
      <w:r w:rsidR="00CF27DE">
        <w:rPr>
          <w:rFonts w:asciiTheme="minorHAnsi" w:hAnsiTheme="minorHAnsi" w:cstheme="minorHAnsi"/>
          <w:sz w:val="22"/>
          <w:szCs w:val="22"/>
        </w:rPr>
        <w:t>heory of wife beating. In M. A.</w:t>
      </w:r>
      <w:r w:rsidRPr="00CF27DE">
        <w:rPr>
          <w:rFonts w:asciiTheme="minorHAnsi" w:hAnsiTheme="minorHAnsi" w:cstheme="minorHAnsi"/>
          <w:sz w:val="22"/>
          <w:szCs w:val="22"/>
        </w:rPr>
        <w:t xml:space="preserve">Straus &amp; R. J. Gelles (Eds.), </w:t>
      </w:r>
      <w:r w:rsidRPr="00CF27DE">
        <w:rPr>
          <w:rFonts w:asciiTheme="minorHAnsi" w:hAnsiTheme="minorHAnsi" w:cstheme="minorHAnsi"/>
          <w:i/>
          <w:iCs/>
          <w:sz w:val="22"/>
          <w:szCs w:val="22"/>
        </w:rPr>
        <w:t xml:space="preserve">Physical violence in American families: Risk factors and adaptations in 8,145 families </w:t>
      </w:r>
      <w:r w:rsidRPr="00CF27DE">
        <w:rPr>
          <w:rFonts w:asciiTheme="minorHAnsi" w:hAnsiTheme="minorHAnsi" w:cstheme="minorHAnsi"/>
          <w:sz w:val="22"/>
          <w:szCs w:val="22"/>
        </w:rPr>
        <w:t>(pp. 203–224). New Brunswick, NJ: Transaction.</w:t>
      </w:r>
      <w:r w:rsidRPr="00CF27DE">
        <w:rPr>
          <w:rFonts w:asciiTheme="minorHAnsi" w:hAnsiTheme="minorHAnsi" w:cstheme="minorHAnsi"/>
          <w:i/>
          <w:iCs/>
          <w:sz w:val="22"/>
          <w:szCs w:val="22"/>
        </w:rPr>
        <w:t xml:space="preserve"> 8,145 families </w:t>
      </w:r>
      <w:r w:rsidRPr="00CF27DE">
        <w:rPr>
          <w:rFonts w:asciiTheme="minorHAnsi" w:hAnsiTheme="minorHAnsi" w:cstheme="minorHAnsi"/>
          <w:sz w:val="22"/>
          <w:szCs w:val="22"/>
        </w:rPr>
        <w:t>(pp. 203–224). New Brunswick, NJ: Transaction.</w:t>
      </w:r>
    </w:p>
    <w:p w14:paraId="72C61793"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LaViolette, A. (2009). Assessing intimate partner violence: A context sensitive aggression scale. Journal of Child Custody, 6(3-4), 219-231.</w:t>
      </w:r>
    </w:p>
    <w:p w14:paraId="34835E09"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Loree Cook-Daniels MSCM, G. C. T. C. (2015). Intimate partner violence in transgender couples:" Power and control" in a specific cultural context. Partner Abuse, 6(1), 126.</w:t>
      </w:r>
    </w:p>
    <w:p w14:paraId="2EBB5969" w14:textId="77777777" w:rsidR="00013C21" w:rsidRPr="00CF27DE" w:rsidRDefault="00013C21" w:rsidP="00CF27DE">
      <w:pPr>
        <w:spacing w:after="240"/>
        <w:rPr>
          <w:rFonts w:asciiTheme="minorHAnsi" w:hAnsiTheme="minorHAnsi" w:cstheme="minorHAnsi"/>
          <w:sz w:val="22"/>
          <w:szCs w:val="22"/>
        </w:rPr>
      </w:pPr>
      <w:r w:rsidRPr="00CF27DE">
        <w:rPr>
          <w:rFonts w:asciiTheme="minorHAnsi" w:hAnsiTheme="minorHAnsi" w:cstheme="minorHAnsi"/>
          <w:sz w:val="22"/>
          <w:szCs w:val="22"/>
        </w:rPr>
        <w:t>Mair, C., Cunradi, C. B., &amp; Todd, M. (2012). Adverse childhood experiences and intimate partner violence: testing psychosocial mediational pathways among couples. Annals of epidemiology, 22(12), 832-839.</w:t>
      </w:r>
    </w:p>
    <w:p w14:paraId="6461D853" w14:textId="77777777" w:rsidR="00141B9F"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Mbilinyi, L. F., Logan-Greene, P. B., Neighbors, C., Walker, D. D., Roffman, R. A., &amp; Zegree, J. (2012). Childhood domestic violence exposure among a community sample of adult perpetrators: What mediates the connection? Journal of Aggression, Maltreatment &amp; Trauma, 21(2), 171-187.</w:t>
      </w:r>
    </w:p>
    <w:p w14:paraId="18B4D76C"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Melton, H. C. (2007). Predicting the occurrence of stalking in relationships characterized by domestic violence. Journal of Interpersonal Violence, 22(1), 3-25.</w:t>
      </w:r>
    </w:p>
    <w:p w14:paraId="6CB919F5"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Miller, E., &amp; Silverman, J. G. (2010). Reproductive coercion and partner violence: implications for clinical assessment of unintended pregnancy. Expert review of obstetrics &amp; gynecology, 5(5), 511-515.</w:t>
      </w:r>
    </w:p>
    <w:p w14:paraId="1425B009" w14:textId="77777777" w:rsidR="004E11BB" w:rsidRPr="00CF27DE" w:rsidRDefault="004E11BB" w:rsidP="00CF27DE">
      <w:pPr>
        <w:spacing w:after="240"/>
        <w:rPr>
          <w:rFonts w:asciiTheme="minorHAnsi" w:hAnsiTheme="minorHAnsi" w:cstheme="minorHAnsi"/>
          <w:color w:val="222222"/>
          <w:sz w:val="22"/>
          <w:szCs w:val="22"/>
        </w:rPr>
      </w:pPr>
      <w:r w:rsidRPr="00CF27DE">
        <w:rPr>
          <w:rFonts w:asciiTheme="minorHAnsi" w:hAnsiTheme="minorHAnsi" w:cstheme="minorHAnsi"/>
          <w:color w:val="222222"/>
          <w:sz w:val="22"/>
          <w:szCs w:val="22"/>
        </w:rPr>
        <w:t xml:space="preserve">Norlander, B., &amp; Eckhardt, C. (2005). Anger, hostility, and male perpetrators of intimate partner violence: A meta-analytic review. </w:t>
      </w:r>
      <w:r w:rsidRPr="00CF27DE">
        <w:rPr>
          <w:rFonts w:asciiTheme="minorHAnsi" w:hAnsiTheme="minorHAnsi" w:cstheme="minorHAnsi"/>
          <w:i/>
          <w:iCs/>
          <w:color w:val="222222"/>
          <w:sz w:val="22"/>
          <w:szCs w:val="22"/>
        </w:rPr>
        <w:t>Clinical psychology review</w:t>
      </w:r>
      <w:r w:rsidRPr="00CF27DE">
        <w:rPr>
          <w:rFonts w:asciiTheme="minorHAnsi" w:hAnsiTheme="minorHAnsi" w:cstheme="minorHAnsi"/>
          <w:color w:val="222222"/>
          <w:sz w:val="22"/>
          <w:szCs w:val="22"/>
        </w:rPr>
        <w:t xml:space="preserve">, </w:t>
      </w:r>
      <w:r w:rsidRPr="00CF27DE">
        <w:rPr>
          <w:rFonts w:asciiTheme="minorHAnsi" w:hAnsiTheme="minorHAnsi" w:cstheme="minorHAnsi"/>
          <w:i/>
          <w:iCs/>
          <w:color w:val="222222"/>
          <w:sz w:val="22"/>
          <w:szCs w:val="22"/>
        </w:rPr>
        <w:t>25</w:t>
      </w:r>
      <w:r w:rsidRPr="00CF27DE">
        <w:rPr>
          <w:rFonts w:asciiTheme="minorHAnsi" w:hAnsiTheme="minorHAnsi" w:cstheme="minorHAnsi"/>
          <w:color w:val="222222"/>
          <w:sz w:val="22"/>
          <w:szCs w:val="22"/>
        </w:rPr>
        <w:t>(2), 119-152.</w:t>
      </w:r>
    </w:p>
    <w:p w14:paraId="04DF0FA2" w14:textId="77777777" w:rsidR="00BC66AD" w:rsidRPr="00CF27DE" w:rsidRDefault="00DC3809" w:rsidP="00CF27DE">
      <w:pPr>
        <w:spacing w:after="240"/>
        <w:rPr>
          <w:rFonts w:asciiTheme="minorHAnsi" w:hAnsiTheme="minorHAnsi" w:cstheme="minorHAnsi"/>
          <w:sz w:val="22"/>
          <w:szCs w:val="22"/>
        </w:rPr>
      </w:pPr>
      <w:r w:rsidRPr="00CF27DE">
        <w:rPr>
          <w:rFonts w:asciiTheme="minorHAnsi" w:hAnsiTheme="minorHAnsi" w:cstheme="minorHAnsi"/>
          <w:sz w:val="22"/>
          <w:szCs w:val="22"/>
        </w:rPr>
        <w:t>Ortiz, E. (2015). An examination of emotion regulation and alcohol use as risk factors for female-perpetrated dating violence. Violence and victims, 30(3), 417.</w:t>
      </w:r>
    </w:p>
    <w:p w14:paraId="7C675C77" w14:textId="77777777" w:rsidR="004277E1" w:rsidRPr="00CF27DE" w:rsidRDefault="004277E1" w:rsidP="00CF27DE">
      <w:pPr>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 xml:space="preserve">Pan, H. S., Neidig, P. H., &amp; O’Leary, D. (1994). Predicting mild and severe husband-to-wife physical aggression. </w:t>
      </w:r>
      <w:r w:rsidRPr="00CF27DE">
        <w:rPr>
          <w:rFonts w:asciiTheme="minorHAnsi" w:hAnsiTheme="minorHAnsi" w:cstheme="minorHAnsi"/>
          <w:i/>
          <w:iCs/>
          <w:sz w:val="22"/>
          <w:szCs w:val="22"/>
        </w:rPr>
        <w:t xml:space="preserve">Journal of Consulting and Clinical Psychology, 62, </w:t>
      </w:r>
      <w:r w:rsidRPr="00CF27DE">
        <w:rPr>
          <w:rFonts w:asciiTheme="minorHAnsi" w:hAnsiTheme="minorHAnsi" w:cstheme="minorHAnsi"/>
          <w:sz w:val="22"/>
          <w:szCs w:val="22"/>
        </w:rPr>
        <w:t>975–981.</w:t>
      </w:r>
    </w:p>
    <w:p w14:paraId="24533E4A" w14:textId="77777777" w:rsidR="00BC66AD" w:rsidRPr="00CF27DE" w:rsidRDefault="00DC3809" w:rsidP="00CF27DE">
      <w:pPr>
        <w:spacing w:after="240"/>
        <w:rPr>
          <w:rFonts w:asciiTheme="minorHAnsi" w:hAnsiTheme="minorHAnsi" w:cstheme="minorHAnsi"/>
          <w:sz w:val="22"/>
          <w:szCs w:val="22"/>
        </w:rPr>
      </w:pPr>
      <w:r w:rsidRPr="00CF27DE">
        <w:rPr>
          <w:rFonts w:asciiTheme="minorHAnsi" w:hAnsiTheme="minorHAnsi" w:cstheme="minorHAnsi"/>
          <w:sz w:val="22"/>
          <w:szCs w:val="22"/>
        </w:rPr>
        <w:t xml:space="preserve">Parrott, D. J., &amp; Zeichner, A. (2003). Effects of hypermasculinity oh physical aggression against women. Psychology of Men &amp; Masculinity, 4(1), 70. </w:t>
      </w:r>
    </w:p>
    <w:p w14:paraId="28895681" w14:textId="77777777" w:rsidR="00BC66AD"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Persampiere, J., Poole, G., &amp; Murphy, C. M. (2014). Neuropsychological correlates of anger, hostility, and relationship-relevant distortions in thinking among partner violent men. Journal of Family Violence, 29(6), 625-641.</w:t>
      </w:r>
    </w:p>
    <w:p w14:paraId="37C8607D" w14:textId="77777777" w:rsidR="0026265C" w:rsidRPr="00CF27DE" w:rsidRDefault="0026265C" w:rsidP="00CF27DE">
      <w:pPr>
        <w:spacing w:after="240"/>
        <w:rPr>
          <w:rFonts w:asciiTheme="minorHAnsi" w:hAnsiTheme="minorHAnsi" w:cstheme="minorHAnsi"/>
          <w:sz w:val="22"/>
          <w:szCs w:val="22"/>
        </w:rPr>
      </w:pPr>
      <w:r w:rsidRPr="00CF27DE">
        <w:rPr>
          <w:rFonts w:asciiTheme="minorHAnsi" w:hAnsiTheme="minorHAnsi" w:cstheme="minorHAnsi"/>
          <w:sz w:val="22"/>
          <w:szCs w:val="22"/>
        </w:rPr>
        <w:t>Reidy, D. E., Berke, D. S., Gentile, B., &amp; Zeichner, A. (2014). Man enough? Masculine discrepancy stress and intimate partner violence. Personality and Individual Differences, 68, 160-164.</w:t>
      </w:r>
    </w:p>
    <w:p w14:paraId="1D2A7C25" w14:textId="77777777" w:rsidR="00F42204" w:rsidRPr="00CF27DE" w:rsidRDefault="00F42204" w:rsidP="00CF27DE">
      <w:pPr>
        <w:spacing w:after="240"/>
        <w:rPr>
          <w:rFonts w:asciiTheme="minorHAnsi" w:hAnsiTheme="minorHAnsi" w:cstheme="minorHAnsi"/>
          <w:sz w:val="22"/>
          <w:szCs w:val="22"/>
        </w:rPr>
      </w:pPr>
      <w:r w:rsidRPr="00CF27DE">
        <w:rPr>
          <w:rFonts w:asciiTheme="minorHAnsi" w:hAnsiTheme="minorHAnsi" w:cstheme="minorHAnsi"/>
          <w:sz w:val="22"/>
          <w:szCs w:val="22"/>
        </w:rPr>
        <w:t>Reidy, D. E., Early, M. S., &amp; Holland, K. M. (2017). Boys are victims too? Sexual dating violence and injury among high-risk youth. Preventive medicine, 101, 28-33.</w:t>
      </w:r>
    </w:p>
    <w:p w14:paraId="01E95E07" w14:textId="77777777" w:rsidR="002725C3" w:rsidRPr="00CF27DE" w:rsidRDefault="002725C3" w:rsidP="00CF27DE">
      <w:pPr>
        <w:spacing w:after="240"/>
        <w:rPr>
          <w:rFonts w:asciiTheme="minorHAnsi" w:hAnsiTheme="minorHAnsi" w:cstheme="minorHAnsi"/>
          <w:sz w:val="22"/>
          <w:szCs w:val="22"/>
        </w:rPr>
      </w:pPr>
      <w:r w:rsidRPr="00CF27DE">
        <w:rPr>
          <w:rFonts w:asciiTheme="minorHAnsi" w:hAnsiTheme="minorHAnsi" w:cstheme="minorHAnsi"/>
          <w:sz w:val="22"/>
          <w:szCs w:val="22"/>
        </w:rPr>
        <w:t>Reidy, D. E., Shelley-Tremblay, J. F., &amp; Lilienfeld, S. O. (2011). Psychopathy, reactive aggression, and precarious proclamations: A review of behavioral, cognitive, and biological research. Aggression and Violent Behavior, 16(6), 512-524.</w:t>
      </w:r>
    </w:p>
    <w:p w14:paraId="70C8EA10" w14:textId="77777777" w:rsidR="00922F09" w:rsidRPr="00CF27DE" w:rsidRDefault="00922F09" w:rsidP="00922F09">
      <w:pPr>
        <w:spacing w:after="240"/>
        <w:rPr>
          <w:rFonts w:asciiTheme="minorHAnsi" w:hAnsiTheme="minorHAnsi" w:cstheme="minorHAnsi"/>
          <w:sz w:val="22"/>
          <w:szCs w:val="22"/>
        </w:rPr>
      </w:pPr>
      <w:r w:rsidRPr="00CF27DE">
        <w:rPr>
          <w:rFonts w:asciiTheme="minorHAnsi" w:hAnsiTheme="minorHAnsi" w:cstheme="minorHAnsi"/>
          <w:sz w:val="22"/>
          <w:szCs w:val="22"/>
        </w:rPr>
        <w:t>Roberts, A. L., McLaughlin, K. A., Conron, K. J., &amp; Koenen, K. C. (2011). Adulthood stressors, history of childhood adversity, and risk of perpetration of intimate partner violence. American journal of preventive medicine, 40(2), 128-138.</w:t>
      </w:r>
    </w:p>
    <w:p w14:paraId="66C85881" w14:textId="77777777" w:rsidR="00BC66AD"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Ross, J. M., &amp; Babcock, J. C. (2009). Proactive and reactive violence among intimate partner violent men diagnosed with antisocial and borderline personality disorder. Journal of Family Violence, 24(8), 607-617.</w:t>
      </w:r>
    </w:p>
    <w:p w14:paraId="2EF844FA" w14:textId="77777777" w:rsidR="0026265C" w:rsidRPr="00CF27DE" w:rsidRDefault="0026265C" w:rsidP="00CF27DE">
      <w:pPr>
        <w:spacing w:after="240"/>
        <w:rPr>
          <w:rFonts w:asciiTheme="minorHAnsi" w:hAnsiTheme="minorHAnsi" w:cstheme="minorHAnsi"/>
          <w:sz w:val="22"/>
          <w:szCs w:val="22"/>
        </w:rPr>
      </w:pPr>
      <w:r w:rsidRPr="00CF27DE">
        <w:rPr>
          <w:rFonts w:asciiTheme="minorHAnsi" w:hAnsiTheme="minorHAnsi" w:cstheme="minorHAnsi"/>
          <w:sz w:val="22"/>
          <w:szCs w:val="22"/>
        </w:rPr>
        <w:t>Ruff, S., McCOMB, J. L., Coker, C. J., &amp; Sprenkle, D. H. (2010). Behavioral Couples Therapy for the Treatment of Substance Abuse: A Substantive and Methodological Review of O'Farrell, Fals‐Stewart, and Colleagues' Program of Research. Family Process, 49(4), 439-456.</w:t>
      </w:r>
    </w:p>
    <w:p w14:paraId="057AE4D2" w14:textId="77777777" w:rsidR="00BC66AD" w:rsidRPr="00CF27DE" w:rsidRDefault="00141B9F" w:rsidP="00CF27DE">
      <w:pPr>
        <w:spacing w:after="240"/>
        <w:rPr>
          <w:rFonts w:asciiTheme="minorHAnsi" w:hAnsiTheme="minorHAnsi" w:cstheme="minorHAnsi"/>
          <w:sz w:val="22"/>
          <w:szCs w:val="22"/>
        </w:rPr>
      </w:pPr>
      <w:r w:rsidRPr="00CF27DE">
        <w:rPr>
          <w:rFonts w:asciiTheme="minorHAnsi" w:hAnsiTheme="minorHAnsi" w:cstheme="minorHAnsi"/>
          <w:sz w:val="22"/>
          <w:szCs w:val="22"/>
        </w:rPr>
        <w:t>Salis, K. L., Kliem, S., &amp; O'Leary, K. D. (2014). Conditional inference trees: a method for predicting intimate partner violence. Journal of marital and family therapy, 40(4), 430-441.</w:t>
      </w:r>
    </w:p>
    <w:p w14:paraId="56A8F007" w14:textId="77777777" w:rsidR="0087738C" w:rsidRDefault="0087738C" w:rsidP="00CF27DE">
      <w:pPr>
        <w:spacing w:after="240"/>
        <w:rPr>
          <w:rFonts w:ascii="Arial" w:hAnsi="Arial" w:cs="Arial"/>
          <w:color w:val="222222"/>
          <w:sz w:val="20"/>
          <w:szCs w:val="20"/>
        </w:rPr>
      </w:pPr>
      <w:r>
        <w:rPr>
          <w:rFonts w:ascii="Arial" w:hAnsi="Arial" w:cs="Arial"/>
          <w:color w:val="222222"/>
          <w:sz w:val="20"/>
          <w:szCs w:val="20"/>
        </w:rPr>
        <w:t xml:space="preserve">Senkans, S., McEwan, T. E., &amp; Ogloff, J. R. (2017). Assessing the Link Between Intimate Partner Violence and Postrelationship Stalking: A Gender-Inclusive Study. </w:t>
      </w:r>
      <w:r>
        <w:rPr>
          <w:rFonts w:ascii="Arial" w:hAnsi="Arial" w:cs="Arial"/>
          <w:i/>
          <w:iCs/>
          <w:color w:val="222222"/>
          <w:sz w:val="20"/>
          <w:szCs w:val="20"/>
        </w:rPr>
        <w:t>Journal of Interpersonal Violence</w:t>
      </w:r>
      <w:r>
        <w:rPr>
          <w:rFonts w:ascii="Arial" w:hAnsi="Arial" w:cs="Arial"/>
          <w:color w:val="222222"/>
          <w:sz w:val="20"/>
          <w:szCs w:val="20"/>
        </w:rPr>
        <w:t>, DOI: 0886260517734859.</w:t>
      </w:r>
    </w:p>
    <w:p w14:paraId="2A0D2F09" w14:textId="77777777" w:rsidR="00604531" w:rsidRPr="00CF27DE" w:rsidRDefault="00604531" w:rsidP="00CF27DE">
      <w:pPr>
        <w:spacing w:after="240"/>
        <w:rPr>
          <w:rFonts w:asciiTheme="minorHAnsi" w:hAnsiTheme="minorHAnsi" w:cstheme="minorHAnsi"/>
          <w:sz w:val="22"/>
          <w:szCs w:val="22"/>
        </w:rPr>
      </w:pPr>
      <w:r w:rsidRPr="00CF27DE">
        <w:rPr>
          <w:rFonts w:asciiTheme="minorHAnsi" w:hAnsiTheme="minorHAnsi" w:cstheme="minorHAnsi"/>
          <w:sz w:val="22"/>
          <w:szCs w:val="22"/>
        </w:rPr>
        <w:t>Simon, T. R., Anderson, M., Thompson, M. P., Crosby, A. E., Shelley, G., &amp; Sacks, J. J. (2001). Attitudinal acceptance of intimate partner violence among US adults. Violence and Victims, 16(2), 115.</w:t>
      </w:r>
    </w:p>
    <w:p w14:paraId="56D234B9" w14:textId="77777777" w:rsidR="00252A5C" w:rsidRPr="00CF27DE" w:rsidRDefault="00252A5C" w:rsidP="00CF27DE">
      <w:pPr>
        <w:widowControl w:val="0"/>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 xml:space="preserve">Slep, A. M. S., Foran, H. M., Heyman, R. E., &amp; Snarr, J. D. (2010). Unique risk and protective factors for partner aggression in a large scale Air Force survey. </w:t>
      </w:r>
      <w:r w:rsidRPr="00CF27DE">
        <w:rPr>
          <w:rFonts w:asciiTheme="minorHAnsi" w:hAnsiTheme="minorHAnsi" w:cstheme="minorHAnsi"/>
          <w:i/>
          <w:sz w:val="22"/>
          <w:szCs w:val="22"/>
        </w:rPr>
        <w:t>Journal of Community Health, 35</w:t>
      </w:r>
      <w:r w:rsidRPr="00CF27DE">
        <w:rPr>
          <w:rFonts w:asciiTheme="minorHAnsi" w:hAnsiTheme="minorHAnsi" w:cstheme="minorHAnsi"/>
          <w:sz w:val="22"/>
          <w:szCs w:val="22"/>
        </w:rPr>
        <w:t>(4), 375-383.</w:t>
      </w:r>
    </w:p>
    <w:p w14:paraId="593D8FD9" w14:textId="77777777" w:rsidR="00252A5C" w:rsidRPr="005B1463" w:rsidRDefault="00BC66AD" w:rsidP="005B1463">
      <w:pPr>
        <w:widowControl w:val="0"/>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Smith‐Darden</w:t>
      </w:r>
      <w:r w:rsidRPr="005B1463">
        <w:rPr>
          <w:rFonts w:asciiTheme="minorHAnsi" w:hAnsiTheme="minorHAnsi" w:cstheme="minorHAnsi"/>
          <w:sz w:val="22"/>
          <w:szCs w:val="22"/>
        </w:rPr>
        <w:t>, J. P., Kernsmith, P. D., Reidy, D. E., &amp; Cortina, K. S. (2017). In search of modifiable risk and protective factors for teen dating violence. Journal of Research on Adolescence, 27(2), 423-435.</w:t>
      </w:r>
    </w:p>
    <w:p w14:paraId="29C44E3A" w14:textId="77777777" w:rsidR="005B1463" w:rsidRPr="005B1463" w:rsidRDefault="005B1463" w:rsidP="005B1463">
      <w:pPr>
        <w:autoSpaceDE w:val="0"/>
        <w:autoSpaceDN w:val="0"/>
        <w:adjustRightInd w:val="0"/>
        <w:spacing w:after="240"/>
        <w:ind w:right="-288"/>
        <w:rPr>
          <w:rFonts w:asciiTheme="minorHAnsi" w:hAnsiTheme="minorHAnsi" w:cstheme="minorHAnsi"/>
          <w:i/>
          <w:sz w:val="22"/>
          <w:szCs w:val="22"/>
        </w:rPr>
      </w:pPr>
      <w:r w:rsidRPr="005B1463">
        <w:rPr>
          <w:rFonts w:asciiTheme="minorHAnsi" w:hAnsiTheme="minorHAnsi" w:cstheme="minorHAnsi"/>
          <w:sz w:val="22"/>
          <w:szCs w:val="22"/>
        </w:rPr>
        <w:t xml:space="preserve">Smith-Darden, J.P., </w:t>
      </w:r>
      <w:r w:rsidRPr="005B1463">
        <w:rPr>
          <w:rFonts w:asciiTheme="minorHAnsi" w:hAnsiTheme="minorHAnsi" w:cstheme="minorHAnsi"/>
          <w:b/>
          <w:sz w:val="22"/>
          <w:szCs w:val="22"/>
        </w:rPr>
        <w:t xml:space="preserve">Reidy, D.E., </w:t>
      </w:r>
      <w:r w:rsidRPr="005B1463">
        <w:rPr>
          <w:rFonts w:asciiTheme="minorHAnsi" w:hAnsiTheme="minorHAnsi" w:cstheme="minorHAnsi"/>
          <w:sz w:val="22"/>
          <w:szCs w:val="22"/>
        </w:rPr>
        <w:t>&amp; Kernsmith, P.D. (2016). Adolescent stalking and risk of violence.</w:t>
      </w:r>
      <w:r w:rsidRPr="005B1463">
        <w:rPr>
          <w:rFonts w:asciiTheme="minorHAnsi" w:hAnsiTheme="minorHAnsi" w:cstheme="minorHAnsi"/>
          <w:i/>
          <w:sz w:val="22"/>
          <w:szCs w:val="22"/>
        </w:rPr>
        <w:t xml:space="preserve"> Journal of Adolescence, 52</w:t>
      </w:r>
      <w:r w:rsidRPr="005B1463">
        <w:rPr>
          <w:rFonts w:asciiTheme="minorHAnsi" w:hAnsiTheme="minorHAnsi" w:cstheme="minorHAnsi"/>
          <w:sz w:val="22"/>
          <w:szCs w:val="22"/>
        </w:rPr>
        <w:t>, 191-200</w:t>
      </w:r>
      <w:r w:rsidRPr="005B1463">
        <w:rPr>
          <w:rFonts w:asciiTheme="minorHAnsi" w:hAnsiTheme="minorHAnsi" w:cstheme="minorHAnsi"/>
          <w:i/>
          <w:sz w:val="22"/>
          <w:szCs w:val="22"/>
        </w:rPr>
        <w:t>.</w:t>
      </w:r>
    </w:p>
    <w:p w14:paraId="6AF9CB1A" w14:textId="77777777" w:rsidR="00252A5C" w:rsidRPr="00CF27DE" w:rsidRDefault="00141B9F" w:rsidP="005B1463">
      <w:pPr>
        <w:widowControl w:val="0"/>
        <w:autoSpaceDE w:val="0"/>
        <w:autoSpaceDN w:val="0"/>
        <w:adjustRightInd w:val="0"/>
        <w:spacing w:after="240"/>
        <w:rPr>
          <w:rFonts w:asciiTheme="minorHAnsi" w:hAnsiTheme="minorHAnsi" w:cstheme="minorHAnsi"/>
          <w:sz w:val="22"/>
          <w:szCs w:val="22"/>
        </w:rPr>
      </w:pPr>
      <w:r w:rsidRPr="005B1463">
        <w:rPr>
          <w:rFonts w:asciiTheme="minorHAnsi" w:hAnsiTheme="minorHAnsi" w:cstheme="minorHAnsi"/>
          <w:sz w:val="22"/>
          <w:szCs w:val="22"/>
        </w:rPr>
        <w:t>Spencer, C., Cafferky</w:t>
      </w:r>
      <w:r w:rsidRPr="00CF27DE">
        <w:rPr>
          <w:rFonts w:asciiTheme="minorHAnsi" w:hAnsiTheme="minorHAnsi" w:cstheme="minorHAnsi"/>
          <w:sz w:val="22"/>
          <w:szCs w:val="22"/>
        </w:rPr>
        <w:t>, B., &amp; Stith, S. M. (2016). Gender differences in risk markers for perpetration of physical partner violence: results from a meta-analytic review. Journal of f</w:t>
      </w:r>
      <w:r w:rsidR="00252A5C" w:rsidRPr="00CF27DE">
        <w:rPr>
          <w:rFonts w:asciiTheme="minorHAnsi" w:hAnsiTheme="minorHAnsi" w:cstheme="minorHAnsi"/>
          <w:sz w:val="22"/>
          <w:szCs w:val="22"/>
        </w:rPr>
        <w:t>amily violence, 31(8), 981-984.</w:t>
      </w:r>
    </w:p>
    <w:p w14:paraId="0BF1A1F4" w14:textId="77777777" w:rsidR="00252A5C" w:rsidRPr="00CF27DE" w:rsidRDefault="00A3582F" w:rsidP="00CF27DE">
      <w:pPr>
        <w:widowControl w:val="0"/>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Stanford, M. S., Houston, R. J., &amp; Baldridge, R. M. (2008). Comparison of impulsive and premeditated perpetrators of intimate partner violence. Behavioral sciences &amp; the law, 26(6), 709-722.</w:t>
      </w:r>
    </w:p>
    <w:p w14:paraId="4FDECAB5" w14:textId="77777777" w:rsidR="00141B9F" w:rsidRPr="00CF27DE" w:rsidRDefault="00141B9F" w:rsidP="00CF27DE">
      <w:pPr>
        <w:widowControl w:val="0"/>
        <w:autoSpaceDE w:val="0"/>
        <w:autoSpaceDN w:val="0"/>
        <w:adjustRightInd w:val="0"/>
        <w:spacing w:after="240"/>
        <w:rPr>
          <w:rFonts w:asciiTheme="minorHAnsi" w:hAnsiTheme="minorHAnsi" w:cstheme="minorHAnsi"/>
          <w:sz w:val="22"/>
          <w:szCs w:val="22"/>
        </w:rPr>
      </w:pPr>
      <w:r w:rsidRPr="00CF27DE">
        <w:rPr>
          <w:rFonts w:asciiTheme="minorHAnsi" w:hAnsiTheme="minorHAnsi" w:cstheme="minorHAnsi"/>
          <w:sz w:val="22"/>
          <w:szCs w:val="22"/>
        </w:rPr>
        <w:t>Stith, S. M., Green, N. M., Smith, D. B., &amp; Ward, D. B. (2008). Marital satisfaction and marital discord as risk markers for intimate partner violence: A meta-analytic review. Journal of Family Violence, 23(3), 149-160.</w:t>
      </w:r>
    </w:p>
    <w:p w14:paraId="31135D05" w14:textId="77777777" w:rsidR="00CF27DE" w:rsidRPr="00CF27DE" w:rsidRDefault="00CF27DE" w:rsidP="00CF27DE">
      <w:pPr>
        <w:autoSpaceDE w:val="0"/>
        <w:autoSpaceDN w:val="0"/>
        <w:adjustRightInd w:val="0"/>
        <w:spacing w:after="240"/>
        <w:rPr>
          <w:rFonts w:asciiTheme="minorHAnsi" w:hAnsiTheme="minorHAnsi" w:cstheme="minorHAnsi"/>
          <w:i/>
          <w:iCs/>
          <w:sz w:val="22"/>
          <w:szCs w:val="22"/>
        </w:rPr>
      </w:pPr>
      <w:r w:rsidRPr="00CF27DE">
        <w:rPr>
          <w:rFonts w:asciiTheme="minorHAnsi" w:hAnsiTheme="minorHAnsi" w:cstheme="minorHAnsi"/>
          <w:sz w:val="22"/>
          <w:szCs w:val="22"/>
        </w:rPr>
        <w:t xml:space="preserve">Straus, M. A. (1990). Social stress and marital violence in a national sample of American families. In M. A. Straus &amp; R. J. Gelles (Eds.), </w:t>
      </w:r>
      <w:r w:rsidRPr="00CF27DE">
        <w:rPr>
          <w:rFonts w:asciiTheme="minorHAnsi" w:hAnsiTheme="minorHAnsi" w:cstheme="minorHAnsi"/>
          <w:i/>
          <w:iCs/>
          <w:sz w:val="22"/>
          <w:szCs w:val="22"/>
        </w:rPr>
        <w:t xml:space="preserve">Physical violence in American families: </w:t>
      </w:r>
      <w:r>
        <w:rPr>
          <w:rFonts w:asciiTheme="minorHAnsi" w:hAnsiTheme="minorHAnsi" w:cstheme="minorHAnsi"/>
          <w:i/>
          <w:iCs/>
          <w:sz w:val="22"/>
          <w:szCs w:val="22"/>
        </w:rPr>
        <w:t>Risk factors and adaptations in</w:t>
      </w:r>
      <w:r w:rsidRPr="00CF27DE">
        <w:rPr>
          <w:rFonts w:asciiTheme="minorHAnsi" w:hAnsiTheme="minorHAnsi" w:cstheme="minorHAnsi"/>
          <w:i/>
          <w:iCs/>
          <w:sz w:val="22"/>
          <w:szCs w:val="22"/>
        </w:rPr>
        <w:t xml:space="preserve">8,145 families </w:t>
      </w:r>
      <w:r w:rsidRPr="00CF27DE">
        <w:rPr>
          <w:rFonts w:asciiTheme="minorHAnsi" w:hAnsiTheme="minorHAnsi" w:cstheme="minorHAnsi"/>
          <w:sz w:val="22"/>
          <w:szCs w:val="22"/>
        </w:rPr>
        <w:t>(pp. 181–202). New Brunswick, NJ: Transaction.</w:t>
      </w:r>
    </w:p>
    <w:p w14:paraId="4EE4456F"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Testa, M., Quigley, B. M., &amp; Leonard, K. E. (2003). Does alcohol make a difference? Within-participants comparison of incidents of partner violence. Journal of Interpersonal violence, 18(7), 735-743.</w:t>
      </w:r>
    </w:p>
    <w:p w14:paraId="26488B24"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Tharp, A. T., Schumacher, J. A., Samper, R. E., McLeish, A. C., &amp; Coffey, S. F. (2013). Relative importance of emotional dysregulation, hostility, and impulsiveness in predicting intimate partner violence perpetrated by men in alcohol treatment. Psychology of women quarterly, 37(1), 51-60.</w:t>
      </w:r>
    </w:p>
    <w:p w14:paraId="480EB96C"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Ting, L., Jordan-Green, L., Murphy, C. M., &amp; Pitts, S. C. (2009). Substance use problems, treatment engagement, and outcomes in partner violent men. Research on Social Work Practice, 19(4), 395-406.</w:t>
      </w:r>
    </w:p>
    <w:p w14:paraId="77EC39CD" w14:textId="77777777" w:rsidR="00A3582F" w:rsidRPr="00CF27DE" w:rsidRDefault="00A3582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Vitiello, B., &amp; Stoff, D. M. (1997). Subtypes of aggression and their relevance to child psychiatry. Journal of the American Academy of Child &amp; Adolescent Psychiatry, 36(3), 307-315.</w:t>
      </w:r>
    </w:p>
    <w:p w14:paraId="3C7257F2" w14:textId="77777777" w:rsidR="00141B9F" w:rsidRPr="00CF27DE" w:rsidRDefault="00141B9F" w:rsidP="00CF27DE">
      <w:pPr>
        <w:keepNext/>
        <w:spacing w:after="240"/>
        <w:rPr>
          <w:rFonts w:asciiTheme="minorHAnsi" w:hAnsiTheme="minorHAnsi" w:cstheme="minorHAnsi"/>
          <w:sz w:val="22"/>
          <w:szCs w:val="22"/>
        </w:rPr>
      </w:pPr>
      <w:r w:rsidRPr="00CF27DE">
        <w:rPr>
          <w:rFonts w:asciiTheme="minorHAnsi" w:hAnsiTheme="minorHAnsi" w:cstheme="minorHAnsi"/>
          <w:sz w:val="22"/>
          <w:szCs w:val="22"/>
        </w:rPr>
        <w:t>Vives-Cases, C., Gil-González, D., &amp; Carrasco-Portiño, M. (2009). Verbal marital conflict and male domination in the family as risk factors of intimate partner violence. Trauma, Violence, &amp; Abuse, 10(2), 171-180.</w:t>
      </w:r>
    </w:p>
    <w:p w14:paraId="09A4BD1A" w14:textId="77777777" w:rsidR="00141B9F" w:rsidRPr="00CF27DE" w:rsidRDefault="00141B9F" w:rsidP="00CF27DE">
      <w:pPr>
        <w:rPr>
          <w:rFonts w:asciiTheme="minorHAnsi" w:hAnsiTheme="minorHAnsi" w:cstheme="minorHAnsi"/>
          <w:sz w:val="22"/>
          <w:szCs w:val="22"/>
        </w:rPr>
      </w:pPr>
    </w:p>
    <w:sectPr w:rsidR="00141B9F" w:rsidRPr="00CF27DE" w:rsidSect="00141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202D8" w14:textId="77777777" w:rsidR="004A3A88" w:rsidRDefault="004A3A88" w:rsidP="00FC1681">
      <w:r>
        <w:separator/>
      </w:r>
    </w:p>
  </w:endnote>
  <w:endnote w:type="continuationSeparator" w:id="0">
    <w:p w14:paraId="56BFC878" w14:textId="77777777" w:rsidR="004A3A88" w:rsidRDefault="004A3A88" w:rsidP="00FC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862BC" w14:textId="77777777" w:rsidR="004A3A88" w:rsidRDefault="004A3A88" w:rsidP="00FC1681">
      <w:r>
        <w:separator/>
      </w:r>
    </w:p>
  </w:footnote>
  <w:footnote w:type="continuationSeparator" w:id="0">
    <w:p w14:paraId="2F308F88" w14:textId="77777777" w:rsidR="004A3A88" w:rsidRDefault="004A3A88" w:rsidP="00FC1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82CE2" w14:textId="77777777" w:rsidR="004A3A88" w:rsidRPr="00D3223B" w:rsidRDefault="004A3A88" w:rsidP="00D303D7">
    <w:r w:rsidRPr="00D3223B">
      <w:t>A systematic literature review and consultation with IPV subject matter experts identified 14 domains as important for distinguishing perpetrator typologies and the context of violence. The domains are: (1) Stress and Emotional Regulation Skills, (2) General Aggression; (3) Adverse Childhood Events; (4) Acceptance of Violence; (5) Stalking; (6) Relationship Discord/Satisfaction; (7) Communication and Conflict Management; (8) Power and Control; (9) IPV Physical, Sexual, Emotional and Verbal Perpetration and Victimization; (10) Psychological Conditions; (11) Substance Use; (12) Sexual Preference and Attraction; (13) Gender Roles; (14) Self-esteem and Self-efficacy. The survey also includes socio-demographic questions.</w:t>
    </w:r>
  </w:p>
  <w:p w14:paraId="69BEDB5A" w14:textId="77777777" w:rsidR="004A3A88" w:rsidRDefault="004A3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6131"/>
    <w:multiLevelType w:val="hybridMultilevel"/>
    <w:tmpl w:val="50E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41E4E"/>
    <w:multiLevelType w:val="hybridMultilevel"/>
    <w:tmpl w:val="6D7C8CA4"/>
    <w:lvl w:ilvl="0" w:tplc="95009450">
      <w:start w:val="1"/>
      <w:numFmt w:val="decimal"/>
      <w:lvlText w:val="(%1)"/>
      <w:lvlJc w:val="left"/>
      <w:pPr>
        <w:ind w:left="1080" w:hanging="360"/>
      </w:pPr>
      <w:rPr>
        <w:rFonts w:asciiTheme="minorHAnsi" w:hAnsiTheme="minorHAnsi" w:cstheme="minorHAns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936CB9"/>
    <w:multiLevelType w:val="hybridMultilevel"/>
    <w:tmpl w:val="5B9286E8"/>
    <w:lvl w:ilvl="0" w:tplc="45A2CA24">
      <w:start w:val="1"/>
      <w:numFmt w:val="decimal"/>
      <w:lvlText w:val="(%1)"/>
      <w:lvlJc w:val="left"/>
      <w:pPr>
        <w:ind w:left="720" w:hanging="360"/>
      </w:pPr>
      <w:rPr>
        <w:rFonts w:asciiTheme="minorHAnsi" w:hAnsiTheme="minorHAnsi" w:cstheme="minorHAnsi"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0F"/>
    <w:rsid w:val="000102B8"/>
    <w:rsid w:val="00013C21"/>
    <w:rsid w:val="00023675"/>
    <w:rsid w:val="000811C0"/>
    <w:rsid w:val="00083A67"/>
    <w:rsid w:val="00087C32"/>
    <w:rsid w:val="000C21E8"/>
    <w:rsid w:val="000D79FE"/>
    <w:rsid w:val="000D7D35"/>
    <w:rsid w:val="000E18F0"/>
    <w:rsid w:val="00105B0D"/>
    <w:rsid w:val="00141B9F"/>
    <w:rsid w:val="00144323"/>
    <w:rsid w:val="00167B05"/>
    <w:rsid w:val="00176511"/>
    <w:rsid w:val="0018347A"/>
    <w:rsid w:val="001B3484"/>
    <w:rsid w:val="001B784A"/>
    <w:rsid w:val="001C7A42"/>
    <w:rsid w:val="002033D9"/>
    <w:rsid w:val="002152A8"/>
    <w:rsid w:val="002231EF"/>
    <w:rsid w:val="00226AB1"/>
    <w:rsid w:val="0024092B"/>
    <w:rsid w:val="00252A5C"/>
    <w:rsid w:val="0026265C"/>
    <w:rsid w:val="002644FE"/>
    <w:rsid w:val="002725C3"/>
    <w:rsid w:val="002B0DE1"/>
    <w:rsid w:val="002D153F"/>
    <w:rsid w:val="002D4EC2"/>
    <w:rsid w:val="002E30E9"/>
    <w:rsid w:val="002F3044"/>
    <w:rsid w:val="0031760F"/>
    <w:rsid w:val="00322FE6"/>
    <w:rsid w:val="0037406A"/>
    <w:rsid w:val="0039203A"/>
    <w:rsid w:val="003D62DF"/>
    <w:rsid w:val="004117D0"/>
    <w:rsid w:val="004277E1"/>
    <w:rsid w:val="004440AB"/>
    <w:rsid w:val="004A3A88"/>
    <w:rsid w:val="004B4738"/>
    <w:rsid w:val="004C1E4A"/>
    <w:rsid w:val="004D433D"/>
    <w:rsid w:val="004E11BB"/>
    <w:rsid w:val="004F765D"/>
    <w:rsid w:val="00523F92"/>
    <w:rsid w:val="00533BEA"/>
    <w:rsid w:val="00536286"/>
    <w:rsid w:val="00540E38"/>
    <w:rsid w:val="00581F45"/>
    <w:rsid w:val="005A13BD"/>
    <w:rsid w:val="005B1463"/>
    <w:rsid w:val="005C188C"/>
    <w:rsid w:val="005E577E"/>
    <w:rsid w:val="005F0D0F"/>
    <w:rsid w:val="005F6270"/>
    <w:rsid w:val="00604531"/>
    <w:rsid w:val="00604992"/>
    <w:rsid w:val="0064489F"/>
    <w:rsid w:val="00650A13"/>
    <w:rsid w:val="00696489"/>
    <w:rsid w:val="006A131F"/>
    <w:rsid w:val="006C23E3"/>
    <w:rsid w:val="006E7320"/>
    <w:rsid w:val="007515B7"/>
    <w:rsid w:val="00754A90"/>
    <w:rsid w:val="00793C3F"/>
    <w:rsid w:val="00796F51"/>
    <w:rsid w:val="007D22FB"/>
    <w:rsid w:val="007E2049"/>
    <w:rsid w:val="007F2556"/>
    <w:rsid w:val="00803AE3"/>
    <w:rsid w:val="008130AB"/>
    <w:rsid w:val="00835FB7"/>
    <w:rsid w:val="0087738C"/>
    <w:rsid w:val="008F2972"/>
    <w:rsid w:val="009161F6"/>
    <w:rsid w:val="00922F09"/>
    <w:rsid w:val="00923B90"/>
    <w:rsid w:val="00935032"/>
    <w:rsid w:val="009478FC"/>
    <w:rsid w:val="00973F92"/>
    <w:rsid w:val="00994201"/>
    <w:rsid w:val="00994303"/>
    <w:rsid w:val="009A37D6"/>
    <w:rsid w:val="009D54D5"/>
    <w:rsid w:val="009F1C28"/>
    <w:rsid w:val="00A200F5"/>
    <w:rsid w:val="00A3582F"/>
    <w:rsid w:val="00A517B8"/>
    <w:rsid w:val="00A8310F"/>
    <w:rsid w:val="00A86AA9"/>
    <w:rsid w:val="00B0093F"/>
    <w:rsid w:val="00B1202A"/>
    <w:rsid w:val="00B20006"/>
    <w:rsid w:val="00B22DDB"/>
    <w:rsid w:val="00B354B1"/>
    <w:rsid w:val="00B370C2"/>
    <w:rsid w:val="00B4632F"/>
    <w:rsid w:val="00B479C6"/>
    <w:rsid w:val="00B701A6"/>
    <w:rsid w:val="00B84A73"/>
    <w:rsid w:val="00B9482F"/>
    <w:rsid w:val="00BC66AD"/>
    <w:rsid w:val="00BD5BA3"/>
    <w:rsid w:val="00BF5AF8"/>
    <w:rsid w:val="00C02D05"/>
    <w:rsid w:val="00C13E92"/>
    <w:rsid w:val="00C14869"/>
    <w:rsid w:val="00C16EDD"/>
    <w:rsid w:val="00C54CC8"/>
    <w:rsid w:val="00C639ED"/>
    <w:rsid w:val="00C77B22"/>
    <w:rsid w:val="00C86092"/>
    <w:rsid w:val="00C950F8"/>
    <w:rsid w:val="00CA0F71"/>
    <w:rsid w:val="00CF08B7"/>
    <w:rsid w:val="00CF27DE"/>
    <w:rsid w:val="00D018C1"/>
    <w:rsid w:val="00D07AFF"/>
    <w:rsid w:val="00D11F82"/>
    <w:rsid w:val="00D302D3"/>
    <w:rsid w:val="00D303D7"/>
    <w:rsid w:val="00D3223B"/>
    <w:rsid w:val="00D53136"/>
    <w:rsid w:val="00D63B55"/>
    <w:rsid w:val="00D722AE"/>
    <w:rsid w:val="00D76D0B"/>
    <w:rsid w:val="00D825A4"/>
    <w:rsid w:val="00DA7695"/>
    <w:rsid w:val="00DC0BDD"/>
    <w:rsid w:val="00DC3809"/>
    <w:rsid w:val="00DE01DB"/>
    <w:rsid w:val="00DE1D90"/>
    <w:rsid w:val="00E45006"/>
    <w:rsid w:val="00E612B0"/>
    <w:rsid w:val="00E737C2"/>
    <w:rsid w:val="00E84F1B"/>
    <w:rsid w:val="00EA133D"/>
    <w:rsid w:val="00EE2F18"/>
    <w:rsid w:val="00F03204"/>
    <w:rsid w:val="00F36031"/>
    <w:rsid w:val="00F36860"/>
    <w:rsid w:val="00F42204"/>
    <w:rsid w:val="00F44C2A"/>
    <w:rsid w:val="00F56DC1"/>
    <w:rsid w:val="00F65BEE"/>
    <w:rsid w:val="00F820C0"/>
    <w:rsid w:val="00F83B0C"/>
    <w:rsid w:val="00FA110F"/>
    <w:rsid w:val="00FC1681"/>
    <w:rsid w:val="00FD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2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A8310F"/>
    <w:pPr>
      <w:tabs>
        <w:tab w:val="center" w:pos="4320"/>
        <w:tab w:val="right" w:pos="8640"/>
      </w:tabs>
    </w:pPr>
  </w:style>
  <w:style w:type="character" w:customStyle="1" w:styleId="HeaderChar">
    <w:name w:val="Header Char"/>
    <w:basedOn w:val="DefaultParagraphFont"/>
    <w:uiPriority w:val="99"/>
    <w:rsid w:val="00A8310F"/>
    <w:rPr>
      <w:rFonts w:ascii="Times New Roman" w:eastAsia="Times New Roman" w:hAnsi="Times New Roman" w:cs="Times New Roman"/>
      <w:sz w:val="24"/>
      <w:szCs w:val="24"/>
    </w:rPr>
  </w:style>
  <w:style w:type="character" w:customStyle="1" w:styleId="HeaderChar1">
    <w:name w:val="Header Char1"/>
    <w:link w:val="Header"/>
    <w:uiPriority w:val="99"/>
    <w:locked/>
    <w:rsid w:val="00A8310F"/>
    <w:rPr>
      <w:rFonts w:ascii="Times New Roman" w:eastAsia="Times New Roman" w:hAnsi="Times New Roman" w:cs="Times New Roman"/>
      <w:sz w:val="24"/>
      <w:szCs w:val="24"/>
    </w:rPr>
  </w:style>
  <w:style w:type="paragraph" w:styleId="ListParagraph">
    <w:name w:val="List Paragraph"/>
    <w:basedOn w:val="Normal"/>
    <w:uiPriority w:val="34"/>
    <w:qFormat/>
    <w:rsid w:val="00C77B22"/>
    <w:pPr>
      <w:ind w:left="720"/>
      <w:contextualSpacing/>
    </w:pPr>
  </w:style>
  <w:style w:type="paragraph" w:styleId="Footer">
    <w:name w:val="footer"/>
    <w:basedOn w:val="Normal"/>
    <w:link w:val="FooterChar"/>
    <w:uiPriority w:val="99"/>
    <w:unhideWhenUsed/>
    <w:rsid w:val="00FC1681"/>
    <w:pPr>
      <w:tabs>
        <w:tab w:val="center" w:pos="4680"/>
        <w:tab w:val="right" w:pos="9360"/>
      </w:tabs>
    </w:pPr>
  </w:style>
  <w:style w:type="character" w:customStyle="1" w:styleId="FooterChar">
    <w:name w:val="Footer Char"/>
    <w:basedOn w:val="DefaultParagraphFont"/>
    <w:link w:val="Footer"/>
    <w:uiPriority w:val="99"/>
    <w:rsid w:val="00FC16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6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11C0"/>
    <w:rPr>
      <w:sz w:val="16"/>
      <w:szCs w:val="16"/>
    </w:rPr>
  </w:style>
  <w:style w:type="paragraph" w:styleId="CommentText">
    <w:name w:val="annotation text"/>
    <w:basedOn w:val="Normal"/>
    <w:link w:val="CommentTextChar"/>
    <w:uiPriority w:val="99"/>
    <w:semiHidden/>
    <w:unhideWhenUsed/>
    <w:rsid w:val="000811C0"/>
    <w:rPr>
      <w:sz w:val="20"/>
      <w:szCs w:val="20"/>
    </w:rPr>
  </w:style>
  <w:style w:type="character" w:customStyle="1" w:styleId="CommentTextChar">
    <w:name w:val="Comment Text Char"/>
    <w:basedOn w:val="DefaultParagraphFont"/>
    <w:link w:val="CommentText"/>
    <w:uiPriority w:val="99"/>
    <w:semiHidden/>
    <w:rsid w:val="000811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C0"/>
    <w:rPr>
      <w:b/>
      <w:bCs/>
    </w:rPr>
  </w:style>
  <w:style w:type="character" w:customStyle="1" w:styleId="CommentSubjectChar">
    <w:name w:val="Comment Subject Char"/>
    <w:basedOn w:val="CommentTextChar"/>
    <w:link w:val="CommentSubject"/>
    <w:uiPriority w:val="99"/>
    <w:semiHidden/>
    <w:rsid w:val="000811C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A8310F"/>
    <w:pPr>
      <w:tabs>
        <w:tab w:val="center" w:pos="4320"/>
        <w:tab w:val="right" w:pos="8640"/>
      </w:tabs>
    </w:pPr>
  </w:style>
  <w:style w:type="character" w:customStyle="1" w:styleId="HeaderChar">
    <w:name w:val="Header Char"/>
    <w:basedOn w:val="DefaultParagraphFont"/>
    <w:uiPriority w:val="99"/>
    <w:rsid w:val="00A8310F"/>
    <w:rPr>
      <w:rFonts w:ascii="Times New Roman" w:eastAsia="Times New Roman" w:hAnsi="Times New Roman" w:cs="Times New Roman"/>
      <w:sz w:val="24"/>
      <w:szCs w:val="24"/>
    </w:rPr>
  </w:style>
  <w:style w:type="character" w:customStyle="1" w:styleId="HeaderChar1">
    <w:name w:val="Header Char1"/>
    <w:link w:val="Header"/>
    <w:uiPriority w:val="99"/>
    <w:locked/>
    <w:rsid w:val="00A8310F"/>
    <w:rPr>
      <w:rFonts w:ascii="Times New Roman" w:eastAsia="Times New Roman" w:hAnsi="Times New Roman" w:cs="Times New Roman"/>
      <w:sz w:val="24"/>
      <w:szCs w:val="24"/>
    </w:rPr>
  </w:style>
  <w:style w:type="paragraph" w:styleId="ListParagraph">
    <w:name w:val="List Paragraph"/>
    <w:basedOn w:val="Normal"/>
    <w:uiPriority w:val="34"/>
    <w:qFormat/>
    <w:rsid w:val="00C77B22"/>
    <w:pPr>
      <w:ind w:left="720"/>
      <w:contextualSpacing/>
    </w:pPr>
  </w:style>
  <w:style w:type="paragraph" w:styleId="Footer">
    <w:name w:val="footer"/>
    <w:basedOn w:val="Normal"/>
    <w:link w:val="FooterChar"/>
    <w:uiPriority w:val="99"/>
    <w:unhideWhenUsed/>
    <w:rsid w:val="00FC1681"/>
    <w:pPr>
      <w:tabs>
        <w:tab w:val="center" w:pos="4680"/>
        <w:tab w:val="right" w:pos="9360"/>
      </w:tabs>
    </w:pPr>
  </w:style>
  <w:style w:type="character" w:customStyle="1" w:styleId="FooterChar">
    <w:name w:val="Footer Char"/>
    <w:basedOn w:val="DefaultParagraphFont"/>
    <w:link w:val="Footer"/>
    <w:uiPriority w:val="99"/>
    <w:rsid w:val="00FC16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6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11C0"/>
    <w:rPr>
      <w:sz w:val="16"/>
      <w:szCs w:val="16"/>
    </w:rPr>
  </w:style>
  <w:style w:type="paragraph" w:styleId="CommentText">
    <w:name w:val="annotation text"/>
    <w:basedOn w:val="Normal"/>
    <w:link w:val="CommentTextChar"/>
    <w:uiPriority w:val="99"/>
    <w:semiHidden/>
    <w:unhideWhenUsed/>
    <w:rsid w:val="000811C0"/>
    <w:rPr>
      <w:sz w:val="20"/>
      <w:szCs w:val="20"/>
    </w:rPr>
  </w:style>
  <w:style w:type="character" w:customStyle="1" w:styleId="CommentTextChar">
    <w:name w:val="Comment Text Char"/>
    <w:basedOn w:val="DefaultParagraphFont"/>
    <w:link w:val="CommentText"/>
    <w:uiPriority w:val="99"/>
    <w:semiHidden/>
    <w:rsid w:val="000811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C0"/>
    <w:rPr>
      <w:b/>
      <w:bCs/>
    </w:rPr>
  </w:style>
  <w:style w:type="character" w:customStyle="1" w:styleId="CommentSubjectChar">
    <w:name w:val="Comment Subject Char"/>
    <w:basedOn w:val="CommentTextChar"/>
    <w:link w:val="CommentSubject"/>
    <w:uiPriority w:val="99"/>
    <w:semiHidden/>
    <w:rsid w:val="000811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Scardaville, Melissa</dc:creator>
  <cp:keywords/>
  <dc:description/>
  <cp:lastModifiedBy>SYSTEM</cp:lastModifiedBy>
  <cp:revision>2</cp:revision>
  <dcterms:created xsi:type="dcterms:W3CDTF">2017-11-08T20:38:00Z</dcterms:created>
  <dcterms:modified xsi:type="dcterms:W3CDTF">2017-11-08T20:38:00Z</dcterms:modified>
</cp:coreProperties>
</file>