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FF16D" w14:textId="77777777" w:rsidR="00193326" w:rsidRDefault="005C20AD" w:rsidP="00361F53">
      <w:pPr>
        <w:jc w:val="center"/>
        <w:rPr>
          <w:b/>
          <w:bCs/>
          <w:color w:val="000000"/>
          <w:sz w:val="40"/>
          <w:szCs w:val="40"/>
        </w:rPr>
      </w:pPr>
      <w:bookmarkStart w:id="0" w:name="_GoBack"/>
      <w:bookmarkEnd w:id="0"/>
      <w:r w:rsidRPr="00193326">
        <w:rPr>
          <w:b/>
          <w:bCs/>
          <w:color w:val="000000"/>
          <w:sz w:val="40"/>
          <w:szCs w:val="40"/>
        </w:rPr>
        <w:t xml:space="preserve">Information </w:t>
      </w:r>
      <w:r w:rsidR="00885DBC" w:rsidRPr="00193326">
        <w:rPr>
          <w:b/>
          <w:bCs/>
          <w:color w:val="000000"/>
          <w:sz w:val="40"/>
          <w:szCs w:val="40"/>
        </w:rPr>
        <w:t>Collection for Evaluation of Education, Communication, and Training Activities</w:t>
      </w:r>
      <w:r w:rsidR="00BB0CAC" w:rsidRPr="00193326">
        <w:rPr>
          <w:b/>
          <w:bCs/>
          <w:color w:val="000000"/>
          <w:sz w:val="40"/>
          <w:szCs w:val="40"/>
        </w:rPr>
        <w:t xml:space="preserve"> for </w:t>
      </w:r>
      <w:r w:rsidR="00596B4A" w:rsidRPr="00193326">
        <w:rPr>
          <w:b/>
          <w:bCs/>
          <w:color w:val="000000"/>
          <w:sz w:val="40"/>
          <w:szCs w:val="40"/>
        </w:rPr>
        <w:t xml:space="preserve">Mobile Populations </w:t>
      </w:r>
    </w:p>
    <w:p w14:paraId="11410AEB" w14:textId="77777777" w:rsidR="00193326" w:rsidRDefault="00193326" w:rsidP="00193326">
      <w:pPr>
        <w:spacing w:before="240"/>
        <w:jc w:val="center"/>
        <w:rPr>
          <w:bCs/>
          <w:color w:val="000000"/>
          <w:sz w:val="32"/>
          <w:szCs w:val="32"/>
        </w:rPr>
      </w:pPr>
    </w:p>
    <w:p w14:paraId="2CCAC474" w14:textId="52AEA6C7" w:rsidR="009A2831" w:rsidRPr="00193326" w:rsidRDefault="00193326" w:rsidP="00193326">
      <w:pPr>
        <w:spacing w:before="240"/>
        <w:jc w:val="center"/>
        <w:rPr>
          <w:bCs/>
          <w:color w:val="000000"/>
          <w:sz w:val="32"/>
          <w:szCs w:val="32"/>
        </w:rPr>
      </w:pPr>
      <w:r w:rsidRPr="00193326">
        <w:rPr>
          <w:bCs/>
          <w:color w:val="000000"/>
          <w:sz w:val="32"/>
          <w:szCs w:val="32"/>
        </w:rPr>
        <w:t>OMB Control No. 0920-0932</w:t>
      </w:r>
    </w:p>
    <w:p w14:paraId="2CD60D90" w14:textId="579B2C84" w:rsidR="00193326" w:rsidRPr="00193326" w:rsidRDefault="00193326" w:rsidP="00193326">
      <w:pPr>
        <w:spacing w:before="240"/>
        <w:jc w:val="center"/>
        <w:rPr>
          <w:bCs/>
          <w:color w:val="000000"/>
          <w:sz w:val="32"/>
          <w:szCs w:val="32"/>
        </w:rPr>
      </w:pPr>
      <w:r w:rsidRPr="00193326">
        <w:rPr>
          <w:bCs/>
          <w:color w:val="000000"/>
          <w:sz w:val="32"/>
          <w:szCs w:val="32"/>
        </w:rPr>
        <w:t>Exp. Date: 7/31/2018</w:t>
      </w:r>
    </w:p>
    <w:p w14:paraId="42D1D364" w14:textId="77777777" w:rsidR="00193326" w:rsidRDefault="00193326" w:rsidP="00193326">
      <w:pPr>
        <w:spacing w:before="240"/>
        <w:jc w:val="center"/>
        <w:rPr>
          <w:bCs/>
          <w:color w:val="000000"/>
          <w:sz w:val="32"/>
          <w:szCs w:val="32"/>
        </w:rPr>
      </w:pPr>
    </w:p>
    <w:p w14:paraId="7707A582" w14:textId="6EE176ED" w:rsidR="00193326" w:rsidRDefault="00193326" w:rsidP="00193326">
      <w:pPr>
        <w:spacing w:before="240"/>
        <w:jc w:val="center"/>
        <w:rPr>
          <w:bCs/>
          <w:color w:val="000000"/>
          <w:sz w:val="32"/>
          <w:szCs w:val="32"/>
        </w:rPr>
      </w:pPr>
      <w:r w:rsidRPr="00193326">
        <w:rPr>
          <w:bCs/>
          <w:color w:val="000000"/>
          <w:sz w:val="32"/>
          <w:szCs w:val="32"/>
        </w:rPr>
        <w:t>Request for OMB approval of a</w:t>
      </w:r>
      <w:r w:rsidR="002F725A">
        <w:rPr>
          <w:bCs/>
          <w:color w:val="000000"/>
          <w:sz w:val="32"/>
          <w:szCs w:val="32"/>
        </w:rPr>
        <w:t xml:space="preserve"> Revision</w:t>
      </w:r>
      <w:r w:rsidRPr="00193326">
        <w:rPr>
          <w:bCs/>
          <w:color w:val="000000"/>
          <w:sz w:val="32"/>
          <w:szCs w:val="32"/>
        </w:rPr>
        <w:t xml:space="preserve"> Information Collection</w:t>
      </w:r>
    </w:p>
    <w:p w14:paraId="756BFCF8" w14:textId="34748A82" w:rsidR="00193326" w:rsidRDefault="00193326" w:rsidP="00193326">
      <w:pPr>
        <w:spacing w:before="240"/>
        <w:jc w:val="center"/>
        <w:rPr>
          <w:bCs/>
          <w:color w:val="000000"/>
          <w:sz w:val="32"/>
          <w:szCs w:val="32"/>
        </w:rPr>
      </w:pPr>
    </w:p>
    <w:p w14:paraId="75F27EB5" w14:textId="65429D5F" w:rsidR="00193326" w:rsidRPr="00193326" w:rsidRDefault="00193326" w:rsidP="00193326">
      <w:pPr>
        <w:spacing w:before="240"/>
        <w:jc w:val="center"/>
        <w:rPr>
          <w:b/>
          <w:bCs/>
          <w:color w:val="000000"/>
        </w:rPr>
      </w:pPr>
      <w:r w:rsidRPr="00193326">
        <w:rPr>
          <w:b/>
          <w:bCs/>
          <w:color w:val="000000"/>
        </w:rPr>
        <w:t>February 23, 2018</w:t>
      </w:r>
    </w:p>
    <w:p w14:paraId="79DF5800" w14:textId="77777777" w:rsidR="00596B4A" w:rsidRDefault="00596B4A" w:rsidP="00C14F5B">
      <w:pPr>
        <w:spacing w:after="200"/>
        <w:jc w:val="center"/>
        <w:rPr>
          <w:bCs/>
          <w:color w:val="000000"/>
        </w:rPr>
      </w:pPr>
    </w:p>
    <w:p w14:paraId="1E2C5552" w14:textId="3C02DA64" w:rsidR="00C54B8D" w:rsidRPr="00BF718B" w:rsidRDefault="00193326" w:rsidP="00361F53">
      <w:pPr>
        <w:jc w:val="center"/>
      </w:pPr>
      <w:r>
        <w:rPr>
          <w:bCs/>
          <w:color w:val="000000"/>
        </w:rPr>
        <w:t xml:space="preserve"> </w:t>
      </w:r>
    </w:p>
    <w:p w14:paraId="25D1F2B9" w14:textId="77777777" w:rsidR="00960A53" w:rsidRPr="00BF718B" w:rsidRDefault="00960A53" w:rsidP="00361F53">
      <w:pPr>
        <w:jc w:val="center"/>
      </w:pPr>
    </w:p>
    <w:p w14:paraId="02596513" w14:textId="0E68CDC5" w:rsidR="00960A53" w:rsidRPr="00193326" w:rsidRDefault="00193326" w:rsidP="00361F53">
      <w:pPr>
        <w:jc w:val="center"/>
        <w:rPr>
          <w:b/>
        </w:rPr>
      </w:pPr>
      <w:r w:rsidRPr="00193326">
        <w:rPr>
          <w:b/>
        </w:rPr>
        <w:t xml:space="preserve">Supporting </w:t>
      </w:r>
      <w:r w:rsidR="00960A53" w:rsidRPr="00193326">
        <w:rPr>
          <w:b/>
        </w:rPr>
        <w:t>Statement A</w:t>
      </w:r>
    </w:p>
    <w:p w14:paraId="3A87306B" w14:textId="77777777" w:rsidR="00885DBC" w:rsidRPr="00BF718B" w:rsidRDefault="00885DBC" w:rsidP="00361F53">
      <w:pPr>
        <w:spacing w:after="200"/>
        <w:rPr>
          <w:bCs/>
          <w:color w:val="000000"/>
        </w:rPr>
      </w:pPr>
    </w:p>
    <w:p w14:paraId="6F593A49" w14:textId="77777777" w:rsidR="00885DBC" w:rsidRPr="00BF718B" w:rsidRDefault="00885DBC" w:rsidP="00361F53">
      <w:pPr>
        <w:spacing w:after="200"/>
        <w:rPr>
          <w:bCs/>
          <w:color w:val="000000"/>
        </w:rPr>
      </w:pPr>
    </w:p>
    <w:p w14:paraId="4D1DE2F4" w14:textId="77777777" w:rsidR="00885DBC" w:rsidRPr="00BF718B" w:rsidRDefault="00885DBC" w:rsidP="00361F53">
      <w:pPr>
        <w:spacing w:after="200"/>
        <w:rPr>
          <w:bCs/>
          <w:color w:val="000000"/>
        </w:rPr>
      </w:pPr>
    </w:p>
    <w:p w14:paraId="0E987BCB" w14:textId="77777777" w:rsidR="00885DBC" w:rsidRPr="00BF718B" w:rsidRDefault="00885DBC" w:rsidP="00361F53">
      <w:pPr>
        <w:spacing w:after="200"/>
        <w:rPr>
          <w:bCs/>
          <w:color w:val="000000"/>
        </w:rPr>
      </w:pPr>
    </w:p>
    <w:p w14:paraId="0AD1C35C" w14:textId="5422465A" w:rsidR="00885DBC" w:rsidRDefault="00885DBC" w:rsidP="00361F53">
      <w:pPr>
        <w:spacing w:after="200"/>
        <w:rPr>
          <w:bCs/>
          <w:color w:val="000000"/>
        </w:rPr>
      </w:pPr>
    </w:p>
    <w:p w14:paraId="79E7C2F0" w14:textId="288D7BC2" w:rsidR="00193326" w:rsidRPr="00BF718B" w:rsidRDefault="00193326" w:rsidP="00361F53">
      <w:pPr>
        <w:spacing w:after="200"/>
        <w:rPr>
          <w:bCs/>
          <w:color w:val="000000"/>
        </w:rPr>
      </w:pPr>
    </w:p>
    <w:p w14:paraId="2C406522" w14:textId="77777777" w:rsidR="00885DBC" w:rsidRPr="00BF718B" w:rsidRDefault="00885DBC" w:rsidP="00361F53">
      <w:pPr>
        <w:spacing w:after="200"/>
        <w:rPr>
          <w:bCs/>
          <w:color w:val="000000"/>
        </w:rPr>
      </w:pPr>
    </w:p>
    <w:p w14:paraId="3D74927B" w14:textId="77777777" w:rsidR="00885DBC" w:rsidRPr="00BF718B" w:rsidRDefault="00885DBC" w:rsidP="00361F53">
      <w:pPr>
        <w:spacing w:after="200"/>
        <w:rPr>
          <w:bCs/>
          <w:color w:val="000000"/>
        </w:rPr>
      </w:pPr>
    </w:p>
    <w:p w14:paraId="3C245D50" w14:textId="77777777" w:rsidR="00885DBC" w:rsidRPr="00BF718B" w:rsidRDefault="00885DBC" w:rsidP="00361F53">
      <w:pPr>
        <w:spacing w:after="200"/>
        <w:rPr>
          <w:bCs/>
          <w:color w:val="000000"/>
        </w:rPr>
      </w:pPr>
    </w:p>
    <w:p w14:paraId="5A1C9DBA" w14:textId="7867CD5E" w:rsidR="00885DBC" w:rsidRPr="00193326" w:rsidRDefault="00193326" w:rsidP="00193326">
      <w:pPr>
        <w:rPr>
          <w:b/>
          <w:bCs/>
          <w:color w:val="000000"/>
        </w:rPr>
      </w:pPr>
      <w:r w:rsidRPr="00193326">
        <w:rPr>
          <w:b/>
          <w:bCs/>
          <w:color w:val="000000"/>
        </w:rPr>
        <w:t>Contact:</w:t>
      </w:r>
    </w:p>
    <w:p w14:paraId="16DBD658" w14:textId="77777777" w:rsidR="00C14F5B" w:rsidRPr="00BF718B" w:rsidRDefault="00C14F5B" w:rsidP="00C14F5B">
      <w:bookmarkStart w:id="1" w:name="_Toc295817038"/>
      <w:bookmarkStart w:id="2" w:name="_Toc295817572"/>
      <w:bookmarkStart w:id="3" w:name="_Toc295818053"/>
      <w:bookmarkStart w:id="4" w:name="_Toc295819826"/>
      <w:r w:rsidRPr="00BF718B">
        <w:t>Lee Samuel</w:t>
      </w:r>
    </w:p>
    <w:p w14:paraId="0ABAA56B" w14:textId="77777777" w:rsidR="00C14F5B" w:rsidRPr="00BF718B" w:rsidRDefault="00C14F5B" w:rsidP="00C14F5B">
      <w:r w:rsidRPr="00BF718B">
        <w:t xml:space="preserve">National Center for Emerging and Zoonotic Infectious Diseases </w:t>
      </w:r>
    </w:p>
    <w:p w14:paraId="3568BD3C" w14:textId="77777777" w:rsidR="00C14F5B" w:rsidRPr="00BF718B" w:rsidRDefault="00C14F5B" w:rsidP="00C14F5B">
      <w:r w:rsidRPr="00BF718B">
        <w:t xml:space="preserve">Centers for Disease Control and Prevention </w:t>
      </w:r>
    </w:p>
    <w:p w14:paraId="0E306597" w14:textId="77777777" w:rsidR="00C14F5B" w:rsidRPr="00BF718B" w:rsidRDefault="00C14F5B" w:rsidP="00C14F5B">
      <w:r w:rsidRPr="00BF718B">
        <w:t xml:space="preserve">1600 Clifton Road, NE </w:t>
      </w:r>
    </w:p>
    <w:p w14:paraId="71B60D92" w14:textId="77777777" w:rsidR="00C14F5B" w:rsidRPr="00BF718B" w:rsidRDefault="00C14F5B" w:rsidP="00C14F5B">
      <w:r w:rsidRPr="00BF718B">
        <w:t xml:space="preserve">Atlanta, Georgia 30333 </w:t>
      </w:r>
    </w:p>
    <w:p w14:paraId="70339153" w14:textId="77777777" w:rsidR="00C14F5B" w:rsidRPr="00BF718B" w:rsidRDefault="00C14F5B" w:rsidP="00C14F5B">
      <w:r w:rsidRPr="00BF718B">
        <w:t xml:space="preserve">Phone: (404) 718-1616 </w:t>
      </w:r>
    </w:p>
    <w:p w14:paraId="055AFD97" w14:textId="77777777" w:rsidR="00885DBC" w:rsidRPr="00BF718B" w:rsidRDefault="00C14F5B" w:rsidP="00C14F5B">
      <w:r w:rsidRPr="00BF718B">
        <w:t>Email: llj3@cdc.gov</w:t>
      </w:r>
      <w:bookmarkEnd w:id="1"/>
      <w:bookmarkEnd w:id="2"/>
      <w:bookmarkEnd w:id="3"/>
      <w:bookmarkEnd w:id="4"/>
    </w:p>
    <w:p w14:paraId="0EBF34A5" w14:textId="77777777" w:rsidR="00885DBC" w:rsidRPr="00BF718B" w:rsidRDefault="00885DBC" w:rsidP="00C14F5B">
      <w:pPr>
        <w:rPr>
          <w:bCs/>
          <w:color w:val="000000"/>
        </w:rPr>
      </w:pPr>
      <w:r w:rsidRPr="00BF718B">
        <w:rPr>
          <w:bCs/>
          <w:color w:val="000000"/>
        </w:rPr>
        <w:br w:type="page"/>
      </w:r>
    </w:p>
    <w:sdt>
      <w:sdtPr>
        <w:rPr>
          <w:b w:val="0"/>
          <w:bCs w:val="0"/>
          <w:iCs w:val="0"/>
          <w:color w:val="auto"/>
        </w:rPr>
        <w:id w:val="126347713"/>
        <w:docPartObj>
          <w:docPartGallery w:val="Table of Contents"/>
          <w:docPartUnique/>
        </w:docPartObj>
      </w:sdtPr>
      <w:sdtEndPr/>
      <w:sdtContent>
        <w:p w14:paraId="5853468D" w14:textId="77777777" w:rsidR="00275B13" w:rsidRPr="00BF718B" w:rsidRDefault="00D51019" w:rsidP="00D51019">
          <w:pPr>
            <w:pStyle w:val="TOCHeading"/>
            <w:spacing w:after="240"/>
            <w:jc w:val="center"/>
          </w:pPr>
          <w:r>
            <w:rPr>
              <w:color w:val="auto"/>
            </w:rPr>
            <w:t xml:space="preserve">Table of </w:t>
          </w:r>
          <w:r w:rsidR="00275B13" w:rsidRPr="00BF718B">
            <w:t>Contents</w:t>
          </w:r>
        </w:p>
        <w:p w14:paraId="0DC67A4C" w14:textId="22C61A79" w:rsidR="00D51019" w:rsidRPr="00D51019" w:rsidRDefault="002D1791">
          <w:pPr>
            <w:pStyle w:val="TOC1"/>
            <w:rPr>
              <w:rFonts w:asciiTheme="minorHAnsi" w:eastAsiaTheme="minorEastAsia" w:hAnsiTheme="minorHAnsi" w:cstheme="minorBidi"/>
              <w:noProof/>
              <w:sz w:val="22"/>
              <w:szCs w:val="22"/>
            </w:rPr>
          </w:pPr>
          <w:r w:rsidRPr="00D51019">
            <w:fldChar w:fldCharType="begin"/>
          </w:r>
          <w:r w:rsidR="00275B13" w:rsidRPr="00D51019">
            <w:instrText xml:space="preserve"> TOC \o "1-3" \h \z \u </w:instrText>
          </w:r>
          <w:r w:rsidRPr="00D51019">
            <w:fldChar w:fldCharType="separate"/>
          </w:r>
          <w:hyperlink w:anchor="_Toc506904654" w:history="1">
            <w:r w:rsidR="00D51019" w:rsidRPr="00D51019">
              <w:rPr>
                <w:rStyle w:val="Hyperlink"/>
                <w:noProof/>
              </w:rPr>
              <w:t>A.1. Circumstances Making the Collection of Information Necessary</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_Toc506904654 \h </w:instrText>
            </w:r>
            <w:r w:rsidR="00D51019" w:rsidRPr="00D51019">
              <w:rPr>
                <w:noProof/>
                <w:webHidden/>
              </w:rPr>
            </w:r>
            <w:r w:rsidR="00D51019" w:rsidRPr="00D51019">
              <w:rPr>
                <w:noProof/>
                <w:webHidden/>
              </w:rPr>
              <w:fldChar w:fldCharType="separate"/>
            </w:r>
            <w:r w:rsidR="00193326">
              <w:rPr>
                <w:noProof/>
                <w:webHidden/>
              </w:rPr>
              <w:t>4</w:t>
            </w:r>
            <w:r w:rsidR="00D51019" w:rsidRPr="00D51019">
              <w:rPr>
                <w:noProof/>
                <w:webHidden/>
              </w:rPr>
              <w:fldChar w:fldCharType="end"/>
            </w:r>
          </w:hyperlink>
        </w:p>
        <w:p w14:paraId="124E7EBE" w14:textId="28C6567E" w:rsidR="00D51019" w:rsidRPr="00D51019" w:rsidRDefault="002571E2">
          <w:pPr>
            <w:pStyle w:val="TOC1"/>
            <w:rPr>
              <w:rFonts w:asciiTheme="minorHAnsi" w:eastAsiaTheme="minorEastAsia" w:hAnsiTheme="minorHAnsi" w:cstheme="minorBidi"/>
              <w:noProof/>
              <w:sz w:val="22"/>
              <w:szCs w:val="22"/>
            </w:rPr>
          </w:pPr>
          <w:hyperlink w:anchor="_Toc506904655" w:history="1">
            <w:r w:rsidR="00D51019" w:rsidRPr="00D51019">
              <w:rPr>
                <w:rStyle w:val="Hyperlink"/>
                <w:bCs/>
                <w:iCs/>
                <w:noProof/>
              </w:rPr>
              <w:t>A.2. Purpose and Use of Information Collection</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_Toc506904655 \h </w:instrText>
            </w:r>
            <w:r w:rsidR="00D51019" w:rsidRPr="00D51019">
              <w:rPr>
                <w:noProof/>
                <w:webHidden/>
              </w:rPr>
            </w:r>
            <w:r w:rsidR="00D51019" w:rsidRPr="00D51019">
              <w:rPr>
                <w:noProof/>
                <w:webHidden/>
              </w:rPr>
              <w:fldChar w:fldCharType="separate"/>
            </w:r>
            <w:r w:rsidR="00193326">
              <w:rPr>
                <w:noProof/>
                <w:webHidden/>
              </w:rPr>
              <w:t>5</w:t>
            </w:r>
            <w:r w:rsidR="00D51019" w:rsidRPr="00D51019">
              <w:rPr>
                <w:noProof/>
                <w:webHidden/>
              </w:rPr>
              <w:fldChar w:fldCharType="end"/>
            </w:r>
          </w:hyperlink>
        </w:p>
        <w:p w14:paraId="6860FD49" w14:textId="21F2A7A6" w:rsidR="00D51019" w:rsidRPr="00D51019" w:rsidRDefault="002571E2">
          <w:pPr>
            <w:pStyle w:val="TOC1"/>
            <w:rPr>
              <w:rFonts w:asciiTheme="minorHAnsi" w:eastAsiaTheme="minorEastAsia" w:hAnsiTheme="minorHAnsi" w:cstheme="minorBidi"/>
              <w:noProof/>
              <w:sz w:val="22"/>
              <w:szCs w:val="22"/>
            </w:rPr>
          </w:pPr>
          <w:hyperlink w:anchor="_Toc506904656" w:history="1">
            <w:r w:rsidR="00D51019" w:rsidRPr="00D51019">
              <w:rPr>
                <w:rStyle w:val="Hyperlink"/>
                <w:bCs/>
                <w:iCs/>
                <w:noProof/>
              </w:rPr>
              <w:t>A.3. Use of Improved Information Technology and Burden Reduction</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_Toc506904656 \h </w:instrText>
            </w:r>
            <w:r w:rsidR="00D51019" w:rsidRPr="00D51019">
              <w:rPr>
                <w:noProof/>
                <w:webHidden/>
              </w:rPr>
            </w:r>
            <w:r w:rsidR="00D51019" w:rsidRPr="00D51019">
              <w:rPr>
                <w:noProof/>
                <w:webHidden/>
              </w:rPr>
              <w:fldChar w:fldCharType="separate"/>
            </w:r>
            <w:r w:rsidR="00193326">
              <w:rPr>
                <w:noProof/>
                <w:webHidden/>
              </w:rPr>
              <w:t>8</w:t>
            </w:r>
            <w:r w:rsidR="00D51019" w:rsidRPr="00D51019">
              <w:rPr>
                <w:noProof/>
                <w:webHidden/>
              </w:rPr>
              <w:fldChar w:fldCharType="end"/>
            </w:r>
          </w:hyperlink>
        </w:p>
        <w:p w14:paraId="6BE1D78C" w14:textId="4C2C199F" w:rsidR="00D51019" w:rsidRPr="00D51019" w:rsidRDefault="002571E2">
          <w:pPr>
            <w:pStyle w:val="TOC1"/>
            <w:rPr>
              <w:rFonts w:asciiTheme="minorHAnsi" w:eastAsiaTheme="minorEastAsia" w:hAnsiTheme="minorHAnsi" w:cstheme="minorBidi"/>
              <w:noProof/>
              <w:sz w:val="22"/>
              <w:szCs w:val="22"/>
            </w:rPr>
          </w:pPr>
          <w:hyperlink w:anchor="_Toc506904657" w:history="1">
            <w:r w:rsidR="00D51019" w:rsidRPr="00D51019">
              <w:rPr>
                <w:rStyle w:val="Hyperlink"/>
                <w:bCs/>
                <w:iCs/>
                <w:noProof/>
              </w:rPr>
              <w:t>A.4. Efforts to Identify Duplication and Use of Similar Information</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_Toc506904657 \h </w:instrText>
            </w:r>
            <w:r w:rsidR="00D51019" w:rsidRPr="00D51019">
              <w:rPr>
                <w:noProof/>
                <w:webHidden/>
              </w:rPr>
            </w:r>
            <w:r w:rsidR="00D51019" w:rsidRPr="00D51019">
              <w:rPr>
                <w:noProof/>
                <w:webHidden/>
              </w:rPr>
              <w:fldChar w:fldCharType="separate"/>
            </w:r>
            <w:r w:rsidR="00193326">
              <w:rPr>
                <w:noProof/>
                <w:webHidden/>
              </w:rPr>
              <w:t>8</w:t>
            </w:r>
            <w:r w:rsidR="00D51019" w:rsidRPr="00D51019">
              <w:rPr>
                <w:noProof/>
                <w:webHidden/>
              </w:rPr>
              <w:fldChar w:fldCharType="end"/>
            </w:r>
          </w:hyperlink>
        </w:p>
        <w:p w14:paraId="521703A1" w14:textId="56987E1B" w:rsidR="00D51019" w:rsidRPr="00D51019" w:rsidRDefault="002571E2">
          <w:pPr>
            <w:pStyle w:val="TOC1"/>
            <w:rPr>
              <w:rFonts w:asciiTheme="minorHAnsi" w:eastAsiaTheme="minorEastAsia" w:hAnsiTheme="minorHAnsi" w:cstheme="minorBidi"/>
              <w:noProof/>
              <w:sz w:val="22"/>
              <w:szCs w:val="22"/>
            </w:rPr>
          </w:pPr>
          <w:hyperlink w:anchor="_Toc506904658" w:history="1">
            <w:r w:rsidR="00D51019" w:rsidRPr="00D51019">
              <w:rPr>
                <w:rStyle w:val="Hyperlink"/>
                <w:bCs/>
                <w:iCs/>
                <w:noProof/>
              </w:rPr>
              <w:t>A.5. Impact on Small Businesses or Other Small Entities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_Toc506904658 \h </w:instrText>
            </w:r>
            <w:r w:rsidR="00D51019" w:rsidRPr="00D51019">
              <w:rPr>
                <w:noProof/>
                <w:webHidden/>
              </w:rPr>
            </w:r>
            <w:r w:rsidR="00D51019" w:rsidRPr="00D51019">
              <w:rPr>
                <w:noProof/>
                <w:webHidden/>
              </w:rPr>
              <w:fldChar w:fldCharType="separate"/>
            </w:r>
            <w:r w:rsidR="00193326">
              <w:rPr>
                <w:noProof/>
                <w:webHidden/>
              </w:rPr>
              <w:t>9</w:t>
            </w:r>
            <w:r w:rsidR="00D51019" w:rsidRPr="00D51019">
              <w:rPr>
                <w:noProof/>
                <w:webHidden/>
              </w:rPr>
              <w:fldChar w:fldCharType="end"/>
            </w:r>
          </w:hyperlink>
        </w:p>
        <w:p w14:paraId="57F3155F" w14:textId="1E45AAA1" w:rsidR="00D51019" w:rsidRPr="00D51019" w:rsidRDefault="002571E2">
          <w:pPr>
            <w:pStyle w:val="TOC1"/>
            <w:rPr>
              <w:rFonts w:asciiTheme="minorHAnsi" w:eastAsiaTheme="minorEastAsia" w:hAnsiTheme="minorHAnsi" w:cstheme="minorBidi"/>
              <w:noProof/>
              <w:sz w:val="22"/>
              <w:szCs w:val="22"/>
            </w:rPr>
          </w:pPr>
          <w:hyperlink w:anchor="_Toc506904659" w:history="1">
            <w:r w:rsidR="00D51019" w:rsidRPr="00D51019">
              <w:rPr>
                <w:rStyle w:val="Hyperlink"/>
                <w:bCs/>
                <w:iCs/>
                <w:noProof/>
              </w:rPr>
              <w:t>A.6. Consequences of Collecting the Information Less Frequently</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_Toc506904659 \h </w:instrText>
            </w:r>
            <w:r w:rsidR="00D51019" w:rsidRPr="00D51019">
              <w:rPr>
                <w:noProof/>
                <w:webHidden/>
              </w:rPr>
            </w:r>
            <w:r w:rsidR="00D51019" w:rsidRPr="00D51019">
              <w:rPr>
                <w:noProof/>
                <w:webHidden/>
              </w:rPr>
              <w:fldChar w:fldCharType="separate"/>
            </w:r>
            <w:r w:rsidR="00193326">
              <w:rPr>
                <w:noProof/>
                <w:webHidden/>
              </w:rPr>
              <w:t>9</w:t>
            </w:r>
            <w:r w:rsidR="00D51019" w:rsidRPr="00D51019">
              <w:rPr>
                <w:noProof/>
                <w:webHidden/>
              </w:rPr>
              <w:fldChar w:fldCharType="end"/>
            </w:r>
          </w:hyperlink>
        </w:p>
        <w:p w14:paraId="2387CE35" w14:textId="1037EDDF" w:rsidR="00D51019" w:rsidRPr="00D51019" w:rsidRDefault="002571E2">
          <w:pPr>
            <w:pStyle w:val="TOC1"/>
            <w:rPr>
              <w:rFonts w:asciiTheme="minorHAnsi" w:eastAsiaTheme="minorEastAsia" w:hAnsiTheme="minorHAnsi" w:cstheme="minorBidi"/>
              <w:noProof/>
              <w:sz w:val="22"/>
              <w:szCs w:val="22"/>
            </w:rPr>
          </w:pPr>
          <w:hyperlink w:anchor="_Toc506904660" w:history="1">
            <w:r w:rsidR="00D51019" w:rsidRPr="00D51019">
              <w:rPr>
                <w:rStyle w:val="Hyperlink"/>
                <w:noProof/>
              </w:rPr>
              <w:t>A.7. Special Circumstances Relating to the Guidelines of 5 CFR 1320.5</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_Toc506904660 \h </w:instrText>
            </w:r>
            <w:r w:rsidR="00D51019" w:rsidRPr="00D51019">
              <w:rPr>
                <w:noProof/>
                <w:webHidden/>
              </w:rPr>
            </w:r>
            <w:r w:rsidR="00D51019" w:rsidRPr="00D51019">
              <w:rPr>
                <w:noProof/>
                <w:webHidden/>
              </w:rPr>
              <w:fldChar w:fldCharType="separate"/>
            </w:r>
            <w:r w:rsidR="00193326">
              <w:rPr>
                <w:noProof/>
                <w:webHidden/>
              </w:rPr>
              <w:t>9</w:t>
            </w:r>
            <w:r w:rsidR="00D51019" w:rsidRPr="00D51019">
              <w:rPr>
                <w:noProof/>
                <w:webHidden/>
              </w:rPr>
              <w:fldChar w:fldCharType="end"/>
            </w:r>
          </w:hyperlink>
        </w:p>
        <w:p w14:paraId="2BFE81ED" w14:textId="19E78E9C" w:rsidR="00D51019" w:rsidRPr="00D51019" w:rsidRDefault="002571E2">
          <w:pPr>
            <w:pStyle w:val="TOC1"/>
            <w:rPr>
              <w:rFonts w:asciiTheme="minorHAnsi" w:eastAsiaTheme="minorEastAsia" w:hAnsiTheme="minorHAnsi" w:cstheme="minorBidi"/>
              <w:noProof/>
              <w:sz w:val="22"/>
              <w:szCs w:val="22"/>
            </w:rPr>
          </w:pPr>
          <w:hyperlink w:anchor="_Toc506904661" w:history="1">
            <w:r w:rsidR="00D51019" w:rsidRPr="00D51019">
              <w:rPr>
                <w:rStyle w:val="Hyperlink"/>
                <w:noProof/>
              </w:rPr>
              <w:t>A.8. Comments in Response to the Federal Register Notice and Efforts to Consult Outside the Agency</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_Toc506904661 \h </w:instrText>
            </w:r>
            <w:r w:rsidR="00D51019" w:rsidRPr="00D51019">
              <w:rPr>
                <w:noProof/>
                <w:webHidden/>
              </w:rPr>
            </w:r>
            <w:r w:rsidR="00D51019" w:rsidRPr="00D51019">
              <w:rPr>
                <w:noProof/>
                <w:webHidden/>
              </w:rPr>
              <w:fldChar w:fldCharType="separate"/>
            </w:r>
            <w:r w:rsidR="00193326">
              <w:rPr>
                <w:noProof/>
                <w:webHidden/>
              </w:rPr>
              <w:t>9</w:t>
            </w:r>
            <w:r w:rsidR="00D51019" w:rsidRPr="00D51019">
              <w:rPr>
                <w:noProof/>
                <w:webHidden/>
              </w:rPr>
              <w:fldChar w:fldCharType="end"/>
            </w:r>
          </w:hyperlink>
        </w:p>
        <w:p w14:paraId="5DCB1D30" w14:textId="08166BA6" w:rsidR="00D51019" w:rsidRPr="00D51019" w:rsidRDefault="002571E2">
          <w:pPr>
            <w:pStyle w:val="TOC1"/>
            <w:rPr>
              <w:rFonts w:asciiTheme="minorHAnsi" w:eastAsiaTheme="minorEastAsia" w:hAnsiTheme="minorHAnsi" w:cstheme="minorBidi"/>
              <w:noProof/>
              <w:sz w:val="22"/>
              <w:szCs w:val="22"/>
            </w:rPr>
          </w:pPr>
          <w:hyperlink w:anchor="_Toc506904662" w:history="1">
            <w:r w:rsidR="00D51019" w:rsidRPr="00D51019">
              <w:rPr>
                <w:rStyle w:val="Hyperlink"/>
                <w:bCs/>
                <w:iCs/>
                <w:noProof/>
              </w:rPr>
              <w:t>A.9. Explanation of Any Payment or Gift to Respondents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_Toc506904662 \h </w:instrText>
            </w:r>
            <w:r w:rsidR="00D51019" w:rsidRPr="00D51019">
              <w:rPr>
                <w:noProof/>
                <w:webHidden/>
              </w:rPr>
            </w:r>
            <w:r w:rsidR="00D51019" w:rsidRPr="00D51019">
              <w:rPr>
                <w:noProof/>
                <w:webHidden/>
              </w:rPr>
              <w:fldChar w:fldCharType="separate"/>
            </w:r>
            <w:r w:rsidR="00193326">
              <w:rPr>
                <w:noProof/>
                <w:webHidden/>
              </w:rPr>
              <w:t>10</w:t>
            </w:r>
            <w:r w:rsidR="00D51019" w:rsidRPr="00D51019">
              <w:rPr>
                <w:noProof/>
                <w:webHidden/>
              </w:rPr>
              <w:fldChar w:fldCharType="end"/>
            </w:r>
          </w:hyperlink>
        </w:p>
        <w:p w14:paraId="542BAE33" w14:textId="24C9FB78" w:rsidR="00D51019" w:rsidRPr="00D51019" w:rsidRDefault="002571E2">
          <w:pPr>
            <w:pStyle w:val="TOC1"/>
            <w:rPr>
              <w:rFonts w:asciiTheme="minorHAnsi" w:eastAsiaTheme="minorEastAsia" w:hAnsiTheme="minorHAnsi" w:cstheme="minorBidi"/>
              <w:noProof/>
              <w:sz w:val="22"/>
              <w:szCs w:val="22"/>
            </w:rPr>
          </w:pPr>
          <w:hyperlink w:anchor="_Toc506904663" w:history="1">
            <w:r w:rsidR="00D51019" w:rsidRPr="00D51019">
              <w:rPr>
                <w:rStyle w:val="Hyperlink"/>
                <w:bCs/>
                <w:iCs/>
                <w:noProof/>
              </w:rPr>
              <w:t>A.10. Protection of the Privacy and Confidentiality of Information Provided by Respondents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_Toc506904663 \h </w:instrText>
            </w:r>
            <w:r w:rsidR="00D51019" w:rsidRPr="00D51019">
              <w:rPr>
                <w:noProof/>
                <w:webHidden/>
              </w:rPr>
            </w:r>
            <w:r w:rsidR="00D51019" w:rsidRPr="00D51019">
              <w:rPr>
                <w:noProof/>
                <w:webHidden/>
              </w:rPr>
              <w:fldChar w:fldCharType="separate"/>
            </w:r>
            <w:r w:rsidR="00193326">
              <w:rPr>
                <w:noProof/>
                <w:webHidden/>
              </w:rPr>
              <w:t>11</w:t>
            </w:r>
            <w:r w:rsidR="00D51019" w:rsidRPr="00D51019">
              <w:rPr>
                <w:noProof/>
                <w:webHidden/>
              </w:rPr>
              <w:fldChar w:fldCharType="end"/>
            </w:r>
          </w:hyperlink>
        </w:p>
        <w:p w14:paraId="2AC6CCB8" w14:textId="0B5623DD" w:rsidR="00D51019" w:rsidRPr="00D51019" w:rsidRDefault="002571E2">
          <w:pPr>
            <w:pStyle w:val="TOC1"/>
            <w:rPr>
              <w:rFonts w:asciiTheme="minorHAnsi" w:eastAsiaTheme="minorEastAsia" w:hAnsiTheme="minorHAnsi" w:cstheme="minorBidi"/>
              <w:noProof/>
              <w:sz w:val="22"/>
              <w:szCs w:val="22"/>
            </w:rPr>
          </w:pPr>
          <w:hyperlink w:anchor="_Toc506904664" w:history="1">
            <w:r w:rsidR="00D51019" w:rsidRPr="00D51019">
              <w:rPr>
                <w:rStyle w:val="Hyperlink"/>
                <w:noProof/>
              </w:rPr>
              <w:t>A.11. Institutional Review Board (IRB) and Justification for Sensitive Questions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_Toc506904664 \h </w:instrText>
            </w:r>
            <w:r w:rsidR="00D51019" w:rsidRPr="00D51019">
              <w:rPr>
                <w:noProof/>
                <w:webHidden/>
              </w:rPr>
            </w:r>
            <w:r w:rsidR="00D51019" w:rsidRPr="00D51019">
              <w:rPr>
                <w:noProof/>
                <w:webHidden/>
              </w:rPr>
              <w:fldChar w:fldCharType="separate"/>
            </w:r>
            <w:r w:rsidR="00193326">
              <w:rPr>
                <w:noProof/>
                <w:webHidden/>
              </w:rPr>
              <w:t>12</w:t>
            </w:r>
            <w:r w:rsidR="00D51019" w:rsidRPr="00D51019">
              <w:rPr>
                <w:noProof/>
                <w:webHidden/>
              </w:rPr>
              <w:fldChar w:fldCharType="end"/>
            </w:r>
          </w:hyperlink>
        </w:p>
        <w:p w14:paraId="27A881CB" w14:textId="4E1F9B9A" w:rsidR="00D51019" w:rsidRPr="00D51019" w:rsidRDefault="002571E2">
          <w:pPr>
            <w:pStyle w:val="TOC1"/>
            <w:rPr>
              <w:rFonts w:asciiTheme="minorHAnsi" w:eastAsiaTheme="minorEastAsia" w:hAnsiTheme="minorHAnsi" w:cstheme="minorBidi"/>
              <w:noProof/>
              <w:sz w:val="22"/>
              <w:szCs w:val="22"/>
            </w:rPr>
          </w:pPr>
          <w:hyperlink w:anchor="_Toc506904665" w:history="1">
            <w:r w:rsidR="00D51019" w:rsidRPr="00D51019">
              <w:rPr>
                <w:rStyle w:val="Hyperlink"/>
                <w:bCs/>
                <w:iCs/>
                <w:noProof/>
              </w:rPr>
              <w:t>A.12. Estimates of Annualized Burden Hours and Costs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_Toc506904665 \h </w:instrText>
            </w:r>
            <w:r w:rsidR="00D51019" w:rsidRPr="00D51019">
              <w:rPr>
                <w:noProof/>
                <w:webHidden/>
              </w:rPr>
            </w:r>
            <w:r w:rsidR="00D51019" w:rsidRPr="00D51019">
              <w:rPr>
                <w:noProof/>
                <w:webHidden/>
              </w:rPr>
              <w:fldChar w:fldCharType="separate"/>
            </w:r>
            <w:r w:rsidR="00193326">
              <w:rPr>
                <w:noProof/>
                <w:webHidden/>
              </w:rPr>
              <w:t>13</w:t>
            </w:r>
            <w:r w:rsidR="00D51019" w:rsidRPr="00D51019">
              <w:rPr>
                <w:noProof/>
                <w:webHidden/>
              </w:rPr>
              <w:fldChar w:fldCharType="end"/>
            </w:r>
          </w:hyperlink>
        </w:p>
        <w:p w14:paraId="0687FF26" w14:textId="724BC41C" w:rsidR="00D51019" w:rsidRPr="00D51019" w:rsidRDefault="002571E2">
          <w:pPr>
            <w:pStyle w:val="TOC1"/>
            <w:rPr>
              <w:rFonts w:asciiTheme="minorHAnsi" w:eastAsiaTheme="minorEastAsia" w:hAnsiTheme="minorHAnsi" w:cstheme="minorBidi"/>
              <w:noProof/>
              <w:sz w:val="22"/>
              <w:szCs w:val="22"/>
            </w:rPr>
          </w:pPr>
          <w:hyperlink w:anchor="_Toc506904667" w:history="1">
            <w:r w:rsidR="00D51019" w:rsidRPr="00D51019">
              <w:rPr>
                <w:rStyle w:val="Hyperlink"/>
                <w:bCs/>
                <w:iCs/>
                <w:noProof/>
              </w:rPr>
              <w:t>A.13. Estimates of Other Total Annual Cost Burden to Respondents or Record Keepers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_Toc506904667 \h </w:instrText>
            </w:r>
            <w:r w:rsidR="00D51019" w:rsidRPr="00D51019">
              <w:rPr>
                <w:noProof/>
                <w:webHidden/>
              </w:rPr>
            </w:r>
            <w:r w:rsidR="00D51019" w:rsidRPr="00D51019">
              <w:rPr>
                <w:noProof/>
                <w:webHidden/>
              </w:rPr>
              <w:fldChar w:fldCharType="separate"/>
            </w:r>
            <w:r w:rsidR="00193326">
              <w:rPr>
                <w:noProof/>
                <w:webHidden/>
              </w:rPr>
              <w:t>16</w:t>
            </w:r>
            <w:r w:rsidR="00D51019" w:rsidRPr="00D51019">
              <w:rPr>
                <w:noProof/>
                <w:webHidden/>
              </w:rPr>
              <w:fldChar w:fldCharType="end"/>
            </w:r>
          </w:hyperlink>
        </w:p>
        <w:p w14:paraId="2A540356" w14:textId="4A450B2F" w:rsidR="00D51019" w:rsidRPr="00D51019" w:rsidRDefault="002571E2">
          <w:pPr>
            <w:pStyle w:val="TOC1"/>
            <w:rPr>
              <w:rFonts w:asciiTheme="minorHAnsi" w:eastAsiaTheme="minorEastAsia" w:hAnsiTheme="minorHAnsi" w:cstheme="minorBidi"/>
              <w:noProof/>
              <w:sz w:val="22"/>
              <w:szCs w:val="22"/>
            </w:rPr>
          </w:pPr>
          <w:hyperlink w:anchor="_Toc506904668" w:history="1">
            <w:r w:rsidR="00D51019" w:rsidRPr="00D51019">
              <w:rPr>
                <w:rStyle w:val="Hyperlink"/>
                <w:bCs/>
                <w:iCs/>
                <w:noProof/>
              </w:rPr>
              <w:t>A.14. Annualized Cost to the Government</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_Toc506904668 \h </w:instrText>
            </w:r>
            <w:r w:rsidR="00D51019" w:rsidRPr="00D51019">
              <w:rPr>
                <w:noProof/>
                <w:webHidden/>
              </w:rPr>
            </w:r>
            <w:r w:rsidR="00D51019" w:rsidRPr="00D51019">
              <w:rPr>
                <w:noProof/>
                <w:webHidden/>
              </w:rPr>
              <w:fldChar w:fldCharType="separate"/>
            </w:r>
            <w:r w:rsidR="00193326">
              <w:rPr>
                <w:noProof/>
                <w:webHidden/>
              </w:rPr>
              <w:t>16</w:t>
            </w:r>
            <w:r w:rsidR="00D51019" w:rsidRPr="00D51019">
              <w:rPr>
                <w:noProof/>
                <w:webHidden/>
              </w:rPr>
              <w:fldChar w:fldCharType="end"/>
            </w:r>
          </w:hyperlink>
        </w:p>
        <w:p w14:paraId="7410CC5C" w14:textId="05BF35E6" w:rsidR="00D51019" w:rsidRPr="00D51019" w:rsidRDefault="002571E2">
          <w:pPr>
            <w:pStyle w:val="TOC1"/>
            <w:rPr>
              <w:rFonts w:asciiTheme="minorHAnsi" w:eastAsiaTheme="minorEastAsia" w:hAnsiTheme="minorHAnsi" w:cstheme="minorBidi"/>
              <w:noProof/>
              <w:sz w:val="22"/>
              <w:szCs w:val="22"/>
            </w:rPr>
          </w:pPr>
          <w:hyperlink w:anchor="_Toc506904670" w:history="1">
            <w:r w:rsidR="00D51019" w:rsidRPr="00D51019">
              <w:rPr>
                <w:rStyle w:val="Hyperlink"/>
                <w:bCs/>
                <w:iCs/>
                <w:noProof/>
              </w:rPr>
              <w:t>A.15. Explanation for Program Changes or Adjustments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_Toc506904670 \h </w:instrText>
            </w:r>
            <w:r w:rsidR="00D51019" w:rsidRPr="00D51019">
              <w:rPr>
                <w:noProof/>
                <w:webHidden/>
              </w:rPr>
            </w:r>
            <w:r w:rsidR="00D51019" w:rsidRPr="00D51019">
              <w:rPr>
                <w:noProof/>
                <w:webHidden/>
              </w:rPr>
              <w:fldChar w:fldCharType="separate"/>
            </w:r>
            <w:r w:rsidR="00193326">
              <w:rPr>
                <w:noProof/>
                <w:webHidden/>
              </w:rPr>
              <w:t>17</w:t>
            </w:r>
            <w:r w:rsidR="00D51019" w:rsidRPr="00D51019">
              <w:rPr>
                <w:noProof/>
                <w:webHidden/>
              </w:rPr>
              <w:fldChar w:fldCharType="end"/>
            </w:r>
          </w:hyperlink>
        </w:p>
        <w:p w14:paraId="437CE89F" w14:textId="20749782" w:rsidR="00D51019" w:rsidRPr="00D51019" w:rsidRDefault="002571E2">
          <w:pPr>
            <w:pStyle w:val="TOC1"/>
            <w:rPr>
              <w:rFonts w:asciiTheme="minorHAnsi" w:eastAsiaTheme="minorEastAsia" w:hAnsiTheme="minorHAnsi" w:cstheme="minorBidi"/>
              <w:noProof/>
              <w:sz w:val="22"/>
              <w:szCs w:val="22"/>
            </w:rPr>
          </w:pPr>
          <w:hyperlink w:anchor="_Toc506904671" w:history="1">
            <w:r w:rsidR="00D51019" w:rsidRPr="00D51019">
              <w:rPr>
                <w:rStyle w:val="Hyperlink"/>
                <w:bCs/>
                <w:iCs/>
                <w:noProof/>
              </w:rPr>
              <w:t>A.16. Plans for Tabulation and Publication and Project Time Schedule</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_Toc506904671 \h </w:instrText>
            </w:r>
            <w:r w:rsidR="00D51019" w:rsidRPr="00D51019">
              <w:rPr>
                <w:noProof/>
                <w:webHidden/>
              </w:rPr>
            </w:r>
            <w:r w:rsidR="00D51019" w:rsidRPr="00D51019">
              <w:rPr>
                <w:noProof/>
                <w:webHidden/>
              </w:rPr>
              <w:fldChar w:fldCharType="separate"/>
            </w:r>
            <w:r w:rsidR="00193326">
              <w:rPr>
                <w:noProof/>
                <w:webHidden/>
              </w:rPr>
              <w:t>17</w:t>
            </w:r>
            <w:r w:rsidR="00D51019" w:rsidRPr="00D51019">
              <w:rPr>
                <w:noProof/>
                <w:webHidden/>
              </w:rPr>
              <w:fldChar w:fldCharType="end"/>
            </w:r>
          </w:hyperlink>
        </w:p>
        <w:p w14:paraId="29F4F7B3" w14:textId="3E87DBF6" w:rsidR="00D51019" w:rsidRPr="00D51019" w:rsidRDefault="002571E2">
          <w:pPr>
            <w:pStyle w:val="TOC1"/>
            <w:rPr>
              <w:rFonts w:asciiTheme="minorHAnsi" w:eastAsiaTheme="minorEastAsia" w:hAnsiTheme="minorHAnsi" w:cstheme="minorBidi"/>
              <w:noProof/>
              <w:sz w:val="22"/>
              <w:szCs w:val="22"/>
            </w:rPr>
          </w:pPr>
          <w:hyperlink w:anchor="_Toc506904672" w:history="1">
            <w:r w:rsidR="00D51019" w:rsidRPr="00D51019">
              <w:rPr>
                <w:rStyle w:val="Hyperlink"/>
                <w:bCs/>
                <w:iCs/>
                <w:noProof/>
              </w:rPr>
              <w:t>A.17. Reason(s) Display of OMB Expiration Date is Inappropriate</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_Toc506904672 \h </w:instrText>
            </w:r>
            <w:r w:rsidR="00D51019" w:rsidRPr="00D51019">
              <w:rPr>
                <w:noProof/>
                <w:webHidden/>
              </w:rPr>
            </w:r>
            <w:r w:rsidR="00D51019" w:rsidRPr="00D51019">
              <w:rPr>
                <w:noProof/>
                <w:webHidden/>
              </w:rPr>
              <w:fldChar w:fldCharType="separate"/>
            </w:r>
            <w:r w:rsidR="00193326">
              <w:rPr>
                <w:noProof/>
                <w:webHidden/>
              </w:rPr>
              <w:t>17</w:t>
            </w:r>
            <w:r w:rsidR="00D51019" w:rsidRPr="00D51019">
              <w:rPr>
                <w:noProof/>
                <w:webHidden/>
              </w:rPr>
              <w:fldChar w:fldCharType="end"/>
            </w:r>
          </w:hyperlink>
        </w:p>
        <w:p w14:paraId="35CF62FF" w14:textId="1C728A12" w:rsidR="00D51019" w:rsidRPr="00D51019" w:rsidRDefault="002571E2">
          <w:pPr>
            <w:pStyle w:val="TOC1"/>
            <w:rPr>
              <w:rFonts w:asciiTheme="minorHAnsi" w:eastAsiaTheme="minorEastAsia" w:hAnsiTheme="minorHAnsi" w:cstheme="minorBidi"/>
              <w:noProof/>
              <w:sz w:val="22"/>
              <w:szCs w:val="22"/>
            </w:rPr>
          </w:pPr>
          <w:hyperlink w:anchor="_Toc506904673" w:history="1">
            <w:r w:rsidR="00D51019" w:rsidRPr="00D51019">
              <w:rPr>
                <w:rStyle w:val="Hyperlink"/>
                <w:bCs/>
                <w:iCs/>
                <w:noProof/>
              </w:rPr>
              <w:t>A.18. Exceptions to Certification for Paperwork Reduction Act Submissions</w:t>
            </w:r>
            <w:r w:rsidR="00D51019" w:rsidRPr="00D51019">
              <w:rPr>
                <w:noProof/>
                <w:webHidden/>
              </w:rPr>
              <w:tab/>
            </w:r>
            <w:r w:rsidR="00D51019" w:rsidRPr="00D51019">
              <w:rPr>
                <w:noProof/>
                <w:webHidden/>
              </w:rPr>
              <w:fldChar w:fldCharType="begin"/>
            </w:r>
            <w:r w:rsidR="00D51019" w:rsidRPr="00D51019">
              <w:rPr>
                <w:noProof/>
                <w:webHidden/>
              </w:rPr>
              <w:instrText xml:space="preserve"> PAGEREF _Toc506904673 \h </w:instrText>
            </w:r>
            <w:r w:rsidR="00D51019" w:rsidRPr="00D51019">
              <w:rPr>
                <w:noProof/>
                <w:webHidden/>
              </w:rPr>
            </w:r>
            <w:r w:rsidR="00D51019" w:rsidRPr="00D51019">
              <w:rPr>
                <w:noProof/>
                <w:webHidden/>
              </w:rPr>
              <w:fldChar w:fldCharType="separate"/>
            </w:r>
            <w:r w:rsidR="00193326">
              <w:rPr>
                <w:noProof/>
                <w:webHidden/>
              </w:rPr>
              <w:t>17</w:t>
            </w:r>
            <w:r w:rsidR="00D51019" w:rsidRPr="00D51019">
              <w:rPr>
                <w:noProof/>
                <w:webHidden/>
              </w:rPr>
              <w:fldChar w:fldCharType="end"/>
            </w:r>
          </w:hyperlink>
        </w:p>
        <w:p w14:paraId="7015A9B9" w14:textId="77777777" w:rsidR="004470D3" w:rsidRPr="00BF718B" w:rsidRDefault="002D1791" w:rsidP="00BF718B">
          <w:pPr>
            <w:pStyle w:val="TOC1"/>
          </w:pPr>
          <w:r w:rsidRPr="00D51019">
            <w:fldChar w:fldCharType="end"/>
          </w:r>
        </w:p>
      </w:sdtContent>
    </w:sdt>
    <w:p w14:paraId="0A1D1D4A" w14:textId="77777777" w:rsidR="008F7E36" w:rsidRDefault="008F7E36" w:rsidP="004470D3">
      <w:pPr>
        <w:jc w:val="center"/>
        <w:rPr>
          <w:bCs/>
          <w:color w:val="000000"/>
        </w:rPr>
      </w:pPr>
    </w:p>
    <w:p w14:paraId="19F955C2" w14:textId="77777777" w:rsidR="008F7E36" w:rsidRDefault="008F7E36">
      <w:pPr>
        <w:spacing w:after="200" w:line="276" w:lineRule="auto"/>
        <w:rPr>
          <w:bCs/>
          <w:color w:val="000000"/>
        </w:rPr>
      </w:pPr>
      <w:r>
        <w:rPr>
          <w:bCs/>
          <w:color w:val="000000"/>
        </w:rPr>
        <w:br w:type="page"/>
      </w:r>
    </w:p>
    <w:p w14:paraId="0D5BBDF5" w14:textId="77777777" w:rsidR="004470D3" w:rsidRPr="00BF718B" w:rsidRDefault="005C20AD" w:rsidP="004470D3">
      <w:pPr>
        <w:jc w:val="center"/>
        <w:rPr>
          <w:bCs/>
          <w:color w:val="000000"/>
        </w:rPr>
      </w:pPr>
      <w:r>
        <w:rPr>
          <w:bCs/>
          <w:color w:val="000000"/>
        </w:rPr>
        <w:lastRenderedPageBreak/>
        <w:t>Information</w:t>
      </w:r>
      <w:r w:rsidR="004470D3" w:rsidRPr="00BF718B">
        <w:rPr>
          <w:bCs/>
          <w:color w:val="000000"/>
        </w:rPr>
        <w:t xml:space="preserve"> Collection for Evaluation of Education, Communication, and Training Activities </w:t>
      </w:r>
      <w:r w:rsidR="00596B4A">
        <w:rPr>
          <w:bCs/>
          <w:color w:val="000000"/>
        </w:rPr>
        <w:t xml:space="preserve">for Mobile Populations </w:t>
      </w:r>
      <w:r w:rsidR="004470D3" w:rsidRPr="00BF718B">
        <w:rPr>
          <w:bCs/>
          <w:color w:val="000000"/>
        </w:rPr>
        <w:t>(0920-0932)</w:t>
      </w:r>
    </w:p>
    <w:p w14:paraId="1393289D" w14:textId="77777777" w:rsidR="00D51019" w:rsidRDefault="00D51019" w:rsidP="004470D3">
      <w:pPr>
        <w:jc w:val="center"/>
      </w:pPr>
    </w:p>
    <w:p w14:paraId="0F89C2E4" w14:textId="2160C818" w:rsidR="00F8023D" w:rsidRPr="00BF718B" w:rsidRDefault="004470D3" w:rsidP="004470D3">
      <w:pPr>
        <w:jc w:val="center"/>
      </w:pPr>
      <w:r w:rsidRPr="00BF718B">
        <w:t xml:space="preserve">Request for </w:t>
      </w:r>
      <w:r w:rsidR="002F725A">
        <w:t>Revision</w:t>
      </w:r>
      <w:r w:rsidR="00172AEE" w:rsidRPr="00BF718B">
        <w:t xml:space="preserve"> </w:t>
      </w:r>
      <w:r w:rsidRPr="00BF718B">
        <w:t>of a “Generic Clearance” Data Collection</w:t>
      </w:r>
    </w:p>
    <w:p w14:paraId="33064C9E" w14:textId="77777777" w:rsidR="004470D3" w:rsidRPr="00BF718B" w:rsidRDefault="00EA061C" w:rsidP="004470D3">
      <w:r w:rsidRPr="00BF718B">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1FCF332D" wp14:editId="6AEB07A8">
                <wp:simplePos x="0" y="0"/>
                <wp:positionH relativeFrom="column">
                  <wp:posOffset>-266700</wp:posOffset>
                </wp:positionH>
                <wp:positionV relativeFrom="paragraph">
                  <wp:posOffset>73025</wp:posOffset>
                </wp:positionV>
                <wp:extent cx="6162675" cy="43910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91025"/>
                        </a:xfrm>
                        <a:prstGeom prst="rect">
                          <a:avLst/>
                        </a:prstGeom>
                        <a:solidFill>
                          <a:srgbClr val="FFFFFF"/>
                        </a:solidFill>
                        <a:ln w="9525">
                          <a:solidFill>
                            <a:srgbClr val="000000"/>
                          </a:solidFill>
                          <a:miter lim="800000"/>
                          <a:headEnd/>
                          <a:tailEnd/>
                        </a:ln>
                      </wps:spPr>
                      <wps:txbx>
                        <w:txbxContent>
                          <w:p w14:paraId="4CC68AD0" w14:textId="77777777" w:rsidR="00AC7325" w:rsidRDefault="00AC7325" w:rsidP="00B00BEF">
                            <w:pPr>
                              <w:pStyle w:val="ListParagraph"/>
                              <w:numPr>
                                <w:ilvl w:val="0"/>
                                <w:numId w:val="35"/>
                              </w:numPr>
                              <w:spacing w:after="200" w:line="276" w:lineRule="auto"/>
                            </w:pPr>
                            <w:r>
                              <w:t xml:space="preserve">The goal of the generic information collection request is to improve the effectiveness of CDC’s communication, training, and education materials that are focused on mobile populations and </w:t>
                            </w:r>
                            <w:r w:rsidRPr="00B00BEF">
                              <w:t>stakeholders who work with these populations</w:t>
                            </w:r>
                            <w:r>
                              <w:t>.</w:t>
                            </w:r>
                          </w:p>
                          <w:p w14:paraId="77C837CF" w14:textId="77777777" w:rsidR="00AC7325" w:rsidRDefault="00AC7325" w:rsidP="009D71E9">
                            <w:pPr>
                              <w:pStyle w:val="ListParagraph"/>
                              <w:numPr>
                                <w:ilvl w:val="0"/>
                                <w:numId w:val="35"/>
                              </w:numPr>
                              <w:spacing w:after="200" w:line="276" w:lineRule="auto"/>
                            </w:pPr>
                            <w:r>
                              <w:t xml:space="preserve">Intended use of the resulting information is to </w:t>
                            </w:r>
                            <w:r>
                              <w:rPr>
                                <w:color w:val="000000"/>
                              </w:rPr>
                              <w:t>identify ways to improve planning, implementation, refinements, and demonstrate outcome and impact of</w:t>
                            </w:r>
                            <w:r w:rsidRPr="00914C46">
                              <w:rPr>
                                <w:color w:val="000000"/>
                              </w:rPr>
                              <w:t xml:space="preserve"> </w:t>
                            </w:r>
                            <w:r>
                              <w:rPr>
                                <w:color w:val="000000"/>
                              </w:rPr>
                              <w:t>health communication, education, and training activities focused on mobile populations.</w:t>
                            </w:r>
                          </w:p>
                          <w:p w14:paraId="5711EFC4" w14:textId="77777777" w:rsidR="00AC7325" w:rsidRDefault="00AC7325" w:rsidP="009D71E9">
                            <w:pPr>
                              <w:pStyle w:val="ListParagraph"/>
                              <w:numPr>
                                <w:ilvl w:val="0"/>
                                <w:numId w:val="35"/>
                              </w:numPr>
                              <w:spacing w:after="200" w:line="276" w:lineRule="auto"/>
                            </w:pPr>
                            <w:r>
                              <w:t xml:space="preserve">The methods of information collection will include focus groups, interviews, surveys, and pre/post-tests. </w:t>
                            </w:r>
                            <w:r w:rsidRPr="006E1718">
                              <w:t>Both purposive and probabilistic samples will be employed for these information collections.</w:t>
                            </w:r>
                          </w:p>
                          <w:p w14:paraId="66281DE0" w14:textId="77777777" w:rsidR="00AC7325" w:rsidRDefault="00AC7325" w:rsidP="009D71E9">
                            <w:pPr>
                              <w:pStyle w:val="ListParagraph"/>
                              <w:numPr>
                                <w:ilvl w:val="0"/>
                                <w:numId w:val="35"/>
                              </w:numPr>
                              <w:spacing w:after="200" w:line="276" w:lineRule="auto"/>
                            </w:pPr>
                            <w:r>
                              <w:t xml:space="preserve">The populations covered under this generic include </w:t>
                            </w:r>
                            <w:r w:rsidRPr="006E1718">
                              <w:t>refugees, immigrants, migrants,</w:t>
                            </w:r>
                            <w:r>
                              <w:t xml:space="preserve"> expatriates,</w:t>
                            </w:r>
                            <w:r w:rsidRPr="006E1718">
                              <w:t xml:space="preserve"> international travelers, travel industry partners, emergency responders, healthcare providers, non-profit agencies, importers, school officials and staff, business owners and employers,</w:t>
                            </w:r>
                            <w:r>
                              <w:t xml:space="preserve"> customs brokers and forwarders, child</w:t>
                            </w:r>
                            <w:r w:rsidRPr="006E1718">
                              <w:t>care providers, state and local health department staff, and the general public</w:t>
                            </w:r>
                            <w:r>
                              <w:t>. Due to the broad populations, two respondent classes are outlined in the burden tables: general public and health care providers.  This was done to provide a range of respondent monetary costs we believe will be present in the projects conducted under this generic.</w:t>
                            </w:r>
                          </w:p>
                          <w:p w14:paraId="2C0EF4E4" w14:textId="77777777" w:rsidR="00AC7325" w:rsidRDefault="00AC7325" w:rsidP="009D71E9">
                            <w:pPr>
                              <w:pStyle w:val="ListParagraph"/>
                              <w:numPr>
                                <w:ilvl w:val="0"/>
                                <w:numId w:val="35"/>
                              </w:numPr>
                              <w:spacing w:after="200" w:line="276" w:lineRule="auto"/>
                            </w:pPr>
                            <w:r>
                              <w:t xml:space="preserve">Data will be analyzed depending on the method and purpose of collection.  For example, qualitative analysis of focus groups or interviews, </w:t>
                            </w:r>
                            <w:r w:rsidRPr="00E945CE">
                              <w:t>software such as NV</w:t>
                            </w:r>
                            <w:r>
                              <w:t>iv</w:t>
                            </w:r>
                            <w:r w:rsidRPr="00E945CE">
                              <w:t>o, AtlasTi, MaxQDA</w:t>
                            </w:r>
                            <w:r>
                              <w:t xml:space="preserve"> may be used to look at trends in terminology or content elicited during information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5.75pt;width:485.2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">
                <v:textbox>
                  <w:txbxContent>
                    <w:p w14:paraId="4CC68AD0" w14:textId="77777777" w:rsidR="00AC7325" w:rsidRDefault="00AC7325" w:rsidP="00B00BEF">
                      <w:pPr>
                        <w:pStyle w:val="ListParagraph"/>
                        <w:numPr>
                          <w:ilvl w:val="0"/>
                          <w:numId w:val="35"/>
                        </w:numPr>
                        <w:spacing w:after="200" w:line="276" w:lineRule="auto"/>
                      </w:pPr>
                      <w:r>
                        <w:t xml:space="preserve">The goal of the generic information collection request is to improve the effectiveness of CDC’s communication, training, and education materials that are focused on mobile populations and </w:t>
                      </w:r>
                      <w:r w:rsidRPr="00B00BEF">
                        <w:t>stakeholders who work with these populations</w:t>
                      </w:r>
                      <w:r>
                        <w:t>.</w:t>
                      </w:r>
                    </w:p>
                    <w:p w14:paraId="77C837CF" w14:textId="77777777" w:rsidR="00AC7325" w:rsidRDefault="00AC7325" w:rsidP="009D71E9">
                      <w:pPr>
                        <w:pStyle w:val="ListParagraph"/>
                        <w:numPr>
                          <w:ilvl w:val="0"/>
                          <w:numId w:val="35"/>
                        </w:numPr>
                        <w:spacing w:after="200" w:line="276" w:lineRule="auto"/>
                      </w:pPr>
                      <w:r>
                        <w:t xml:space="preserve">Intended use of the resulting information is to </w:t>
                      </w:r>
                      <w:r>
                        <w:rPr>
                          <w:color w:val="000000"/>
                        </w:rPr>
                        <w:t>identify ways to improve planning, implementation, refinements, and demonstrate outcome and impact of</w:t>
                      </w:r>
                      <w:r w:rsidRPr="00914C46">
                        <w:rPr>
                          <w:color w:val="000000"/>
                        </w:rPr>
                        <w:t xml:space="preserve"> </w:t>
                      </w:r>
                      <w:r>
                        <w:rPr>
                          <w:color w:val="000000"/>
                        </w:rPr>
                        <w:t>health communication, education, and training activities focused on mobile populations.</w:t>
                      </w:r>
                    </w:p>
                    <w:p w14:paraId="5711EFC4" w14:textId="77777777" w:rsidR="00AC7325" w:rsidRDefault="00AC7325" w:rsidP="009D71E9">
                      <w:pPr>
                        <w:pStyle w:val="ListParagraph"/>
                        <w:numPr>
                          <w:ilvl w:val="0"/>
                          <w:numId w:val="35"/>
                        </w:numPr>
                        <w:spacing w:after="200" w:line="276" w:lineRule="auto"/>
                      </w:pPr>
                      <w:r>
                        <w:t xml:space="preserve">The methods of information collection will include focus groups, interviews, surveys, and pre/post-tests. </w:t>
                      </w:r>
                      <w:r w:rsidRPr="006E1718">
                        <w:t>Both purposive and probabilistic samples will be employed for these information collections.</w:t>
                      </w:r>
                    </w:p>
                    <w:p w14:paraId="66281DE0" w14:textId="77777777" w:rsidR="00AC7325" w:rsidRDefault="00AC7325" w:rsidP="009D71E9">
                      <w:pPr>
                        <w:pStyle w:val="ListParagraph"/>
                        <w:numPr>
                          <w:ilvl w:val="0"/>
                          <w:numId w:val="35"/>
                        </w:numPr>
                        <w:spacing w:after="200" w:line="276" w:lineRule="auto"/>
                      </w:pPr>
                      <w:r>
                        <w:t xml:space="preserve">The populations covered under this generic include </w:t>
                      </w:r>
                      <w:r w:rsidRPr="006E1718">
                        <w:t>refugees, immigrants, migrants,</w:t>
                      </w:r>
                      <w:r>
                        <w:t xml:space="preserve"> expatriates,</w:t>
                      </w:r>
                      <w:r w:rsidRPr="006E1718">
                        <w:t xml:space="preserve"> international travelers, travel industry partners, emergency responders, healthcare providers, non-profit agencies, importers, school officials and staff, business owners and employers,</w:t>
                      </w:r>
                      <w:r>
                        <w:t xml:space="preserve"> customs brokers and forwarders, child</w:t>
                      </w:r>
                      <w:r w:rsidRPr="006E1718">
                        <w:t>care providers, state and local health department staff, and the general public</w:t>
                      </w:r>
                      <w:r>
                        <w:t>. Due to the broad populations, two respondent classes are outlined in the burden tables: general public and health care providers.  This was done to provide a range of respondent monetary costs we believe will be present in the projects conducted under this generic.</w:t>
                      </w:r>
                    </w:p>
                    <w:p w14:paraId="2C0EF4E4" w14:textId="77777777" w:rsidR="00AC7325" w:rsidRDefault="00AC7325" w:rsidP="009D71E9">
                      <w:pPr>
                        <w:pStyle w:val="ListParagraph"/>
                        <w:numPr>
                          <w:ilvl w:val="0"/>
                          <w:numId w:val="35"/>
                        </w:numPr>
                        <w:spacing w:after="200" w:line="276" w:lineRule="auto"/>
                      </w:pPr>
                      <w:r>
                        <w:t xml:space="preserve">Data will be analyzed depending on the method and purpose of collection.  For example, qualitative analysis of focus groups or interviews, </w:t>
                      </w:r>
                      <w:r w:rsidRPr="00E945CE">
                        <w:t>software such as NV</w:t>
                      </w:r>
                      <w:r>
                        <w:t>iv</w:t>
                      </w:r>
                      <w:r w:rsidRPr="00E945CE">
                        <w:t>o, AtlasTi, MaxQDA</w:t>
                      </w:r>
                      <w:r>
                        <w:t xml:space="preserve"> may be used to look at trends in terminology or content elicited during information collection.</w:t>
                      </w:r>
                    </w:p>
                  </w:txbxContent>
                </v:textbox>
              </v:shape>
            </w:pict>
          </mc:Fallback>
        </mc:AlternateContent>
      </w:r>
    </w:p>
    <w:p w14:paraId="54D5927D" w14:textId="77777777" w:rsidR="00D41CF1" w:rsidRPr="00BF718B" w:rsidRDefault="00D41CF1" w:rsidP="004470D3"/>
    <w:p w14:paraId="2061A013" w14:textId="77777777" w:rsidR="00D41CF1" w:rsidRPr="00BF718B" w:rsidRDefault="00D41CF1" w:rsidP="004470D3"/>
    <w:p w14:paraId="5C46CA7F" w14:textId="77777777" w:rsidR="00D41CF1" w:rsidRPr="00BF718B" w:rsidRDefault="00D41CF1" w:rsidP="004470D3"/>
    <w:p w14:paraId="22D362EC" w14:textId="77777777" w:rsidR="00D41CF1" w:rsidRPr="00BF718B" w:rsidRDefault="00D41CF1" w:rsidP="004470D3"/>
    <w:p w14:paraId="2286CA15" w14:textId="77777777" w:rsidR="00D41CF1" w:rsidRPr="00BF718B" w:rsidRDefault="00D41CF1" w:rsidP="004470D3"/>
    <w:p w14:paraId="28035302" w14:textId="77777777" w:rsidR="00D41CF1" w:rsidRPr="00BF718B" w:rsidRDefault="00D41CF1" w:rsidP="004470D3"/>
    <w:p w14:paraId="2294433A" w14:textId="77777777" w:rsidR="00D41CF1" w:rsidRPr="00BF718B" w:rsidRDefault="00D41CF1" w:rsidP="004470D3"/>
    <w:p w14:paraId="2CE3D732" w14:textId="77777777" w:rsidR="00D41CF1" w:rsidRPr="00BF718B" w:rsidRDefault="00D41CF1" w:rsidP="004470D3"/>
    <w:p w14:paraId="3BC36BD0" w14:textId="77777777" w:rsidR="00D41CF1" w:rsidRPr="00BF718B" w:rsidRDefault="00D41CF1" w:rsidP="004470D3"/>
    <w:p w14:paraId="530BCB73" w14:textId="77777777" w:rsidR="00D41CF1" w:rsidRPr="00BF718B" w:rsidRDefault="00D41CF1" w:rsidP="004470D3"/>
    <w:p w14:paraId="0688E029" w14:textId="77777777" w:rsidR="00D41CF1" w:rsidRPr="00BF718B" w:rsidRDefault="00D41CF1" w:rsidP="004470D3"/>
    <w:p w14:paraId="4C0C2F27" w14:textId="77777777" w:rsidR="00D41CF1" w:rsidRPr="00BF718B" w:rsidRDefault="00D41CF1" w:rsidP="004470D3"/>
    <w:p w14:paraId="0A79D618" w14:textId="77777777" w:rsidR="00D41CF1" w:rsidRPr="00BF718B" w:rsidRDefault="00D41CF1" w:rsidP="004470D3"/>
    <w:p w14:paraId="7F1711E9" w14:textId="77777777" w:rsidR="00D41CF1" w:rsidRPr="00BF718B" w:rsidRDefault="00D41CF1" w:rsidP="004470D3"/>
    <w:p w14:paraId="33170484" w14:textId="77777777" w:rsidR="00D41CF1" w:rsidRPr="00BF718B" w:rsidRDefault="00D41CF1" w:rsidP="004470D3"/>
    <w:p w14:paraId="151512F3" w14:textId="77777777" w:rsidR="00D41CF1" w:rsidRPr="00BF718B" w:rsidRDefault="00D41CF1" w:rsidP="004470D3"/>
    <w:p w14:paraId="6484A355" w14:textId="77777777" w:rsidR="00EA061C" w:rsidRPr="00BF718B" w:rsidRDefault="00EA061C" w:rsidP="004470D3"/>
    <w:p w14:paraId="4F7AD06A" w14:textId="77777777" w:rsidR="00EA061C" w:rsidRPr="00BF718B" w:rsidRDefault="00EA061C" w:rsidP="004470D3"/>
    <w:p w14:paraId="359A58DC" w14:textId="77777777" w:rsidR="009D71E9" w:rsidRPr="00BF718B" w:rsidRDefault="009D71E9" w:rsidP="004470D3"/>
    <w:p w14:paraId="7D4FCE67" w14:textId="77777777" w:rsidR="009D71E9" w:rsidRPr="00BF718B" w:rsidRDefault="009D71E9" w:rsidP="004470D3"/>
    <w:p w14:paraId="79AE477E" w14:textId="77777777" w:rsidR="009D71E9" w:rsidRPr="00BF718B" w:rsidRDefault="009D71E9" w:rsidP="004470D3"/>
    <w:p w14:paraId="2DF99334" w14:textId="77777777" w:rsidR="009D71E9" w:rsidRPr="00BF718B" w:rsidRDefault="009D71E9" w:rsidP="004470D3"/>
    <w:p w14:paraId="5A90F10E" w14:textId="77777777" w:rsidR="009D71E9" w:rsidRPr="00BF718B" w:rsidRDefault="009D71E9" w:rsidP="004470D3"/>
    <w:p w14:paraId="057C84A6" w14:textId="77777777" w:rsidR="003D397A" w:rsidRPr="00BF718B" w:rsidRDefault="003D397A" w:rsidP="004470D3"/>
    <w:p w14:paraId="14F990A0" w14:textId="77777777" w:rsidR="00DE044F" w:rsidRPr="00BF718B" w:rsidRDefault="00DE044F" w:rsidP="004470D3"/>
    <w:p w14:paraId="452E0611" w14:textId="1678288E" w:rsidR="004470D3" w:rsidRPr="00D51019" w:rsidRDefault="004470D3" w:rsidP="00D51019">
      <w:pPr>
        <w:spacing w:line="276" w:lineRule="auto"/>
        <w:rPr>
          <w:highlight w:val="yellow"/>
        </w:rPr>
      </w:pPr>
      <w:r w:rsidRPr="00D51019">
        <w:rPr>
          <w:highlight w:val="yellow"/>
        </w:rPr>
        <w:t xml:space="preserve">CDC is requesting </w:t>
      </w:r>
      <w:r w:rsidR="00F0024D" w:rsidRPr="00D51019">
        <w:rPr>
          <w:highlight w:val="yellow"/>
        </w:rPr>
        <w:t>a</w:t>
      </w:r>
      <w:r w:rsidR="00FC5470" w:rsidRPr="00D51019">
        <w:rPr>
          <w:highlight w:val="yellow"/>
        </w:rPr>
        <w:t xml:space="preserve"> three-year</w:t>
      </w:r>
      <w:r w:rsidR="00F0024D" w:rsidRPr="00D51019">
        <w:rPr>
          <w:highlight w:val="yellow"/>
        </w:rPr>
        <w:t xml:space="preserve"> </w:t>
      </w:r>
      <w:r w:rsidR="002F725A">
        <w:rPr>
          <w:highlight w:val="yellow"/>
        </w:rPr>
        <w:t>revision</w:t>
      </w:r>
      <w:r w:rsidR="00F0024D" w:rsidRPr="00D51019">
        <w:rPr>
          <w:highlight w:val="yellow"/>
        </w:rPr>
        <w:t xml:space="preserve"> of this generic information collection.  </w:t>
      </w:r>
      <w:r w:rsidR="004F13D4" w:rsidRPr="00D51019">
        <w:rPr>
          <w:highlight w:val="yellow"/>
        </w:rPr>
        <w:t xml:space="preserve">The total burden requested for this generic information collection is </w:t>
      </w:r>
      <w:r w:rsidR="00DE4D64">
        <w:rPr>
          <w:highlight w:val="yellow"/>
        </w:rPr>
        <w:t>7,982</w:t>
      </w:r>
      <w:r w:rsidR="004F13D4" w:rsidRPr="00D51019">
        <w:rPr>
          <w:highlight w:val="yellow"/>
        </w:rPr>
        <w:t xml:space="preserve"> hours from </w:t>
      </w:r>
      <w:r w:rsidR="00A743A9" w:rsidRPr="00D51019">
        <w:rPr>
          <w:highlight w:val="yellow"/>
        </w:rPr>
        <w:t>1</w:t>
      </w:r>
      <w:r w:rsidR="00823C94" w:rsidRPr="00D51019">
        <w:rPr>
          <w:highlight w:val="yellow"/>
        </w:rPr>
        <w:t>7,500</w:t>
      </w:r>
      <w:r w:rsidR="004F13D4" w:rsidRPr="00D51019">
        <w:rPr>
          <w:highlight w:val="yellow"/>
        </w:rPr>
        <w:t xml:space="preserve"> respondents.</w:t>
      </w:r>
    </w:p>
    <w:p w14:paraId="11ABA002" w14:textId="77777777" w:rsidR="00596B4A" w:rsidRPr="00D51019" w:rsidRDefault="00596B4A" w:rsidP="00D51019">
      <w:pPr>
        <w:spacing w:line="276" w:lineRule="auto"/>
        <w:rPr>
          <w:highlight w:val="yellow"/>
        </w:rPr>
      </w:pPr>
    </w:p>
    <w:p w14:paraId="00261A70" w14:textId="37427C7D" w:rsidR="00596B4A" w:rsidRDefault="00596B4A" w:rsidP="00D51019">
      <w:pPr>
        <w:spacing w:line="276" w:lineRule="auto"/>
        <w:rPr>
          <w:bCs/>
          <w:color w:val="000000"/>
        </w:rPr>
      </w:pPr>
      <w:r w:rsidRPr="00D51019">
        <w:rPr>
          <w:highlight w:val="yellow"/>
        </w:rPr>
        <w:t>There is a proposed change in the title of this generic: from “</w:t>
      </w:r>
      <w:r w:rsidRPr="00D51019">
        <w:rPr>
          <w:bCs/>
          <w:color w:val="000000"/>
          <w:highlight w:val="yellow"/>
        </w:rPr>
        <w:t>Information Collection for Evaluation of Education, Communication, and Training Activities for the Division of Global Migration and Quarantine”</w:t>
      </w:r>
      <w:r w:rsidRPr="00D51019">
        <w:rPr>
          <w:highlight w:val="yellow"/>
        </w:rPr>
        <w:t xml:space="preserve"> to “</w:t>
      </w:r>
      <w:r w:rsidRPr="00D51019">
        <w:rPr>
          <w:bCs/>
          <w:color w:val="000000"/>
          <w:highlight w:val="yellow"/>
        </w:rPr>
        <w:t xml:space="preserve">Information Collection for Evaluation of Education, Communication, and Training Activities for Mobile Populations.”  In the past three years, </w:t>
      </w:r>
      <w:r w:rsidR="00D51019" w:rsidRPr="00D51019">
        <w:rPr>
          <w:bCs/>
          <w:color w:val="000000"/>
          <w:highlight w:val="yellow"/>
        </w:rPr>
        <w:t xml:space="preserve">two of the three </w:t>
      </w:r>
      <w:r w:rsidRPr="00D51019">
        <w:rPr>
          <w:bCs/>
          <w:color w:val="000000"/>
          <w:highlight w:val="yellow"/>
        </w:rPr>
        <w:t>approved Gen-ICs have been collaborations between multiple divisions within the National Center for Emerging and Zoonotic Infectious Diseases (NCEZID): the Division of Global Migration and Quarantine and the Division of Vector-borne Disease.  Because multiple divisions across NCEZID frequently collaborate on these sorts of activities, the title change is meant to be less exclusive.  No other changes are proposed in this request for a</w:t>
      </w:r>
      <w:r w:rsidR="002F725A">
        <w:rPr>
          <w:bCs/>
          <w:color w:val="000000"/>
          <w:highlight w:val="yellow"/>
        </w:rPr>
        <w:t xml:space="preserve"> revision</w:t>
      </w:r>
      <w:r w:rsidRPr="00D51019">
        <w:rPr>
          <w:bCs/>
          <w:color w:val="000000"/>
          <w:highlight w:val="yellow"/>
        </w:rPr>
        <w:t>.</w:t>
      </w:r>
      <w:r w:rsidR="00D51019">
        <w:rPr>
          <w:bCs/>
          <w:color w:val="000000"/>
          <w:highlight w:val="yellow"/>
        </w:rPr>
        <w:t xml:space="preserve"> There is no change in scope or purpose. </w:t>
      </w:r>
      <w:r w:rsidRPr="00D51019">
        <w:rPr>
          <w:bCs/>
          <w:color w:val="000000"/>
          <w:highlight w:val="yellow"/>
        </w:rPr>
        <w:t xml:space="preserve">  </w:t>
      </w:r>
    </w:p>
    <w:p w14:paraId="50D0E685" w14:textId="77777777" w:rsidR="00B22338" w:rsidRDefault="00B22338" w:rsidP="00D51019">
      <w:pPr>
        <w:spacing w:line="276" w:lineRule="auto"/>
      </w:pPr>
    </w:p>
    <w:p w14:paraId="65698E5D" w14:textId="77777777" w:rsidR="002F725A" w:rsidRDefault="00B22338" w:rsidP="0095749B">
      <w:pPr>
        <w:spacing w:line="276" w:lineRule="auto"/>
        <w:rPr>
          <w:highlight w:val="yellow"/>
        </w:rPr>
      </w:pPr>
      <w:r w:rsidRPr="0084665C">
        <w:rPr>
          <w:highlight w:val="yellow"/>
        </w:rPr>
        <w:t xml:space="preserve">For this submission, requested burden has been </w:t>
      </w:r>
      <w:r w:rsidR="0095749B" w:rsidRPr="0084665C">
        <w:rPr>
          <w:highlight w:val="yellow"/>
        </w:rPr>
        <w:t xml:space="preserve">reduced from </w:t>
      </w:r>
      <w:r w:rsidR="007110A0" w:rsidRPr="0084665C">
        <w:rPr>
          <w:highlight w:val="yellow"/>
        </w:rPr>
        <w:t>37,500 respondents and 17,835 burden hours</w:t>
      </w:r>
      <w:r w:rsidR="0095749B" w:rsidRPr="0084665C">
        <w:rPr>
          <w:highlight w:val="yellow"/>
        </w:rPr>
        <w:t xml:space="preserve"> to 17</w:t>
      </w:r>
      <w:r w:rsidR="00DE4D64">
        <w:rPr>
          <w:highlight w:val="yellow"/>
        </w:rPr>
        <w:t>,</w:t>
      </w:r>
      <w:r w:rsidR="0095749B" w:rsidRPr="0084665C">
        <w:rPr>
          <w:highlight w:val="yellow"/>
        </w:rPr>
        <w:t xml:space="preserve">500 respondents and 7,982 burden hours </w:t>
      </w:r>
      <w:r w:rsidR="007110A0" w:rsidRPr="0084665C">
        <w:rPr>
          <w:highlight w:val="yellow"/>
        </w:rPr>
        <w:t xml:space="preserve">due to </w:t>
      </w:r>
      <w:r w:rsidR="0084665C" w:rsidRPr="0084665C">
        <w:rPr>
          <w:highlight w:val="yellow"/>
        </w:rPr>
        <w:t>a reduction in the number of estimated number of collections per year from ten t</w:t>
      </w:r>
      <w:r w:rsidR="000C47D6">
        <w:rPr>
          <w:highlight w:val="yellow"/>
        </w:rPr>
        <w:t xml:space="preserve">o five </w:t>
      </w:r>
      <w:r w:rsidR="000C47D6" w:rsidRPr="000C47D6">
        <w:rPr>
          <w:highlight w:val="yellow"/>
        </w:rPr>
        <w:t>and a two thirds reduction in pre- and post-test</w:t>
      </w:r>
      <w:r w:rsidR="000C47D6" w:rsidRPr="002F725A">
        <w:rPr>
          <w:highlight w:val="yellow"/>
        </w:rPr>
        <w:t>s requested for both types of respondents</w:t>
      </w:r>
      <w:r w:rsidR="002F725A" w:rsidRPr="002F725A">
        <w:rPr>
          <w:highlight w:val="yellow"/>
        </w:rPr>
        <w:t xml:space="preserve">.  </w:t>
      </w:r>
    </w:p>
    <w:p w14:paraId="64904289" w14:textId="77777777" w:rsidR="002F725A" w:rsidRDefault="002F725A" w:rsidP="0095749B">
      <w:pPr>
        <w:spacing w:line="276" w:lineRule="auto"/>
        <w:rPr>
          <w:highlight w:val="yellow"/>
        </w:rPr>
      </w:pPr>
    </w:p>
    <w:p w14:paraId="7928601F" w14:textId="024C28B3" w:rsidR="00B22338" w:rsidRPr="0095749B" w:rsidRDefault="002F725A" w:rsidP="0095749B">
      <w:pPr>
        <w:spacing w:line="276" w:lineRule="auto"/>
      </w:pPr>
      <w:r>
        <w:rPr>
          <w:highlight w:val="yellow"/>
        </w:rPr>
        <w:t xml:space="preserve">A reduction in the estimated number of annual collections is the only revision being requested. </w:t>
      </w:r>
      <w:r>
        <w:t xml:space="preserve"> </w:t>
      </w:r>
      <w:r w:rsidR="0084665C">
        <w:t xml:space="preserve">  </w:t>
      </w:r>
    </w:p>
    <w:p w14:paraId="1CFC6B64" w14:textId="77777777" w:rsidR="008B0E6B" w:rsidRPr="00BF718B" w:rsidRDefault="008B0E6B" w:rsidP="00D51019">
      <w:pPr>
        <w:spacing w:line="276" w:lineRule="auto"/>
        <w:rPr>
          <w:color w:val="000000"/>
        </w:rPr>
      </w:pPr>
    </w:p>
    <w:p w14:paraId="1AB0A4FC" w14:textId="77777777" w:rsidR="008B0E6B" w:rsidRPr="00AA1EEE" w:rsidRDefault="008B0E6B" w:rsidP="00D51019">
      <w:pPr>
        <w:spacing w:line="276" w:lineRule="auto"/>
        <w:outlineLvl w:val="0"/>
        <w:rPr>
          <w:b/>
          <w:color w:val="000000"/>
        </w:rPr>
      </w:pPr>
      <w:bookmarkStart w:id="5" w:name="_Toc506904654"/>
      <w:r w:rsidRPr="00AA1EEE">
        <w:rPr>
          <w:b/>
          <w:color w:val="000000"/>
        </w:rPr>
        <w:t>A</w:t>
      </w:r>
      <w:r w:rsidR="00DC2107" w:rsidRPr="00AA1EEE">
        <w:rPr>
          <w:b/>
          <w:color w:val="000000"/>
        </w:rPr>
        <w:t>.</w:t>
      </w:r>
      <w:r w:rsidRPr="00AA1EEE">
        <w:rPr>
          <w:b/>
          <w:color w:val="000000"/>
        </w:rPr>
        <w:t>1. Circumstances Making the Collection of Information Necessary</w:t>
      </w:r>
      <w:bookmarkEnd w:id="5"/>
    </w:p>
    <w:p w14:paraId="05B6203B" w14:textId="77777777" w:rsidR="008B0E6B" w:rsidRPr="00BF718B" w:rsidRDefault="008B0E6B" w:rsidP="00D51019">
      <w:pPr>
        <w:spacing w:line="276" w:lineRule="auto"/>
        <w:rPr>
          <w:color w:val="000000"/>
        </w:rPr>
      </w:pPr>
    </w:p>
    <w:p w14:paraId="36FF3241" w14:textId="23EE9C72" w:rsidR="008B0E6B" w:rsidRPr="00BF718B" w:rsidRDefault="008B0E6B" w:rsidP="00D51019">
      <w:pPr>
        <w:spacing w:line="276" w:lineRule="auto"/>
        <w:rPr>
          <w:color w:val="000000"/>
        </w:rPr>
      </w:pPr>
      <w:r w:rsidRPr="00BF718B">
        <w:rPr>
          <w:color w:val="000000"/>
        </w:rPr>
        <w:t xml:space="preserve">The Centers for Disease Control and Prevention (CDC), </w:t>
      </w:r>
      <w:r w:rsidR="002D60CF" w:rsidRPr="00BF718B">
        <w:rPr>
          <w:color w:val="000000"/>
        </w:rPr>
        <w:t xml:space="preserve">National Center for Emerging and Zoonotic Infectious Diseases (NCEZID), </w:t>
      </w:r>
      <w:r w:rsidRPr="00BF718B">
        <w:rPr>
          <w:color w:val="000000"/>
        </w:rPr>
        <w:t>Division of Global Migration and Quarantine (</w:t>
      </w:r>
      <w:r w:rsidR="003A4D97" w:rsidRPr="00BF718B">
        <w:rPr>
          <w:color w:val="000000"/>
        </w:rPr>
        <w:t>DGMQ</w:t>
      </w:r>
      <w:r w:rsidRPr="00BF718B">
        <w:rPr>
          <w:color w:val="000000"/>
        </w:rPr>
        <w:t xml:space="preserve">), requests </w:t>
      </w:r>
      <w:r w:rsidR="00DB0D64" w:rsidRPr="00BF718B">
        <w:rPr>
          <w:color w:val="000000"/>
        </w:rPr>
        <w:t>a</w:t>
      </w:r>
      <w:r w:rsidR="002F725A">
        <w:rPr>
          <w:color w:val="000000"/>
        </w:rPr>
        <w:t xml:space="preserve"> revision</w:t>
      </w:r>
      <w:r w:rsidR="000B7A6C" w:rsidRPr="00BF718B">
        <w:rPr>
          <w:color w:val="000000"/>
        </w:rPr>
        <w:t xml:space="preserve"> </w:t>
      </w:r>
      <w:r w:rsidRPr="00BF718B">
        <w:rPr>
          <w:color w:val="000000"/>
        </w:rPr>
        <w:t xml:space="preserve">of a </w:t>
      </w:r>
      <w:r w:rsidR="00DD79B1" w:rsidRPr="00BF718B">
        <w:rPr>
          <w:color w:val="000000"/>
        </w:rPr>
        <w:t>“</w:t>
      </w:r>
      <w:r w:rsidRPr="00BF718B">
        <w:rPr>
          <w:color w:val="000000"/>
        </w:rPr>
        <w:t>generic clearance</w:t>
      </w:r>
      <w:r w:rsidR="00DD79B1" w:rsidRPr="00BF718B">
        <w:rPr>
          <w:color w:val="000000"/>
        </w:rPr>
        <w:t>”</w:t>
      </w:r>
      <w:r w:rsidRPr="00BF718B">
        <w:rPr>
          <w:color w:val="000000"/>
        </w:rPr>
        <w:t xml:space="preserve"> to conduct </w:t>
      </w:r>
      <w:r w:rsidR="002D60CF" w:rsidRPr="00BF718B">
        <w:rPr>
          <w:color w:val="000000"/>
        </w:rPr>
        <w:t xml:space="preserve">evaluation </w:t>
      </w:r>
      <w:r w:rsidRPr="00BF718B">
        <w:rPr>
          <w:color w:val="000000"/>
        </w:rPr>
        <w:t>research</w:t>
      </w:r>
      <w:r w:rsidR="00D81625" w:rsidRPr="00BF718B">
        <w:rPr>
          <w:color w:val="000000"/>
        </w:rPr>
        <w:t xml:space="preserve"> in order</w:t>
      </w:r>
      <w:r w:rsidRPr="00BF718B">
        <w:rPr>
          <w:color w:val="000000"/>
        </w:rPr>
        <w:t xml:space="preserve"> to plan, implement, and </w:t>
      </w:r>
      <w:r w:rsidR="002D60CF" w:rsidRPr="00BF718B">
        <w:rPr>
          <w:color w:val="000000"/>
        </w:rPr>
        <w:t xml:space="preserve">demonstrate </w:t>
      </w:r>
      <w:r w:rsidR="00D3594F" w:rsidRPr="00BF718B">
        <w:rPr>
          <w:color w:val="000000"/>
        </w:rPr>
        <w:t xml:space="preserve">outcome and </w:t>
      </w:r>
      <w:r w:rsidR="002D60CF" w:rsidRPr="00BF718B">
        <w:rPr>
          <w:color w:val="000000"/>
        </w:rPr>
        <w:t xml:space="preserve">impact of </w:t>
      </w:r>
      <w:r w:rsidRPr="00BF718B">
        <w:rPr>
          <w:color w:val="000000"/>
        </w:rPr>
        <w:t>health communication, education, and training activities</w:t>
      </w:r>
      <w:r w:rsidR="00A84B5F" w:rsidRPr="00BF718B">
        <w:rPr>
          <w:color w:val="000000"/>
        </w:rPr>
        <w:t xml:space="preserve">. </w:t>
      </w:r>
      <w:r w:rsidR="00DD79B1" w:rsidRPr="00BF718B">
        <w:rPr>
          <w:color w:val="000000"/>
        </w:rPr>
        <w:t>The</w:t>
      </w:r>
      <w:r w:rsidR="00F15079" w:rsidRPr="00BF718B">
        <w:rPr>
          <w:color w:val="000000"/>
        </w:rPr>
        <w:t>se</w:t>
      </w:r>
      <w:r w:rsidR="00DD79B1" w:rsidRPr="00BF718B">
        <w:rPr>
          <w:color w:val="000000"/>
        </w:rPr>
        <w:t xml:space="preserve"> </w:t>
      </w:r>
      <w:r w:rsidR="00F15079" w:rsidRPr="00BF718B">
        <w:rPr>
          <w:color w:val="000000"/>
        </w:rPr>
        <w:t xml:space="preserve">activities </w:t>
      </w:r>
      <w:r w:rsidR="008D19D3" w:rsidRPr="00BF718B">
        <w:rPr>
          <w:color w:val="000000"/>
        </w:rPr>
        <w:t xml:space="preserve">may </w:t>
      </w:r>
      <w:r w:rsidR="00F15079" w:rsidRPr="00BF718B">
        <w:rPr>
          <w:color w:val="000000"/>
        </w:rPr>
        <w:t>include</w:t>
      </w:r>
      <w:r w:rsidRPr="00BF718B">
        <w:rPr>
          <w:color w:val="000000"/>
        </w:rPr>
        <w:t xml:space="preserve"> communicating with international travelers</w:t>
      </w:r>
      <w:r w:rsidR="00DA0852" w:rsidRPr="00BF718B">
        <w:rPr>
          <w:color w:val="000000"/>
        </w:rPr>
        <w:t xml:space="preserve"> and other mobile populations</w:t>
      </w:r>
      <w:r w:rsidRPr="00BF718B">
        <w:rPr>
          <w:color w:val="000000"/>
        </w:rPr>
        <w:t xml:space="preserve">, training healthcare providers and educating public health departments.  </w:t>
      </w:r>
    </w:p>
    <w:p w14:paraId="7737B1A4" w14:textId="77777777" w:rsidR="008B0E6B" w:rsidRPr="00BF718B" w:rsidRDefault="008B0E6B" w:rsidP="00D51019">
      <w:pPr>
        <w:spacing w:line="276" w:lineRule="auto"/>
        <w:rPr>
          <w:color w:val="000000"/>
        </w:rPr>
      </w:pPr>
    </w:p>
    <w:p w14:paraId="2EA6CC1A" w14:textId="77777777" w:rsidR="008B0E6B" w:rsidRPr="00BF718B" w:rsidRDefault="008B0E6B" w:rsidP="00D51019">
      <w:pPr>
        <w:spacing w:line="276" w:lineRule="auto"/>
        <w:rPr>
          <w:color w:val="000000"/>
        </w:rPr>
      </w:pPr>
      <w:r w:rsidRPr="00BF718B">
        <w:rPr>
          <w:color w:val="000000"/>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p>
    <w:p w14:paraId="4FF0CE19" w14:textId="77777777" w:rsidR="008B0E6B" w:rsidRPr="00BF718B" w:rsidRDefault="008B0E6B" w:rsidP="00D51019">
      <w:pPr>
        <w:spacing w:line="276" w:lineRule="auto"/>
        <w:rPr>
          <w:color w:val="000000"/>
        </w:rPr>
      </w:pPr>
    </w:p>
    <w:p w14:paraId="641F67F3" w14:textId="77777777" w:rsidR="008B0E6B" w:rsidRDefault="00284E9F" w:rsidP="00D51019">
      <w:pPr>
        <w:spacing w:line="276" w:lineRule="auto"/>
        <w:rPr>
          <w:rFonts w:cs="Arial"/>
        </w:rPr>
      </w:pPr>
      <w:r>
        <w:rPr>
          <w:rFonts w:cs="Arial"/>
        </w:rPr>
        <w:t xml:space="preserve">This information collection authorized under </w:t>
      </w:r>
      <w:r w:rsidRPr="007F46E9">
        <w:t>Section 301 of the Public Health Service Act (42 U.S.C. 241)</w:t>
      </w:r>
      <w:r>
        <w:t xml:space="preserve"> (Attachmen</w:t>
      </w:r>
      <w:r w:rsidR="00C56639">
        <w:t xml:space="preserve">t A1).  Additionally, </w:t>
      </w:r>
      <w:r w:rsidR="008B0E6B" w:rsidRPr="00BF718B">
        <w:rPr>
          <w:rFonts w:cs="Arial"/>
        </w:rPr>
        <w:t>Section 361 of the Public Health Service (PHS) Act (42 USC 264) (Attachment A</w:t>
      </w:r>
      <w:r>
        <w:rPr>
          <w:rFonts w:cs="Arial"/>
        </w:rPr>
        <w:t>2</w:t>
      </w:r>
      <w:r w:rsidR="008B0E6B" w:rsidRPr="00BF718B">
        <w:rPr>
          <w:rFonts w:cs="Arial"/>
        </w:rPr>
        <w:t>) authorizes the Secretary of Health and Human Services (HHS) to make and enforce regulations necessary to prevent the introduction, transmission</w:t>
      </w:r>
      <w:r w:rsidR="00A84B5F" w:rsidRPr="00BF718B">
        <w:rPr>
          <w:rFonts w:cs="Arial"/>
        </w:rPr>
        <w:t>,</w:t>
      </w:r>
      <w:r w:rsidR="008B0E6B" w:rsidRPr="00BF718B">
        <w:rPr>
          <w:rFonts w:cs="Arial"/>
        </w:rPr>
        <w:t xml:space="preserve"> or spread of communicable diseases from foreign countries or possessions into the United States and from one state or possession into any other state or possession. These regulations are codified in 42 Code of Federal Regulations (CFR) Parts 70 and 71</w:t>
      </w:r>
      <w:r>
        <w:rPr>
          <w:rFonts w:cs="Arial"/>
        </w:rPr>
        <w:t xml:space="preserve"> (Attachment A3 and A4</w:t>
      </w:r>
      <w:r w:rsidR="001775A8" w:rsidRPr="00BF718B">
        <w:rPr>
          <w:rFonts w:cs="Arial"/>
        </w:rPr>
        <w:t>)</w:t>
      </w:r>
      <w:r w:rsidR="005A58E1">
        <w:rPr>
          <w:rFonts w:cs="Arial"/>
        </w:rPr>
        <w:t>.</w:t>
      </w:r>
    </w:p>
    <w:p w14:paraId="23E3D170" w14:textId="77777777" w:rsidR="005A58E1" w:rsidRDefault="005A58E1" w:rsidP="00D51019">
      <w:pPr>
        <w:spacing w:line="276" w:lineRule="auto"/>
        <w:rPr>
          <w:rFonts w:cs="Arial"/>
        </w:rPr>
      </w:pPr>
    </w:p>
    <w:p w14:paraId="75E66856" w14:textId="77777777" w:rsidR="005A58E1" w:rsidRDefault="005A58E1" w:rsidP="00D51019">
      <w:pPr>
        <w:autoSpaceDE w:val="0"/>
        <w:autoSpaceDN w:val="0"/>
        <w:adjustRightInd w:val="0"/>
        <w:spacing w:line="276" w:lineRule="auto"/>
        <w:rPr>
          <w:rFonts w:eastAsiaTheme="minorHAnsi"/>
        </w:rPr>
      </w:pPr>
      <w:r>
        <w:rPr>
          <w:rFonts w:eastAsiaTheme="minorHAnsi"/>
        </w:rPr>
        <w:t xml:space="preserve">The Secretary of Health and Human Services also has the legal authority to establish regulations outlining the requirements for the medical examination of aliens before they may be admitted into the United States. This authority is provided under Section 212(a)(1)(A) of the Immigration and Nationality Act (8 U.S.C. § 1182(a)(1)(A)) </w:t>
      </w:r>
      <w:r>
        <w:rPr>
          <w:rFonts w:cs="Arial"/>
        </w:rPr>
        <w:t>(Attachment A</w:t>
      </w:r>
      <w:r w:rsidR="000F6937">
        <w:rPr>
          <w:rFonts w:cs="Arial"/>
        </w:rPr>
        <w:t>5</w:t>
      </w:r>
      <w:r w:rsidRPr="00D945C2">
        <w:rPr>
          <w:rFonts w:cs="Arial"/>
        </w:rPr>
        <w:t>)</w:t>
      </w:r>
      <w:r w:rsidRPr="00CA6AEA">
        <w:rPr>
          <w:rFonts w:cs="Arial"/>
          <w:b/>
        </w:rPr>
        <w:t xml:space="preserve"> </w:t>
      </w:r>
      <w:r>
        <w:rPr>
          <w:rFonts w:eastAsiaTheme="minorHAnsi"/>
        </w:rPr>
        <w:t xml:space="preserve">and Section 325 of the Public Health Service Act </w:t>
      </w:r>
      <w:r w:rsidR="000F6937">
        <w:rPr>
          <w:rFonts w:cs="Arial"/>
        </w:rPr>
        <w:t>(Attachment A6</w:t>
      </w:r>
      <w:r w:rsidRPr="00D945C2">
        <w:rPr>
          <w:rFonts w:cs="Arial"/>
        </w:rPr>
        <w:t>)</w:t>
      </w:r>
      <w:r>
        <w:rPr>
          <w:rFonts w:eastAsiaTheme="minorHAnsi"/>
        </w:rPr>
        <w:t xml:space="preserve">. These regulations are codified </w:t>
      </w:r>
      <w:r w:rsidR="000F6937">
        <w:rPr>
          <w:rFonts w:eastAsiaTheme="minorHAnsi"/>
        </w:rPr>
        <w:t>in 42 CFR Part 34 (Attachment A7</w:t>
      </w:r>
      <w:r>
        <w:rPr>
          <w:rFonts w:eastAsiaTheme="minorHAnsi"/>
        </w:rPr>
        <w:t>), which establish requirements that determine whether aliens can be admitted into the United States.</w:t>
      </w:r>
    </w:p>
    <w:p w14:paraId="233DA35B" w14:textId="77777777" w:rsidR="008B0E6B" w:rsidRPr="00BF718B" w:rsidRDefault="008B0E6B" w:rsidP="00D51019">
      <w:pPr>
        <w:spacing w:line="276" w:lineRule="auto"/>
        <w:rPr>
          <w:rFonts w:cs="Arial"/>
        </w:rPr>
      </w:pPr>
    </w:p>
    <w:p w14:paraId="0EB09422" w14:textId="77777777" w:rsidR="001B0FDF" w:rsidRPr="00BF718B" w:rsidRDefault="00DD79B1" w:rsidP="00D51019">
      <w:pPr>
        <w:spacing w:line="276" w:lineRule="auto"/>
        <w:rPr>
          <w:rFonts w:eastAsiaTheme="minorHAnsi"/>
        </w:rPr>
      </w:pPr>
      <w:r w:rsidRPr="00BF718B">
        <w:rPr>
          <w:color w:val="000000"/>
        </w:rPr>
        <w:t>Successful implementation of DGMQ’s regulatory authority and public health mission requires a variety of communication, training</w:t>
      </w:r>
      <w:r w:rsidR="00A84B5F" w:rsidRPr="00BF718B">
        <w:rPr>
          <w:color w:val="000000"/>
        </w:rPr>
        <w:t>,</w:t>
      </w:r>
      <w:r w:rsidRPr="00BF718B">
        <w:rPr>
          <w:color w:val="000000"/>
        </w:rPr>
        <w:t xml:space="preserve"> and/or educational activities with staff, partners, mobile populations</w:t>
      </w:r>
      <w:r w:rsidR="00FC5470">
        <w:rPr>
          <w:color w:val="000000"/>
        </w:rPr>
        <w:t>,</w:t>
      </w:r>
      <w:r w:rsidRPr="00BF718B">
        <w:rPr>
          <w:color w:val="000000"/>
        </w:rPr>
        <w:t xml:space="preserve"> and the general public. </w:t>
      </w:r>
      <w:r w:rsidR="003A4D97" w:rsidRPr="00BF718B">
        <w:rPr>
          <w:color w:val="000000"/>
        </w:rPr>
        <w:t>DGMQ</w:t>
      </w:r>
      <w:r w:rsidR="001B0FDF" w:rsidRPr="00BF718B">
        <w:rPr>
          <w:color w:val="000000"/>
        </w:rPr>
        <w:t xml:space="preserve"> conducts many communication and education activities to convey health information to key audiences. Data collection is needed to successfully plan, implement</w:t>
      </w:r>
      <w:r w:rsidR="00FC5470">
        <w:rPr>
          <w:color w:val="000000"/>
        </w:rPr>
        <w:t>,</w:t>
      </w:r>
      <w:r w:rsidR="001B0FDF" w:rsidRPr="00BF718B">
        <w:rPr>
          <w:color w:val="000000"/>
        </w:rPr>
        <w:t xml:space="preserve"> and evaluate health communication, education, and training activities related to </w:t>
      </w:r>
      <w:r w:rsidR="003A4D97" w:rsidRPr="00BF718B">
        <w:rPr>
          <w:color w:val="000000"/>
        </w:rPr>
        <w:t>DGMQ</w:t>
      </w:r>
      <w:r w:rsidR="0000457F" w:rsidRPr="00BF718B">
        <w:rPr>
          <w:color w:val="000000"/>
        </w:rPr>
        <w:t>’s</w:t>
      </w:r>
      <w:r w:rsidR="001B0FDF" w:rsidRPr="00BF718B">
        <w:rPr>
          <w:color w:val="000000"/>
        </w:rPr>
        <w:t xml:space="preserve"> public health mission.</w:t>
      </w:r>
      <w:r w:rsidR="001B0FDF" w:rsidRPr="00BF718B" w:rsidDel="00DD79B1">
        <w:rPr>
          <w:color w:val="000000"/>
        </w:rPr>
        <w:t xml:space="preserve"> </w:t>
      </w:r>
    </w:p>
    <w:p w14:paraId="272F8710" w14:textId="77777777" w:rsidR="008B0E6B" w:rsidRPr="00BF718B" w:rsidRDefault="008B0E6B" w:rsidP="00D51019">
      <w:pPr>
        <w:spacing w:line="276" w:lineRule="auto"/>
        <w:rPr>
          <w:color w:val="000000"/>
        </w:rPr>
      </w:pPr>
    </w:p>
    <w:p w14:paraId="655D38D1" w14:textId="77777777" w:rsidR="008D19D3" w:rsidRPr="00BF718B" w:rsidRDefault="008B0E6B" w:rsidP="00D51019">
      <w:pPr>
        <w:spacing w:line="276" w:lineRule="auto"/>
        <w:rPr>
          <w:color w:val="000000"/>
        </w:rPr>
      </w:pPr>
      <w:r w:rsidRPr="00BF718B">
        <w:rPr>
          <w:color w:val="000000"/>
        </w:rPr>
        <w:t>This generic OMB clearance allow</w:t>
      </w:r>
      <w:r w:rsidR="008D19D3" w:rsidRPr="00BF718B">
        <w:rPr>
          <w:color w:val="000000"/>
        </w:rPr>
        <w:t>s</w:t>
      </w:r>
      <w:r w:rsidRPr="00BF718B">
        <w:rPr>
          <w:color w:val="000000"/>
        </w:rPr>
        <w:t xml:space="preserve"> </w:t>
      </w:r>
      <w:r w:rsidR="003A4D97" w:rsidRPr="00BF718B">
        <w:rPr>
          <w:color w:val="000000"/>
        </w:rPr>
        <w:t>DGMQ</w:t>
      </w:r>
      <w:r w:rsidRPr="00BF718B">
        <w:rPr>
          <w:color w:val="000000"/>
        </w:rPr>
        <w:t xml:space="preserve"> to </w:t>
      </w:r>
      <w:r w:rsidR="00273A87" w:rsidRPr="00BF718B">
        <w:rPr>
          <w:color w:val="000000"/>
        </w:rPr>
        <w:t xml:space="preserve">quickly </w:t>
      </w:r>
      <w:r w:rsidRPr="00BF718B">
        <w:rPr>
          <w:color w:val="000000"/>
        </w:rPr>
        <w:t xml:space="preserve">collect information </w:t>
      </w:r>
      <w:r w:rsidR="00185BFC" w:rsidRPr="00BF718B">
        <w:rPr>
          <w:color w:val="000000"/>
        </w:rPr>
        <w:t xml:space="preserve">about the knowledge, attitudes, and behaviors </w:t>
      </w:r>
      <w:r w:rsidRPr="00BF718B">
        <w:rPr>
          <w:color w:val="000000"/>
        </w:rPr>
        <w:t xml:space="preserve">from key </w:t>
      </w:r>
      <w:r w:rsidRPr="00BF718B">
        <w:t xml:space="preserve">audiences </w:t>
      </w:r>
      <w:r w:rsidR="008A2CD1" w:rsidRPr="00BF718B">
        <w:t xml:space="preserve">(such as </w:t>
      </w:r>
      <w:r w:rsidR="00A920BE" w:rsidRPr="00BF718B">
        <w:t xml:space="preserve">refugees, </w:t>
      </w:r>
      <w:r w:rsidR="008A2CD1" w:rsidRPr="00BF718B">
        <w:t xml:space="preserve">immigrants, </w:t>
      </w:r>
      <w:r w:rsidR="008D4DFE" w:rsidRPr="00BF718B">
        <w:t xml:space="preserve">migrants, </w:t>
      </w:r>
      <w:r w:rsidR="008A2CD1" w:rsidRPr="00BF718B">
        <w:t xml:space="preserve">international </w:t>
      </w:r>
      <w:r w:rsidR="00A920BE" w:rsidRPr="00BF718B">
        <w:t xml:space="preserve">travelers, travel industry partners, </w:t>
      </w:r>
      <w:r w:rsidR="008A2CD1" w:rsidRPr="00BF718B">
        <w:t>healthcare providers, non-profit agencies,</w:t>
      </w:r>
      <w:r w:rsidR="0067091C" w:rsidRPr="00BF718B">
        <w:t xml:space="preserve"> </w:t>
      </w:r>
      <w:r w:rsidR="006C1051" w:rsidRPr="00BF718B">
        <w:t>customs brokers and forwarders</w:t>
      </w:r>
      <w:r w:rsidR="003A38E9" w:rsidRPr="00BF718B">
        <w:t>, school</w:t>
      </w:r>
      <w:r w:rsidR="00EC6D5F" w:rsidRPr="00BF718B">
        <w:t>s</w:t>
      </w:r>
      <w:r w:rsidR="003A38E9" w:rsidRPr="00BF718B">
        <w:t>,</w:t>
      </w:r>
      <w:r w:rsidR="008A2CD1" w:rsidRPr="00BF718B">
        <w:t xml:space="preserve"> </w:t>
      </w:r>
      <w:r w:rsidR="00FC5470">
        <w:t xml:space="preserve">and </w:t>
      </w:r>
      <w:r w:rsidR="008A2CD1" w:rsidRPr="00BF718B">
        <w:t>state and local health departments</w:t>
      </w:r>
      <w:r w:rsidR="00A920BE" w:rsidRPr="00BF718B">
        <w:t xml:space="preserve">) </w:t>
      </w:r>
      <w:r w:rsidRPr="00BF718B">
        <w:rPr>
          <w:color w:val="000000"/>
        </w:rPr>
        <w:t xml:space="preserve">to help improve and inform these </w:t>
      </w:r>
      <w:r w:rsidR="00185BFC" w:rsidRPr="00BF718B">
        <w:rPr>
          <w:color w:val="000000"/>
        </w:rPr>
        <w:t xml:space="preserve">activities during routine and </w:t>
      </w:r>
      <w:r w:rsidRPr="00BF718B">
        <w:rPr>
          <w:color w:val="000000"/>
        </w:rPr>
        <w:t>emergency</w:t>
      </w:r>
      <w:r w:rsidR="00A84B5F" w:rsidRPr="00BF718B">
        <w:rPr>
          <w:color w:val="000000"/>
        </w:rPr>
        <w:t xml:space="preserve"> public health events.</w:t>
      </w:r>
      <w:r w:rsidR="00185BFC" w:rsidRPr="00BF718B">
        <w:rPr>
          <w:color w:val="000000"/>
        </w:rPr>
        <w:t xml:space="preserve"> </w:t>
      </w:r>
      <w:r w:rsidR="001B0FDF" w:rsidRPr="00BF718B">
        <w:rPr>
          <w:color w:val="000000"/>
        </w:rPr>
        <w:t xml:space="preserve">This generic </w:t>
      </w:r>
      <w:r w:rsidR="00F0024D">
        <w:rPr>
          <w:color w:val="000000"/>
        </w:rPr>
        <w:t xml:space="preserve">information </w:t>
      </w:r>
      <w:r w:rsidR="001B0FDF" w:rsidRPr="00BF718B">
        <w:rPr>
          <w:color w:val="000000"/>
        </w:rPr>
        <w:t xml:space="preserve">clearance will </w:t>
      </w:r>
      <w:r w:rsidR="00D3594F" w:rsidRPr="00BF718B">
        <w:rPr>
          <w:color w:val="000000"/>
        </w:rPr>
        <w:t xml:space="preserve">also </w:t>
      </w:r>
      <w:r w:rsidR="001B0FDF" w:rsidRPr="00BF718B">
        <w:rPr>
          <w:color w:val="000000"/>
        </w:rPr>
        <w:t xml:space="preserve">help </w:t>
      </w:r>
      <w:r w:rsidR="003A4D97" w:rsidRPr="00BF718B">
        <w:rPr>
          <w:color w:val="000000"/>
        </w:rPr>
        <w:t>DGMQ</w:t>
      </w:r>
      <w:r w:rsidR="001B0FDF" w:rsidRPr="00BF718B">
        <w:rPr>
          <w:color w:val="000000"/>
        </w:rPr>
        <w:t xml:space="preserve"> continue to refine these efforts in a timely manner, and will be especially valuable for communication activities that must occur quickly.</w:t>
      </w:r>
    </w:p>
    <w:p w14:paraId="4459991F" w14:textId="77777777" w:rsidR="00170179" w:rsidRDefault="00170179" w:rsidP="00D51019">
      <w:pPr>
        <w:spacing w:line="276" w:lineRule="auto"/>
        <w:outlineLvl w:val="0"/>
        <w:rPr>
          <w:b/>
          <w:bCs/>
          <w:iCs/>
          <w:color w:val="000000"/>
        </w:rPr>
      </w:pPr>
    </w:p>
    <w:p w14:paraId="3C540305" w14:textId="77777777" w:rsidR="008B0E6B" w:rsidRPr="00AA1EEE" w:rsidRDefault="00B17DC8" w:rsidP="00D51019">
      <w:pPr>
        <w:spacing w:line="276" w:lineRule="auto"/>
        <w:outlineLvl w:val="0"/>
        <w:rPr>
          <w:b/>
          <w:bCs/>
          <w:iCs/>
          <w:color w:val="000000"/>
        </w:rPr>
      </w:pPr>
      <w:bookmarkStart w:id="6" w:name="_Toc506904655"/>
      <w:r w:rsidRPr="00AA1EEE">
        <w:rPr>
          <w:b/>
          <w:bCs/>
          <w:iCs/>
          <w:color w:val="000000"/>
        </w:rPr>
        <w:t>A</w:t>
      </w:r>
      <w:r w:rsidR="00DC2107" w:rsidRPr="00AA1EEE">
        <w:rPr>
          <w:b/>
          <w:bCs/>
          <w:iCs/>
          <w:color w:val="000000"/>
        </w:rPr>
        <w:t>.</w:t>
      </w:r>
      <w:r w:rsidRPr="00AA1EEE">
        <w:rPr>
          <w:b/>
          <w:bCs/>
          <w:iCs/>
          <w:color w:val="000000"/>
        </w:rPr>
        <w:t xml:space="preserve">2. Purpose and Use of </w:t>
      </w:r>
      <w:r w:rsidR="008B0E6B" w:rsidRPr="00AA1EEE">
        <w:rPr>
          <w:b/>
          <w:bCs/>
          <w:iCs/>
          <w:color w:val="000000"/>
        </w:rPr>
        <w:t>Information Collection</w:t>
      </w:r>
      <w:bookmarkEnd w:id="6"/>
    </w:p>
    <w:p w14:paraId="7E04989A" w14:textId="77777777" w:rsidR="008B0E6B" w:rsidRPr="00BF718B" w:rsidRDefault="008B0E6B" w:rsidP="00D51019">
      <w:pPr>
        <w:spacing w:line="276" w:lineRule="auto"/>
        <w:rPr>
          <w:color w:val="000000"/>
        </w:rPr>
      </w:pPr>
    </w:p>
    <w:p w14:paraId="115F3838" w14:textId="77777777" w:rsidR="00361961" w:rsidRPr="00BF718B" w:rsidRDefault="008B0E6B" w:rsidP="00D51019">
      <w:pPr>
        <w:spacing w:line="276" w:lineRule="auto"/>
        <w:rPr>
          <w:color w:val="000000"/>
        </w:rPr>
      </w:pPr>
      <w:r w:rsidRPr="00BF718B">
        <w:rPr>
          <w:color w:val="000000"/>
        </w:rPr>
        <w:t xml:space="preserve">The purpose of this generic clearance request is to conduct timely evaluations </w:t>
      </w:r>
      <w:r w:rsidR="00EC3FE4" w:rsidRPr="00BF718B">
        <w:rPr>
          <w:color w:val="000000"/>
        </w:rPr>
        <w:t xml:space="preserve">of </w:t>
      </w:r>
      <w:r w:rsidR="003A4D97" w:rsidRPr="00BF718B">
        <w:rPr>
          <w:color w:val="000000"/>
        </w:rPr>
        <w:t>DGMQ</w:t>
      </w:r>
      <w:r w:rsidRPr="00BF718B">
        <w:rPr>
          <w:color w:val="000000"/>
        </w:rPr>
        <w:t xml:space="preserve">’s communication, education, and training activities. These evaluation activities will allow </w:t>
      </w:r>
      <w:r w:rsidR="003A4D97" w:rsidRPr="00BF718B">
        <w:rPr>
          <w:color w:val="000000"/>
        </w:rPr>
        <w:t>DGMQ</w:t>
      </w:r>
      <w:r w:rsidRPr="00BF718B">
        <w:rPr>
          <w:color w:val="000000"/>
        </w:rPr>
        <w:t xml:space="preserve"> to provide clear, </w:t>
      </w:r>
      <w:r w:rsidR="006F2146" w:rsidRPr="00BF718B">
        <w:rPr>
          <w:color w:val="000000"/>
        </w:rPr>
        <w:t xml:space="preserve">effective, </w:t>
      </w:r>
      <w:r w:rsidRPr="00BF718B">
        <w:rPr>
          <w:color w:val="000000"/>
        </w:rPr>
        <w:t xml:space="preserve">and appropriate training, education, and communication to key audiences. The information collected will be used by </w:t>
      </w:r>
      <w:r w:rsidR="003A4D97" w:rsidRPr="00BF718B">
        <w:rPr>
          <w:color w:val="000000"/>
        </w:rPr>
        <w:t>DGMQ</w:t>
      </w:r>
      <w:r w:rsidRPr="00BF718B">
        <w:rPr>
          <w:color w:val="000000"/>
        </w:rPr>
        <w:t xml:space="preserve"> staff to appropriately plan, implement</w:t>
      </w:r>
      <w:r w:rsidR="00A84B5F" w:rsidRPr="00BF718B">
        <w:rPr>
          <w:color w:val="000000"/>
        </w:rPr>
        <w:t>,</w:t>
      </w:r>
      <w:r w:rsidRPr="00BF718B">
        <w:rPr>
          <w:color w:val="000000"/>
        </w:rPr>
        <w:t xml:space="preserve"> and </w:t>
      </w:r>
      <w:r w:rsidR="00D3594F" w:rsidRPr="00BF718B">
        <w:rPr>
          <w:color w:val="000000"/>
        </w:rPr>
        <w:t xml:space="preserve">demonstrate outcomes and impact of </w:t>
      </w:r>
      <w:r w:rsidRPr="00BF718B">
        <w:rPr>
          <w:color w:val="000000"/>
        </w:rPr>
        <w:t>communication, education, and training activities.</w:t>
      </w:r>
      <w:r w:rsidR="0030794A" w:rsidRPr="00BF718B">
        <w:rPr>
          <w:color w:val="000000"/>
        </w:rPr>
        <w:t xml:space="preserve"> </w:t>
      </w:r>
      <w:r w:rsidR="00361961" w:rsidRPr="00BF718B">
        <w:rPr>
          <w:color w:val="000000"/>
        </w:rPr>
        <w:t>This generic OMB clearance will support conducting evaluation for communication, education, and training activities</w:t>
      </w:r>
      <w:r w:rsidR="00E466D1" w:rsidRPr="00BF718B">
        <w:rPr>
          <w:color w:val="000000"/>
        </w:rPr>
        <w:t>.</w:t>
      </w:r>
      <w:r w:rsidR="0030794A" w:rsidRPr="00BF718B">
        <w:rPr>
          <w:color w:val="000000"/>
        </w:rPr>
        <w:t xml:space="preserve"> </w:t>
      </w:r>
    </w:p>
    <w:p w14:paraId="0CFC81F5" w14:textId="77777777" w:rsidR="00E32712" w:rsidRPr="00BF718B" w:rsidRDefault="00E32712" w:rsidP="00D51019">
      <w:pPr>
        <w:spacing w:line="276" w:lineRule="auto"/>
        <w:rPr>
          <w:color w:val="000000"/>
        </w:rPr>
      </w:pPr>
    </w:p>
    <w:p w14:paraId="4E123DAA" w14:textId="77777777" w:rsidR="003264C3" w:rsidRDefault="00E32712" w:rsidP="00D51019">
      <w:pPr>
        <w:spacing w:line="276" w:lineRule="auto"/>
        <w:rPr>
          <w:color w:val="000000"/>
          <w:highlight w:val="yellow"/>
        </w:rPr>
      </w:pPr>
      <w:r w:rsidRPr="00D51019">
        <w:rPr>
          <w:color w:val="000000"/>
          <w:highlight w:val="yellow"/>
        </w:rPr>
        <w:t>Since receiving approval for t</w:t>
      </w:r>
      <w:r w:rsidR="00EF1609" w:rsidRPr="00D51019">
        <w:rPr>
          <w:color w:val="000000"/>
          <w:highlight w:val="yellow"/>
        </w:rPr>
        <w:t>his generic, DGMQ has conducted</w:t>
      </w:r>
      <w:r w:rsidR="003264C3" w:rsidRPr="00D51019">
        <w:rPr>
          <w:color w:val="000000"/>
          <w:highlight w:val="yellow"/>
        </w:rPr>
        <w:t xml:space="preserve"> three</w:t>
      </w:r>
      <w:r w:rsidR="00F0024D" w:rsidRPr="00D51019">
        <w:rPr>
          <w:color w:val="000000"/>
          <w:highlight w:val="yellow"/>
        </w:rPr>
        <w:t xml:space="preserve"> GenIC</w:t>
      </w:r>
      <w:r w:rsidR="003264C3" w:rsidRPr="00D51019">
        <w:rPr>
          <w:color w:val="000000"/>
          <w:highlight w:val="yellow"/>
        </w:rPr>
        <w:t>s</w:t>
      </w:r>
      <w:r w:rsidR="00F0024D" w:rsidRPr="00D51019">
        <w:rPr>
          <w:color w:val="000000"/>
          <w:highlight w:val="yellow"/>
        </w:rPr>
        <w:t>:</w:t>
      </w:r>
      <w:r w:rsidRPr="00D51019">
        <w:rPr>
          <w:color w:val="000000"/>
          <w:highlight w:val="yellow"/>
        </w:rPr>
        <w:t xml:space="preserve"> </w:t>
      </w:r>
    </w:p>
    <w:p w14:paraId="2CD47C4C" w14:textId="77777777" w:rsidR="00D51019" w:rsidRPr="00D51019" w:rsidRDefault="00F0024D" w:rsidP="00D51019">
      <w:pPr>
        <w:pStyle w:val="ListParagraph"/>
        <w:numPr>
          <w:ilvl w:val="0"/>
          <w:numId w:val="39"/>
        </w:numPr>
        <w:spacing w:before="240" w:line="276" w:lineRule="auto"/>
        <w:ind w:left="360"/>
        <w:rPr>
          <w:color w:val="000000"/>
          <w:highlight w:val="yellow"/>
        </w:rPr>
      </w:pPr>
      <w:r w:rsidRPr="00D51019">
        <w:rPr>
          <w:color w:val="000000"/>
          <w:highlight w:val="yellow"/>
        </w:rPr>
        <w:t>Knowledge, Attitudes, and Practices about Dengue, Chikungunya, and Zika among Travel Consultants and Aid Agencies.</w:t>
      </w:r>
      <w:r w:rsidR="00FC5470" w:rsidRPr="00D51019">
        <w:rPr>
          <w:color w:val="000000"/>
          <w:highlight w:val="yellow"/>
        </w:rPr>
        <w:t xml:space="preserve">  </w:t>
      </w:r>
      <w:r w:rsidR="003264C3" w:rsidRPr="00D51019">
        <w:rPr>
          <w:color w:val="000000"/>
          <w:highlight w:val="yellow"/>
        </w:rPr>
        <w:t>(</w:t>
      </w:r>
      <w:r w:rsidR="00FC5470" w:rsidRPr="00D51019">
        <w:rPr>
          <w:color w:val="000000"/>
          <w:highlight w:val="yellow"/>
        </w:rPr>
        <w:t xml:space="preserve">A </w:t>
      </w:r>
      <w:r w:rsidR="00C1636C" w:rsidRPr="00D51019">
        <w:rPr>
          <w:color w:val="000000"/>
          <w:highlight w:val="yellow"/>
        </w:rPr>
        <w:t xml:space="preserve">previous, </w:t>
      </w:r>
      <w:r w:rsidR="00FC5470" w:rsidRPr="00D51019">
        <w:rPr>
          <w:color w:val="000000"/>
          <w:highlight w:val="yellow"/>
        </w:rPr>
        <w:t xml:space="preserve">second GenIC, “Knowledge, Attitudes, and Practices about Dengue and Chikungunya among Travel Consultants and Aid Agencies” was approved </w:t>
      </w:r>
      <w:r w:rsidR="0088064D" w:rsidRPr="00D51019">
        <w:rPr>
          <w:color w:val="000000"/>
          <w:highlight w:val="yellow"/>
        </w:rPr>
        <w:t xml:space="preserve">in </w:t>
      </w:r>
      <w:r w:rsidR="00234328" w:rsidRPr="00D51019">
        <w:rPr>
          <w:color w:val="000000"/>
          <w:highlight w:val="yellow"/>
        </w:rPr>
        <w:t>November</w:t>
      </w:r>
      <w:r w:rsidR="0088064D" w:rsidRPr="00D51019">
        <w:rPr>
          <w:color w:val="000000"/>
          <w:highlight w:val="yellow"/>
        </w:rPr>
        <w:t xml:space="preserve"> </w:t>
      </w:r>
      <w:r w:rsidR="00C1636C" w:rsidRPr="00D51019">
        <w:rPr>
          <w:color w:val="000000"/>
          <w:highlight w:val="yellow"/>
        </w:rPr>
        <w:t>2015</w:t>
      </w:r>
      <w:r w:rsidR="0088064D" w:rsidRPr="00D51019">
        <w:rPr>
          <w:color w:val="000000"/>
          <w:highlight w:val="yellow"/>
        </w:rPr>
        <w:t xml:space="preserve"> </w:t>
      </w:r>
      <w:r w:rsidR="00FC5470" w:rsidRPr="00D51019">
        <w:rPr>
          <w:color w:val="000000"/>
          <w:highlight w:val="yellow"/>
        </w:rPr>
        <w:t>but</w:t>
      </w:r>
      <w:r w:rsidR="007F1D34" w:rsidRPr="00D51019">
        <w:rPr>
          <w:color w:val="000000"/>
          <w:highlight w:val="yellow"/>
        </w:rPr>
        <w:t xml:space="preserve"> the collection was never started</w:t>
      </w:r>
      <w:r w:rsidR="0088064D" w:rsidRPr="00D51019">
        <w:rPr>
          <w:color w:val="000000"/>
          <w:highlight w:val="yellow"/>
        </w:rPr>
        <w:t xml:space="preserve"> because the international Zika response (which began shortly after approval was received) took up most of the division’s resources</w:t>
      </w:r>
      <w:r w:rsidR="003264C3" w:rsidRPr="00D51019">
        <w:rPr>
          <w:color w:val="000000"/>
          <w:highlight w:val="yellow"/>
        </w:rPr>
        <w:t>)</w:t>
      </w:r>
      <w:r w:rsidR="0088064D" w:rsidRPr="00D51019">
        <w:rPr>
          <w:color w:val="000000"/>
          <w:highlight w:val="yellow"/>
        </w:rPr>
        <w:t>.</w:t>
      </w:r>
    </w:p>
    <w:p w14:paraId="6EB14BC5" w14:textId="77777777" w:rsidR="00D51019" w:rsidRPr="00D51019" w:rsidRDefault="003264C3" w:rsidP="00D51019">
      <w:pPr>
        <w:pStyle w:val="ListParagraph"/>
        <w:numPr>
          <w:ilvl w:val="1"/>
          <w:numId w:val="43"/>
        </w:numPr>
        <w:spacing w:line="276" w:lineRule="auto"/>
        <w:rPr>
          <w:color w:val="000000"/>
          <w:highlight w:val="yellow"/>
        </w:rPr>
      </w:pPr>
      <w:r w:rsidRPr="00D51019">
        <w:rPr>
          <w:bCs/>
          <w:highlight w:val="yellow"/>
        </w:rPr>
        <w:t>Summary: Determine the knowledge, attitudes, and practices of missionaries and humanitarian aid workers and their organizations (sending agencies) about travel health, including personal protection measures to avoid illness while traveling abroad, specifically mosquito-borne diseases (Dengue, chikungunya and Zika). Identify barriers and facilitating factors for pre-travel medical consultations and preferred routes for travel health and disease prevention information. Assess potential usefulness and content of CDC’s travel health information.</w:t>
      </w:r>
    </w:p>
    <w:p w14:paraId="22B4AE71" w14:textId="77777777" w:rsidR="00D51019" w:rsidRPr="00D51019" w:rsidRDefault="003264C3" w:rsidP="00D51019">
      <w:pPr>
        <w:pStyle w:val="ListParagraph"/>
        <w:numPr>
          <w:ilvl w:val="1"/>
          <w:numId w:val="43"/>
        </w:numPr>
        <w:spacing w:line="276" w:lineRule="auto"/>
        <w:rPr>
          <w:color w:val="000000"/>
          <w:highlight w:val="yellow"/>
        </w:rPr>
      </w:pPr>
      <w:r w:rsidRPr="00D51019">
        <w:rPr>
          <w:bCs/>
          <w:highlight w:val="yellow"/>
        </w:rPr>
        <w:t xml:space="preserve">Results: Mission and volunteer aid sending agencies have been contacted to begin the coordination of focus groups. However, data has not been collected yet as all resources were directed to the Zika outbreak response and because sending agencies and missionaries travel to their missions mostly during the summer when the Zika outbreak was declared finished. Therefore, no results have been reported. </w:t>
      </w:r>
    </w:p>
    <w:p w14:paraId="0894F1DB" w14:textId="77777777" w:rsidR="003264C3" w:rsidRPr="00D51019" w:rsidRDefault="003264C3" w:rsidP="00D51019">
      <w:pPr>
        <w:pStyle w:val="ListParagraph"/>
        <w:numPr>
          <w:ilvl w:val="1"/>
          <w:numId w:val="43"/>
        </w:numPr>
        <w:spacing w:line="276" w:lineRule="auto"/>
        <w:rPr>
          <w:color w:val="000000"/>
          <w:highlight w:val="yellow"/>
        </w:rPr>
      </w:pPr>
      <w:r w:rsidRPr="00D51019">
        <w:rPr>
          <w:bCs/>
          <w:highlight w:val="yellow"/>
        </w:rPr>
        <w:t>Lessons learned: Results from this data collection will be used to develop tailor-made educational materials for missionaries and humanitarian volunteers and will be uploaded to the CDC’s Travelers’ Health and Dengue, Chikungunya, and Zika websites. Recommendations will be used to develop a mechanism for reporting Dengue, chikungunya, and Zika cases in missionaries and humanitarian service travelers.</w:t>
      </w:r>
    </w:p>
    <w:p w14:paraId="550F1900" w14:textId="77777777" w:rsidR="003264C3" w:rsidRPr="00D51019" w:rsidRDefault="003264C3" w:rsidP="00D51019">
      <w:pPr>
        <w:pStyle w:val="ListParagraph"/>
        <w:spacing w:line="276" w:lineRule="auto"/>
        <w:ind w:left="1440"/>
        <w:rPr>
          <w:color w:val="000000"/>
          <w:highlight w:val="yellow"/>
        </w:rPr>
      </w:pPr>
    </w:p>
    <w:p w14:paraId="3F3F08EA" w14:textId="77777777" w:rsidR="00E32712" w:rsidRPr="00D51019" w:rsidRDefault="003264C3" w:rsidP="00D51019">
      <w:pPr>
        <w:pStyle w:val="ListParagraph"/>
        <w:numPr>
          <w:ilvl w:val="0"/>
          <w:numId w:val="39"/>
        </w:numPr>
        <w:spacing w:line="276" w:lineRule="auto"/>
        <w:ind w:left="360"/>
        <w:rPr>
          <w:color w:val="000000"/>
          <w:highlight w:val="yellow"/>
        </w:rPr>
      </w:pPr>
      <w:r w:rsidRPr="00D51019">
        <w:rPr>
          <w:color w:val="000000"/>
          <w:highlight w:val="yellow"/>
        </w:rPr>
        <w:t>Evaluation of Travelers’ Health Zika Prevention Communication Campaign for Hispanics/Latinos Visiting Friends and Family: Word of Mouth Survey (Currently underway)</w:t>
      </w:r>
    </w:p>
    <w:p w14:paraId="7045D2C5" w14:textId="77777777" w:rsidR="003264C3" w:rsidRPr="00D51019" w:rsidRDefault="003264C3" w:rsidP="00D51019">
      <w:pPr>
        <w:pStyle w:val="Bullets"/>
        <w:numPr>
          <w:ilvl w:val="0"/>
          <w:numId w:val="44"/>
        </w:numPr>
        <w:ind w:left="1440"/>
        <w:rPr>
          <w:b/>
          <w:highlight w:val="yellow"/>
        </w:rPr>
      </w:pPr>
      <w:r w:rsidRPr="00D51019">
        <w:rPr>
          <w:highlight w:val="yellow"/>
        </w:rPr>
        <w:t>Summary:</w:t>
      </w:r>
      <w:r w:rsidRPr="00D51019">
        <w:rPr>
          <w:b/>
          <w:highlight w:val="yellow"/>
        </w:rPr>
        <w:t xml:space="preserve"> </w:t>
      </w:r>
      <w:r w:rsidR="00CF4C2C" w:rsidRPr="00D51019">
        <w:rPr>
          <w:highlight w:val="yellow"/>
        </w:rPr>
        <w:t>The overall goal of Travelers’ Health (TH) Zika visiting friends and relatives (VFR) campaign is to increase the awareness of Zika risks and prevention methods among Hispanics/Latinos residing in the United States who visit friends and relatives in Latin America and the Caribbean through a communications campaign conducted in New York City, Orlando, and Los Angeles. The campaign will use both traditional and social media and will engage partners that are currently working with the campaign’s target audiences. A component of the campaign includes a word-of-mouth (WOM) approach, an interpersonal communications method that will include local community health workers. CDC TH will employ the WOM approach to assist in achieving greater awareness of Hispanic/Latino VFRs living in the New York City area, and using partners’ resources and connections to a local organization that provides community health services and education.</w:t>
      </w:r>
    </w:p>
    <w:p w14:paraId="41B3C0A2" w14:textId="77777777" w:rsidR="003264C3" w:rsidRPr="00D51019" w:rsidRDefault="003264C3" w:rsidP="00D51019">
      <w:pPr>
        <w:pStyle w:val="Bullets"/>
        <w:numPr>
          <w:ilvl w:val="0"/>
          <w:numId w:val="44"/>
        </w:numPr>
        <w:ind w:left="1440"/>
        <w:rPr>
          <w:highlight w:val="yellow"/>
        </w:rPr>
      </w:pPr>
      <w:r w:rsidRPr="00D51019">
        <w:rPr>
          <w:highlight w:val="yellow"/>
        </w:rPr>
        <w:t>Intended use of the resulting data:</w:t>
      </w:r>
      <w:r w:rsidRPr="00D51019">
        <w:rPr>
          <w:b/>
          <w:highlight w:val="yellow"/>
        </w:rPr>
        <w:t xml:space="preserve"> </w:t>
      </w:r>
      <w:r w:rsidR="00CF4C2C" w:rsidRPr="00D51019">
        <w:rPr>
          <w:highlight w:val="yellow"/>
        </w:rPr>
        <w:t xml:space="preserve">Results from the evaluation will be used to inform future development of Zika materials and communications for this population (Hispanics/Latinos). Travelers’ Health experience using the WOM approach may yield lessons and best practices that could influence future communication campaigns to high-risk travelers. </w:t>
      </w:r>
    </w:p>
    <w:p w14:paraId="27F1E470" w14:textId="77777777" w:rsidR="00D51019" w:rsidRPr="00D51019" w:rsidRDefault="00D51019" w:rsidP="00D51019">
      <w:pPr>
        <w:pStyle w:val="Bullets"/>
        <w:numPr>
          <w:ilvl w:val="0"/>
          <w:numId w:val="0"/>
        </w:numPr>
        <w:ind w:left="360"/>
        <w:rPr>
          <w:highlight w:val="yellow"/>
        </w:rPr>
      </w:pPr>
    </w:p>
    <w:p w14:paraId="05D57183" w14:textId="77777777" w:rsidR="003264C3" w:rsidRPr="00D51019" w:rsidRDefault="00CF4C2C" w:rsidP="00D51019">
      <w:pPr>
        <w:pStyle w:val="Bullets"/>
        <w:numPr>
          <w:ilvl w:val="0"/>
          <w:numId w:val="39"/>
        </w:numPr>
        <w:ind w:left="360"/>
        <w:rPr>
          <w:highlight w:val="yellow"/>
        </w:rPr>
      </w:pPr>
      <w:r w:rsidRPr="00D51019">
        <w:rPr>
          <w:highlight w:val="yellow"/>
        </w:rPr>
        <w:t xml:space="preserve">Educational Materials for Applicants for U.S. Immigration with a TB classification </w:t>
      </w:r>
      <w:r w:rsidR="00EB1529" w:rsidRPr="00D51019">
        <w:rPr>
          <w:highlight w:val="yellow"/>
        </w:rPr>
        <w:t>(Currently underway)</w:t>
      </w:r>
    </w:p>
    <w:p w14:paraId="68705361" w14:textId="77777777" w:rsidR="00EB1529" w:rsidRPr="00D51019" w:rsidRDefault="00EB1529" w:rsidP="00D51019">
      <w:pPr>
        <w:pStyle w:val="Bullets"/>
        <w:numPr>
          <w:ilvl w:val="0"/>
          <w:numId w:val="45"/>
        </w:numPr>
        <w:ind w:left="1440"/>
        <w:rPr>
          <w:b/>
          <w:highlight w:val="yellow"/>
        </w:rPr>
      </w:pPr>
      <w:r w:rsidRPr="00D51019">
        <w:rPr>
          <w:highlight w:val="yellow"/>
        </w:rPr>
        <w:t>Summary:</w:t>
      </w:r>
      <w:r w:rsidRPr="00D51019">
        <w:rPr>
          <w:b/>
          <w:highlight w:val="yellow"/>
        </w:rPr>
        <w:t xml:space="preserve"> </w:t>
      </w:r>
      <w:r w:rsidRPr="00D51019">
        <w:rPr>
          <w:rFonts w:eastAsia="Times New Roman" w:cs="Times New Roman"/>
          <w:szCs w:val="24"/>
          <w:highlight w:val="yellow"/>
        </w:rPr>
        <w:t xml:space="preserve">The goal is to reach Mexican immigrant populations, who have been classified with a tuberculosis (TB) condition, to evaluate culturally and linguistically appropriate health education materials. </w:t>
      </w:r>
    </w:p>
    <w:p w14:paraId="383B9132" w14:textId="77777777" w:rsidR="00EB1529" w:rsidRPr="00D51019" w:rsidRDefault="00EB1529" w:rsidP="00D51019">
      <w:pPr>
        <w:pStyle w:val="Bullets"/>
        <w:numPr>
          <w:ilvl w:val="0"/>
          <w:numId w:val="45"/>
        </w:numPr>
        <w:ind w:left="1440"/>
        <w:rPr>
          <w:highlight w:val="yellow"/>
        </w:rPr>
      </w:pPr>
      <w:r w:rsidRPr="00D51019">
        <w:rPr>
          <w:highlight w:val="yellow"/>
        </w:rPr>
        <w:t>Intended use of the resulting data:</w:t>
      </w:r>
      <w:r w:rsidRPr="00D51019">
        <w:rPr>
          <w:b/>
          <w:highlight w:val="yellow"/>
        </w:rPr>
        <w:t xml:space="preserve"> </w:t>
      </w:r>
      <w:r w:rsidRPr="00D51019">
        <w:rPr>
          <w:highlight w:val="yellow"/>
        </w:rPr>
        <w:t xml:space="preserve">Results will be used to provide recommendations for improving and finalizing the materials, which will ultimately improve immigrant knowledge and U.S.-based follow-up.  </w:t>
      </w:r>
    </w:p>
    <w:p w14:paraId="603E06A6" w14:textId="77777777" w:rsidR="00E17541" w:rsidRPr="00BF718B" w:rsidRDefault="00D51019" w:rsidP="00D51019">
      <w:pPr>
        <w:spacing w:line="276" w:lineRule="auto"/>
      </w:pPr>
      <w:r w:rsidRPr="00D51019">
        <w:rPr>
          <w:highlight w:val="yellow"/>
        </w:rPr>
        <w:t xml:space="preserve">DGMQ was limited to three </w:t>
      </w:r>
      <w:r w:rsidR="00E17541" w:rsidRPr="00D51019">
        <w:rPr>
          <w:highlight w:val="yellow"/>
        </w:rPr>
        <w:t>project</w:t>
      </w:r>
      <w:r w:rsidRPr="00D51019">
        <w:rPr>
          <w:highlight w:val="yellow"/>
        </w:rPr>
        <w:t>s</w:t>
      </w:r>
      <w:r w:rsidR="00E17541" w:rsidRPr="00D51019">
        <w:rPr>
          <w:highlight w:val="yellow"/>
        </w:rPr>
        <w:t xml:space="preserve"> in the last three years </w:t>
      </w:r>
      <w:r w:rsidR="00775117" w:rsidRPr="00D51019">
        <w:rPr>
          <w:highlight w:val="yellow"/>
        </w:rPr>
        <w:t>for several reasons</w:t>
      </w:r>
      <w:r w:rsidR="00E17541" w:rsidRPr="00D51019">
        <w:rPr>
          <w:highlight w:val="yellow"/>
        </w:rPr>
        <w:t xml:space="preserve">. </w:t>
      </w:r>
      <w:r w:rsidR="00775117" w:rsidRPr="00D51019">
        <w:rPr>
          <w:highlight w:val="yellow"/>
        </w:rPr>
        <w:t xml:space="preserve">Since </w:t>
      </w:r>
      <w:r w:rsidR="00F0024D" w:rsidRPr="00D51019">
        <w:rPr>
          <w:highlight w:val="yellow"/>
        </w:rPr>
        <w:t>2015</w:t>
      </w:r>
      <w:r w:rsidR="00775117" w:rsidRPr="00D51019">
        <w:rPr>
          <w:highlight w:val="yellow"/>
        </w:rPr>
        <w:t>, DGMQ has been</w:t>
      </w:r>
      <w:r w:rsidR="00F0024D" w:rsidRPr="00D51019">
        <w:rPr>
          <w:highlight w:val="yellow"/>
        </w:rPr>
        <w:t xml:space="preserve"> a key component of CDC’s </w:t>
      </w:r>
      <w:r w:rsidR="0035484C" w:rsidRPr="00D51019">
        <w:rPr>
          <w:highlight w:val="yellow"/>
        </w:rPr>
        <w:t>high profile</w:t>
      </w:r>
      <w:r w:rsidR="00E17541" w:rsidRPr="00D51019">
        <w:rPr>
          <w:highlight w:val="yellow"/>
        </w:rPr>
        <w:t xml:space="preserve"> emergency response</w:t>
      </w:r>
      <w:r w:rsidR="00775117" w:rsidRPr="00D51019">
        <w:rPr>
          <w:highlight w:val="yellow"/>
        </w:rPr>
        <w:t>s</w:t>
      </w:r>
      <w:r w:rsidR="00E17541" w:rsidRPr="00D51019">
        <w:rPr>
          <w:highlight w:val="yellow"/>
        </w:rPr>
        <w:t xml:space="preserve"> </w:t>
      </w:r>
      <w:r w:rsidR="00775117" w:rsidRPr="00D51019">
        <w:rPr>
          <w:highlight w:val="yellow"/>
        </w:rPr>
        <w:t xml:space="preserve">that pulled staff away from </w:t>
      </w:r>
      <w:r w:rsidR="00B25405" w:rsidRPr="00D51019">
        <w:rPr>
          <w:highlight w:val="yellow"/>
        </w:rPr>
        <w:t xml:space="preserve">long-term </w:t>
      </w:r>
      <w:r w:rsidR="00775117" w:rsidRPr="00D51019">
        <w:rPr>
          <w:highlight w:val="yellow"/>
        </w:rPr>
        <w:t>evaluation projects to focus on the immediate needs of the</w:t>
      </w:r>
      <w:r w:rsidR="00B25405" w:rsidRPr="00D51019">
        <w:rPr>
          <w:highlight w:val="yellow"/>
        </w:rPr>
        <w:t>se</w:t>
      </w:r>
      <w:r w:rsidR="00775117" w:rsidRPr="00D51019">
        <w:rPr>
          <w:highlight w:val="yellow"/>
        </w:rPr>
        <w:t xml:space="preserve"> response</w:t>
      </w:r>
      <w:r w:rsidR="00B25405" w:rsidRPr="00D51019">
        <w:rPr>
          <w:highlight w:val="yellow"/>
        </w:rPr>
        <w:t>s</w:t>
      </w:r>
      <w:r w:rsidR="00A101E3" w:rsidRPr="00D51019">
        <w:rPr>
          <w:highlight w:val="yellow"/>
        </w:rPr>
        <w:t>, ultimately delaying the timeline for the evaluation projects</w:t>
      </w:r>
      <w:r w:rsidR="00775117" w:rsidRPr="00D51019">
        <w:rPr>
          <w:highlight w:val="yellow"/>
        </w:rPr>
        <w:t>. These responses included</w:t>
      </w:r>
      <w:r w:rsidR="00394EC3" w:rsidRPr="00D51019">
        <w:rPr>
          <w:highlight w:val="yellow"/>
        </w:rPr>
        <w:t xml:space="preserve"> Ebola and Zika</w:t>
      </w:r>
      <w:r w:rsidR="00B25405" w:rsidRPr="00D51019">
        <w:rPr>
          <w:highlight w:val="yellow"/>
        </w:rPr>
        <w:t>.</w:t>
      </w:r>
      <w:r w:rsidR="00E17541" w:rsidRPr="00D51019">
        <w:rPr>
          <w:highlight w:val="yellow"/>
        </w:rPr>
        <w:t xml:space="preserve"> </w:t>
      </w:r>
      <w:r w:rsidR="00B25405" w:rsidRPr="00D51019">
        <w:rPr>
          <w:highlight w:val="yellow"/>
        </w:rPr>
        <w:t xml:space="preserve">The timeline </w:t>
      </w:r>
      <w:r w:rsidR="00A101E3" w:rsidRPr="00D51019">
        <w:rPr>
          <w:highlight w:val="yellow"/>
        </w:rPr>
        <w:t>and resources for these responses</w:t>
      </w:r>
      <w:r w:rsidR="00B25405" w:rsidRPr="00D51019">
        <w:rPr>
          <w:highlight w:val="yellow"/>
        </w:rPr>
        <w:t xml:space="preserve"> did not allow for evaluation activities while addressing immediate public health needs. Another contributing factor was the need to redirect evaluation funds </w:t>
      </w:r>
      <w:r w:rsidR="00A101E3" w:rsidRPr="00D51019">
        <w:rPr>
          <w:highlight w:val="yellow"/>
        </w:rPr>
        <w:t>for additional material/project development. Complications with funding and staffing resources also prevented DGMQ from submitting additional projects as part of this Generic Information Collection.</w:t>
      </w:r>
      <w:r w:rsidR="00A101E3" w:rsidRPr="00BF718B">
        <w:t xml:space="preserve"> </w:t>
      </w:r>
    </w:p>
    <w:p w14:paraId="46920631" w14:textId="77777777" w:rsidR="00E17541" w:rsidRPr="00BF718B" w:rsidRDefault="00E17541" w:rsidP="00D51019">
      <w:pPr>
        <w:spacing w:line="276" w:lineRule="auto"/>
      </w:pPr>
    </w:p>
    <w:p w14:paraId="6B045140" w14:textId="77777777" w:rsidR="006D06BD" w:rsidRPr="00D51019" w:rsidRDefault="006D06BD" w:rsidP="00D51019">
      <w:pPr>
        <w:spacing w:line="276" w:lineRule="auto"/>
        <w:rPr>
          <w:highlight w:val="yellow"/>
        </w:rPr>
      </w:pPr>
      <w:r w:rsidRPr="00D51019">
        <w:rPr>
          <w:highlight w:val="yellow"/>
        </w:rPr>
        <w:t>The following ideas have been proposed for evaluation projects for the next three years</w:t>
      </w:r>
      <w:r w:rsidR="007F1D34" w:rsidRPr="00D51019">
        <w:rPr>
          <w:highlight w:val="yellow"/>
        </w:rPr>
        <w:t>:</w:t>
      </w:r>
    </w:p>
    <w:p w14:paraId="1FAE0115" w14:textId="77777777" w:rsidR="00B72CDD" w:rsidRPr="00D51019" w:rsidRDefault="00B72CDD" w:rsidP="00D51019">
      <w:pPr>
        <w:pStyle w:val="ListParagraph"/>
        <w:numPr>
          <w:ilvl w:val="0"/>
          <w:numId w:val="27"/>
        </w:numPr>
        <w:spacing w:line="276" w:lineRule="auto"/>
        <w:rPr>
          <w:highlight w:val="yellow"/>
        </w:rPr>
      </w:pPr>
      <w:r w:rsidRPr="00D51019">
        <w:rPr>
          <w:highlight w:val="yellow"/>
        </w:rPr>
        <w:t>Electronic Disease Notification (EDN) system user training evaluation of communication and education activities available for EDN users in US state/local health departments and clinics. The investigators want to determine if the training information available to EDN users is being used and is helpful. We also seek to know if other forms of communication such as quick videos, tipsheets, etc. would be preferred to the current format.</w:t>
      </w:r>
    </w:p>
    <w:p w14:paraId="716C4DC7" w14:textId="77777777" w:rsidR="006D06BD" w:rsidRPr="00D51019" w:rsidRDefault="00B72CDD" w:rsidP="00D51019">
      <w:pPr>
        <w:pStyle w:val="ListParagraph"/>
        <w:numPr>
          <w:ilvl w:val="0"/>
          <w:numId w:val="27"/>
        </w:numPr>
        <w:spacing w:line="276" w:lineRule="auto"/>
        <w:rPr>
          <w:highlight w:val="yellow"/>
        </w:rPr>
      </w:pPr>
      <w:r w:rsidRPr="00D51019">
        <w:rPr>
          <w:highlight w:val="yellow"/>
        </w:rPr>
        <w:t xml:space="preserve">Testing educational materials for B1 and B2 immigrant and refugee applicants from Mexico to increase post-arrival follow-up examinations once they reach their destination in the United States. The intent is that improved materials will help improve the diagnosis and treatment of latent tuberculosis infection in new immigrants. </w:t>
      </w:r>
    </w:p>
    <w:p w14:paraId="62F0D29D" w14:textId="77777777" w:rsidR="006D06BD" w:rsidRPr="00D51019" w:rsidRDefault="006D06BD" w:rsidP="00D51019">
      <w:pPr>
        <w:pStyle w:val="ListParagraph"/>
        <w:numPr>
          <w:ilvl w:val="0"/>
          <w:numId w:val="27"/>
        </w:numPr>
        <w:spacing w:line="276" w:lineRule="auto"/>
        <w:rPr>
          <w:highlight w:val="yellow"/>
        </w:rPr>
      </w:pPr>
      <w:r w:rsidRPr="00D51019">
        <w:rPr>
          <w:highlight w:val="yellow"/>
        </w:rPr>
        <w:t xml:space="preserve">Mobile Applications Evaluation: This project will </w:t>
      </w:r>
      <w:r w:rsidR="00D462BC" w:rsidRPr="00D51019">
        <w:rPr>
          <w:highlight w:val="yellow"/>
        </w:rPr>
        <w:t xml:space="preserve">evaluate </w:t>
      </w:r>
      <w:r w:rsidRPr="00D51019">
        <w:rPr>
          <w:highlight w:val="yellow"/>
        </w:rPr>
        <w:t>mobile applications developed for travelers to assess how they are used, where and when they are used, and how they can be improved to help travelers follow travel recommendations.</w:t>
      </w:r>
    </w:p>
    <w:p w14:paraId="4BCCACAC" w14:textId="77777777" w:rsidR="006D06BD" w:rsidRPr="00D51019" w:rsidRDefault="006D06BD" w:rsidP="00D51019">
      <w:pPr>
        <w:pStyle w:val="ListParagraph"/>
        <w:numPr>
          <w:ilvl w:val="0"/>
          <w:numId w:val="27"/>
        </w:numPr>
        <w:spacing w:line="276" w:lineRule="auto"/>
        <w:rPr>
          <w:highlight w:val="yellow"/>
        </w:rPr>
      </w:pPr>
      <w:r w:rsidRPr="00D51019">
        <w:rPr>
          <w:highlight w:val="yellow"/>
        </w:rPr>
        <w:t>Data Visualization Evaluation: This project is an evaluation of visual communication methods by comparing data visualizations with other types of communication to determine which is more effective and likely for people to remember around messages that convey the value of work DGMQ does.</w:t>
      </w:r>
    </w:p>
    <w:p w14:paraId="060921F2" w14:textId="77777777" w:rsidR="006D06BD" w:rsidRPr="00D51019" w:rsidRDefault="007423C6" w:rsidP="00D51019">
      <w:pPr>
        <w:pStyle w:val="ListParagraph"/>
        <w:numPr>
          <w:ilvl w:val="0"/>
          <w:numId w:val="27"/>
        </w:numPr>
        <w:spacing w:line="276" w:lineRule="auto"/>
        <w:rPr>
          <w:highlight w:val="yellow"/>
        </w:rPr>
      </w:pPr>
      <w:r w:rsidRPr="00D51019">
        <w:rPr>
          <w:highlight w:val="yellow"/>
        </w:rPr>
        <w:t>VIP Packet and DGMQ S</w:t>
      </w:r>
      <w:r w:rsidR="006D06BD" w:rsidRPr="00D51019">
        <w:rPr>
          <w:highlight w:val="yellow"/>
        </w:rPr>
        <w:t>tories</w:t>
      </w:r>
      <w:r w:rsidRPr="00D51019">
        <w:rPr>
          <w:highlight w:val="yellow"/>
        </w:rPr>
        <w:t xml:space="preserve"> Evaluation: This evaluation will ask</w:t>
      </w:r>
      <w:r w:rsidR="006D06BD" w:rsidRPr="00D51019">
        <w:rPr>
          <w:highlight w:val="yellow"/>
        </w:rPr>
        <w:t xml:space="preserve"> key target audience members (partners, public health leaders, etc.) to help make improvements and refine messaging</w:t>
      </w:r>
      <w:r w:rsidRPr="00D51019">
        <w:rPr>
          <w:highlight w:val="yellow"/>
        </w:rPr>
        <w:t xml:space="preserve"> to the materials about DGMQ</w:t>
      </w:r>
      <w:r w:rsidR="006D06BD" w:rsidRPr="00D51019">
        <w:rPr>
          <w:highlight w:val="yellow"/>
        </w:rPr>
        <w:t>.</w:t>
      </w:r>
    </w:p>
    <w:p w14:paraId="27680420" w14:textId="77777777" w:rsidR="007423C6" w:rsidRPr="00D51019" w:rsidRDefault="007423C6" w:rsidP="00D51019">
      <w:pPr>
        <w:pStyle w:val="ListParagraph"/>
        <w:numPr>
          <w:ilvl w:val="0"/>
          <w:numId w:val="27"/>
        </w:numPr>
        <w:spacing w:line="276" w:lineRule="auto"/>
        <w:rPr>
          <w:highlight w:val="yellow"/>
        </w:rPr>
      </w:pPr>
      <w:r w:rsidRPr="00D51019">
        <w:rPr>
          <w:highlight w:val="yellow"/>
        </w:rPr>
        <w:t xml:space="preserve">Quarantine and Isolation </w:t>
      </w:r>
      <w:r w:rsidR="006D06BD" w:rsidRPr="00D51019">
        <w:rPr>
          <w:highlight w:val="yellow"/>
        </w:rPr>
        <w:t>Airline</w:t>
      </w:r>
      <w:r w:rsidRPr="00D51019">
        <w:rPr>
          <w:highlight w:val="yellow"/>
        </w:rPr>
        <w:t xml:space="preserve"> Website Evaluation:</w:t>
      </w:r>
      <w:r w:rsidR="006D06BD" w:rsidRPr="00D51019">
        <w:rPr>
          <w:highlight w:val="yellow"/>
        </w:rPr>
        <w:t xml:space="preserve"> </w:t>
      </w:r>
      <w:r w:rsidRPr="00D51019">
        <w:rPr>
          <w:highlight w:val="yellow"/>
        </w:rPr>
        <w:t xml:space="preserve">This evaluation will </w:t>
      </w:r>
      <w:r w:rsidR="00A101E3" w:rsidRPr="00D51019">
        <w:rPr>
          <w:highlight w:val="yellow"/>
        </w:rPr>
        <w:t xml:space="preserve">include </w:t>
      </w:r>
      <w:r w:rsidRPr="00D51019">
        <w:rPr>
          <w:highlight w:val="yellow"/>
        </w:rPr>
        <w:t>asking</w:t>
      </w:r>
      <w:r w:rsidR="006D06BD" w:rsidRPr="00D51019">
        <w:rPr>
          <w:highlight w:val="yellow"/>
        </w:rPr>
        <w:t xml:space="preserve"> airline partners to help inform </w:t>
      </w:r>
      <w:r w:rsidR="00A101E3" w:rsidRPr="00D51019">
        <w:rPr>
          <w:highlight w:val="yellow"/>
        </w:rPr>
        <w:t xml:space="preserve">the </w:t>
      </w:r>
      <w:r w:rsidR="006D06BD" w:rsidRPr="00D51019">
        <w:rPr>
          <w:highlight w:val="yellow"/>
        </w:rPr>
        <w:t>redesign</w:t>
      </w:r>
      <w:r w:rsidRPr="00D51019">
        <w:rPr>
          <w:highlight w:val="yellow"/>
        </w:rPr>
        <w:t xml:space="preserve"> of the airline pages and possib</w:t>
      </w:r>
      <w:r w:rsidR="007F1D34" w:rsidRPr="00D51019">
        <w:rPr>
          <w:highlight w:val="yellow"/>
        </w:rPr>
        <w:t>ly</w:t>
      </w:r>
      <w:r w:rsidRPr="00D51019">
        <w:rPr>
          <w:highlight w:val="yellow"/>
        </w:rPr>
        <w:t xml:space="preserve"> the Quarantine and Isolation website</w:t>
      </w:r>
      <w:r w:rsidR="006D06BD" w:rsidRPr="00D51019">
        <w:rPr>
          <w:highlight w:val="yellow"/>
        </w:rPr>
        <w:t>.</w:t>
      </w:r>
    </w:p>
    <w:p w14:paraId="5C7316D7" w14:textId="77777777" w:rsidR="003D7105" w:rsidRPr="00D51019" w:rsidRDefault="003D7105" w:rsidP="00D51019">
      <w:pPr>
        <w:pStyle w:val="ListParagraph"/>
        <w:numPr>
          <w:ilvl w:val="0"/>
          <w:numId w:val="27"/>
        </w:numPr>
        <w:spacing w:line="276" w:lineRule="auto"/>
        <w:rPr>
          <w:highlight w:val="yellow"/>
        </w:rPr>
      </w:pPr>
      <w:r w:rsidRPr="00D51019">
        <w:rPr>
          <w:highlight w:val="yellow"/>
        </w:rPr>
        <w:t>Travelers</w:t>
      </w:r>
      <w:r w:rsidR="007F1D34" w:rsidRPr="00D51019">
        <w:rPr>
          <w:highlight w:val="yellow"/>
        </w:rPr>
        <w:t>’</w:t>
      </w:r>
      <w:r w:rsidRPr="00D51019">
        <w:rPr>
          <w:highlight w:val="yellow"/>
        </w:rPr>
        <w:t xml:space="preserve"> Health information collection work to include communication, education, and training campaign evaluation for specific audiences, e.g., visiting friends and relatives (VFRs)</w:t>
      </w:r>
      <w:r w:rsidR="007F1D34" w:rsidRPr="00D51019">
        <w:rPr>
          <w:highlight w:val="yellow"/>
        </w:rPr>
        <w:t>,</w:t>
      </w:r>
      <w:r w:rsidRPr="00D51019">
        <w:rPr>
          <w:highlight w:val="yellow"/>
        </w:rPr>
        <w:t xml:space="preserve"> male travelers</w:t>
      </w:r>
      <w:r w:rsidR="007F1D34" w:rsidRPr="00D51019">
        <w:rPr>
          <w:highlight w:val="yellow"/>
        </w:rPr>
        <w:t>,</w:t>
      </w:r>
      <w:r w:rsidRPr="00D51019">
        <w:rPr>
          <w:highlight w:val="yellow"/>
        </w:rPr>
        <w:t xml:space="preserve"> stakeholder evaluations, emergency response activity evaluation, data visualization evaluation, and user-centered design ideation/prototype testing and evaluation.</w:t>
      </w:r>
    </w:p>
    <w:p w14:paraId="4640206E" w14:textId="77777777" w:rsidR="003D7105" w:rsidRPr="00D51019" w:rsidRDefault="003D7105" w:rsidP="00D51019">
      <w:pPr>
        <w:pStyle w:val="ListParagraph"/>
        <w:numPr>
          <w:ilvl w:val="0"/>
          <w:numId w:val="27"/>
        </w:numPr>
        <w:spacing w:line="276" w:lineRule="auto"/>
        <w:rPr>
          <w:highlight w:val="yellow"/>
        </w:rPr>
      </w:pPr>
      <w:r w:rsidRPr="00D51019">
        <w:rPr>
          <w:highlight w:val="yellow"/>
        </w:rPr>
        <w:t>Evaluate the feasibility, acceptability, barriers, and facilitators of implementing six recently released non-pharmaceutical intervention (NPI) planning guides to help increase the awareness, understanding, and uptake of NPIs and the 2017 Guidelines. The evaluation will be conducted using camera-assisted, on-line focus groups to collect and aggregate data from representatives of various audiences and community settings.</w:t>
      </w:r>
    </w:p>
    <w:p w14:paraId="2528EC23" w14:textId="77777777" w:rsidR="00724E28" w:rsidRDefault="00724E28" w:rsidP="00D51019">
      <w:pPr>
        <w:spacing w:line="276" w:lineRule="auto"/>
      </w:pPr>
    </w:p>
    <w:p w14:paraId="2DF7BBD4" w14:textId="77777777" w:rsidR="00724E28" w:rsidRDefault="00724E28" w:rsidP="00D51019">
      <w:pPr>
        <w:spacing w:line="276" w:lineRule="auto"/>
        <w:rPr>
          <w:color w:val="000000"/>
        </w:rPr>
      </w:pPr>
      <w:r w:rsidRPr="00BF718B">
        <w:rPr>
          <w:color w:val="000000"/>
        </w:rPr>
        <w:t>DGMQ staff proposes the following data collection methods for this package: focus groups (Attachment C), interviews (Attachment D), surveys (Attachments E), and pre-</w:t>
      </w:r>
      <w:r w:rsidR="00D51019" w:rsidRPr="00BF718B">
        <w:rPr>
          <w:color w:val="000000"/>
        </w:rPr>
        <w:t>posttests</w:t>
      </w:r>
      <w:r w:rsidRPr="00BF718B">
        <w:rPr>
          <w:color w:val="000000"/>
        </w:rPr>
        <w:t xml:space="preserve"> (Attachment F1 and F2). Depending on the information collected, data collection methods may be conducted either in-person, by telephone, on paper, or online.</w:t>
      </w:r>
      <w:r w:rsidRPr="00BF718B">
        <w:rPr>
          <w:rFonts w:ascii="Courier New" w:hAnsi="Courier New" w:cs="Courier New"/>
        </w:rPr>
        <w:t xml:space="preserve"> </w:t>
      </w:r>
      <w:r w:rsidRPr="00BF718B">
        <w:t xml:space="preserve">Data may be collected in quantitative and/or qualitative forms. Each proposed evaluation project </w:t>
      </w:r>
      <w:r w:rsidRPr="00BF718B">
        <w:rPr>
          <w:color w:val="000000"/>
        </w:rPr>
        <w:t xml:space="preserve">will submit the tools used for data collection, including screenshots of web-based surveys, </w:t>
      </w:r>
      <w:r w:rsidRPr="00BF718B">
        <w:t>in the statement provided to OMB</w:t>
      </w:r>
      <w:r w:rsidRPr="00BF718B">
        <w:rPr>
          <w:color w:val="000000"/>
        </w:rPr>
        <w:t>.</w:t>
      </w:r>
    </w:p>
    <w:p w14:paraId="13ED87F0" w14:textId="77777777" w:rsidR="00724E28" w:rsidRDefault="00724E28" w:rsidP="00D51019">
      <w:pPr>
        <w:spacing w:line="276" w:lineRule="auto"/>
        <w:rPr>
          <w:color w:val="000000"/>
        </w:rPr>
      </w:pPr>
    </w:p>
    <w:p w14:paraId="1A84C673" w14:textId="77777777" w:rsidR="00724E28" w:rsidRPr="00BF718B" w:rsidRDefault="00724E28" w:rsidP="00D51019">
      <w:pPr>
        <w:spacing w:line="276" w:lineRule="auto"/>
        <w:rPr>
          <w:color w:val="000000"/>
        </w:rPr>
      </w:pPr>
      <w:r w:rsidRPr="00BF718B">
        <w:rPr>
          <w:color w:val="000000"/>
        </w:rPr>
        <w:t>Numerous audience variables will be assessed under the auspices of this generic OMB clearance. These include, but are not limited to, knowledge, attitudes, beliefs, behavioral intentions, practices, behaviors, skills, self-efficacy, and information needs and sources. Insights gained from evaluation research will assist in the development, refinement, implementation, and evaluation of communication, education, and training activities.</w:t>
      </w:r>
    </w:p>
    <w:p w14:paraId="72BDEF75" w14:textId="77777777" w:rsidR="00724E28" w:rsidRDefault="00724E28" w:rsidP="00D51019">
      <w:pPr>
        <w:autoSpaceDE w:val="0"/>
        <w:autoSpaceDN w:val="0"/>
        <w:spacing w:line="276" w:lineRule="auto"/>
      </w:pPr>
    </w:p>
    <w:p w14:paraId="7B9858DB" w14:textId="77777777" w:rsidR="00724E28" w:rsidRPr="00BF718B" w:rsidRDefault="00724E28" w:rsidP="00D51019">
      <w:pPr>
        <w:autoSpaceDE w:val="0"/>
        <w:autoSpaceDN w:val="0"/>
        <w:spacing w:line="276" w:lineRule="auto"/>
        <w:rPr>
          <w:color w:val="FF0000"/>
        </w:rPr>
      </w:pPr>
      <w:r w:rsidRPr="00BF718B">
        <w:t xml:space="preserve">Any information shared as a result of this collection will be shared in aggregate with personal identifiers removed. Sharing of any information in this way is intended to help improve program activities, help CDC and partners learn about the audiences and their communication, education, and training needs, and guide future efforts in reaching these populations. Some information may be submitted to peer-reviewed journals to help expand knowledge and understanding. All </w:t>
      </w:r>
      <w:r w:rsidRPr="00BF718B">
        <w:rPr>
          <w:color w:val="000000"/>
        </w:rPr>
        <w:t xml:space="preserve">information provided by respondents will be treated in a secure manner and will not be disclosed unless otherwise compelled by law. Respondents will be informed prior to participation that their responses will be treated in a secure manner. </w:t>
      </w:r>
    </w:p>
    <w:p w14:paraId="1E95C56B" w14:textId="77777777" w:rsidR="00170179" w:rsidRDefault="00170179" w:rsidP="00D51019">
      <w:pPr>
        <w:spacing w:line="276" w:lineRule="auto"/>
        <w:outlineLvl w:val="0"/>
        <w:rPr>
          <w:b/>
          <w:bCs/>
          <w:iCs/>
          <w:color w:val="000000"/>
        </w:rPr>
      </w:pPr>
    </w:p>
    <w:p w14:paraId="72C35716" w14:textId="77777777" w:rsidR="008B0E6B" w:rsidRPr="00AA1EEE" w:rsidRDefault="008B0E6B" w:rsidP="00D51019">
      <w:pPr>
        <w:spacing w:line="276" w:lineRule="auto"/>
        <w:outlineLvl w:val="0"/>
        <w:rPr>
          <w:b/>
          <w:bCs/>
          <w:iCs/>
          <w:color w:val="000000"/>
        </w:rPr>
      </w:pPr>
      <w:bookmarkStart w:id="7" w:name="_Toc506904656"/>
      <w:r w:rsidRPr="00AA1EEE">
        <w:rPr>
          <w:b/>
          <w:bCs/>
          <w:iCs/>
          <w:color w:val="000000"/>
        </w:rPr>
        <w:t>A</w:t>
      </w:r>
      <w:r w:rsidR="00DC2107" w:rsidRPr="00AA1EEE">
        <w:rPr>
          <w:b/>
          <w:bCs/>
          <w:iCs/>
          <w:color w:val="000000"/>
        </w:rPr>
        <w:t>.</w:t>
      </w:r>
      <w:r w:rsidRPr="00AA1EEE">
        <w:rPr>
          <w:b/>
          <w:bCs/>
          <w:iCs/>
          <w:color w:val="000000"/>
        </w:rPr>
        <w:t>3. Use of Improved Information Technology and Burden Reduction</w:t>
      </w:r>
      <w:bookmarkEnd w:id="7"/>
    </w:p>
    <w:p w14:paraId="4AF0D031" w14:textId="77777777" w:rsidR="008B0E6B" w:rsidRPr="00BF718B" w:rsidRDefault="008B0E6B" w:rsidP="00D51019">
      <w:pPr>
        <w:spacing w:line="276" w:lineRule="auto"/>
        <w:rPr>
          <w:color w:val="000000"/>
        </w:rPr>
      </w:pPr>
    </w:p>
    <w:p w14:paraId="136FC28B" w14:textId="77777777" w:rsidR="008B0E6B" w:rsidRPr="00BF718B" w:rsidRDefault="008B0E6B" w:rsidP="00D51019">
      <w:pPr>
        <w:spacing w:line="276" w:lineRule="auto"/>
        <w:rPr>
          <w:color w:val="000000"/>
        </w:rPr>
      </w:pPr>
      <w:r w:rsidRPr="00BF718B">
        <w:rPr>
          <w:color w:val="000000"/>
        </w:rPr>
        <w:t xml:space="preserve">Whenever possible, </w:t>
      </w:r>
      <w:r w:rsidR="003A4D97" w:rsidRPr="00BF718B">
        <w:rPr>
          <w:color w:val="000000"/>
        </w:rPr>
        <w:t>DGMQ</w:t>
      </w:r>
      <w:r w:rsidRPr="00BF718B">
        <w:rPr>
          <w:color w:val="000000"/>
        </w:rPr>
        <w:t xml:space="preserve"> staff will employ electronic technology to collect and process data in order to reduce respondent burden and aid in data processing and reporting efficiency. Particular emphasis will be placed on compliance with the Government Paperwork Elimination Act (GPEA), Public Law 105-277, title XVII.</w:t>
      </w:r>
      <w:r w:rsidRPr="00BF718B">
        <w:rPr>
          <w:sz w:val="22"/>
          <w:szCs w:val="22"/>
        </w:rPr>
        <w:t xml:space="preserve">  </w:t>
      </w:r>
    </w:p>
    <w:p w14:paraId="418700B3" w14:textId="77777777" w:rsidR="008B0E6B" w:rsidRPr="00BF718B" w:rsidRDefault="008B0E6B" w:rsidP="00D51019">
      <w:pPr>
        <w:spacing w:line="276" w:lineRule="auto"/>
        <w:rPr>
          <w:color w:val="000000"/>
        </w:rPr>
      </w:pPr>
    </w:p>
    <w:p w14:paraId="7332A153" w14:textId="77777777" w:rsidR="006708A1" w:rsidRPr="00BF718B" w:rsidRDefault="005534D9" w:rsidP="00D51019">
      <w:pPr>
        <w:spacing w:line="276" w:lineRule="auto"/>
        <w:rPr>
          <w:rFonts w:ascii="Calibri" w:hAnsi="Calibri" w:cs="Calibri"/>
          <w:color w:val="1F497D"/>
          <w:sz w:val="22"/>
          <w:szCs w:val="22"/>
        </w:rPr>
      </w:pPr>
      <w:r w:rsidRPr="00BF718B">
        <w:rPr>
          <w:color w:val="000000"/>
        </w:rPr>
        <w:t xml:space="preserve">Data collection </w:t>
      </w:r>
      <w:r w:rsidR="00D33EB1" w:rsidRPr="00BF718B">
        <w:rPr>
          <w:color w:val="000000"/>
        </w:rPr>
        <w:t xml:space="preserve">will be conducted using the most current </w:t>
      </w:r>
      <w:r w:rsidR="001B0FDF" w:rsidRPr="00BF718B">
        <w:rPr>
          <w:color w:val="000000"/>
        </w:rPr>
        <w:t>modes,</w:t>
      </w:r>
      <w:r w:rsidR="00D33EB1" w:rsidRPr="00BF718B">
        <w:rPr>
          <w:color w:val="000000"/>
        </w:rPr>
        <w:t xml:space="preserve"> including </w:t>
      </w:r>
      <w:r w:rsidR="00A84B5F" w:rsidRPr="00BF718B">
        <w:rPr>
          <w:color w:val="000000"/>
        </w:rPr>
        <w:t>computer-</w:t>
      </w:r>
      <w:r w:rsidR="00D33EB1" w:rsidRPr="00BF718B">
        <w:rPr>
          <w:color w:val="000000"/>
        </w:rPr>
        <w:t xml:space="preserve">assisted methods, web-based surveys, </w:t>
      </w:r>
      <w:r w:rsidRPr="00BF718B">
        <w:rPr>
          <w:color w:val="000000"/>
        </w:rPr>
        <w:t xml:space="preserve">web-based focus groups, </w:t>
      </w:r>
      <w:r w:rsidR="00D33EB1" w:rsidRPr="00BF718B">
        <w:rPr>
          <w:color w:val="000000"/>
        </w:rPr>
        <w:t>or other modes as necessary to reach the intended audience</w:t>
      </w:r>
      <w:r w:rsidR="005A5981" w:rsidRPr="00BF718B">
        <w:rPr>
          <w:color w:val="000000"/>
        </w:rPr>
        <w:t xml:space="preserve">. </w:t>
      </w:r>
      <w:r w:rsidR="00D33EB1" w:rsidRPr="00BF718B">
        <w:rPr>
          <w:color w:val="000000"/>
        </w:rPr>
        <w:t>Though these technologies will be used by many of the individual projects in this data collection, the nature of many of these proposed activities typically requires direct interaction between respondents and project staff, especially in the case of qualitative focus group discussions. Also, in cases when respondents do not have access to electronic means of communication, a paper</w:t>
      </w:r>
      <w:r w:rsidR="00D3594F" w:rsidRPr="00BF718B">
        <w:rPr>
          <w:color w:val="000000"/>
        </w:rPr>
        <w:t>-</w:t>
      </w:r>
      <w:r w:rsidR="00D33EB1" w:rsidRPr="00BF718B">
        <w:rPr>
          <w:color w:val="000000"/>
        </w:rPr>
        <w:t xml:space="preserve">based data collection will be implemented on a limited basis. </w:t>
      </w:r>
      <w:r w:rsidR="000C3C1F" w:rsidRPr="00BF718B">
        <w:t xml:space="preserve">Each proposed evaluation project </w:t>
      </w:r>
      <w:r w:rsidR="000C3C1F" w:rsidRPr="00BF718B">
        <w:rPr>
          <w:color w:val="000000"/>
        </w:rPr>
        <w:t xml:space="preserve">will submit the tools used for </w:t>
      </w:r>
      <w:r w:rsidR="0038564E" w:rsidRPr="00BF718B">
        <w:rPr>
          <w:color w:val="000000"/>
        </w:rPr>
        <w:t>data collection</w:t>
      </w:r>
      <w:r w:rsidR="000C3C1F" w:rsidRPr="00BF718B">
        <w:rPr>
          <w:color w:val="000000"/>
        </w:rPr>
        <w:t>, including screenshots</w:t>
      </w:r>
      <w:r w:rsidR="0038564E" w:rsidRPr="00BF718B">
        <w:rPr>
          <w:color w:val="000000"/>
        </w:rPr>
        <w:t xml:space="preserve"> of </w:t>
      </w:r>
      <w:r w:rsidR="000C3C1F" w:rsidRPr="00BF718B">
        <w:rPr>
          <w:color w:val="000000"/>
        </w:rPr>
        <w:t xml:space="preserve">web-based surveys, </w:t>
      </w:r>
      <w:r w:rsidR="000C3C1F" w:rsidRPr="00BF718B">
        <w:t>in the statement provided to OMB</w:t>
      </w:r>
      <w:r w:rsidR="000C3C1F" w:rsidRPr="00BF718B">
        <w:rPr>
          <w:color w:val="000000"/>
        </w:rPr>
        <w:t>.</w:t>
      </w:r>
    </w:p>
    <w:p w14:paraId="7863E63C" w14:textId="77777777" w:rsidR="00D33EB1" w:rsidRPr="00BF718B" w:rsidRDefault="00D33EB1" w:rsidP="00D51019">
      <w:pPr>
        <w:spacing w:line="276" w:lineRule="auto"/>
        <w:rPr>
          <w:color w:val="000000"/>
        </w:rPr>
      </w:pPr>
    </w:p>
    <w:p w14:paraId="2B847A05" w14:textId="77777777" w:rsidR="008B0E6B" w:rsidRPr="00D51019" w:rsidRDefault="008B0E6B" w:rsidP="00D51019">
      <w:pPr>
        <w:spacing w:line="276" w:lineRule="auto"/>
        <w:rPr>
          <w:color w:val="000000"/>
        </w:rPr>
      </w:pPr>
      <w:r w:rsidRPr="00BF718B">
        <w:rPr>
          <w:color w:val="000000"/>
        </w:rPr>
        <w:t>In all i</w:t>
      </w:r>
      <w:r w:rsidR="00C941B3" w:rsidRPr="00BF718B">
        <w:rPr>
          <w:color w:val="000000"/>
        </w:rPr>
        <w:t>nformation collections</w:t>
      </w:r>
      <w:r w:rsidRPr="00BF718B">
        <w:rPr>
          <w:color w:val="000000"/>
        </w:rPr>
        <w:t xml:space="preserve">, the number of </w:t>
      </w:r>
      <w:r w:rsidR="00D33EB1" w:rsidRPr="00BF718B">
        <w:rPr>
          <w:color w:val="000000"/>
        </w:rPr>
        <w:t xml:space="preserve">questions </w:t>
      </w:r>
      <w:r w:rsidRPr="00BF718B">
        <w:rPr>
          <w:color w:val="000000"/>
        </w:rPr>
        <w:t xml:space="preserve">posed will be held to the minimum required in order to elicit the necessary data.  </w:t>
      </w:r>
    </w:p>
    <w:p w14:paraId="1449CCCA" w14:textId="77777777" w:rsidR="0074782B" w:rsidRPr="00BF718B" w:rsidRDefault="0074782B" w:rsidP="00D51019">
      <w:pPr>
        <w:spacing w:line="276" w:lineRule="auto"/>
        <w:outlineLvl w:val="0"/>
        <w:rPr>
          <w:bCs/>
          <w:i/>
          <w:iCs/>
          <w:color w:val="000000"/>
        </w:rPr>
      </w:pPr>
    </w:p>
    <w:p w14:paraId="6E4212FC" w14:textId="77777777" w:rsidR="008B0E6B" w:rsidRPr="00AA1EEE" w:rsidRDefault="008B0E6B" w:rsidP="00D51019">
      <w:pPr>
        <w:spacing w:line="276" w:lineRule="auto"/>
        <w:outlineLvl w:val="0"/>
        <w:rPr>
          <w:b/>
          <w:bCs/>
          <w:iCs/>
          <w:color w:val="000000"/>
        </w:rPr>
      </w:pPr>
      <w:bookmarkStart w:id="8" w:name="_Toc506904657"/>
      <w:r w:rsidRPr="00AA1EEE">
        <w:rPr>
          <w:b/>
          <w:bCs/>
          <w:iCs/>
          <w:color w:val="000000"/>
        </w:rPr>
        <w:t>A</w:t>
      </w:r>
      <w:r w:rsidR="00DC2107" w:rsidRPr="00AA1EEE">
        <w:rPr>
          <w:b/>
          <w:bCs/>
          <w:iCs/>
          <w:color w:val="000000"/>
        </w:rPr>
        <w:t>.</w:t>
      </w:r>
      <w:r w:rsidRPr="00AA1EEE">
        <w:rPr>
          <w:b/>
          <w:bCs/>
          <w:iCs/>
          <w:color w:val="000000"/>
        </w:rPr>
        <w:t>4. Efforts to Identify Duplication and Use of Similar Information</w:t>
      </w:r>
      <w:bookmarkEnd w:id="8"/>
      <w:r w:rsidRPr="00AA1EEE">
        <w:rPr>
          <w:b/>
          <w:bCs/>
          <w:iCs/>
          <w:color w:val="000000"/>
        </w:rPr>
        <w:t xml:space="preserve"> </w:t>
      </w:r>
    </w:p>
    <w:p w14:paraId="77DF30D3" w14:textId="77777777" w:rsidR="00A920BE" w:rsidRPr="00BF718B" w:rsidRDefault="00A920BE" w:rsidP="00D51019">
      <w:pPr>
        <w:spacing w:line="276" w:lineRule="auto"/>
      </w:pPr>
    </w:p>
    <w:p w14:paraId="4861026B" w14:textId="77777777" w:rsidR="00A920BE" w:rsidRPr="00BF718B" w:rsidRDefault="005A5981" w:rsidP="00D51019">
      <w:pPr>
        <w:spacing w:line="276" w:lineRule="auto"/>
      </w:pPr>
      <w:r w:rsidRPr="00BF718B">
        <w:t xml:space="preserve">Because </w:t>
      </w:r>
      <w:r w:rsidR="003A4D97" w:rsidRPr="00BF718B">
        <w:t>DGMQ</w:t>
      </w:r>
      <w:r w:rsidRPr="00BF718B">
        <w:t>’s public heath mission is supported by regulatory responsibilities</w:t>
      </w:r>
      <w:r w:rsidR="00A84B5F" w:rsidRPr="00BF718B">
        <w:t>,</w:t>
      </w:r>
      <w:r w:rsidRPr="00BF718B">
        <w:t xml:space="preserve"> as outlined in Section A1, it</w:t>
      </w:r>
      <w:r w:rsidR="00A920BE" w:rsidRPr="00BF718B">
        <w:t xml:space="preserve"> is not expected that any of the information </w:t>
      </w:r>
      <w:r w:rsidRPr="00BF718B">
        <w:t>collected under this proposed generic clearance</w:t>
      </w:r>
      <w:r w:rsidR="00A920BE" w:rsidRPr="00BF718B">
        <w:t xml:space="preserve"> is duplicative or is already in th</w:t>
      </w:r>
      <w:r w:rsidR="004804D5" w:rsidRPr="00BF718B">
        <w:t>e possession of the f</w:t>
      </w:r>
      <w:r w:rsidR="00F50F52" w:rsidRPr="00BF718B">
        <w:t xml:space="preserve">ederal </w:t>
      </w:r>
      <w:r w:rsidR="004804D5" w:rsidRPr="00BF718B">
        <w:t>g</w:t>
      </w:r>
      <w:r w:rsidR="00A920BE" w:rsidRPr="00BF718B">
        <w:t xml:space="preserve">overnment. The proposed generic </w:t>
      </w:r>
      <w:r w:rsidR="00D33EB1" w:rsidRPr="00BF718B">
        <w:t xml:space="preserve">clearance </w:t>
      </w:r>
      <w:r w:rsidR="00A920BE" w:rsidRPr="00BF718B">
        <w:t xml:space="preserve">will allow </w:t>
      </w:r>
      <w:r w:rsidR="003A4D97" w:rsidRPr="00BF718B">
        <w:t>DGMQ</w:t>
      </w:r>
      <w:r w:rsidR="00F50F52" w:rsidRPr="00BF718B">
        <w:t xml:space="preserve"> to significantly improve </w:t>
      </w:r>
      <w:r w:rsidR="00A920BE" w:rsidRPr="00BF718B">
        <w:t xml:space="preserve">its ability to develop, refine and evaluate </w:t>
      </w:r>
      <w:r w:rsidR="00A920BE" w:rsidRPr="00BF718B">
        <w:rPr>
          <w:color w:val="000000"/>
        </w:rPr>
        <w:t>communication, education, and training activities</w:t>
      </w:r>
      <w:r w:rsidR="003F0F47" w:rsidRPr="00BF718B">
        <w:rPr>
          <w:color w:val="000000"/>
        </w:rPr>
        <w:t>. The results and final products from these</w:t>
      </w:r>
      <w:r w:rsidR="00F50F52" w:rsidRPr="00BF718B">
        <w:rPr>
          <w:color w:val="000000"/>
        </w:rPr>
        <w:t xml:space="preserve"> activities</w:t>
      </w:r>
      <w:r w:rsidR="00A920BE" w:rsidRPr="00BF718B">
        <w:t xml:space="preserve"> </w:t>
      </w:r>
      <w:r w:rsidR="00F50F52" w:rsidRPr="00BF718B">
        <w:t xml:space="preserve">may </w:t>
      </w:r>
      <w:r w:rsidR="004A07C6" w:rsidRPr="00BF718B">
        <w:t xml:space="preserve">be </w:t>
      </w:r>
      <w:r w:rsidR="00F50F52" w:rsidRPr="00BF718B">
        <w:t xml:space="preserve">used by multiple government and non-profit </w:t>
      </w:r>
      <w:r w:rsidR="00A920BE" w:rsidRPr="00BF718B">
        <w:t>agencies.</w:t>
      </w:r>
    </w:p>
    <w:p w14:paraId="4CA68EC6" w14:textId="77777777" w:rsidR="0074782B" w:rsidRPr="00BF718B" w:rsidRDefault="0074782B" w:rsidP="00D51019">
      <w:pPr>
        <w:spacing w:line="276" w:lineRule="auto"/>
        <w:rPr>
          <w:bCs/>
        </w:rPr>
      </w:pPr>
    </w:p>
    <w:p w14:paraId="2CC01BD8" w14:textId="77777777" w:rsidR="00F50F52" w:rsidRPr="00AA1EEE" w:rsidRDefault="004435C4" w:rsidP="00D51019">
      <w:pPr>
        <w:spacing w:line="276" w:lineRule="auto"/>
        <w:outlineLvl w:val="0"/>
        <w:rPr>
          <w:b/>
          <w:bCs/>
          <w:iCs/>
          <w:color w:val="000000"/>
        </w:rPr>
      </w:pPr>
      <w:bookmarkStart w:id="9" w:name="_Toc506904658"/>
      <w:r w:rsidRPr="00AA1EEE">
        <w:rPr>
          <w:b/>
          <w:bCs/>
          <w:iCs/>
          <w:color w:val="000000"/>
        </w:rPr>
        <w:t>A</w:t>
      </w:r>
      <w:r w:rsidR="00DC2107" w:rsidRPr="00AA1EEE">
        <w:rPr>
          <w:b/>
          <w:bCs/>
          <w:iCs/>
          <w:color w:val="000000"/>
        </w:rPr>
        <w:t>.</w:t>
      </w:r>
      <w:r w:rsidR="00F50F52" w:rsidRPr="00AA1EEE">
        <w:rPr>
          <w:b/>
          <w:bCs/>
          <w:iCs/>
          <w:color w:val="000000"/>
        </w:rPr>
        <w:t>5. Impact on Small Businesses or Other Small Entities</w:t>
      </w:r>
      <w:bookmarkEnd w:id="9"/>
    </w:p>
    <w:p w14:paraId="60F9061B" w14:textId="77777777" w:rsidR="00F50F52" w:rsidRPr="00BF718B" w:rsidRDefault="00F50F52" w:rsidP="00D51019">
      <w:pPr>
        <w:spacing w:line="276" w:lineRule="auto"/>
      </w:pPr>
    </w:p>
    <w:p w14:paraId="4C6C3571" w14:textId="77777777" w:rsidR="00D25282" w:rsidRPr="00BF718B" w:rsidRDefault="00D25282" w:rsidP="00D51019">
      <w:pPr>
        <w:spacing w:line="276" w:lineRule="auto"/>
        <w:rPr>
          <w:color w:val="000000"/>
        </w:rPr>
      </w:pPr>
      <w:r w:rsidRPr="00BF718B">
        <w:rPr>
          <w:color w:val="000000"/>
        </w:rPr>
        <w:t>Communication, training</w:t>
      </w:r>
      <w:r w:rsidR="006C1051" w:rsidRPr="00BF718B">
        <w:rPr>
          <w:color w:val="000000"/>
        </w:rPr>
        <w:t>,</w:t>
      </w:r>
      <w:r w:rsidRPr="00BF718B">
        <w:rPr>
          <w:color w:val="000000"/>
        </w:rPr>
        <w:t xml:space="preserve"> and educational activities frequently include</w:t>
      </w:r>
      <w:r w:rsidR="004437FE" w:rsidRPr="00BF718B">
        <w:rPr>
          <w:color w:val="000000"/>
        </w:rPr>
        <w:t xml:space="preserve"> health</w:t>
      </w:r>
      <w:r w:rsidRPr="00BF718B">
        <w:rPr>
          <w:color w:val="000000"/>
        </w:rPr>
        <w:t xml:space="preserve">care providers in the target population. When research with this audience is required, </w:t>
      </w:r>
      <w:r w:rsidR="003A4D97" w:rsidRPr="00BF718B">
        <w:rPr>
          <w:color w:val="000000"/>
        </w:rPr>
        <w:t>CDC</w:t>
      </w:r>
      <w:r w:rsidRPr="00BF718B">
        <w:rPr>
          <w:color w:val="000000"/>
        </w:rPr>
        <w:t xml:space="preserve"> works through established medical and professional societies and research contractors to gain access and obtain the necessary participants. </w:t>
      </w:r>
      <w:r w:rsidR="006111CA" w:rsidRPr="00BF718B">
        <w:rPr>
          <w:color w:val="000000"/>
        </w:rPr>
        <w:t>Evaluation research</w:t>
      </w:r>
      <w:r w:rsidRPr="00BF718B">
        <w:rPr>
          <w:color w:val="000000"/>
        </w:rPr>
        <w:t xml:space="preserve"> efforts will be carefully planned to minimize the burden on </w:t>
      </w:r>
      <w:r w:rsidR="004437FE" w:rsidRPr="00BF718B">
        <w:rPr>
          <w:color w:val="000000"/>
        </w:rPr>
        <w:t>health</w:t>
      </w:r>
      <w:r w:rsidR="005534D9" w:rsidRPr="00BF718B">
        <w:rPr>
          <w:color w:val="000000"/>
        </w:rPr>
        <w:t>care provider</w:t>
      </w:r>
      <w:r w:rsidR="00ED523F" w:rsidRPr="00BF718B">
        <w:rPr>
          <w:color w:val="000000"/>
        </w:rPr>
        <w:t xml:space="preserve"> </w:t>
      </w:r>
      <w:r w:rsidRPr="00BF718B">
        <w:rPr>
          <w:color w:val="000000"/>
        </w:rPr>
        <w:t xml:space="preserve">practices and other small entities. </w:t>
      </w:r>
    </w:p>
    <w:p w14:paraId="6E4AFEA6" w14:textId="77777777" w:rsidR="0074782B" w:rsidRPr="00BF718B" w:rsidRDefault="0074782B" w:rsidP="00D51019">
      <w:pPr>
        <w:spacing w:line="276" w:lineRule="auto"/>
      </w:pPr>
    </w:p>
    <w:p w14:paraId="4E1814E6" w14:textId="77777777" w:rsidR="00F50F52" w:rsidRPr="00AA1EEE" w:rsidRDefault="004435C4" w:rsidP="00D51019">
      <w:pPr>
        <w:spacing w:line="276" w:lineRule="auto"/>
        <w:outlineLvl w:val="0"/>
        <w:rPr>
          <w:b/>
          <w:bCs/>
          <w:iCs/>
          <w:color w:val="000000"/>
        </w:rPr>
      </w:pPr>
      <w:bookmarkStart w:id="10" w:name="_Toc506904659"/>
      <w:r w:rsidRPr="00AA1EEE">
        <w:rPr>
          <w:b/>
          <w:bCs/>
          <w:iCs/>
          <w:color w:val="000000"/>
        </w:rPr>
        <w:t>A</w:t>
      </w:r>
      <w:r w:rsidR="00DC2107" w:rsidRPr="00AA1EEE">
        <w:rPr>
          <w:b/>
          <w:bCs/>
          <w:iCs/>
          <w:color w:val="000000"/>
        </w:rPr>
        <w:t>.</w:t>
      </w:r>
      <w:r w:rsidR="00F50F52" w:rsidRPr="00AA1EEE">
        <w:rPr>
          <w:b/>
          <w:bCs/>
          <w:iCs/>
          <w:color w:val="000000"/>
        </w:rPr>
        <w:t>6. Consequences of Collecting the Information Less Frequently</w:t>
      </w:r>
      <w:bookmarkEnd w:id="10"/>
    </w:p>
    <w:p w14:paraId="0CE6994B" w14:textId="77777777" w:rsidR="00F50F52" w:rsidRPr="00BF718B" w:rsidRDefault="00F50F52" w:rsidP="00D51019">
      <w:pPr>
        <w:spacing w:line="276" w:lineRule="auto"/>
      </w:pPr>
    </w:p>
    <w:p w14:paraId="05938EA4" w14:textId="77777777" w:rsidR="00177C7C" w:rsidRPr="00BF718B" w:rsidRDefault="00F50F52" w:rsidP="00D51019">
      <w:pPr>
        <w:spacing w:line="276" w:lineRule="auto"/>
        <w:rPr>
          <w:rFonts w:eastAsia="Calibri"/>
        </w:rPr>
      </w:pPr>
      <w:r w:rsidRPr="00BF718B">
        <w:t xml:space="preserve">If this information is not collected, </w:t>
      </w:r>
      <w:r w:rsidR="003A4D97" w:rsidRPr="00BF718B">
        <w:t>DGMQ</w:t>
      </w:r>
      <w:r w:rsidRPr="00BF718B">
        <w:t xml:space="preserve">’s ability to </w:t>
      </w:r>
      <w:r w:rsidR="006E3B52" w:rsidRPr="00BF718B">
        <w:t xml:space="preserve">effectively </w:t>
      </w:r>
      <w:r w:rsidR="00F85F4D" w:rsidRPr="00BF718B">
        <w:t xml:space="preserve">communicate messages to mobile populations who may be at increased public health risk </w:t>
      </w:r>
      <w:r w:rsidRPr="00BF718B">
        <w:t xml:space="preserve">will be compromised. </w:t>
      </w:r>
      <w:r w:rsidR="00F26A92" w:rsidRPr="00BF718B">
        <w:t xml:space="preserve">According to the </w:t>
      </w:r>
      <w:r w:rsidR="00745921" w:rsidRPr="00BF718B">
        <w:t>CDC’s Introduction to Program Evaluation for Public Health Programs: A Self-Study</w:t>
      </w:r>
      <w:r w:rsidR="00745921" w:rsidRPr="00BF718B">
        <w:rPr>
          <w:color w:val="000000"/>
        </w:rPr>
        <w:t xml:space="preserve"> Guide (1)</w:t>
      </w:r>
      <w:r w:rsidR="00F26A92" w:rsidRPr="00BF718B">
        <w:rPr>
          <w:color w:val="000000"/>
        </w:rPr>
        <w:t xml:space="preserve">, </w:t>
      </w:r>
      <w:r w:rsidR="00D25282" w:rsidRPr="00BF718B">
        <w:rPr>
          <w:color w:val="000000"/>
        </w:rPr>
        <w:t xml:space="preserve">evaluation </w:t>
      </w:r>
      <w:r w:rsidR="00F26A92" w:rsidRPr="00BF718B">
        <w:rPr>
          <w:color w:val="000000"/>
        </w:rPr>
        <w:t xml:space="preserve">is </w:t>
      </w:r>
      <w:r w:rsidR="00D25282" w:rsidRPr="00BF718B">
        <w:rPr>
          <w:color w:val="000000"/>
        </w:rPr>
        <w:t>critical for engaging in scientifically sound communication, training</w:t>
      </w:r>
      <w:r w:rsidR="004437FE" w:rsidRPr="00BF718B">
        <w:rPr>
          <w:color w:val="000000"/>
        </w:rPr>
        <w:t>,</w:t>
      </w:r>
      <w:r w:rsidR="00D25282" w:rsidRPr="00BF718B">
        <w:rPr>
          <w:color w:val="000000"/>
        </w:rPr>
        <w:t xml:space="preserve"> and educational efforts. </w:t>
      </w:r>
      <w:r w:rsidR="0030794A" w:rsidRPr="00BF718B">
        <w:rPr>
          <w:color w:val="000000"/>
        </w:rPr>
        <w:t>Communications e</w:t>
      </w:r>
      <w:r w:rsidR="00D25282" w:rsidRPr="00BF718B">
        <w:rPr>
          <w:color w:val="000000"/>
        </w:rPr>
        <w:t>valuation, often encompassing concept, message, and materials testing activities, is essential in pre-testing materials to evaluate a wide variety of dimensions that include, but are not limited to, appeal, saliency, clarity, cultural appropriateness</w:t>
      </w:r>
      <w:r w:rsidR="004437FE" w:rsidRPr="00BF718B">
        <w:rPr>
          <w:color w:val="000000"/>
        </w:rPr>
        <w:t>,</w:t>
      </w:r>
      <w:r w:rsidR="00D25282" w:rsidRPr="00BF718B">
        <w:rPr>
          <w:color w:val="000000"/>
        </w:rPr>
        <w:t xml:space="preserve"> and readability/understandability. If a concept and/or a message </w:t>
      </w:r>
      <w:r w:rsidR="004437FE" w:rsidRPr="00BF718B">
        <w:rPr>
          <w:color w:val="000000"/>
        </w:rPr>
        <w:t xml:space="preserve">is </w:t>
      </w:r>
      <w:r w:rsidR="00D25282" w:rsidRPr="00BF718B">
        <w:rPr>
          <w:color w:val="000000"/>
        </w:rPr>
        <w:t>not tested, then resources could be expended without</w:t>
      </w:r>
      <w:r w:rsidR="004B6DC1" w:rsidRPr="00BF718B">
        <w:rPr>
          <w:color w:val="000000"/>
        </w:rPr>
        <w:t xml:space="preserve"> evidence that the activity is </w:t>
      </w:r>
      <w:r w:rsidR="00692D2C" w:rsidRPr="00BF718B">
        <w:rPr>
          <w:color w:val="000000"/>
        </w:rPr>
        <w:t>appropriate or e</w:t>
      </w:r>
      <w:r w:rsidR="004B6DC1" w:rsidRPr="00BF718B">
        <w:rPr>
          <w:color w:val="000000"/>
        </w:rPr>
        <w:t>ffective.</w:t>
      </w:r>
      <w:r w:rsidR="00D25282" w:rsidRPr="00BF718B">
        <w:rPr>
          <w:color w:val="000000"/>
        </w:rPr>
        <w:t xml:space="preserve"> </w:t>
      </w:r>
      <w:r w:rsidR="00177C7C" w:rsidRPr="00BF718B">
        <w:rPr>
          <w:color w:val="000000"/>
        </w:rPr>
        <w:t>For example, without the use of this generic information collection approval, CDC wouldn’t have been able to get timely evaluations of CDC’s CARE Ambassador program.  This baseline evaluation resulted in the recognition that the program needed to provide increased</w:t>
      </w:r>
      <w:r w:rsidR="00177C7C" w:rsidRPr="00BF718B">
        <w:rPr>
          <w:rFonts w:eastAsia="Calibri"/>
        </w:rPr>
        <w:t xml:space="preserve"> clarity surrounding CDC messages concerned with travelers making contact with public health authorities after coming back to the United States from the Ebola affected countries.</w:t>
      </w:r>
      <w:r w:rsidR="001B0BB4" w:rsidRPr="00BF718B">
        <w:rPr>
          <w:rFonts w:eastAsia="Calibri"/>
        </w:rPr>
        <w:t xml:space="preserve"> This is a critical piece of the follow-up program to ensure that if people become ill during their 21-day active monitoring period, they are connected with the appropriate public health authorities.</w:t>
      </w:r>
    </w:p>
    <w:p w14:paraId="08D3EC7E" w14:textId="77777777" w:rsidR="00177C7C" w:rsidRPr="00BF718B" w:rsidRDefault="00177C7C" w:rsidP="00D51019">
      <w:pPr>
        <w:spacing w:line="276" w:lineRule="auto"/>
        <w:rPr>
          <w:rFonts w:eastAsia="Calibri"/>
        </w:rPr>
      </w:pPr>
    </w:p>
    <w:p w14:paraId="4524591E" w14:textId="77777777" w:rsidR="00D25282" w:rsidRPr="00BF718B" w:rsidRDefault="00D25282" w:rsidP="00D51019">
      <w:pPr>
        <w:spacing w:line="276" w:lineRule="auto"/>
      </w:pPr>
      <w:bookmarkStart w:id="11" w:name="_Toc295817053"/>
      <w:bookmarkStart w:id="12" w:name="_Toc295817588"/>
      <w:bookmarkStart w:id="13" w:name="_Toc295818069"/>
      <w:bookmarkStart w:id="14" w:name="_Toc295819842"/>
      <w:r w:rsidRPr="00BF718B">
        <w:t>There are no legal obstacles to reducing the burden.</w:t>
      </w:r>
      <w:bookmarkEnd w:id="11"/>
      <w:bookmarkEnd w:id="12"/>
      <w:bookmarkEnd w:id="13"/>
      <w:bookmarkEnd w:id="14"/>
      <w:r w:rsidRPr="00BF718B">
        <w:t xml:space="preserve"> </w:t>
      </w:r>
    </w:p>
    <w:p w14:paraId="1E7BA858" w14:textId="77777777" w:rsidR="00170179" w:rsidRDefault="00170179" w:rsidP="00D51019">
      <w:pPr>
        <w:spacing w:line="276" w:lineRule="auto"/>
        <w:outlineLvl w:val="0"/>
        <w:rPr>
          <w:b/>
          <w:bCs/>
          <w:iCs/>
          <w:color w:val="000000"/>
        </w:rPr>
      </w:pPr>
    </w:p>
    <w:p w14:paraId="08F606A6" w14:textId="77777777" w:rsidR="006E3B52" w:rsidRPr="00D51019" w:rsidRDefault="004435C4" w:rsidP="00D51019">
      <w:pPr>
        <w:pStyle w:val="Heading1"/>
        <w:spacing w:line="276" w:lineRule="auto"/>
      </w:pPr>
      <w:bookmarkStart w:id="15" w:name="_Toc506904660"/>
      <w:r w:rsidRPr="00D51019">
        <w:t>A</w:t>
      </w:r>
      <w:r w:rsidR="00DC2107" w:rsidRPr="00D51019">
        <w:t>.</w:t>
      </w:r>
      <w:r w:rsidR="006E3B52" w:rsidRPr="00D51019">
        <w:t>7. Special Circumstances Relating to the Guidelines of 5 CFR 1320.5</w:t>
      </w:r>
      <w:bookmarkEnd w:id="15"/>
    </w:p>
    <w:p w14:paraId="6169B724" w14:textId="77777777" w:rsidR="006E3B52" w:rsidRPr="00BF718B" w:rsidRDefault="006E3B52" w:rsidP="00D51019">
      <w:pPr>
        <w:spacing w:line="276" w:lineRule="auto"/>
      </w:pPr>
    </w:p>
    <w:p w14:paraId="2FA3B9B2" w14:textId="77777777" w:rsidR="00D25282" w:rsidRPr="00BF718B" w:rsidRDefault="008D19D3" w:rsidP="00D51019">
      <w:pPr>
        <w:spacing w:line="276" w:lineRule="auto"/>
        <w:rPr>
          <w:color w:val="000000"/>
        </w:rPr>
      </w:pPr>
      <w:bookmarkStart w:id="16" w:name="_Toc295817055"/>
      <w:bookmarkStart w:id="17" w:name="_Toc295817590"/>
      <w:bookmarkStart w:id="18" w:name="_Toc295818071"/>
      <w:bookmarkStart w:id="19" w:name="_Toc295819844"/>
      <w:r w:rsidRPr="00BF718B">
        <w:rPr>
          <w:color w:val="000000"/>
        </w:rPr>
        <w:t xml:space="preserve">This request </w:t>
      </w:r>
      <w:r w:rsidR="00D25282" w:rsidRPr="00BF718B">
        <w:rPr>
          <w:color w:val="000000"/>
        </w:rPr>
        <w:t>fully compl</w:t>
      </w:r>
      <w:r w:rsidRPr="00BF718B">
        <w:rPr>
          <w:color w:val="000000"/>
        </w:rPr>
        <w:t>ies</w:t>
      </w:r>
      <w:r w:rsidR="00D25282" w:rsidRPr="00BF718B">
        <w:rPr>
          <w:color w:val="000000"/>
        </w:rPr>
        <w:t xml:space="preserve"> with </w:t>
      </w:r>
      <w:r w:rsidRPr="00BF718B">
        <w:rPr>
          <w:color w:val="000000"/>
        </w:rPr>
        <w:t>the regulation</w:t>
      </w:r>
      <w:r w:rsidR="00D25282" w:rsidRPr="00BF718B">
        <w:rPr>
          <w:color w:val="000000"/>
        </w:rPr>
        <w:t xml:space="preserve"> 5 </w:t>
      </w:r>
      <w:smartTag w:uri="urn:schemas-microsoft-com:office:smarttags" w:element="stockticker">
        <w:r w:rsidR="00D25282" w:rsidRPr="00BF718B">
          <w:rPr>
            <w:color w:val="000000"/>
          </w:rPr>
          <w:t>CFR</w:t>
        </w:r>
      </w:smartTag>
      <w:r w:rsidR="00D25282" w:rsidRPr="00BF718B">
        <w:rPr>
          <w:color w:val="000000"/>
        </w:rPr>
        <w:t xml:space="preserve"> 1320.5.</w:t>
      </w:r>
      <w:bookmarkEnd w:id="16"/>
      <w:bookmarkEnd w:id="17"/>
      <w:bookmarkEnd w:id="18"/>
      <w:bookmarkEnd w:id="19"/>
    </w:p>
    <w:p w14:paraId="37179E6F" w14:textId="77777777" w:rsidR="00170179" w:rsidRPr="00BF718B" w:rsidRDefault="00170179" w:rsidP="00D51019">
      <w:pPr>
        <w:spacing w:line="276" w:lineRule="auto"/>
      </w:pPr>
    </w:p>
    <w:p w14:paraId="2025C7B7" w14:textId="77777777" w:rsidR="0040770F" w:rsidRDefault="004435C4" w:rsidP="00D51019">
      <w:pPr>
        <w:pStyle w:val="Heading1"/>
        <w:spacing w:line="276" w:lineRule="auto"/>
      </w:pPr>
      <w:bookmarkStart w:id="20" w:name="_Toc506904661"/>
      <w:r w:rsidRPr="00AA1EEE">
        <w:t>A</w:t>
      </w:r>
      <w:r w:rsidR="00DC2107" w:rsidRPr="00AA1EEE">
        <w:t>.</w:t>
      </w:r>
      <w:r w:rsidR="006E3B52" w:rsidRPr="00AA1EEE">
        <w:t>8. Comments in Response to the Federal Register Notice and Efforts to Consult Outside the Agency</w:t>
      </w:r>
      <w:bookmarkEnd w:id="20"/>
    </w:p>
    <w:p w14:paraId="646B8494" w14:textId="77777777" w:rsidR="00D51019" w:rsidRPr="00D51019" w:rsidRDefault="00D51019" w:rsidP="00D51019">
      <w:pPr>
        <w:spacing w:line="276" w:lineRule="auto"/>
      </w:pPr>
    </w:p>
    <w:p w14:paraId="0BCA1E73" w14:textId="77777777" w:rsidR="0040770F" w:rsidRDefault="0040770F" w:rsidP="00D51019">
      <w:pPr>
        <w:spacing w:line="276" w:lineRule="auto"/>
      </w:pPr>
      <w:r w:rsidRPr="00A20933">
        <w:rPr>
          <w:highlight w:val="yellow"/>
        </w:rPr>
        <w:t xml:space="preserve">A. A 60-day Federal Register Notice was published in the </w:t>
      </w:r>
      <w:r w:rsidRPr="00A20933">
        <w:rPr>
          <w:i/>
          <w:highlight w:val="yellow"/>
        </w:rPr>
        <w:t xml:space="preserve">Federal Register </w:t>
      </w:r>
      <w:r w:rsidRPr="00A20933">
        <w:rPr>
          <w:highlight w:val="yellow"/>
        </w:rPr>
        <w:t xml:space="preserve">on </w:t>
      </w:r>
      <w:r w:rsidR="00F95CE1" w:rsidRPr="00A20933">
        <w:rPr>
          <w:highlight w:val="yellow"/>
        </w:rPr>
        <w:t>October 30, 2017, vol. 82, No. 208</w:t>
      </w:r>
      <w:r w:rsidRPr="00A20933">
        <w:rPr>
          <w:highlight w:val="yellow"/>
        </w:rPr>
        <w:t xml:space="preserve">, pp. </w:t>
      </w:r>
      <w:r w:rsidR="00F95CE1" w:rsidRPr="00A20933">
        <w:rPr>
          <w:highlight w:val="yellow"/>
        </w:rPr>
        <w:t>50131</w:t>
      </w:r>
      <w:r w:rsidRPr="00A20933">
        <w:rPr>
          <w:highlight w:val="yellow"/>
        </w:rPr>
        <w:t xml:space="preserve"> (Attachment 2). CDC receive</w:t>
      </w:r>
      <w:r w:rsidR="00F95CE1" w:rsidRPr="00A20933">
        <w:rPr>
          <w:highlight w:val="yellow"/>
        </w:rPr>
        <w:t>d</w:t>
      </w:r>
      <w:r w:rsidRPr="00A20933">
        <w:rPr>
          <w:highlight w:val="yellow"/>
        </w:rPr>
        <w:t xml:space="preserve"> </w:t>
      </w:r>
      <w:r w:rsidR="00152795">
        <w:rPr>
          <w:highlight w:val="yellow"/>
        </w:rPr>
        <w:t>four</w:t>
      </w:r>
      <w:r w:rsidR="00A20933" w:rsidRPr="00A20933">
        <w:rPr>
          <w:highlight w:val="yellow"/>
        </w:rPr>
        <w:t xml:space="preserve"> non-substantive</w:t>
      </w:r>
      <w:r w:rsidR="00F95CE1" w:rsidRPr="00A20933">
        <w:rPr>
          <w:highlight w:val="yellow"/>
        </w:rPr>
        <w:t xml:space="preserve"> </w:t>
      </w:r>
      <w:r w:rsidRPr="00A20933">
        <w:rPr>
          <w:highlight w:val="yellow"/>
        </w:rPr>
        <w:t xml:space="preserve">public comments </w:t>
      </w:r>
      <w:r w:rsidR="00F95CE1" w:rsidRPr="00A20933">
        <w:rPr>
          <w:highlight w:val="yellow"/>
        </w:rPr>
        <w:t>on</w:t>
      </w:r>
      <w:r w:rsidRPr="00A20933">
        <w:rPr>
          <w:highlight w:val="yellow"/>
        </w:rPr>
        <w:t xml:space="preserve"> this notice</w:t>
      </w:r>
      <w:r w:rsidR="00F95CE1" w:rsidRPr="00A20933">
        <w:rPr>
          <w:highlight w:val="yellow"/>
        </w:rPr>
        <w:t xml:space="preserve"> (Attachment</w:t>
      </w:r>
      <w:r w:rsidR="00A20933" w:rsidRPr="00A20933">
        <w:rPr>
          <w:highlight w:val="yellow"/>
        </w:rPr>
        <w:t>s</w:t>
      </w:r>
      <w:r w:rsidR="00F95CE1" w:rsidRPr="00A20933">
        <w:rPr>
          <w:highlight w:val="yellow"/>
        </w:rPr>
        <w:t xml:space="preserve"> B2</w:t>
      </w:r>
      <w:r w:rsidR="00A20933" w:rsidRPr="00A20933">
        <w:rPr>
          <w:highlight w:val="yellow"/>
        </w:rPr>
        <w:t>,</w:t>
      </w:r>
      <w:r w:rsidR="00F95CE1" w:rsidRPr="00A20933">
        <w:rPr>
          <w:highlight w:val="yellow"/>
        </w:rPr>
        <w:t xml:space="preserve"> </w:t>
      </w:r>
      <w:r w:rsidR="00A20933" w:rsidRPr="00A20933">
        <w:rPr>
          <w:highlight w:val="yellow"/>
        </w:rPr>
        <w:t>B</w:t>
      </w:r>
      <w:r w:rsidR="00F95CE1" w:rsidRPr="00A20933">
        <w:rPr>
          <w:highlight w:val="yellow"/>
        </w:rPr>
        <w:t>3</w:t>
      </w:r>
      <w:r w:rsidR="00A20933" w:rsidRPr="00A20933">
        <w:rPr>
          <w:highlight w:val="yellow"/>
        </w:rPr>
        <w:t>, and B4</w:t>
      </w:r>
      <w:r w:rsidR="00F95CE1" w:rsidRPr="00A20933">
        <w:rPr>
          <w:highlight w:val="yellow"/>
        </w:rPr>
        <w:t>)</w:t>
      </w:r>
      <w:r w:rsidRPr="00A20933">
        <w:rPr>
          <w:highlight w:val="yellow"/>
        </w:rPr>
        <w:t>.</w:t>
      </w:r>
      <w:r w:rsidR="00F95CE1" w:rsidRPr="00A20933">
        <w:rPr>
          <w:highlight w:val="yellow"/>
        </w:rPr>
        <w:t xml:space="preserve"> CDC</w:t>
      </w:r>
      <w:r w:rsidR="00A20933" w:rsidRPr="00A20933">
        <w:rPr>
          <w:highlight w:val="yellow"/>
        </w:rPr>
        <w:t>’s</w:t>
      </w:r>
      <w:r w:rsidR="00F95CE1" w:rsidRPr="00A20933">
        <w:rPr>
          <w:highlight w:val="yellow"/>
        </w:rPr>
        <w:t xml:space="preserve"> standard response was sent.  </w:t>
      </w:r>
    </w:p>
    <w:p w14:paraId="63FEDED8" w14:textId="77777777" w:rsidR="0040770F" w:rsidRDefault="0040770F" w:rsidP="00D51019">
      <w:pPr>
        <w:widowControl w:val="0"/>
        <w:spacing w:line="276" w:lineRule="auto"/>
      </w:pPr>
    </w:p>
    <w:p w14:paraId="43B7DFBB" w14:textId="77777777" w:rsidR="0040770F" w:rsidRDefault="0040770F" w:rsidP="00D51019">
      <w:pPr>
        <w:widowControl w:val="0"/>
        <w:spacing w:line="276" w:lineRule="auto"/>
        <w:rPr>
          <w:bCs/>
          <w:iCs/>
          <w:color w:val="000000"/>
        </w:rPr>
      </w:pPr>
      <w:r>
        <w:t xml:space="preserve">B. </w:t>
      </w:r>
      <w:r w:rsidRPr="00BF718B">
        <w:rPr>
          <w:bCs/>
          <w:iCs/>
          <w:color w:val="000000"/>
        </w:rPr>
        <w:t>Efforts to Consult Outside the Agency</w:t>
      </w:r>
    </w:p>
    <w:p w14:paraId="000EEBEB" w14:textId="77777777" w:rsidR="00F57AB7" w:rsidRDefault="00F57AB7" w:rsidP="00D51019">
      <w:pPr>
        <w:widowControl w:val="0"/>
        <w:spacing w:line="276" w:lineRule="auto"/>
        <w:rPr>
          <w:bCs/>
          <w:iCs/>
          <w:color w:val="000000"/>
        </w:rPr>
      </w:pPr>
    </w:p>
    <w:p w14:paraId="577D47D3" w14:textId="77777777" w:rsidR="00F57AB7" w:rsidRPr="00F57AB7" w:rsidRDefault="00F57AB7" w:rsidP="00D51019">
      <w:pPr>
        <w:widowControl w:val="0"/>
        <w:spacing w:line="276" w:lineRule="auto"/>
      </w:pPr>
      <w:r>
        <w:rPr>
          <w:bCs/>
          <w:iCs/>
          <w:color w:val="000000"/>
        </w:rPr>
        <w:t>DGMQ</w:t>
      </w:r>
      <w:r w:rsidRPr="00F57AB7">
        <w:t xml:space="preserve"> </w:t>
      </w:r>
      <w:r w:rsidR="00A27E9B">
        <w:t xml:space="preserve">routinely </w:t>
      </w:r>
      <w:r w:rsidRPr="00F57AB7">
        <w:t>works with a variety of government and non-governmental agencies and partners to inform our work with globally mobile populations. Our pandemic flu preparedness outreach is coordinated w</w:t>
      </w:r>
      <w:r>
        <w:t xml:space="preserve">ith </w:t>
      </w:r>
      <w:r w:rsidR="00A27E9B" w:rsidRPr="00A27E9B">
        <w:t>National Association of County and City Health Officials</w:t>
      </w:r>
      <w:r w:rsidR="00A27E9B">
        <w:t xml:space="preserve"> (</w:t>
      </w:r>
      <w:r>
        <w:t>NACCHO</w:t>
      </w:r>
      <w:r w:rsidR="00A27E9B">
        <w:t xml:space="preserve">), </w:t>
      </w:r>
      <w:r w:rsidR="00A27E9B" w:rsidRPr="00A27E9B">
        <w:t xml:space="preserve">Association of State and Territorial Health Officials </w:t>
      </w:r>
      <w:r w:rsidR="00A27E9B">
        <w:t>(</w:t>
      </w:r>
      <w:r>
        <w:t>ASTHO</w:t>
      </w:r>
      <w:r w:rsidR="00A27E9B">
        <w:t>)</w:t>
      </w:r>
      <w:r>
        <w:t xml:space="preserve">, and </w:t>
      </w:r>
      <w:r w:rsidR="00A27E9B" w:rsidRPr="00A27E9B">
        <w:t>Council of State and Territorial Epidemiologists</w:t>
      </w:r>
      <w:r w:rsidR="00A27E9B">
        <w:t xml:space="preserve"> (</w:t>
      </w:r>
      <w:r>
        <w:t>CSTE</w:t>
      </w:r>
      <w:r w:rsidR="00A27E9B">
        <w:t>)</w:t>
      </w:r>
      <w:r>
        <w:t>.  The Division</w:t>
      </w:r>
      <w:r w:rsidRPr="00F57AB7">
        <w:t xml:space="preserve"> work</w:t>
      </w:r>
      <w:r>
        <w:t>s</w:t>
      </w:r>
      <w:r w:rsidRPr="00F57AB7">
        <w:t xml:space="preserve"> with Ventanillas de Salud</w:t>
      </w:r>
      <w:r w:rsidR="00ED1E40">
        <w:t xml:space="preserve">, </w:t>
      </w:r>
      <w:r w:rsidR="00ED1E40" w:rsidRPr="00ED1E40">
        <w:t xml:space="preserve">Binational Technical Work Group, </w:t>
      </w:r>
      <w:r w:rsidR="00ED1E40">
        <w:t xml:space="preserve">the Border Health Commission, </w:t>
      </w:r>
      <w:r w:rsidR="00ED1E40" w:rsidRPr="00ED1E40">
        <w:t xml:space="preserve">and local health departments in </w:t>
      </w:r>
      <w:r w:rsidR="00ED1E40">
        <w:t>U.S. states along the southwest border</w:t>
      </w:r>
      <w:r w:rsidRPr="00F57AB7">
        <w:t xml:space="preserve"> on issues affecting US/Mexico border populations.  In addition, since travelers comprise a variety of audiences, we have partners in man</w:t>
      </w:r>
      <w:r>
        <w:t>y sectors including federal government</w:t>
      </w:r>
      <w:r w:rsidRPr="00F57AB7">
        <w:t xml:space="preserve"> (Department</w:t>
      </w:r>
      <w:r>
        <w:t>s</w:t>
      </w:r>
      <w:r w:rsidRPr="00F57AB7">
        <w:t xml:space="preserve"> of State</w:t>
      </w:r>
      <w:r>
        <w:t xml:space="preserve"> and Homeland Security), state and local health departments (e.g., New York City, Los Angeles</w:t>
      </w:r>
      <w:r w:rsidRPr="00F57AB7">
        <w:t>, and Florid</w:t>
      </w:r>
      <w:r>
        <w:t>a) and professional groups (International Society of Tropical Medicine</w:t>
      </w:r>
      <w:r w:rsidRPr="00F57AB7">
        <w:t>, American Society of Tropical Medicine and Hygiene).</w:t>
      </w:r>
    </w:p>
    <w:p w14:paraId="7C393EFE" w14:textId="77777777" w:rsidR="0074782B" w:rsidRPr="00BF718B" w:rsidRDefault="0074782B" w:rsidP="00D51019">
      <w:pPr>
        <w:spacing w:line="276" w:lineRule="auto"/>
      </w:pPr>
    </w:p>
    <w:p w14:paraId="3B329FD8" w14:textId="77777777" w:rsidR="006E3B52" w:rsidRPr="00AA1EEE" w:rsidRDefault="004435C4" w:rsidP="00D51019">
      <w:pPr>
        <w:spacing w:line="276" w:lineRule="auto"/>
        <w:outlineLvl w:val="0"/>
        <w:rPr>
          <w:b/>
          <w:bCs/>
          <w:iCs/>
          <w:color w:val="000000"/>
        </w:rPr>
      </w:pPr>
      <w:bookmarkStart w:id="21" w:name="_Toc506904662"/>
      <w:r w:rsidRPr="00AA1EEE">
        <w:rPr>
          <w:b/>
          <w:bCs/>
          <w:iCs/>
          <w:color w:val="000000"/>
        </w:rPr>
        <w:t>A</w:t>
      </w:r>
      <w:r w:rsidR="00DC2107" w:rsidRPr="00AA1EEE">
        <w:rPr>
          <w:b/>
          <w:bCs/>
          <w:iCs/>
          <w:color w:val="000000"/>
        </w:rPr>
        <w:t>.</w:t>
      </w:r>
      <w:r w:rsidR="006E3B52" w:rsidRPr="00AA1EEE">
        <w:rPr>
          <w:b/>
          <w:bCs/>
          <w:iCs/>
          <w:color w:val="000000"/>
        </w:rPr>
        <w:t>9. Explanation of Any Payment or Gift to Respondent</w:t>
      </w:r>
      <w:r w:rsidRPr="00AA1EEE">
        <w:rPr>
          <w:b/>
          <w:bCs/>
          <w:iCs/>
          <w:color w:val="000000"/>
        </w:rPr>
        <w:t>s</w:t>
      </w:r>
      <w:bookmarkEnd w:id="21"/>
    </w:p>
    <w:p w14:paraId="202AE7D4" w14:textId="77777777" w:rsidR="006E3B52" w:rsidRPr="00BF718B" w:rsidRDefault="006E3B52" w:rsidP="00D51019">
      <w:pPr>
        <w:spacing w:line="276" w:lineRule="auto"/>
      </w:pPr>
    </w:p>
    <w:p w14:paraId="290C78FF" w14:textId="77777777" w:rsidR="006E3B52" w:rsidRPr="00BF718B" w:rsidRDefault="006E3B52" w:rsidP="00D51019">
      <w:pPr>
        <w:spacing w:line="276" w:lineRule="auto"/>
      </w:pPr>
      <w:r w:rsidRPr="00BF718B">
        <w:t xml:space="preserve">A cash </w:t>
      </w:r>
      <w:r w:rsidR="00D25282" w:rsidRPr="00BF718B">
        <w:t xml:space="preserve">stipend </w:t>
      </w:r>
      <w:r w:rsidR="00D20D92" w:rsidRPr="00BF718B">
        <w:t>or other gift may</w:t>
      </w:r>
      <w:r w:rsidR="006B4F4E" w:rsidRPr="00BF718B">
        <w:t xml:space="preserve"> be offered to the evaluation research participants as a token of appreciation for a respondent’s time and interest</w:t>
      </w:r>
      <w:r w:rsidR="00C40682" w:rsidRPr="00BF718B">
        <w:t xml:space="preserve"> in the project</w:t>
      </w:r>
      <w:r w:rsidR="00D20D92" w:rsidRPr="00BF718B">
        <w:t xml:space="preserve">, but </w:t>
      </w:r>
      <w:r w:rsidR="00342768" w:rsidRPr="00BF718B">
        <w:t xml:space="preserve">the use of incentives will not be the </w:t>
      </w:r>
      <w:r w:rsidR="00D05E0A" w:rsidRPr="00BF718B">
        <w:t>default</w:t>
      </w:r>
      <w:r w:rsidR="00593A1C" w:rsidRPr="00BF718B">
        <w:t xml:space="preserve"> practice</w:t>
      </w:r>
      <w:r w:rsidRPr="00BF718B">
        <w:t xml:space="preserve">. Amounts and justifications </w:t>
      </w:r>
      <w:r w:rsidR="00342768" w:rsidRPr="00BF718B">
        <w:t xml:space="preserve">for any </w:t>
      </w:r>
      <w:r w:rsidR="001B31AB">
        <w:t>token of appreciation</w:t>
      </w:r>
      <w:r w:rsidR="001B31AB" w:rsidRPr="00BF718B">
        <w:t xml:space="preserve"> </w:t>
      </w:r>
      <w:r w:rsidRPr="00BF718B">
        <w:t>will be determined on an individual project basis</w:t>
      </w:r>
      <w:r w:rsidR="00342768" w:rsidRPr="00BF718B">
        <w:t xml:space="preserve"> and will be supported by research indicating that incentives are useful for the particular population participating in the information collection</w:t>
      </w:r>
      <w:r w:rsidRPr="00BF718B">
        <w:t xml:space="preserve">. This information will be included in the </w:t>
      </w:r>
      <w:r w:rsidR="00AF7E2D" w:rsidRPr="00BF718B">
        <w:t>statement</w:t>
      </w:r>
      <w:r w:rsidRPr="00BF718B">
        <w:t xml:space="preserve"> provided to OMB for each </w:t>
      </w:r>
      <w:r w:rsidR="003F0F47" w:rsidRPr="00BF718B">
        <w:t xml:space="preserve">information collection </w:t>
      </w:r>
      <w:r w:rsidRPr="00BF718B">
        <w:t>to be conducted</w:t>
      </w:r>
      <w:r w:rsidR="003F0F47" w:rsidRPr="00BF718B">
        <w:t xml:space="preserve"> by </w:t>
      </w:r>
      <w:r w:rsidR="003A4D97" w:rsidRPr="00BF718B">
        <w:t>DGMQ</w:t>
      </w:r>
      <w:r w:rsidRPr="00BF718B">
        <w:t>.</w:t>
      </w:r>
      <w:r w:rsidR="00342768" w:rsidRPr="00BF718B">
        <w:t xml:space="preserve"> </w:t>
      </w:r>
    </w:p>
    <w:p w14:paraId="5E8AA554" w14:textId="77777777" w:rsidR="00D25282" w:rsidRPr="00BF718B" w:rsidRDefault="00D25282" w:rsidP="00D5101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ascii="Times New Roman" w:hAnsi="Times New Roman"/>
          <w:i/>
          <w:color w:val="000000"/>
          <w:sz w:val="24"/>
          <w:szCs w:val="24"/>
        </w:rPr>
      </w:pPr>
      <w:r w:rsidRPr="00BF718B">
        <w:rPr>
          <w:rFonts w:ascii="Times New Roman" w:hAnsi="Times New Roman"/>
          <w:i/>
          <w:color w:val="000000"/>
          <w:sz w:val="24"/>
          <w:szCs w:val="24"/>
        </w:rPr>
        <w:t>The Need for Incentives</w:t>
      </w:r>
    </w:p>
    <w:p w14:paraId="07F5676D" w14:textId="77777777" w:rsidR="00D25282" w:rsidRPr="00BF718B" w:rsidRDefault="00D25282" w:rsidP="00D5101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r w:rsidRPr="00BF718B">
        <w:rPr>
          <w:rFonts w:ascii="Times New Roman" w:hAnsi="Times New Roman"/>
          <w:color w:val="000000"/>
          <w:sz w:val="24"/>
          <w:szCs w:val="24"/>
        </w:rPr>
        <w:t xml:space="preserve">Incorporating modest incentives to aid in recruitment for </w:t>
      </w:r>
      <w:r w:rsidR="00110290" w:rsidRPr="00BF718B">
        <w:rPr>
          <w:rFonts w:ascii="Times New Roman" w:hAnsi="Times New Roman"/>
          <w:color w:val="000000"/>
          <w:sz w:val="24"/>
          <w:szCs w:val="24"/>
        </w:rPr>
        <w:t xml:space="preserve">evaluation </w:t>
      </w:r>
      <w:r w:rsidRPr="00BF718B">
        <w:rPr>
          <w:rFonts w:ascii="Times New Roman" w:hAnsi="Times New Roman"/>
          <w:color w:val="000000"/>
          <w:sz w:val="24"/>
          <w:szCs w:val="24"/>
        </w:rPr>
        <w:t xml:space="preserve">research is standard practice among commercial market researchers. For a number of reasons, this practice is also appropriate for information collections covered by this generic package. </w:t>
      </w:r>
    </w:p>
    <w:p w14:paraId="6C8D8741" w14:textId="77777777" w:rsidR="00FF71FE" w:rsidRPr="00BF718B" w:rsidRDefault="00FF71FE" w:rsidP="00D51019">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rPr>
      </w:pPr>
    </w:p>
    <w:p w14:paraId="0C8AAD78" w14:textId="77777777" w:rsidR="00D25282" w:rsidRPr="00BF718B" w:rsidRDefault="00D25282" w:rsidP="00D51019">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rPr>
      </w:pPr>
      <w:r w:rsidRPr="00BF718B">
        <w:rPr>
          <w:color w:val="000000"/>
        </w:rPr>
        <w:t>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but they also increased the accuracy of reporting</w:t>
      </w:r>
      <w:r w:rsidR="00106BA7" w:rsidRPr="00BF718B">
        <w:rPr>
          <w:color w:val="000000"/>
        </w:rPr>
        <w:t xml:space="preserve"> (2)</w:t>
      </w:r>
      <w:r w:rsidRPr="00BF718B">
        <w:rPr>
          <w:color w:val="000000"/>
        </w:rPr>
        <w:t>.</w:t>
      </w:r>
      <w:r w:rsidRPr="00BF718B">
        <w:t xml:space="preserve"> </w:t>
      </w:r>
      <w:r w:rsidRPr="00BF718B">
        <w:rPr>
          <w:color w:val="000000"/>
        </w:rPr>
        <w:t>Incentives are necessary for testing in order to ensure that those who are willing to participate are as representative as possib</w:t>
      </w:r>
      <w:r w:rsidR="003701B1" w:rsidRPr="00BF718B">
        <w:rPr>
          <w:color w:val="000000"/>
        </w:rPr>
        <w:t xml:space="preserve">le of the wider public. </w:t>
      </w:r>
      <w:r w:rsidRPr="00BF718B">
        <w:rPr>
          <w:color w:val="000000"/>
        </w:rPr>
        <w:t>Failure to provide a basic incentive is likely to bias samples in the direction of well-educated individuals who are generally predisposed to be helpful</w:t>
      </w:r>
      <w:r w:rsidR="00944123" w:rsidRPr="00BF718B">
        <w:rPr>
          <w:color w:val="000000"/>
        </w:rPr>
        <w:t>.</w:t>
      </w:r>
      <w:r w:rsidRPr="00BF718B">
        <w:rPr>
          <w:color w:val="000000"/>
        </w:rPr>
        <w:t xml:space="preserve"> </w:t>
      </w:r>
    </w:p>
    <w:p w14:paraId="3F2D9AF4" w14:textId="77777777" w:rsidR="00D25282" w:rsidRPr="00BF718B" w:rsidRDefault="00D25282" w:rsidP="00D5101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p>
    <w:p w14:paraId="539E4B9F" w14:textId="77777777" w:rsidR="00D25282" w:rsidRPr="00BF718B" w:rsidRDefault="00D25282" w:rsidP="00D5101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r w:rsidRPr="00BF718B">
        <w:rPr>
          <w:rFonts w:ascii="Times New Roman" w:hAnsi="Times New Roman"/>
          <w:color w:val="000000"/>
          <w:sz w:val="24"/>
          <w:szCs w:val="24"/>
        </w:rPr>
        <w:t xml:space="preserve">In the National Adult </w:t>
      </w:r>
      <w:r w:rsidR="00106BA7" w:rsidRPr="00BF718B">
        <w:rPr>
          <w:rFonts w:ascii="Times New Roman" w:hAnsi="Times New Roman"/>
          <w:color w:val="000000"/>
          <w:sz w:val="24"/>
          <w:szCs w:val="24"/>
        </w:rPr>
        <w:t xml:space="preserve">Literacy Survey by Berlin </w:t>
      </w:r>
      <w:r w:rsidRPr="00BF718B">
        <w:rPr>
          <w:rFonts w:ascii="Times New Roman" w:hAnsi="Times New Roman"/>
          <w:color w:val="000000"/>
          <w:sz w:val="24"/>
          <w:szCs w:val="24"/>
        </w:rPr>
        <w:t>and colleagues</w:t>
      </w:r>
      <w:r w:rsidR="00106BA7" w:rsidRPr="00BF718B">
        <w:rPr>
          <w:rFonts w:ascii="Times New Roman" w:hAnsi="Times New Roman"/>
          <w:color w:val="000000"/>
          <w:sz w:val="24"/>
          <w:szCs w:val="24"/>
        </w:rPr>
        <w:t xml:space="preserve"> (3)</w:t>
      </w:r>
      <w:r w:rsidRPr="00BF718B">
        <w:rPr>
          <w:rFonts w:ascii="Times New Roman" w:hAnsi="Times New Roman"/>
          <w:color w:val="000000"/>
          <w:sz w:val="24"/>
          <w:szCs w:val="24"/>
        </w:rPr>
        <w:t>, a $20 incentive resulted in not only higher response rates from the sample cohort</w:t>
      </w:r>
      <w:r w:rsidR="003701B1" w:rsidRPr="00BF718B">
        <w:rPr>
          <w:rFonts w:ascii="Times New Roman" w:hAnsi="Times New Roman"/>
          <w:color w:val="000000"/>
          <w:sz w:val="24"/>
          <w:szCs w:val="24"/>
        </w:rPr>
        <w:t>,</w:t>
      </w:r>
      <w:r w:rsidRPr="00BF718B">
        <w:rPr>
          <w:rFonts w:ascii="Times New Roman" w:hAnsi="Times New Roman"/>
          <w:color w:val="000000"/>
          <w:sz w:val="24"/>
          <w:szCs w:val="24"/>
        </w:rPr>
        <w:t xml:space="preserve"> but also lower costs per completed case than the comparison group. Importantly, the incentives provided higher response rates from adults with lower-than-average levels of education and basic literacy and numeracy skills</w:t>
      </w:r>
      <w:r w:rsidR="005F4083" w:rsidRPr="00BF718B">
        <w:rPr>
          <w:rFonts w:ascii="Times New Roman" w:hAnsi="Times New Roman"/>
          <w:color w:val="000000"/>
          <w:sz w:val="24"/>
          <w:szCs w:val="24"/>
        </w:rPr>
        <w:t>.</w:t>
      </w:r>
    </w:p>
    <w:p w14:paraId="7AC7E973" w14:textId="77777777" w:rsidR="005F4083" w:rsidRPr="00BF718B" w:rsidRDefault="005F4083" w:rsidP="00D5101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p>
    <w:p w14:paraId="6253E70C" w14:textId="77777777" w:rsidR="00522277" w:rsidRPr="00BF718B" w:rsidRDefault="00D25282" w:rsidP="00D5101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r w:rsidRPr="00BF718B">
        <w:rPr>
          <w:rFonts w:ascii="Times New Roman" w:hAnsi="Times New Roman"/>
          <w:color w:val="000000"/>
          <w:sz w:val="24"/>
          <w:szCs w:val="24"/>
        </w:rPr>
        <w:t xml:space="preserve">Empirical evidence suggests that motivation is increased when an incentive is present for research. </w:t>
      </w:r>
      <w:r w:rsidR="00522277" w:rsidRPr="00BF718B">
        <w:rPr>
          <w:rFonts w:ascii="Times New Roman" w:hAnsi="Times New Roman"/>
          <w:color w:val="000000"/>
          <w:sz w:val="24"/>
          <w:szCs w:val="24"/>
        </w:rPr>
        <w:t>Krueg</w:t>
      </w:r>
      <w:r w:rsidR="003701B1" w:rsidRPr="00BF718B">
        <w:rPr>
          <w:rFonts w:ascii="Times New Roman" w:hAnsi="Times New Roman"/>
          <w:color w:val="000000"/>
          <w:sz w:val="24"/>
          <w:szCs w:val="24"/>
        </w:rPr>
        <w:t>e</w:t>
      </w:r>
      <w:r w:rsidR="00106BA7" w:rsidRPr="00BF718B">
        <w:rPr>
          <w:rFonts w:ascii="Times New Roman" w:hAnsi="Times New Roman"/>
          <w:color w:val="000000"/>
          <w:sz w:val="24"/>
          <w:szCs w:val="24"/>
        </w:rPr>
        <w:t>r (</w:t>
      </w:r>
      <w:r w:rsidR="00522277" w:rsidRPr="00BF718B">
        <w:rPr>
          <w:rFonts w:ascii="Times New Roman" w:hAnsi="Times New Roman"/>
          <w:color w:val="000000"/>
          <w:sz w:val="24"/>
          <w:szCs w:val="24"/>
        </w:rPr>
        <w:t>4) cautions that without providing minimal levels of monetary compensation, insufficient numbers of participants will attend and results will not be useful. In addition, there is substantial evidence that monetary incentives incre</w:t>
      </w:r>
      <w:r w:rsidR="003701B1" w:rsidRPr="00BF718B">
        <w:rPr>
          <w:rFonts w:ascii="Times New Roman" w:hAnsi="Times New Roman"/>
          <w:color w:val="000000"/>
          <w:sz w:val="24"/>
          <w:szCs w:val="24"/>
        </w:rPr>
        <w:t xml:space="preserve">ase response rates to surveys. </w:t>
      </w:r>
      <w:r w:rsidR="00522277" w:rsidRPr="00BF718B">
        <w:rPr>
          <w:rFonts w:ascii="Times New Roman" w:hAnsi="Times New Roman"/>
          <w:color w:val="000000"/>
          <w:sz w:val="24"/>
          <w:szCs w:val="24"/>
        </w:rPr>
        <w:t>In a meta-analysis of 38 experiments and</w:t>
      </w:r>
      <w:r w:rsidR="00106BA7" w:rsidRPr="00BF718B">
        <w:rPr>
          <w:rFonts w:ascii="Times New Roman" w:hAnsi="Times New Roman"/>
          <w:color w:val="000000"/>
          <w:sz w:val="24"/>
          <w:szCs w:val="24"/>
        </w:rPr>
        <w:t xml:space="preserve"> quasi-experiments, Church (5</w:t>
      </w:r>
      <w:r w:rsidR="00522277" w:rsidRPr="00BF718B">
        <w:rPr>
          <w:rFonts w:ascii="Times New Roman" w:hAnsi="Times New Roman"/>
          <w:color w:val="000000"/>
          <w:sz w:val="24"/>
          <w:szCs w:val="24"/>
        </w:rPr>
        <w:t>) found that nonmonetary gifts were significantly less effective than cash in generating survey responses, and noted that offering pre</w:t>
      </w:r>
      <w:r w:rsidR="003701B1" w:rsidRPr="00BF718B">
        <w:rPr>
          <w:rFonts w:ascii="Times New Roman" w:hAnsi="Times New Roman"/>
          <w:color w:val="000000"/>
          <w:sz w:val="24"/>
          <w:szCs w:val="24"/>
        </w:rPr>
        <w:t>-</w:t>
      </w:r>
      <w:r w:rsidR="00522277" w:rsidRPr="00BF718B">
        <w:rPr>
          <w:rFonts w:ascii="Times New Roman" w:hAnsi="Times New Roman"/>
          <w:color w:val="000000"/>
          <w:sz w:val="24"/>
          <w:szCs w:val="24"/>
        </w:rPr>
        <w:t>paid monetary incentives yielded an average increase of 19.1 percentage points over comparison groups.</w:t>
      </w:r>
    </w:p>
    <w:p w14:paraId="47D3A461" w14:textId="77777777" w:rsidR="00D25282" w:rsidRPr="00BF718B" w:rsidRDefault="00D25282" w:rsidP="00D5101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ascii="Times New Roman" w:hAnsi="Times New Roman"/>
          <w:i/>
          <w:color w:val="000000"/>
          <w:sz w:val="24"/>
          <w:szCs w:val="24"/>
        </w:rPr>
      </w:pPr>
      <w:r w:rsidRPr="00BF718B">
        <w:rPr>
          <w:rFonts w:ascii="Times New Roman" w:hAnsi="Times New Roman"/>
          <w:i/>
          <w:color w:val="000000"/>
          <w:sz w:val="24"/>
          <w:szCs w:val="24"/>
        </w:rPr>
        <w:t xml:space="preserve">Level of Incentive Payment </w:t>
      </w:r>
    </w:p>
    <w:p w14:paraId="1D560218" w14:textId="77777777" w:rsidR="00D25282" w:rsidRPr="00BF718B" w:rsidRDefault="00D25282" w:rsidP="00D51019">
      <w:pPr>
        <w:tabs>
          <w:tab w:val="left" w:pos="90"/>
        </w:tabs>
        <w:spacing w:line="276" w:lineRule="auto"/>
        <w:rPr>
          <w:snapToGrid w:val="0"/>
          <w:color w:val="000000"/>
        </w:rPr>
      </w:pPr>
      <w:r w:rsidRPr="00BF718B">
        <w:rPr>
          <w:snapToGrid w:val="0"/>
          <w:color w:val="000000"/>
        </w:rPr>
        <w:t xml:space="preserve">Under the terms of the subject </w:t>
      </w:r>
      <w:r w:rsidR="0040770F">
        <w:rPr>
          <w:snapToGrid w:val="0"/>
          <w:color w:val="000000"/>
        </w:rPr>
        <w:t>information collection</w:t>
      </w:r>
      <w:r w:rsidRPr="00BF718B">
        <w:rPr>
          <w:snapToGrid w:val="0"/>
          <w:color w:val="000000"/>
        </w:rPr>
        <w:t xml:space="preserve">, </w:t>
      </w:r>
      <w:r w:rsidR="00AA5973" w:rsidRPr="00BF718B">
        <w:rPr>
          <w:snapToGrid w:val="0"/>
          <w:color w:val="000000"/>
        </w:rPr>
        <w:t xml:space="preserve">DGMQ </w:t>
      </w:r>
      <w:r w:rsidRPr="00BF718B">
        <w:rPr>
          <w:snapToGrid w:val="0"/>
          <w:color w:val="000000"/>
        </w:rPr>
        <w:t xml:space="preserve">will not directly provide </w:t>
      </w:r>
      <w:r w:rsidR="00121127" w:rsidRPr="00BF718B">
        <w:rPr>
          <w:snapToGrid w:val="0"/>
          <w:color w:val="000000"/>
        </w:rPr>
        <w:t xml:space="preserve">incentives or gifts </w:t>
      </w:r>
      <w:r w:rsidRPr="00BF718B">
        <w:rPr>
          <w:snapToGrid w:val="0"/>
          <w:color w:val="000000"/>
        </w:rPr>
        <w:t xml:space="preserve">to respondents. However, some respondents may receive </w:t>
      </w:r>
      <w:r w:rsidR="00D20D92" w:rsidRPr="00BF718B">
        <w:rPr>
          <w:snapToGrid w:val="0"/>
          <w:color w:val="000000"/>
        </w:rPr>
        <w:t xml:space="preserve">a token of appreciation </w:t>
      </w:r>
      <w:r w:rsidRPr="00BF718B">
        <w:rPr>
          <w:snapToGrid w:val="0"/>
          <w:color w:val="000000"/>
        </w:rPr>
        <w:t xml:space="preserve">through recruitment companies contracted to obtain participants. </w:t>
      </w:r>
      <w:r w:rsidR="00AA5973" w:rsidRPr="00BF718B">
        <w:rPr>
          <w:snapToGrid w:val="0"/>
          <w:color w:val="000000"/>
        </w:rPr>
        <w:t xml:space="preserve">DGMQ </w:t>
      </w:r>
      <w:r w:rsidRPr="00BF718B">
        <w:rPr>
          <w:snapToGrid w:val="0"/>
          <w:color w:val="000000"/>
        </w:rPr>
        <w:t>may use these recruitment companies to find participants for larger surveys or when it is difficult to find specific types of audiences willing to participate, e.g.</w:t>
      </w:r>
      <w:r w:rsidR="003701B1" w:rsidRPr="00BF718B">
        <w:rPr>
          <w:snapToGrid w:val="0"/>
          <w:color w:val="000000"/>
        </w:rPr>
        <w:t>,</w:t>
      </w:r>
      <w:r w:rsidRPr="00BF718B">
        <w:rPr>
          <w:snapToGrid w:val="0"/>
          <w:color w:val="000000"/>
        </w:rPr>
        <w:t xml:space="preserve"> </w:t>
      </w:r>
      <w:r w:rsidR="003701B1" w:rsidRPr="00BF718B">
        <w:rPr>
          <w:snapToGrid w:val="0"/>
          <w:color w:val="000000"/>
        </w:rPr>
        <w:t>health</w:t>
      </w:r>
      <w:r w:rsidR="003F0F47" w:rsidRPr="00BF718B">
        <w:rPr>
          <w:snapToGrid w:val="0"/>
          <w:color w:val="000000"/>
        </w:rPr>
        <w:t>care providers</w:t>
      </w:r>
      <w:r w:rsidR="00D20D92" w:rsidRPr="00BF718B">
        <w:rPr>
          <w:snapToGrid w:val="0"/>
          <w:color w:val="000000"/>
        </w:rPr>
        <w:t xml:space="preserve"> or hard to </w:t>
      </w:r>
      <w:r w:rsidR="001B31AB" w:rsidRPr="00BF718B">
        <w:rPr>
          <w:snapToGrid w:val="0"/>
          <w:color w:val="000000"/>
        </w:rPr>
        <w:t>rea</w:t>
      </w:r>
      <w:r w:rsidR="001B31AB">
        <w:rPr>
          <w:snapToGrid w:val="0"/>
          <w:color w:val="000000"/>
        </w:rPr>
        <w:t>ch</w:t>
      </w:r>
      <w:r w:rsidR="001B31AB" w:rsidRPr="00BF718B">
        <w:rPr>
          <w:snapToGrid w:val="0"/>
          <w:color w:val="000000"/>
        </w:rPr>
        <w:t xml:space="preserve"> </w:t>
      </w:r>
      <w:r w:rsidR="00D20D92" w:rsidRPr="00BF718B">
        <w:rPr>
          <w:snapToGrid w:val="0"/>
          <w:color w:val="000000"/>
        </w:rPr>
        <w:t>or marginalized populations</w:t>
      </w:r>
      <w:r w:rsidRPr="00BF718B">
        <w:rPr>
          <w:snapToGrid w:val="0"/>
          <w:color w:val="000000"/>
        </w:rPr>
        <w:t xml:space="preserve">. It is typical for recruitment companies to provide </w:t>
      </w:r>
      <w:r w:rsidR="00D20D92" w:rsidRPr="00BF718B">
        <w:rPr>
          <w:snapToGrid w:val="0"/>
          <w:color w:val="000000"/>
        </w:rPr>
        <w:t xml:space="preserve">incentives </w:t>
      </w:r>
      <w:r w:rsidRPr="00BF718B">
        <w:rPr>
          <w:snapToGrid w:val="0"/>
          <w:color w:val="000000"/>
        </w:rPr>
        <w:t xml:space="preserve">to users as part of their practices. The amount of </w:t>
      </w:r>
      <w:r w:rsidR="00D20D92" w:rsidRPr="00BF718B">
        <w:rPr>
          <w:snapToGrid w:val="0"/>
          <w:color w:val="000000"/>
        </w:rPr>
        <w:t xml:space="preserve">incentive </w:t>
      </w:r>
      <w:r w:rsidR="0040770F">
        <w:rPr>
          <w:snapToGrid w:val="0"/>
          <w:color w:val="000000"/>
        </w:rPr>
        <w:t>will be based on guidance from OMB</w:t>
      </w:r>
      <w:r w:rsidR="004E2ABB" w:rsidRPr="00BF718B">
        <w:rPr>
          <w:snapToGrid w:val="0"/>
          <w:color w:val="000000"/>
        </w:rPr>
        <w:t>, and the type of gift</w:t>
      </w:r>
      <w:r w:rsidR="00D20D92" w:rsidRPr="00BF718B">
        <w:rPr>
          <w:snapToGrid w:val="0"/>
          <w:color w:val="000000"/>
        </w:rPr>
        <w:t xml:space="preserve"> </w:t>
      </w:r>
      <w:r w:rsidR="00121127" w:rsidRPr="00BF718B">
        <w:rPr>
          <w:snapToGrid w:val="0"/>
          <w:color w:val="000000"/>
        </w:rPr>
        <w:t xml:space="preserve">may also be </w:t>
      </w:r>
      <w:r w:rsidR="00D20D92" w:rsidRPr="00BF718B">
        <w:rPr>
          <w:snapToGrid w:val="0"/>
          <w:color w:val="000000"/>
        </w:rPr>
        <w:t>based on the age demographic participating</w:t>
      </w:r>
      <w:r w:rsidR="00121127" w:rsidRPr="00BF718B">
        <w:rPr>
          <w:snapToGrid w:val="0"/>
          <w:color w:val="000000"/>
        </w:rPr>
        <w:t xml:space="preserve"> in the information collection</w:t>
      </w:r>
      <w:r w:rsidRPr="00BF718B">
        <w:rPr>
          <w:snapToGrid w:val="0"/>
          <w:color w:val="000000"/>
        </w:rPr>
        <w:t xml:space="preserve">. </w:t>
      </w:r>
    </w:p>
    <w:p w14:paraId="079B18EE" w14:textId="77777777" w:rsidR="00D25282" w:rsidRPr="00BF718B" w:rsidRDefault="00D25282" w:rsidP="00D51019">
      <w:pPr>
        <w:spacing w:line="276" w:lineRule="auto"/>
      </w:pPr>
    </w:p>
    <w:p w14:paraId="64181D81" w14:textId="77777777" w:rsidR="006E3B52" w:rsidRPr="00AA1EEE" w:rsidRDefault="004435C4" w:rsidP="00D51019">
      <w:pPr>
        <w:spacing w:line="276" w:lineRule="auto"/>
        <w:outlineLvl w:val="0"/>
        <w:rPr>
          <w:b/>
          <w:bCs/>
          <w:iCs/>
          <w:color w:val="000000"/>
        </w:rPr>
      </w:pPr>
      <w:bookmarkStart w:id="22" w:name="_Toc506904663"/>
      <w:r w:rsidRPr="00AA1EEE">
        <w:rPr>
          <w:b/>
          <w:bCs/>
          <w:iCs/>
          <w:color w:val="000000"/>
        </w:rPr>
        <w:t>A</w:t>
      </w:r>
      <w:r w:rsidR="00DC2107" w:rsidRPr="00AA1EEE">
        <w:rPr>
          <w:b/>
          <w:bCs/>
          <w:iCs/>
          <w:color w:val="000000"/>
        </w:rPr>
        <w:t>.</w:t>
      </w:r>
      <w:r w:rsidR="006E3B52" w:rsidRPr="00AA1EEE">
        <w:rPr>
          <w:b/>
          <w:bCs/>
          <w:iCs/>
          <w:color w:val="000000"/>
        </w:rPr>
        <w:t xml:space="preserve">10. </w:t>
      </w:r>
      <w:r w:rsidR="00BF718B" w:rsidRPr="00AA1EEE">
        <w:rPr>
          <w:b/>
          <w:bCs/>
          <w:iCs/>
          <w:color w:val="000000"/>
        </w:rPr>
        <w:t>Protection of the Privacy and Confidentiality of Information Provided by Respondents</w:t>
      </w:r>
      <w:bookmarkEnd w:id="22"/>
    </w:p>
    <w:p w14:paraId="0C30BCCD" w14:textId="77777777" w:rsidR="006E3B52" w:rsidRPr="00BF718B" w:rsidRDefault="006E3B52" w:rsidP="00D51019">
      <w:pPr>
        <w:spacing w:line="276" w:lineRule="auto"/>
      </w:pPr>
    </w:p>
    <w:p w14:paraId="44C7BD45" w14:textId="77777777" w:rsidR="007C1142" w:rsidRPr="00BF718B" w:rsidRDefault="002166BA" w:rsidP="00D51019">
      <w:pPr>
        <w:spacing w:line="276" w:lineRule="auto"/>
      </w:pPr>
      <w:r w:rsidRPr="00BF718B">
        <w:rPr>
          <w:color w:val="000000" w:themeColor="text1"/>
        </w:rPr>
        <w:t xml:space="preserve">NCEZID has reviewed and stated that the Privacy Act </w:t>
      </w:r>
      <w:r w:rsidR="00A62421" w:rsidRPr="00BF718B">
        <w:rPr>
          <w:color w:val="000000" w:themeColor="text1"/>
        </w:rPr>
        <w:t>may apply depending on the information collection</w:t>
      </w:r>
      <w:r w:rsidRPr="00BF718B">
        <w:rPr>
          <w:color w:val="000000" w:themeColor="text1"/>
        </w:rPr>
        <w:t xml:space="preserve">. </w:t>
      </w:r>
      <w:r w:rsidR="003A4D97" w:rsidRPr="00BF718B">
        <w:rPr>
          <w:color w:val="000000" w:themeColor="text1"/>
        </w:rPr>
        <w:t>DGMQ</w:t>
      </w:r>
      <w:r w:rsidR="006E3B52" w:rsidRPr="00BF718B">
        <w:rPr>
          <w:color w:val="000000" w:themeColor="text1"/>
        </w:rPr>
        <w:t xml:space="preserve"> and contractors will follow procedures for assuring and maintaining </w:t>
      </w:r>
      <w:r w:rsidR="003B277F" w:rsidRPr="00BF718B">
        <w:rPr>
          <w:color w:val="000000" w:themeColor="text1"/>
        </w:rPr>
        <w:t>security</w:t>
      </w:r>
      <w:r w:rsidR="006E3B52" w:rsidRPr="00BF718B">
        <w:rPr>
          <w:color w:val="000000" w:themeColor="text1"/>
        </w:rPr>
        <w:t xml:space="preserve"> </w:t>
      </w:r>
      <w:r w:rsidR="006E3B52" w:rsidRPr="00BF718B">
        <w:t xml:space="preserve">during all stages of data collection. </w:t>
      </w:r>
      <w:r w:rsidR="007C1142" w:rsidRPr="00BF718B">
        <w:rPr>
          <w:bCs/>
          <w:iCs/>
          <w:color w:val="000000"/>
        </w:rPr>
        <w:t xml:space="preserve">Respondents will be recruited </w:t>
      </w:r>
      <w:r w:rsidR="007C1142" w:rsidRPr="00BF718B">
        <w:rPr>
          <w:color w:val="000000"/>
        </w:rPr>
        <w:t xml:space="preserve">using established record systems such as proprietary databases of professional organizations (e.g., the American Medical Association), commercial focus group companies, and other sources. </w:t>
      </w:r>
    </w:p>
    <w:p w14:paraId="3DB4CDC4" w14:textId="77777777" w:rsidR="007C1142" w:rsidRPr="00BF718B" w:rsidRDefault="007C1142" w:rsidP="00D51019">
      <w:pPr>
        <w:autoSpaceDE w:val="0"/>
        <w:autoSpaceDN w:val="0"/>
        <w:adjustRightInd w:val="0"/>
        <w:spacing w:line="276" w:lineRule="auto"/>
        <w:rPr>
          <w:color w:val="000000"/>
        </w:rPr>
      </w:pPr>
    </w:p>
    <w:p w14:paraId="5C46BFE7" w14:textId="77777777" w:rsidR="001B31AB" w:rsidRPr="00BF718B" w:rsidRDefault="007C1142" w:rsidP="00D51019">
      <w:pPr>
        <w:spacing w:line="276" w:lineRule="auto"/>
        <w:rPr>
          <w:color w:val="000000"/>
        </w:rPr>
      </w:pPr>
      <w:r w:rsidRPr="00BF718B">
        <w:rPr>
          <w:color w:val="000000"/>
        </w:rPr>
        <w:t xml:space="preserve">Respondents will be informed that </w:t>
      </w:r>
      <w:r w:rsidR="00C53537" w:rsidRPr="00BF718B">
        <w:rPr>
          <w:color w:val="000000"/>
        </w:rPr>
        <w:t>information collected</w:t>
      </w:r>
      <w:r w:rsidRPr="00BF718B">
        <w:rPr>
          <w:color w:val="000000"/>
        </w:rPr>
        <w:t xml:space="preserve"> may be </w:t>
      </w:r>
      <w:r w:rsidR="00236646" w:rsidRPr="00BF718B">
        <w:rPr>
          <w:color w:val="000000"/>
        </w:rPr>
        <w:t>recorded</w:t>
      </w:r>
      <w:r w:rsidRPr="00BF718B">
        <w:rPr>
          <w:color w:val="000000"/>
        </w:rPr>
        <w:t xml:space="preserve"> and transcribed, and that </w:t>
      </w:r>
      <w:r w:rsidR="00236646" w:rsidRPr="00BF718B">
        <w:rPr>
          <w:color w:val="000000"/>
        </w:rPr>
        <w:t>any multimedia recordings</w:t>
      </w:r>
      <w:r w:rsidRPr="00BF718B">
        <w:rPr>
          <w:color w:val="000000"/>
        </w:rPr>
        <w:t xml:space="preserve"> will be destroyed after completion of each report on findings. </w:t>
      </w:r>
      <w:r w:rsidR="003A4D97" w:rsidRPr="00BF718B">
        <w:rPr>
          <w:color w:val="000000"/>
        </w:rPr>
        <w:t>DGMQ</w:t>
      </w:r>
      <w:r w:rsidRPr="00BF718B">
        <w:rPr>
          <w:color w:val="000000"/>
        </w:rPr>
        <w:t xml:space="preserve"> staff, in conjunction with the contractor, will collect and evaluate the research data.  </w:t>
      </w:r>
    </w:p>
    <w:p w14:paraId="213CE9BF" w14:textId="77777777" w:rsidR="007C1142" w:rsidRPr="00BF718B" w:rsidRDefault="007C1142" w:rsidP="00D51019">
      <w:pPr>
        <w:spacing w:line="276" w:lineRule="auto"/>
        <w:rPr>
          <w:color w:val="000000"/>
        </w:rPr>
      </w:pPr>
      <w:r w:rsidRPr="00BF718B">
        <w:rPr>
          <w:color w:val="000000"/>
        </w:rPr>
        <w:t xml:space="preserve">All information provided by respondents will be treated in a </w:t>
      </w:r>
      <w:r w:rsidR="008143DD" w:rsidRPr="00BF718B">
        <w:rPr>
          <w:color w:val="000000"/>
        </w:rPr>
        <w:t xml:space="preserve">secure </w:t>
      </w:r>
      <w:r w:rsidRPr="00BF718B">
        <w:rPr>
          <w:color w:val="000000"/>
        </w:rPr>
        <w:t xml:space="preserve">manner and will not be disclosed unless otherwise compelled by law. Respondents will be informed prior to participation that their responses will be treated in a </w:t>
      </w:r>
      <w:r w:rsidR="008143DD" w:rsidRPr="00BF718B">
        <w:rPr>
          <w:color w:val="000000"/>
        </w:rPr>
        <w:t xml:space="preserve">secure </w:t>
      </w:r>
      <w:r w:rsidRPr="00BF718B">
        <w:rPr>
          <w:color w:val="000000"/>
        </w:rPr>
        <w:t xml:space="preserve">manner. </w:t>
      </w:r>
      <w:r w:rsidR="00236646" w:rsidRPr="00BF718B">
        <w:rPr>
          <w:color w:val="000000"/>
        </w:rPr>
        <w:t xml:space="preserve">An </w:t>
      </w:r>
      <w:r w:rsidR="003F3CCC" w:rsidRPr="00BF718B">
        <w:rPr>
          <w:color w:val="000000"/>
        </w:rPr>
        <w:t>application for IRB review and approval</w:t>
      </w:r>
      <w:r w:rsidR="00236646" w:rsidRPr="00BF718B">
        <w:rPr>
          <w:color w:val="000000"/>
        </w:rPr>
        <w:t xml:space="preserve"> will be submitted for each proposed </w:t>
      </w:r>
      <w:r w:rsidR="00C53537" w:rsidRPr="00BF718B">
        <w:rPr>
          <w:color w:val="000000"/>
        </w:rPr>
        <w:t>evaluation project</w:t>
      </w:r>
      <w:r w:rsidR="003701B1" w:rsidRPr="00BF718B">
        <w:rPr>
          <w:color w:val="000000"/>
        </w:rPr>
        <w:t>, which will outline their</w:t>
      </w:r>
      <w:r w:rsidR="00DB083E" w:rsidRPr="00BF718B">
        <w:rPr>
          <w:color w:val="000000"/>
        </w:rPr>
        <w:t xml:space="preserve"> procedure for participant consent</w:t>
      </w:r>
      <w:r w:rsidR="003F3CCC" w:rsidRPr="00BF718B">
        <w:rPr>
          <w:color w:val="000000"/>
        </w:rPr>
        <w:t xml:space="preserve">.  </w:t>
      </w:r>
      <w:r w:rsidR="00ED01A2" w:rsidRPr="00BF718B">
        <w:t xml:space="preserve"> </w:t>
      </w:r>
    </w:p>
    <w:p w14:paraId="38DFFC49" w14:textId="77777777" w:rsidR="00EE7B95" w:rsidRPr="00BF718B" w:rsidRDefault="00EE7B95" w:rsidP="00D51019">
      <w:pPr>
        <w:autoSpaceDE w:val="0"/>
        <w:autoSpaceDN w:val="0"/>
        <w:adjustRightInd w:val="0"/>
        <w:spacing w:line="276" w:lineRule="auto"/>
        <w:rPr>
          <w:color w:val="000000"/>
        </w:rPr>
      </w:pPr>
    </w:p>
    <w:p w14:paraId="03DE4355" w14:textId="77777777" w:rsidR="003D5400" w:rsidRPr="00BF718B" w:rsidRDefault="003D5400" w:rsidP="00D51019">
      <w:pPr>
        <w:spacing w:line="276" w:lineRule="auto"/>
      </w:pPr>
      <w:r w:rsidRPr="00BF718B">
        <w:t>The proposed data collection will have little or no effect on the respondent’s privacy.</w:t>
      </w:r>
      <w:r w:rsidR="00E401C6">
        <w:t xml:space="preserve"> </w:t>
      </w:r>
      <w:r w:rsidRPr="00BF718B">
        <w:t xml:space="preserve">DGMQ and contractors will follow procedures for assuring and maintaining </w:t>
      </w:r>
      <w:r w:rsidR="003B277F" w:rsidRPr="00BF718B">
        <w:t>security</w:t>
      </w:r>
      <w:r w:rsidRPr="00BF718B">
        <w:t xml:space="preserve"> during all stages of data collection. </w:t>
      </w:r>
      <w:r w:rsidRPr="00BF718B">
        <w:rPr>
          <w:bCs/>
          <w:iCs/>
          <w:color w:val="000000"/>
        </w:rPr>
        <w:t xml:space="preserve">Respondents will be recruited </w:t>
      </w:r>
      <w:r w:rsidRPr="00BF718B">
        <w:rPr>
          <w:color w:val="000000"/>
        </w:rPr>
        <w:t xml:space="preserve">using established record systems such as proprietary databases of professional organizations (e.g., the American Medical Association), commercial focus group companies, and other sources. Each proposed evaluation project will submit information about record systems, any demographic information retained for purposes of analysis, and will reference the appropriate Systems of Records Notice for the data as it applies to the project. </w:t>
      </w:r>
    </w:p>
    <w:p w14:paraId="00C9B9F2" w14:textId="77777777" w:rsidR="003D5400" w:rsidRPr="00BF718B" w:rsidRDefault="003D5400" w:rsidP="00D51019">
      <w:pPr>
        <w:spacing w:line="276" w:lineRule="auto"/>
        <w:rPr>
          <w:color w:val="000000"/>
        </w:rPr>
      </w:pPr>
    </w:p>
    <w:p w14:paraId="55EF36E1" w14:textId="77777777" w:rsidR="003D5400" w:rsidRPr="00BF718B" w:rsidRDefault="003D5400" w:rsidP="00D51019">
      <w:pPr>
        <w:spacing w:line="276" w:lineRule="auto"/>
        <w:rPr>
          <w:color w:val="000000"/>
        </w:rPr>
      </w:pPr>
      <w:r w:rsidRPr="00BF718B">
        <w:rPr>
          <w:color w:val="000000"/>
        </w:rPr>
        <w:t xml:space="preserve">Only DGMQ staff and contractors will collect and evaluate the research data.  Participants will be informed that evaluation research may be recorded and transcribed, and that multimedia recordings will be destroyed after completion of each report on findings. </w:t>
      </w:r>
    </w:p>
    <w:p w14:paraId="551937E5" w14:textId="77777777" w:rsidR="0026687D" w:rsidRDefault="0026687D" w:rsidP="00D51019">
      <w:pPr>
        <w:autoSpaceDE w:val="0"/>
        <w:autoSpaceDN w:val="0"/>
        <w:adjustRightInd w:val="0"/>
        <w:spacing w:line="276" w:lineRule="auto"/>
        <w:rPr>
          <w:color w:val="000000"/>
        </w:rPr>
      </w:pPr>
    </w:p>
    <w:p w14:paraId="43822F8C" w14:textId="77777777" w:rsidR="004470D3" w:rsidRPr="00BF718B" w:rsidRDefault="004470D3" w:rsidP="00D51019">
      <w:pPr>
        <w:autoSpaceDE w:val="0"/>
        <w:autoSpaceDN w:val="0"/>
        <w:adjustRightInd w:val="0"/>
        <w:spacing w:line="276" w:lineRule="auto"/>
        <w:rPr>
          <w:color w:val="000000"/>
        </w:rPr>
      </w:pPr>
      <w:r w:rsidRPr="00BF718B">
        <w:rPr>
          <w:color w:val="000000"/>
        </w:rPr>
        <w:t xml:space="preserve">All data will be stored in secured electronic files at CDC’s and/or a contractor’s office and will be accessible only to staff directly involved in the project. All members of the project will be required to sign a statement pledging their personal commitment to guard the </w:t>
      </w:r>
      <w:r w:rsidR="001B31AB">
        <w:rPr>
          <w:color w:val="000000"/>
        </w:rPr>
        <w:t>privacy</w:t>
      </w:r>
      <w:r w:rsidR="001B31AB" w:rsidRPr="00BF718B">
        <w:rPr>
          <w:color w:val="000000"/>
        </w:rPr>
        <w:t xml:space="preserve"> </w:t>
      </w:r>
      <w:r w:rsidRPr="00BF718B">
        <w:rPr>
          <w:color w:val="000000"/>
        </w:rPr>
        <w:t>of data. Data files will be retained for a period of no more than three years and then destroyed. After the three years, the documents and multimedia recordings will be deleted.</w:t>
      </w:r>
    </w:p>
    <w:p w14:paraId="7466E227" w14:textId="77777777" w:rsidR="004470D3" w:rsidRPr="00BF718B" w:rsidRDefault="004470D3" w:rsidP="00D51019">
      <w:pPr>
        <w:autoSpaceDE w:val="0"/>
        <w:autoSpaceDN w:val="0"/>
        <w:adjustRightInd w:val="0"/>
        <w:spacing w:line="276" w:lineRule="auto"/>
        <w:rPr>
          <w:color w:val="000000"/>
        </w:rPr>
      </w:pPr>
    </w:p>
    <w:p w14:paraId="29FED945" w14:textId="77777777" w:rsidR="004470D3" w:rsidRPr="00BF718B" w:rsidRDefault="004470D3" w:rsidP="00D51019">
      <w:pPr>
        <w:autoSpaceDE w:val="0"/>
        <w:autoSpaceDN w:val="0"/>
        <w:adjustRightInd w:val="0"/>
        <w:spacing w:line="276" w:lineRule="auto"/>
        <w:rPr>
          <w:color w:val="000000"/>
        </w:rPr>
      </w:pPr>
      <w:r w:rsidRPr="00BF718B">
        <w:rPr>
          <w:color w:val="000000"/>
        </w:rPr>
        <w:t xml:space="preserve">Online data collections will conform totally to federal regulations [the Hawkins-Stafford Amendments of 1988 (P.L. 100-297) and the Computer Security Act of 1987] and will be required to have comprehensive, written plans to maintain security of personal information. This plan will include having all personnel </w:t>
      </w:r>
      <w:r w:rsidR="001B31AB">
        <w:rPr>
          <w:color w:val="000000"/>
        </w:rPr>
        <w:t>with</w:t>
      </w:r>
      <w:r w:rsidRPr="00BF718B">
        <w:rPr>
          <w:color w:val="000000"/>
        </w:rPr>
        <w:t xml:space="preserve"> access to individual identifiers sign confidentiality agreements. They will also be trained in the meaning of maintaining the security of personal information, particularly as it relates to handling requests for information from respondents, and in providing assurance to respondents about the protection of their responses.</w:t>
      </w:r>
    </w:p>
    <w:p w14:paraId="30E20382" w14:textId="77777777" w:rsidR="004470D3" w:rsidRPr="00BF718B" w:rsidRDefault="004470D3" w:rsidP="00D51019">
      <w:pPr>
        <w:autoSpaceDE w:val="0"/>
        <w:autoSpaceDN w:val="0"/>
        <w:adjustRightInd w:val="0"/>
        <w:spacing w:line="276" w:lineRule="auto"/>
        <w:rPr>
          <w:color w:val="000000"/>
        </w:rPr>
      </w:pPr>
    </w:p>
    <w:p w14:paraId="69AD6B17" w14:textId="77777777" w:rsidR="005F4083" w:rsidRPr="00BF718B" w:rsidRDefault="004470D3" w:rsidP="00D51019">
      <w:pPr>
        <w:autoSpaceDE w:val="0"/>
        <w:autoSpaceDN w:val="0"/>
        <w:adjustRightInd w:val="0"/>
        <w:spacing w:line="276" w:lineRule="auto"/>
        <w:rPr>
          <w:color w:val="000000"/>
        </w:rPr>
      </w:pPr>
      <w:r w:rsidRPr="00BF718B">
        <w:rPr>
          <w:color w:val="000000"/>
        </w:rPr>
        <w:t>Each information collection submitted under this generic will be evaluated to determine if a system of records is being created.  CDC does not anticipate that the collection of PII will be commonly needed in the information collections submitted under this generic.</w:t>
      </w:r>
      <w:r w:rsidR="00A322BE" w:rsidRPr="00BF718B">
        <w:rPr>
          <w:color w:val="000000"/>
        </w:rPr>
        <w:t xml:space="preserve"> Any PII collected will only be retained for potential follow-up questions, and will be destroyed in a manner specified in each information collection.</w:t>
      </w:r>
    </w:p>
    <w:p w14:paraId="3CF23B88" w14:textId="77777777" w:rsidR="00170179" w:rsidRDefault="00170179" w:rsidP="00D51019">
      <w:pPr>
        <w:spacing w:line="276" w:lineRule="auto"/>
        <w:outlineLvl w:val="0"/>
        <w:rPr>
          <w:b/>
        </w:rPr>
      </w:pPr>
    </w:p>
    <w:p w14:paraId="33E292A5" w14:textId="77777777" w:rsidR="006E3B52" w:rsidRPr="00AA1EEE" w:rsidRDefault="004435C4" w:rsidP="00D51019">
      <w:pPr>
        <w:spacing w:line="276" w:lineRule="auto"/>
        <w:outlineLvl w:val="0"/>
        <w:rPr>
          <w:b/>
        </w:rPr>
      </w:pPr>
      <w:bookmarkStart w:id="23" w:name="_Toc506904664"/>
      <w:r w:rsidRPr="00AA1EEE">
        <w:rPr>
          <w:b/>
        </w:rPr>
        <w:t>A</w:t>
      </w:r>
      <w:r w:rsidR="00DC2107" w:rsidRPr="00AA1EEE">
        <w:rPr>
          <w:b/>
        </w:rPr>
        <w:t>.</w:t>
      </w:r>
      <w:r w:rsidR="006E3B52" w:rsidRPr="00AA1EEE">
        <w:rPr>
          <w:b/>
        </w:rPr>
        <w:t xml:space="preserve">11. </w:t>
      </w:r>
      <w:r w:rsidR="00BF718B" w:rsidRPr="00AA1EEE">
        <w:rPr>
          <w:b/>
        </w:rPr>
        <w:t>Institutional Review Board (IRB) and Justification for Sensitive Questions</w:t>
      </w:r>
      <w:bookmarkEnd w:id="23"/>
    </w:p>
    <w:p w14:paraId="16208D4D" w14:textId="77777777" w:rsidR="006E3B52" w:rsidRPr="00BF718B" w:rsidRDefault="006E3B52" w:rsidP="00D51019">
      <w:pPr>
        <w:spacing w:line="276" w:lineRule="auto"/>
      </w:pPr>
    </w:p>
    <w:p w14:paraId="79D96FC7" w14:textId="77777777" w:rsidR="00E401C6" w:rsidRDefault="00E401C6" w:rsidP="00D51019">
      <w:pPr>
        <w:spacing w:line="276" w:lineRule="auto"/>
        <w:rPr>
          <w:u w:val="single"/>
        </w:rPr>
      </w:pPr>
      <w:r>
        <w:rPr>
          <w:u w:val="single"/>
        </w:rPr>
        <w:t>Institutional Review Board (IRB)</w:t>
      </w:r>
    </w:p>
    <w:p w14:paraId="25A216F6" w14:textId="77777777" w:rsidR="00E401C6" w:rsidRPr="00BF718B" w:rsidRDefault="00E401C6" w:rsidP="00D51019">
      <w:pPr>
        <w:autoSpaceDE w:val="0"/>
        <w:autoSpaceDN w:val="0"/>
        <w:adjustRightInd w:val="0"/>
        <w:spacing w:line="276" w:lineRule="auto"/>
        <w:rPr>
          <w:color w:val="000000"/>
        </w:rPr>
      </w:pPr>
      <w:r w:rsidRPr="00BF718B">
        <w:rPr>
          <w:color w:val="000000"/>
        </w:rPr>
        <w:t xml:space="preserve">Each proposed activity will submit an application for IRB review and approval, which will outline </w:t>
      </w:r>
      <w:r w:rsidR="008C7FB1">
        <w:rPr>
          <w:color w:val="000000"/>
        </w:rPr>
        <w:t>the</w:t>
      </w:r>
      <w:r w:rsidR="008C7FB1" w:rsidRPr="00BF718B">
        <w:rPr>
          <w:color w:val="000000"/>
        </w:rPr>
        <w:t xml:space="preserve"> </w:t>
      </w:r>
      <w:r w:rsidRPr="00BF718B">
        <w:rPr>
          <w:color w:val="000000"/>
        </w:rPr>
        <w:t>procedure for consent. However, prior to participating in the information collection, most prospective respondents will receive information such as the sponsorship of the evaluation project, their rights as participants, risks and benefits in participating, and contacts for more information about the evaluation project. Prior to the beginning of the information collection, a staff member will address any questions the participants have about the evaluation project.</w:t>
      </w:r>
    </w:p>
    <w:p w14:paraId="5657A3F9" w14:textId="77777777" w:rsidR="00E401C6" w:rsidRPr="00BF718B" w:rsidRDefault="00E401C6" w:rsidP="00D51019">
      <w:pPr>
        <w:autoSpaceDE w:val="0"/>
        <w:autoSpaceDN w:val="0"/>
        <w:adjustRightInd w:val="0"/>
        <w:spacing w:line="276" w:lineRule="auto"/>
        <w:rPr>
          <w:color w:val="000000"/>
        </w:rPr>
      </w:pPr>
    </w:p>
    <w:p w14:paraId="7B3A61AB" w14:textId="77777777" w:rsidR="00E401C6" w:rsidRPr="00BF718B" w:rsidRDefault="00E401C6" w:rsidP="00D51019">
      <w:pPr>
        <w:autoSpaceDE w:val="0"/>
        <w:autoSpaceDN w:val="0"/>
        <w:adjustRightInd w:val="0"/>
        <w:spacing w:line="276" w:lineRule="auto"/>
        <w:rPr>
          <w:color w:val="000000"/>
        </w:rPr>
      </w:pPr>
      <w:r w:rsidRPr="00BF718B">
        <w:rPr>
          <w:color w:val="000000"/>
        </w:rPr>
        <w:t>Respondents will be advised of the nature of the information collection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p>
    <w:p w14:paraId="09C1D1A3" w14:textId="77777777" w:rsidR="00E401C6" w:rsidRDefault="00E401C6" w:rsidP="00D51019">
      <w:pPr>
        <w:spacing w:line="276" w:lineRule="auto"/>
        <w:rPr>
          <w:color w:val="000000"/>
        </w:rPr>
      </w:pPr>
    </w:p>
    <w:p w14:paraId="6B941F12" w14:textId="77777777" w:rsidR="00E401C6" w:rsidRPr="0005699B" w:rsidRDefault="00E401C6" w:rsidP="00D51019">
      <w:pPr>
        <w:spacing w:line="276" w:lineRule="auto"/>
      </w:pPr>
      <w:r>
        <w:rPr>
          <w:u w:val="single"/>
        </w:rPr>
        <w:t>Justification for Sensitive Questions</w:t>
      </w:r>
    </w:p>
    <w:p w14:paraId="2C78F2F8" w14:textId="77777777" w:rsidR="007C1142" w:rsidRPr="00BF718B" w:rsidRDefault="007C1142" w:rsidP="00D51019">
      <w:pPr>
        <w:spacing w:line="276" w:lineRule="auto"/>
        <w:rPr>
          <w:color w:val="000000"/>
        </w:rPr>
      </w:pPr>
      <w:r w:rsidRPr="00BF718B">
        <w:rPr>
          <w:color w:val="000000"/>
        </w:rPr>
        <w:t>The majority of questions asked will not be of a sensitive nature. However, some respondents (namely the general public) may find thinking about and discussing a disease unpleasant. A portion of respondents could consider questions about race, ethnicity, or other demographic characteristics to be sensitive, although such questions are un</w:t>
      </w:r>
      <w:r w:rsidR="003701B1" w:rsidRPr="00BF718B">
        <w:rPr>
          <w:color w:val="000000"/>
        </w:rPr>
        <w:t xml:space="preserve">likely to be highly sensitive. </w:t>
      </w:r>
      <w:r w:rsidRPr="00BF718B">
        <w:rPr>
          <w:color w:val="000000"/>
        </w:rPr>
        <w:t xml:space="preserve">Where relevant to the </w:t>
      </w:r>
      <w:r w:rsidR="00ED01A2" w:rsidRPr="00BF718B">
        <w:rPr>
          <w:color w:val="000000"/>
        </w:rPr>
        <w:t>information collection</w:t>
      </w:r>
      <w:r w:rsidRPr="00BF718B">
        <w:rPr>
          <w:color w:val="000000"/>
        </w:rPr>
        <w:t xml:space="preserve">, race and ethnicity data will be collected consistent with HHS policy and standard OMB classifications. </w:t>
      </w:r>
    </w:p>
    <w:p w14:paraId="370DF0A2" w14:textId="77777777" w:rsidR="007C1142" w:rsidRPr="00BF718B" w:rsidRDefault="007C1142" w:rsidP="00D51019">
      <w:pPr>
        <w:spacing w:line="276" w:lineRule="auto"/>
        <w:rPr>
          <w:color w:val="000000"/>
        </w:rPr>
      </w:pPr>
    </w:p>
    <w:p w14:paraId="2CD536D8" w14:textId="77777777" w:rsidR="007C1142" w:rsidRDefault="007C1142" w:rsidP="00B22338">
      <w:pPr>
        <w:spacing w:line="276" w:lineRule="auto"/>
        <w:rPr>
          <w:color w:val="000000"/>
        </w:rPr>
      </w:pPr>
      <w:r w:rsidRPr="00BF718B">
        <w:rPr>
          <w:color w:val="000000"/>
        </w:rPr>
        <w:t xml:space="preserve">Additionally, some respondents may feel uncomfortable answering particular questions about their individual experiences, level of disease awareness, and/or adopted preventative behaviors (or lack thereof) associated with various diseases. Such questions, if asked, would be necessary for the purposes of a targeted communication, training or education activity and thus to the </w:t>
      </w:r>
      <w:r w:rsidR="003701B1" w:rsidRPr="00BF718B">
        <w:rPr>
          <w:color w:val="000000"/>
        </w:rPr>
        <w:t xml:space="preserve">information collection. </w:t>
      </w:r>
      <w:r w:rsidRPr="00BF718B">
        <w:rPr>
          <w:color w:val="000000"/>
        </w:rPr>
        <w:t xml:space="preserve">To minimize psychological distress, the moderator </w:t>
      </w:r>
      <w:r w:rsidR="00BB0CAC" w:rsidRPr="00BF718B">
        <w:rPr>
          <w:color w:val="000000"/>
        </w:rPr>
        <w:t xml:space="preserve">or data collection instrument instructions </w:t>
      </w:r>
      <w:r w:rsidRPr="00BF718B">
        <w:rPr>
          <w:color w:val="000000"/>
        </w:rPr>
        <w:t>will inform participants that they do not have to respond to any questions they do not want to answer and they may s</w:t>
      </w:r>
      <w:r w:rsidR="003701B1" w:rsidRPr="00BF718B">
        <w:rPr>
          <w:color w:val="000000"/>
        </w:rPr>
        <w:t xml:space="preserve">top participating at any time. </w:t>
      </w:r>
      <w:r w:rsidR="00ED01A2" w:rsidRPr="00BF718B">
        <w:rPr>
          <w:color w:val="000000"/>
        </w:rPr>
        <w:t xml:space="preserve">In addition, a subject matter expert from </w:t>
      </w:r>
      <w:r w:rsidR="00AA5973" w:rsidRPr="00BF718B">
        <w:rPr>
          <w:color w:val="000000"/>
        </w:rPr>
        <w:t xml:space="preserve">DGMQ </w:t>
      </w:r>
      <w:r w:rsidR="00591F4A" w:rsidRPr="00BF718B">
        <w:rPr>
          <w:color w:val="000000"/>
        </w:rPr>
        <w:t xml:space="preserve">or delegated organization </w:t>
      </w:r>
      <w:r w:rsidR="00ED01A2" w:rsidRPr="00BF718B">
        <w:rPr>
          <w:color w:val="000000"/>
        </w:rPr>
        <w:t>will be present during the information collection to answer questions from participants at the end of the information collection activity.</w:t>
      </w:r>
    </w:p>
    <w:p w14:paraId="0AA5B498" w14:textId="77777777" w:rsidR="00170179" w:rsidRDefault="00170179" w:rsidP="00B22338">
      <w:pPr>
        <w:spacing w:line="276" w:lineRule="auto"/>
        <w:outlineLvl w:val="0"/>
        <w:rPr>
          <w:b/>
          <w:bCs/>
          <w:iCs/>
          <w:color w:val="000000"/>
        </w:rPr>
      </w:pPr>
    </w:p>
    <w:p w14:paraId="120DE092" w14:textId="77777777" w:rsidR="007C1142" w:rsidRPr="00AA1EEE" w:rsidRDefault="007C1142" w:rsidP="00B22338">
      <w:pPr>
        <w:spacing w:line="276" w:lineRule="auto"/>
        <w:outlineLvl w:val="0"/>
        <w:rPr>
          <w:b/>
          <w:bCs/>
          <w:iCs/>
          <w:color w:val="000000"/>
        </w:rPr>
      </w:pPr>
      <w:bookmarkStart w:id="24" w:name="_Toc506904665"/>
      <w:r w:rsidRPr="00AA1EEE">
        <w:rPr>
          <w:b/>
          <w:bCs/>
          <w:iCs/>
          <w:color w:val="000000"/>
        </w:rPr>
        <w:t>A</w:t>
      </w:r>
      <w:r w:rsidR="00DC2107" w:rsidRPr="00AA1EEE">
        <w:rPr>
          <w:b/>
          <w:bCs/>
          <w:iCs/>
          <w:color w:val="000000"/>
        </w:rPr>
        <w:t>.</w:t>
      </w:r>
      <w:r w:rsidRPr="00AA1EEE">
        <w:rPr>
          <w:b/>
          <w:bCs/>
          <w:iCs/>
          <w:color w:val="000000"/>
        </w:rPr>
        <w:t>12. Estimates of Annualized Burden Hours and Costs</w:t>
      </w:r>
      <w:bookmarkEnd w:id="24"/>
    </w:p>
    <w:p w14:paraId="396D011A" w14:textId="77777777" w:rsidR="007C1142" w:rsidRPr="00BF718B" w:rsidRDefault="007C1142" w:rsidP="00B22338">
      <w:pPr>
        <w:spacing w:line="276" w:lineRule="auto"/>
        <w:rPr>
          <w:color w:val="000000"/>
        </w:rPr>
      </w:pPr>
    </w:p>
    <w:p w14:paraId="25D027E6" w14:textId="77777777" w:rsidR="007C1142" w:rsidRPr="00BF718B" w:rsidRDefault="00AA047B" w:rsidP="00090872">
      <w:pPr>
        <w:spacing w:line="276" w:lineRule="auto"/>
      </w:pPr>
      <w:r w:rsidRPr="00090872">
        <w:rPr>
          <w:bCs/>
          <w:iCs/>
          <w:color w:val="000000"/>
        </w:rPr>
        <w:t xml:space="preserve">The focus group and interview guides, </w:t>
      </w:r>
      <w:r w:rsidR="007C1142" w:rsidRPr="00090872">
        <w:rPr>
          <w:bCs/>
          <w:iCs/>
          <w:color w:val="000000"/>
        </w:rPr>
        <w:t>surveys</w:t>
      </w:r>
      <w:r w:rsidRPr="00090872">
        <w:rPr>
          <w:bCs/>
          <w:iCs/>
          <w:color w:val="000000"/>
        </w:rPr>
        <w:t xml:space="preserve"> tools</w:t>
      </w:r>
      <w:r w:rsidR="007C1142" w:rsidRPr="00090872">
        <w:rPr>
          <w:bCs/>
          <w:iCs/>
          <w:color w:val="000000"/>
        </w:rPr>
        <w:t xml:space="preserve">, </w:t>
      </w:r>
      <w:r w:rsidRPr="00090872">
        <w:rPr>
          <w:bCs/>
          <w:iCs/>
          <w:color w:val="000000"/>
        </w:rPr>
        <w:t xml:space="preserve">and </w:t>
      </w:r>
      <w:r w:rsidR="004C4475" w:rsidRPr="00090872">
        <w:rPr>
          <w:bCs/>
          <w:iCs/>
          <w:color w:val="000000"/>
        </w:rPr>
        <w:t xml:space="preserve">tests </w:t>
      </w:r>
      <w:r w:rsidR="007C1142" w:rsidRPr="00090872">
        <w:rPr>
          <w:bCs/>
          <w:iCs/>
          <w:color w:val="000000"/>
        </w:rPr>
        <w:t xml:space="preserve">for each </w:t>
      </w:r>
      <w:r w:rsidR="00F62D76" w:rsidRPr="00090872">
        <w:rPr>
          <w:bCs/>
          <w:iCs/>
          <w:color w:val="000000"/>
        </w:rPr>
        <w:t>information collection</w:t>
      </w:r>
      <w:r w:rsidR="007C1142" w:rsidRPr="00090872">
        <w:rPr>
          <w:bCs/>
          <w:iCs/>
          <w:color w:val="000000"/>
        </w:rPr>
        <w:t xml:space="preserve"> activity </w:t>
      </w:r>
      <w:r w:rsidR="00F62D76" w:rsidRPr="00090872">
        <w:rPr>
          <w:bCs/>
          <w:iCs/>
          <w:color w:val="000000"/>
        </w:rPr>
        <w:t xml:space="preserve">will be submitted for </w:t>
      </w:r>
      <w:r w:rsidR="004241DA" w:rsidRPr="00090872">
        <w:rPr>
          <w:bCs/>
          <w:iCs/>
          <w:color w:val="000000"/>
        </w:rPr>
        <w:t xml:space="preserve">OMB </w:t>
      </w:r>
      <w:r w:rsidR="00F62D76" w:rsidRPr="00090872">
        <w:rPr>
          <w:bCs/>
          <w:iCs/>
          <w:color w:val="000000"/>
        </w:rPr>
        <w:t xml:space="preserve">review. </w:t>
      </w:r>
      <w:r w:rsidR="007C1142" w:rsidRPr="00090872">
        <w:rPr>
          <w:bCs/>
          <w:iCs/>
          <w:color w:val="000000"/>
        </w:rPr>
        <w:t>The average burden</w:t>
      </w:r>
      <w:r w:rsidR="00236646" w:rsidRPr="00090872">
        <w:rPr>
          <w:bCs/>
          <w:iCs/>
          <w:color w:val="000000"/>
        </w:rPr>
        <w:t xml:space="preserve"> for</w:t>
      </w:r>
      <w:r w:rsidR="007C1142" w:rsidRPr="00090872">
        <w:rPr>
          <w:bCs/>
          <w:iCs/>
          <w:color w:val="000000"/>
        </w:rPr>
        <w:t xml:space="preserve"> </w:t>
      </w:r>
      <w:r w:rsidR="00F85F4D" w:rsidRPr="00090872">
        <w:rPr>
          <w:bCs/>
          <w:iCs/>
          <w:color w:val="000000"/>
        </w:rPr>
        <w:t xml:space="preserve">each respondent depending on the specific data collection will range from </w:t>
      </w:r>
      <w:r w:rsidRPr="00090872">
        <w:rPr>
          <w:bCs/>
          <w:iCs/>
          <w:color w:val="000000"/>
        </w:rPr>
        <w:t>45</w:t>
      </w:r>
      <w:r w:rsidR="00F85F4D" w:rsidRPr="00090872">
        <w:rPr>
          <w:bCs/>
          <w:iCs/>
          <w:color w:val="000000"/>
        </w:rPr>
        <w:t>-90 minutes.</w:t>
      </w:r>
      <w:r w:rsidR="004F13D4" w:rsidRPr="00090872">
        <w:rPr>
          <w:bCs/>
          <w:iCs/>
          <w:color w:val="000000"/>
        </w:rPr>
        <w:t xml:space="preserve"> CDC is proposing to collect information</w:t>
      </w:r>
      <w:r w:rsidR="001157B5" w:rsidRPr="00090872">
        <w:rPr>
          <w:bCs/>
          <w:iCs/>
          <w:color w:val="000000"/>
        </w:rPr>
        <w:t xml:space="preserve"> from two types of respondents:</w:t>
      </w:r>
      <w:r w:rsidR="004F13D4" w:rsidRPr="00090872">
        <w:rPr>
          <w:bCs/>
          <w:iCs/>
          <w:color w:val="000000"/>
        </w:rPr>
        <w:t xml:space="preserve"> </w:t>
      </w:r>
      <w:r w:rsidR="001157B5" w:rsidRPr="00090872">
        <w:rPr>
          <w:bCs/>
          <w:iCs/>
          <w:color w:val="000000"/>
        </w:rPr>
        <w:t>t</w:t>
      </w:r>
      <w:r w:rsidR="004F13D4" w:rsidRPr="00090872">
        <w:rPr>
          <w:bCs/>
          <w:iCs/>
          <w:color w:val="000000"/>
        </w:rPr>
        <w:t>he general public and healthcare practitioners.</w:t>
      </w:r>
      <w:r w:rsidR="005352DE" w:rsidRPr="00090872">
        <w:rPr>
          <w:bCs/>
          <w:iCs/>
          <w:color w:val="000000"/>
        </w:rPr>
        <w:t xml:space="preserve"> CDC estimates that approximately 70% of respondents contacted over the course of the requested three years will be general public, with the remaining 30% </w:t>
      </w:r>
      <w:r w:rsidR="00B2437C" w:rsidRPr="00090872">
        <w:rPr>
          <w:bCs/>
          <w:iCs/>
          <w:color w:val="000000"/>
        </w:rPr>
        <w:t xml:space="preserve">comprised of </w:t>
      </w:r>
      <w:r w:rsidR="005352DE" w:rsidRPr="00090872">
        <w:rPr>
          <w:bCs/>
          <w:iCs/>
          <w:color w:val="000000"/>
        </w:rPr>
        <w:t>healthcare practitioners.</w:t>
      </w:r>
      <w:r w:rsidRPr="00090872">
        <w:rPr>
          <w:bCs/>
          <w:iCs/>
          <w:color w:val="000000"/>
        </w:rPr>
        <w:t xml:space="preserve"> </w:t>
      </w:r>
    </w:p>
    <w:p w14:paraId="3D977A25" w14:textId="77777777" w:rsidR="007C1142" w:rsidRPr="00BF718B" w:rsidRDefault="007C1142" w:rsidP="00B22338">
      <w:pPr>
        <w:spacing w:line="276" w:lineRule="auto"/>
        <w:rPr>
          <w:bCs/>
          <w:iCs/>
          <w:color w:val="000000"/>
        </w:rPr>
      </w:pPr>
    </w:p>
    <w:p w14:paraId="7735C43D" w14:textId="77777777" w:rsidR="007C1142" w:rsidRPr="00090872" w:rsidRDefault="007C1142" w:rsidP="00090872">
      <w:pPr>
        <w:spacing w:line="276" w:lineRule="auto"/>
        <w:rPr>
          <w:bCs/>
          <w:iCs/>
          <w:color w:val="000000"/>
        </w:rPr>
      </w:pPr>
      <w:r w:rsidRPr="00090872">
        <w:rPr>
          <w:bCs/>
          <w:iCs/>
          <w:color w:val="000000"/>
        </w:rPr>
        <w:t xml:space="preserve">Similarly, potential respondents </w:t>
      </w:r>
      <w:r w:rsidR="00434B9D" w:rsidRPr="00090872">
        <w:rPr>
          <w:bCs/>
          <w:iCs/>
          <w:color w:val="000000"/>
        </w:rPr>
        <w:t xml:space="preserve">may </w:t>
      </w:r>
      <w:r w:rsidRPr="00090872">
        <w:rPr>
          <w:bCs/>
          <w:iCs/>
          <w:color w:val="000000"/>
        </w:rPr>
        <w:t>be screened for interest and el</w:t>
      </w:r>
      <w:r w:rsidR="003701B1" w:rsidRPr="00090872">
        <w:rPr>
          <w:bCs/>
          <w:iCs/>
          <w:color w:val="000000"/>
        </w:rPr>
        <w:t>igibility using a customizable s</w:t>
      </w:r>
      <w:r w:rsidRPr="00090872">
        <w:rPr>
          <w:bCs/>
          <w:iCs/>
          <w:color w:val="000000"/>
        </w:rPr>
        <w:t xml:space="preserve">creening </w:t>
      </w:r>
      <w:r w:rsidR="003701B1" w:rsidRPr="00090872">
        <w:rPr>
          <w:bCs/>
          <w:iCs/>
          <w:color w:val="000000"/>
        </w:rPr>
        <w:t>f</w:t>
      </w:r>
      <w:r w:rsidRPr="00090872">
        <w:rPr>
          <w:bCs/>
          <w:iCs/>
          <w:color w:val="000000"/>
        </w:rPr>
        <w:t>orm</w:t>
      </w:r>
      <w:r w:rsidR="00CF18CE" w:rsidRPr="00090872">
        <w:rPr>
          <w:bCs/>
          <w:iCs/>
          <w:color w:val="000000"/>
        </w:rPr>
        <w:t xml:space="preserve"> (Attachment G)</w:t>
      </w:r>
      <w:r w:rsidR="004F13D4" w:rsidRPr="00090872">
        <w:rPr>
          <w:bCs/>
          <w:iCs/>
          <w:color w:val="000000"/>
        </w:rPr>
        <w:t xml:space="preserve"> designed for </w:t>
      </w:r>
      <w:r w:rsidR="001157B5" w:rsidRPr="00090872">
        <w:rPr>
          <w:bCs/>
          <w:iCs/>
          <w:color w:val="000000"/>
        </w:rPr>
        <w:t>focus groups, interviews, and surveys</w:t>
      </w:r>
      <w:r w:rsidR="007819F0" w:rsidRPr="00090872">
        <w:rPr>
          <w:bCs/>
          <w:iCs/>
          <w:color w:val="000000"/>
        </w:rPr>
        <w:t>.</w:t>
      </w:r>
      <w:r w:rsidR="001157B5" w:rsidRPr="00090872">
        <w:rPr>
          <w:bCs/>
          <w:iCs/>
          <w:color w:val="000000"/>
        </w:rPr>
        <w:t xml:space="preserve"> No screening forms will be used for pre/</w:t>
      </w:r>
      <w:r w:rsidR="00A20933" w:rsidRPr="00090872">
        <w:rPr>
          <w:bCs/>
          <w:iCs/>
          <w:color w:val="000000"/>
        </w:rPr>
        <w:t>posttests</w:t>
      </w:r>
      <w:r w:rsidR="001157B5" w:rsidRPr="00090872">
        <w:rPr>
          <w:bCs/>
          <w:iCs/>
          <w:color w:val="000000"/>
        </w:rPr>
        <w:t>.</w:t>
      </w:r>
      <w:r w:rsidR="007819F0" w:rsidRPr="00090872">
        <w:rPr>
          <w:bCs/>
          <w:iCs/>
          <w:color w:val="000000"/>
        </w:rPr>
        <w:t xml:space="preserve"> </w:t>
      </w:r>
      <w:r w:rsidR="00AA047B" w:rsidRPr="00090872">
        <w:rPr>
          <w:bCs/>
          <w:iCs/>
          <w:color w:val="000000"/>
        </w:rPr>
        <w:t xml:space="preserve">These screening forms will request an estimated 10 minutes per respondent.  </w:t>
      </w:r>
      <w:r w:rsidR="007819F0" w:rsidRPr="00090872">
        <w:rPr>
          <w:bCs/>
          <w:iCs/>
          <w:color w:val="000000"/>
        </w:rPr>
        <w:t xml:space="preserve">Screening forms </w:t>
      </w:r>
      <w:r w:rsidR="004241DA" w:rsidRPr="00090872">
        <w:rPr>
          <w:bCs/>
          <w:iCs/>
          <w:color w:val="000000"/>
        </w:rPr>
        <w:t>for each information collection will be submitted for</w:t>
      </w:r>
      <w:r w:rsidRPr="00090872">
        <w:rPr>
          <w:bCs/>
          <w:iCs/>
          <w:color w:val="000000"/>
        </w:rPr>
        <w:t xml:space="preserve"> </w:t>
      </w:r>
      <w:r w:rsidR="004241DA" w:rsidRPr="00090872">
        <w:rPr>
          <w:bCs/>
          <w:iCs/>
          <w:color w:val="000000"/>
        </w:rPr>
        <w:t xml:space="preserve">OMB review. </w:t>
      </w:r>
      <w:r w:rsidRPr="00090872">
        <w:rPr>
          <w:bCs/>
          <w:iCs/>
          <w:color w:val="000000"/>
        </w:rPr>
        <w:t>Based on experience recruiting participants from master lists of eligible or interested persons, it is estimated that twice the number of respondents needed must be screened in order to yield the desired number of respondents.</w:t>
      </w:r>
    </w:p>
    <w:p w14:paraId="64B66074" w14:textId="77777777" w:rsidR="007C1142" w:rsidRPr="00BF718B" w:rsidRDefault="007C1142" w:rsidP="00B22338">
      <w:pPr>
        <w:spacing w:line="276" w:lineRule="auto"/>
        <w:rPr>
          <w:bCs/>
          <w:iCs/>
          <w:color w:val="000000"/>
        </w:rPr>
      </w:pPr>
    </w:p>
    <w:p w14:paraId="439F2B91" w14:textId="77777777" w:rsidR="009E0833" w:rsidRPr="00090872" w:rsidRDefault="004F13D4" w:rsidP="00090872">
      <w:pPr>
        <w:spacing w:line="276" w:lineRule="auto"/>
        <w:rPr>
          <w:color w:val="000000"/>
        </w:rPr>
      </w:pPr>
      <w:r w:rsidRPr="00090872">
        <w:rPr>
          <w:color w:val="000000"/>
        </w:rPr>
        <w:t xml:space="preserve">Information </w:t>
      </w:r>
      <w:r w:rsidR="00B77241" w:rsidRPr="00090872">
        <w:rPr>
          <w:color w:val="000000"/>
        </w:rPr>
        <w:t>collections will be requested</w:t>
      </w:r>
      <w:r w:rsidRPr="00090872">
        <w:rPr>
          <w:color w:val="000000"/>
        </w:rPr>
        <w:t xml:space="preserve"> over a three year time period. There are no costs to respondents except their time to participate in the research activities.</w:t>
      </w:r>
      <w:r w:rsidR="001157B5" w:rsidRPr="00090872">
        <w:rPr>
          <w:color w:val="000000"/>
        </w:rPr>
        <w:t xml:space="preserve"> The total </w:t>
      </w:r>
      <w:r w:rsidRPr="00090872">
        <w:rPr>
          <w:color w:val="000000"/>
        </w:rPr>
        <w:t xml:space="preserve">annualized burden to respondents is </w:t>
      </w:r>
      <w:r w:rsidR="00B77241" w:rsidRPr="00090872">
        <w:rPr>
          <w:color w:val="000000"/>
        </w:rPr>
        <w:t>7,</w:t>
      </w:r>
      <w:r w:rsidR="00B1110F" w:rsidRPr="00090872">
        <w:rPr>
          <w:color w:val="000000"/>
        </w:rPr>
        <w:t xml:space="preserve">982 </w:t>
      </w:r>
      <w:r w:rsidRPr="00090872">
        <w:rPr>
          <w:color w:val="000000"/>
        </w:rPr>
        <w:t xml:space="preserve">hours. </w:t>
      </w:r>
      <w:r w:rsidR="00D303DA" w:rsidRPr="00090872">
        <w:rPr>
          <w:color w:val="000000"/>
        </w:rPr>
        <w:t>Hours in Total Burden column a</w:t>
      </w:r>
      <w:r w:rsidR="009E0833" w:rsidRPr="00090872">
        <w:rPr>
          <w:color w:val="000000"/>
        </w:rPr>
        <w:t>re rounded to the nearest hour.</w:t>
      </w:r>
    </w:p>
    <w:p w14:paraId="4C5722F5" w14:textId="0B4673D0" w:rsidR="009E0833" w:rsidRPr="00090872" w:rsidRDefault="009E0833" w:rsidP="00090872">
      <w:pPr>
        <w:spacing w:before="240" w:line="276" w:lineRule="auto"/>
        <w:rPr>
          <w:highlight w:val="yellow"/>
        </w:rPr>
      </w:pPr>
      <w:r w:rsidRPr="00090872">
        <w:rPr>
          <w:highlight w:val="yellow"/>
        </w:rPr>
        <w:t>For this submission, requested burden has been reduced from 37,500 respondents and 17,835 burden hours to 17</w:t>
      </w:r>
      <w:r w:rsidR="001C5A2E" w:rsidRPr="00090872">
        <w:rPr>
          <w:highlight w:val="yellow"/>
        </w:rPr>
        <w:t>,</w:t>
      </w:r>
      <w:r w:rsidRPr="00090872">
        <w:rPr>
          <w:highlight w:val="yellow"/>
        </w:rPr>
        <w:t>500 respondents and 7,982 burden hours due to a reduction in the number of estimated number of collections per year from ten t</w:t>
      </w:r>
      <w:r w:rsidR="000C47D6" w:rsidRPr="00090872">
        <w:rPr>
          <w:highlight w:val="yellow"/>
        </w:rPr>
        <w:t xml:space="preserve">o five </w:t>
      </w:r>
      <w:r w:rsidR="003B6A30" w:rsidRPr="00090872">
        <w:rPr>
          <w:highlight w:val="yellow"/>
        </w:rPr>
        <w:t>and a two thirds reduction in pre- and post-tests requested for both types of respondents.</w:t>
      </w:r>
      <w:r w:rsidRPr="00090872">
        <w:rPr>
          <w:highlight w:val="yellow"/>
        </w:rPr>
        <w:t xml:space="preserve">  </w:t>
      </w:r>
    </w:p>
    <w:p w14:paraId="45E4DD35" w14:textId="77777777" w:rsidR="004F13D4" w:rsidRPr="00BF718B" w:rsidRDefault="004F13D4" w:rsidP="00B22338">
      <w:pPr>
        <w:spacing w:line="276" w:lineRule="auto"/>
        <w:rPr>
          <w:bCs/>
          <w:iCs/>
          <w:color w:val="000000"/>
        </w:rPr>
      </w:pPr>
    </w:p>
    <w:p w14:paraId="780709AD" w14:textId="77777777" w:rsidR="007C1142" w:rsidRDefault="007C1142" w:rsidP="00B22338">
      <w:pPr>
        <w:spacing w:after="120" w:line="276" w:lineRule="auto"/>
        <w:outlineLvl w:val="0"/>
        <w:rPr>
          <w:bCs/>
          <w:color w:val="000000"/>
        </w:rPr>
      </w:pPr>
      <w:bookmarkStart w:id="25" w:name="_Toc295818078"/>
      <w:bookmarkStart w:id="26" w:name="_Toc295819851"/>
      <w:bookmarkStart w:id="27" w:name="_Toc506904599"/>
      <w:bookmarkStart w:id="28" w:name="_Toc506904666"/>
      <w:r w:rsidRPr="00B22338">
        <w:rPr>
          <w:bCs/>
          <w:color w:val="000000"/>
          <w:highlight w:val="yellow"/>
        </w:rPr>
        <w:t>Table A</w:t>
      </w:r>
      <w:r w:rsidR="00DC2107" w:rsidRPr="00B22338">
        <w:rPr>
          <w:bCs/>
          <w:color w:val="000000"/>
          <w:highlight w:val="yellow"/>
        </w:rPr>
        <w:t>.</w:t>
      </w:r>
      <w:r w:rsidRPr="00B22338">
        <w:rPr>
          <w:bCs/>
          <w:color w:val="000000"/>
          <w:highlight w:val="yellow"/>
        </w:rPr>
        <w:t>12-A: Estimated Annualized Burden to Respondents</w:t>
      </w:r>
      <w:bookmarkEnd w:id="25"/>
      <w:bookmarkEnd w:id="26"/>
      <w:bookmarkEnd w:id="27"/>
      <w:bookmarkEnd w:id="28"/>
    </w:p>
    <w:tbl>
      <w:tblPr>
        <w:tblStyle w:val="TableGrid1"/>
        <w:tblW w:w="0" w:type="auto"/>
        <w:tblLayout w:type="fixed"/>
        <w:tblLook w:val="04A0" w:firstRow="1" w:lastRow="0" w:firstColumn="1" w:lastColumn="0" w:noHBand="0" w:noVBand="1"/>
      </w:tblPr>
      <w:tblGrid>
        <w:gridCol w:w="2088"/>
        <w:gridCol w:w="1800"/>
        <w:gridCol w:w="1530"/>
        <w:gridCol w:w="1440"/>
        <w:gridCol w:w="1440"/>
        <w:gridCol w:w="1278"/>
      </w:tblGrid>
      <w:tr w:rsidR="007F1668" w:rsidRPr="007F1668" w14:paraId="086EA1C7" w14:textId="77777777" w:rsidTr="00284E9F">
        <w:tc>
          <w:tcPr>
            <w:tcW w:w="2088" w:type="dxa"/>
          </w:tcPr>
          <w:p w14:paraId="410B205E" w14:textId="77777777" w:rsidR="007F1668" w:rsidRPr="007F1668" w:rsidRDefault="007F1668" w:rsidP="00284E9F">
            <w:pPr>
              <w:spacing w:before="120" w:after="120"/>
            </w:pPr>
            <w:r w:rsidRPr="007F1668">
              <w:rPr>
                <w:b/>
                <w:color w:val="000000"/>
              </w:rPr>
              <w:t>Type of Respondents</w:t>
            </w:r>
          </w:p>
        </w:tc>
        <w:tc>
          <w:tcPr>
            <w:tcW w:w="1800" w:type="dxa"/>
          </w:tcPr>
          <w:p w14:paraId="62E58CFD" w14:textId="77777777" w:rsidR="007F1668" w:rsidRPr="007F1668" w:rsidRDefault="007F1668" w:rsidP="00284E9F">
            <w:pPr>
              <w:spacing w:before="120" w:after="120"/>
            </w:pPr>
            <w:r w:rsidRPr="007F1668">
              <w:rPr>
                <w:b/>
                <w:color w:val="000000"/>
              </w:rPr>
              <w:t>Form Name</w:t>
            </w:r>
          </w:p>
        </w:tc>
        <w:tc>
          <w:tcPr>
            <w:tcW w:w="1530" w:type="dxa"/>
          </w:tcPr>
          <w:p w14:paraId="1B5EB3C2" w14:textId="77777777" w:rsidR="007F1668" w:rsidRPr="007F1668" w:rsidRDefault="007F1668" w:rsidP="00284E9F">
            <w:pPr>
              <w:spacing w:before="120" w:after="120"/>
              <w:rPr>
                <w:b/>
                <w:color w:val="000000"/>
              </w:rPr>
            </w:pPr>
            <w:r w:rsidRPr="007F1668">
              <w:rPr>
                <w:b/>
                <w:color w:val="000000"/>
              </w:rPr>
              <w:t xml:space="preserve">Number of Respondents </w:t>
            </w:r>
          </w:p>
        </w:tc>
        <w:tc>
          <w:tcPr>
            <w:tcW w:w="1440" w:type="dxa"/>
          </w:tcPr>
          <w:p w14:paraId="1B22D7E5" w14:textId="77777777" w:rsidR="007F1668" w:rsidRPr="007F1668" w:rsidRDefault="007F1668" w:rsidP="00284E9F">
            <w:pPr>
              <w:spacing w:before="120" w:after="120"/>
              <w:rPr>
                <w:b/>
                <w:color w:val="000000"/>
              </w:rPr>
            </w:pPr>
            <w:r w:rsidRPr="007F1668">
              <w:rPr>
                <w:b/>
                <w:color w:val="000000"/>
              </w:rPr>
              <w:t>Number of Responses per Respondent</w:t>
            </w:r>
          </w:p>
        </w:tc>
        <w:tc>
          <w:tcPr>
            <w:tcW w:w="1440" w:type="dxa"/>
          </w:tcPr>
          <w:p w14:paraId="22C12B6F" w14:textId="77777777" w:rsidR="007F1668" w:rsidRPr="007F1668" w:rsidRDefault="007F1668" w:rsidP="00284E9F">
            <w:pPr>
              <w:spacing w:before="120" w:after="120"/>
              <w:rPr>
                <w:b/>
                <w:color w:val="000000"/>
              </w:rPr>
            </w:pPr>
            <w:r w:rsidRPr="007F1668">
              <w:rPr>
                <w:b/>
                <w:color w:val="000000"/>
              </w:rPr>
              <w:t>Average Burden per Response (in hours)</w:t>
            </w:r>
          </w:p>
        </w:tc>
        <w:tc>
          <w:tcPr>
            <w:tcW w:w="1278" w:type="dxa"/>
          </w:tcPr>
          <w:p w14:paraId="67AC007D" w14:textId="77777777" w:rsidR="007F1668" w:rsidRPr="007F1668" w:rsidRDefault="007F1668" w:rsidP="00284E9F">
            <w:pPr>
              <w:spacing w:before="120" w:after="120"/>
              <w:rPr>
                <w:b/>
                <w:color w:val="000000"/>
              </w:rPr>
            </w:pPr>
            <w:r w:rsidRPr="007F1668">
              <w:rPr>
                <w:b/>
                <w:color w:val="000000"/>
              </w:rPr>
              <w:t>Total Burden</w:t>
            </w:r>
          </w:p>
          <w:p w14:paraId="4C9B99F8" w14:textId="77777777" w:rsidR="007F1668" w:rsidRPr="007F1668" w:rsidRDefault="007F1668" w:rsidP="00284E9F">
            <w:pPr>
              <w:spacing w:before="120" w:after="120"/>
              <w:rPr>
                <w:b/>
                <w:color w:val="000000"/>
              </w:rPr>
            </w:pPr>
            <w:r w:rsidRPr="007F1668">
              <w:rPr>
                <w:b/>
                <w:color w:val="000000"/>
              </w:rPr>
              <w:t>(in hours)</w:t>
            </w:r>
          </w:p>
        </w:tc>
      </w:tr>
      <w:tr w:rsidR="007F1668" w:rsidRPr="007F1668" w14:paraId="03EE2EF1" w14:textId="77777777" w:rsidTr="00B030C0">
        <w:trPr>
          <w:trHeight w:val="386"/>
        </w:trPr>
        <w:tc>
          <w:tcPr>
            <w:tcW w:w="2088" w:type="dxa"/>
            <w:vAlign w:val="center"/>
          </w:tcPr>
          <w:p w14:paraId="17410B3D" w14:textId="77777777" w:rsidR="007F1668" w:rsidRPr="007F1668" w:rsidRDefault="007F1668" w:rsidP="00B030C0">
            <w:pPr>
              <w:spacing w:before="120" w:after="120"/>
              <w:jc w:val="center"/>
            </w:pPr>
            <w:r w:rsidRPr="007F1668">
              <w:t>General Public</w:t>
            </w:r>
          </w:p>
        </w:tc>
        <w:tc>
          <w:tcPr>
            <w:tcW w:w="1800" w:type="dxa"/>
            <w:vAlign w:val="center"/>
          </w:tcPr>
          <w:p w14:paraId="3558E2A0" w14:textId="77777777" w:rsidR="007F1668" w:rsidRPr="007F1668" w:rsidRDefault="007F1668" w:rsidP="00B030C0">
            <w:pPr>
              <w:spacing w:before="120" w:after="120"/>
              <w:jc w:val="center"/>
            </w:pPr>
            <w:r w:rsidRPr="007F1668">
              <w:t>Focus Groups Screening form</w:t>
            </w:r>
          </w:p>
        </w:tc>
        <w:tc>
          <w:tcPr>
            <w:tcW w:w="1530" w:type="dxa"/>
            <w:vAlign w:val="center"/>
          </w:tcPr>
          <w:p w14:paraId="2DFAE832" w14:textId="77777777" w:rsidR="007F1668" w:rsidRPr="007F1668" w:rsidRDefault="007F1668" w:rsidP="00B030C0">
            <w:pPr>
              <w:spacing w:before="120" w:after="120"/>
              <w:jc w:val="center"/>
            </w:pPr>
            <w:r w:rsidRPr="007F1668">
              <w:rPr>
                <w:color w:val="000000"/>
              </w:rPr>
              <w:t>1050</w:t>
            </w:r>
          </w:p>
        </w:tc>
        <w:tc>
          <w:tcPr>
            <w:tcW w:w="1440" w:type="dxa"/>
            <w:vAlign w:val="center"/>
          </w:tcPr>
          <w:p w14:paraId="0DAA985D" w14:textId="77777777" w:rsidR="007F1668" w:rsidRPr="007F1668" w:rsidRDefault="007F1668" w:rsidP="00B030C0">
            <w:pPr>
              <w:spacing w:before="120" w:after="120"/>
              <w:jc w:val="center"/>
            </w:pPr>
            <w:r w:rsidRPr="007F1668">
              <w:t>1</w:t>
            </w:r>
          </w:p>
        </w:tc>
        <w:tc>
          <w:tcPr>
            <w:tcW w:w="1440" w:type="dxa"/>
            <w:vAlign w:val="center"/>
          </w:tcPr>
          <w:p w14:paraId="64A3E539" w14:textId="77777777" w:rsidR="007F1668" w:rsidRPr="007F1668" w:rsidRDefault="007F1668" w:rsidP="00B030C0">
            <w:pPr>
              <w:spacing w:before="120" w:after="120"/>
              <w:jc w:val="center"/>
              <w:rPr>
                <w:color w:val="000000"/>
              </w:rPr>
            </w:pPr>
            <w:r w:rsidRPr="007F1668">
              <w:rPr>
                <w:color w:val="000000"/>
                <w:sz w:val="22"/>
                <w:szCs w:val="22"/>
              </w:rPr>
              <w:t>10/60</w:t>
            </w:r>
          </w:p>
        </w:tc>
        <w:tc>
          <w:tcPr>
            <w:tcW w:w="1278" w:type="dxa"/>
            <w:vAlign w:val="center"/>
          </w:tcPr>
          <w:p w14:paraId="7E9DB9CF" w14:textId="77777777" w:rsidR="007F1668" w:rsidRPr="007F1668" w:rsidRDefault="007F1668" w:rsidP="00B030C0">
            <w:pPr>
              <w:spacing w:before="120" w:after="120"/>
              <w:jc w:val="center"/>
            </w:pPr>
            <w:r w:rsidRPr="007F1668">
              <w:rPr>
                <w:color w:val="000000"/>
              </w:rPr>
              <w:t>175</w:t>
            </w:r>
          </w:p>
        </w:tc>
      </w:tr>
      <w:tr w:rsidR="007F1668" w:rsidRPr="007F1668" w14:paraId="00183823" w14:textId="77777777" w:rsidTr="00B030C0">
        <w:trPr>
          <w:trHeight w:val="386"/>
        </w:trPr>
        <w:tc>
          <w:tcPr>
            <w:tcW w:w="2088" w:type="dxa"/>
            <w:vAlign w:val="center"/>
          </w:tcPr>
          <w:p w14:paraId="638B8706" w14:textId="77777777" w:rsidR="007F1668" w:rsidRPr="007F1668" w:rsidRDefault="007F1668" w:rsidP="00B030C0">
            <w:pPr>
              <w:spacing w:before="120" w:after="120"/>
              <w:jc w:val="center"/>
            </w:pPr>
            <w:r w:rsidRPr="007F1668">
              <w:t>Healthcare Professionals</w:t>
            </w:r>
          </w:p>
        </w:tc>
        <w:tc>
          <w:tcPr>
            <w:tcW w:w="1800" w:type="dxa"/>
            <w:vAlign w:val="center"/>
          </w:tcPr>
          <w:p w14:paraId="7AC7E936" w14:textId="77777777" w:rsidR="007F1668" w:rsidRPr="007F1668" w:rsidRDefault="007F1668" w:rsidP="00B030C0">
            <w:pPr>
              <w:spacing w:before="120" w:after="120"/>
              <w:jc w:val="center"/>
            </w:pPr>
            <w:r w:rsidRPr="007F1668">
              <w:t>Focus Groups Screening form</w:t>
            </w:r>
          </w:p>
        </w:tc>
        <w:tc>
          <w:tcPr>
            <w:tcW w:w="1530" w:type="dxa"/>
            <w:vAlign w:val="center"/>
          </w:tcPr>
          <w:p w14:paraId="624ABC5E" w14:textId="77777777" w:rsidR="007F1668" w:rsidRPr="007F1668" w:rsidRDefault="007F1668" w:rsidP="00B030C0">
            <w:pPr>
              <w:spacing w:before="120" w:after="120"/>
              <w:jc w:val="center"/>
            </w:pPr>
            <w:r w:rsidRPr="007F1668">
              <w:rPr>
                <w:color w:val="000000"/>
              </w:rPr>
              <w:t>450</w:t>
            </w:r>
          </w:p>
        </w:tc>
        <w:tc>
          <w:tcPr>
            <w:tcW w:w="1440" w:type="dxa"/>
            <w:vAlign w:val="center"/>
          </w:tcPr>
          <w:p w14:paraId="682956CF" w14:textId="77777777" w:rsidR="007F1668" w:rsidRPr="007F1668" w:rsidRDefault="007F1668" w:rsidP="00B030C0">
            <w:pPr>
              <w:spacing w:before="120" w:after="120"/>
              <w:jc w:val="center"/>
            </w:pPr>
            <w:r w:rsidRPr="007F1668">
              <w:t>1</w:t>
            </w:r>
          </w:p>
        </w:tc>
        <w:tc>
          <w:tcPr>
            <w:tcW w:w="1440" w:type="dxa"/>
            <w:vAlign w:val="center"/>
          </w:tcPr>
          <w:p w14:paraId="14F43C49" w14:textId="77777777" w:rsidR="007F1668" w:rsidRPr="007F1668" w:rsidRDefault="007F1668" w:rsidP="00B030C0">
            <w:pPr>
              <w:spacing w:before="120" w:after="120"/>
              <w:jc w:val="center"/>
              <w:rPr>
                <w:color w:val="000000"/>
              </w:rPr>
            </w:pPr>
            <w:r w:rsidRPr="007F1668">
              <w:rPr>
                <w:color w:val="000000"/>
                <w:sz w:val="22"/>
                <w:szCs w:val="22"/>
              </w:rPr>
              <w:t>10/60</w:t>
            </w:r>
          </w:p>
        </w:tc>
        <w:tc>
          <w:tcPr>
            <w:tcW w:w="1278" w:type="dxa"/>
            <w:vAlign w:val="center"/>
          </w:tcPr>
          <w:p w14:paraId="78B9845F" w14:textId="77777777" w:rsidR="007F1668" w:rsidRPr="007F1668" w:rsidRDefault="007F1668" w:rsidP="00B030C0">
            <w:pPr>
              <w:spacing w:before="120" w:after="120"/>
              <w:jc w:val="center"/>
            </w:pPr>
            <w:r w:rsidRPr="007F1668">
              <w:rPr>
                <w:color w:val="000000"/>
              </w:rPr>
              <w:t>75</w:t>
            </w:r>
          </w:p>
        </w:tc>
      </w:tr>
      <w:tr w:rsidR="007F1668" w:rsidRPr="007F1668" w14:paraId="31072246" w14:textId="77777777" w:rsidTr="00B030C0">
        <w:trPr>
          <w:trHeight w:val="386"/>
        </w:trPr>
        <w:tc>
          <w:tcPr>
            <w:tcW w:w="2088" w:type="dxa"/>
            <w:vAlign w:val="center"/>
          </w:tcPr>
          <w:p w14:paraId="3C2E4180" w14:textId="77777777" w:rsidR="007F1668" w:rsidRPr="007F1668" w:rsidRDefault="007F1668" w:rsidP="00B030C0">
            <w:pPr>
              <w:spacing w:before="120" w:after="120"/>
              <w:jc w:val="center"/>
            </w:pPr>
            <w:r w:rsidRPr="007F1668">
              <w:t>General Public</w:t>
            </w:r>
          </w:p>
        </w:tc>
        <w:tc>
          <w:tcPr>
            <w:tcW w:w="1800" w:type="dxa"/>
            <w:vAlign w:val="center"/>
          </w:tcPr>
          <w:p w14:paraId="55939A7A" w14:textId="77777777" w:rsidR="007F1668" w:rsidRPr="007F1668" w:rsidRDefault="007F1668" w:rsidP="00B030C0">
            <w:pPr>
              <w:spacing w:before="120" w:after="120"/>
              <w:jc w:val="center"/>
            </w:pPr>
            <w:r w:rsidRPr="007F1668">
              <w:t>Focus Groups</w:t>
            </w:r>
          </w:p>
        </w:tc>
        <w:tc>
          <w:tcPr>
            <w:tcW w:w="1530" w:type="dxa"/>
            <w:vAlign w:val="center"/>
          </w:tcPr>
          <w:p w14:paraId="1A9A0CAB" w14:textId="77777777" w:rsidR="007F1668" w:rsidRPr="007F1668" w:rsidRDefault="007F1668" w:rsidP="00B030C0">
            <w:pPr>
              <w:spacing w:before="120" w:after="120"/>
              <w:jc w:val="center"/>
            </w:pPr>
            <w:r w:rsidRPr="007F1668">
              <w:rPr>
                <w:color w:val="000000"/>
              </w:rPr>
              <w:t>525</w:t>
            </w:r>
          </w:p>
        </w:tc>
        <w:tc>
          <w:tcPr>
            <w:tcW w:w="1440" w:type="dxa"/>
            <w:vAlign w:val="center"/>
          </w:tcPr>
          <w:p w14:paraId="22E4C780" w14:textId="77777777" w:rsidR="007F1668" w:rsidRPr="007F1668" w:rsidRDefault="007F1668" w:rsidP="00B030C0">
            <w:pPr>
              <w:spacing w:before="120" w:after="120"/>
              <w:jc w:val="center"/>
            </w:pPr>
            <w:r w:rsidRPr="007F1668">
              <w:t>1</w:t>
            </w:r>
          </w:p>
        </w:tc>
        <w:tc>
          <w:tcPr>
            <w:tcW w:w="1440" w:type="dxa"/>
            <w:vAlign w:val="center"/>
          </w:tcPr>
          <w:p w14:paraId="3DC64900" w14:textId="77777777" w:rsidR="007F1668" w:rsidRPr="007F1668" w:rsidRDefault="007F1668" w:rsidP="00B030C0">
            <w:pPr>
              <w:spacing w:before="120" w:after="120"/>
              <w:jc w:val="center"/>
              <w:rPr>
                <w:color w:val="000000"/>
              </w:rPr>
            </w:pPr>
            <w:r w:rsidRPr="007F1668">
              <w:rPr>
                <w:color w:val="000000"/>
              </w:rPr>
              <w:t>90/60</w:t>
            </w:r>
          </w:p>
        </w:tc>
        <w:tc>
          <w:tcPr>
            <w:tcW w:w="1278" w:type="dxa"/>
            <w:vAlign w:val="center"/>
          </w:tcPr>
          <w:p w14:paraId="7AEB541F" w14:textId="77777777" w:rsidR="007F1668" w:rsidRPr="007F1668" w:rsidRDefault="007F1668" w:rsidP="00B030C0">
            <w:pPr>
              <w:spacing w:before="120" w:after="120"/>
              <w:jc w:val="center"/>
            </w:pPr>
            <w:r w:rsidRPr="007F1668">
              <w:rPr>
                <w:color w:val="000000"/>
              </w:rPr>
              <w:t>788</w:t>
            </w:r>
          </w:p>
        </w:tc>
      </w:tr>
      <w:tr w:rsidR="007F1668" w:rsidRPr="007F1668" w14:paraId="4247E371" w14:textId="77777777" w:rsidTr="00B030C0">
        <w:trPr>
          <w:trHeight w:val="386"/>
        </w:trPr>
        <w:tc>
          <w:tcPr>
            <w:tcW w:w="2088" w:type="dxa"/>
            <w:vAlign w:val="center"/>
          </w:tcPr>
          <w:p w14:paraId="79BA9864" w14:textId="77777777" w:rsidR="007F1668" w:rsidRPr="007F1668" w:rsidRDefault="007F1668" w:rsidP="00B030C0">
            <w:pPr>
              <w:spacing w:before="120" w:after="120"/>
              <w:jc w:val="center"/>
            </w:pPr>
            <w:r w:rsidRPr="007F1668">
              <w:t>Healthcare Professionals</w:t>
            </w:r>
          </w:p>
        </w:tc>
        <w:tc>
          <w:tcPr>
            <w:tcW w:w="1800" w:type="dxa"/>
            <w:vAlign w:val="center"/>
          </w:tcPr>
          <w:p w14:paraId="067520AE" w14:textId="77777777" w:rsidR="007F1668" w:rsidRPr="007F1668" w:rsidRDefault="007F1668" w:rsidP="00B030C0">
            <w:pPr>
              <w:spacing w:before="120" w:after="120"/>
              <w:jc w:val="center"/>
            </w:pPr>
            <w:r w:rsidRPr="007F1668">
              <w:t>Focus Groups</w:t>
            </w:r>
          </w:p>
        </w:tc>
        <w:tc>
          <w:tcPr>
            <w:tcW w:w="1530" w:type="dxa"/>
            <w:vAlign w:val="center"/>
          </w:tcPr>
          <w:p w14:paraId="56735980" w14:textId="77777777" w:rsidR="007F1668" w:rsidRPr="007F1668" w:rsidRDefault="007F1668" w:rsidP="00B030C0">
            <w:pPr>
              <w:spacing w:before="120" w:after="120"/>
              <w:jc w:val="center"/>
            </w:pPr>
            <w:r w:rsidRPr="007F1668">
              <w:rPr>
                <w:color w:val="000000"/>
              </w:rPr>
              <w:t>225</w:t>
            </w:r>
          </w:p>
        </w:tc>
        <w:tc>
          <w:tcPr>
            <w:tcW w:w="1440" w:type="dxa"/>
            <w:vAlign w:val="center"/>
          </w:tcPr>
          <w:p w14:paraId="223D565F" w14:textId="77777777" w:rsidR="007F1668" w:rsidRPr="007F1668" w:rsidRDefault="007F1668" w:rsidP="00B030C0">
            <w:pPr>
              <w:spacing w:before="120" w:after="120"/>
              <w:jc w:val="center"/>
            </w:pPr>
            <w:r w:rsidRPr="007F1668">
              <w:t>1</w:t>
            </w:r>
          </w:p>
        </w:tc>
        <w:tc>
          <w:tcPr>
            <w:tcW w:w="1440" w:type="dxa"/>
            <w:vAlign w:val="center"/>
          </w:tcPr>
          <w:p w14:paraId="2627504E" w14:textId="77777777" w:rsidR="007F1668" w:rsidRPr="007F1668" w:rsidRDefault="007F1668" w:rsidP="00B030C0">
            <w:pPr>
              <w:spacing w:before="120" w:after="120"/>
              <w:jc w:val="center"/>
              <w:rPr>
                <w:color w:val="000000"/>
              </w:rPr>
            </w:pPr>
            <w:r w:rsidRPr="007F1668">
              <w:rPr>
                <w:color w:val="000000"/>
                <w:sz w:val="22"/>
                <w:szCs w:val="22"/>
              </w:rPr>
              <w:t>90/60</w:t>
            </w:r>
          </w:p>
        </w:tc>
        <w:tc>
          <w:tcPr>
            <w:tcW w:w="1278" w:type="dxa"/>
            <w:vAlign w:val="center"/>
          </w:tcPr>
          <w:p w14:paraId="4D40995A" w14:textId="77777777" w:rsidR="007F1668" w:rsidRPr="007F1668" w:rsidRDefault="007F1668" w:rsidP="00B030C0">
            <w:pPr>
              <w:spacing w:before="120" w:after="120"/>
              <w:jc w:val="center"/>
            </w:pPr>
            <w:r w:rsidRPr="007F1668">
              <w:rPr>
                <w:color w:val="000000"/>
              </w:rPr>
              <w:t>338</w:t>
            </w:r>
          </w:p>
        </w:tc>
      </w:tr>
      <w:tr w:rsidR="007F1668" w:rsidRPr="007F1668" w14:paraId="74B21CB5" w14:textId="77777777" w:rsidTr="00B030C0">
        <w:trPr>
          <w:trHeight w:val="386"/>
        </w:trPr>
        <w:tc>
          <w:tcPr>
            <w:tcW w:w="2088" w:type="dxa"/>
            <w:vAlign w:val="center"/>
          </w:tcPr>
          <w:p w14:paraId="5AED4668" w14:textId="77777777" w:rsidR="007F1668" w:rsidRPr="007F1668" w:rsidRDefault="007F1668" w:rsidP="00B030C0">
            <w:pPr>
              <w:spacing w:before="120" w:after="120"/>
              <w:jc w:val="center"/>
            </w:pPr>
            <w:r w:rsidRPr="007F1668">
              <w:t>General Public</w:t>
            </w:r>
          </w:p>
        </w:tc>
        <w:tc>
          <w:tcPr>
            <w:tcW w:w="1800" w:type="dxa"/>
            <w:vAlign w:val="center"/>
          </w:tcPr>
          <w:p w14:paraId="5BB2F43F" w14:textId="77777777" w:rsidR="007F1668" w:rsidRPr="007F1668" w:rsidRDefault="007F1668" w:rsidP="00B030C0">
            <w:pPr>
              <w:spacing w:before="120" w:after="120"/>
              <w:jc w:val="center"/>
            </w:pPr>
            <w:r w:rsidRPr="007F1668">
              <w:t>Interview Screening Form</w:t>
            </w:r>
          </w:p>
        </w:tc>
        <w:tc>
          <w:tcPr>
            <w:tcW w:w="1530" w:type="dxa"/>
            <w:vAlign w:val="center"/>
          </w:tcPr>
          <w:p w14:paraId="7B510760" w14:textId="77777777" w:rsidR="007F1668" w:rsidRPr="007F1668" w:rsidRDefault="007F1668" w:rsidP="00B030C0">
            <w:pPr>
              <w:spacing w:before="120" w:after="120"/>
              <w:jc w:val="center"/>
            </w:pPr>
            <w:r w:rsidRPr="007F1668">
              <w:rPr>
                <w:color w:val="000000"/>
              </w:rPr>
              <w:t>700</w:t>
            </w:r>
          </w:p>
        </w:tc>
        <w:tc>
          <w:tcPr>
            <w:tcW w:w="1440" w:type="dxa"/>
            <w:vAlign w:val="center"/>
          </w:tcPr>
          <w:p w14:paraId="6E94DCB1" w14:textId="77777777" w:rsidR="007F1668" w:rsidRPr="007F1668" w:rsidRDefault="007F1668" w:rsidP="00B030C0">
            <w:pPr>
              <w:spacing w:before="120" w:after="120"/>
              <w:jc w:val="center"/>
            </w:pPr>
            <w:r w:rsidRPr="007F1668">
              <w:t>1</w:t>
            </w:r>
          </w:p>
        </w:tc>
        <w:tc>
          <w:tcPr>
            <w:tcW w:w="1440" w:type="dxa"/>
            <w:vAlign w:val="center"/>
          </w:tcPr>
          <w:p w14:paraId="5FE36504" w14:textId="77777777" w:rsidR="007F1668" w:rsidRPr="007F1668" w:rsidRDefault="007F1668" w:rsidP="00B030C0">
            <w:pPr>
              <w:spacing w:before="120" w:after="120"/>
              <w:jc w:val="center"/>
            </w:pPr>
            <w:r w:rsidRPr="007F1668">
              <w:rPr>
                <w:color w:val="000000"/>
                <w:sz w:val="22"/>
                <w:szCs w:val="22"/>
              </w:rPr>
              <w:t>10/60</w:t>
            </w:r>
          </w:p>
        </w:tc>
        <w:tc>
          <w:tcPr>
            <w:tcW w:w="1278" w:type="dxa"/>
            <w:vAlign w:val="center"/>
          </w:tcPr>
          <w:p w14:paraId="31A727E4" w14:textId="77777777" w:rsidR="007F1668" w:rsidRPr="007F1668" w:rsidRDefault="007F1668" w:rsidP="00B030C0">
            <w:pPr>
              <w:spacing w:before="120" w:after="120"/>
              <w:jc w:val="center"/>
            </w:pPr>
            <w:r w:rsidRPr="007F1668">
              <w:rPr>
                <w:color w:val="000000"/>
              </w:rPr>
              <w:t>117</w:t>
            </w:r>
          </w:p>
        </w:tc>
      </w:tr>
      <w:tr w:rsidR="007F1668" w:rsidRPr="007F1668" w14:paraId="45996071" w14:textId="77777777" w:rsidTr="00B030C0">
        <w:trPr>
          <w:trHeight w:val="386"/>
        </w:trPr>
        <w:tc>
          <w:tcPr>
            <w:tcW w:w="2088" w:type="dxa"/>
            <w:vAlign w:val="center"/>
          </w:tcPr>
          <w:p w14:paraId="70044583" w14:textId="77777777" w:rsidR="007F1668" w:rsidRPr="007F1668" w:rsidRDefault="007F1668" w:rsidP="00B030C0">
            <w:pPr>
              <w:spacing w:before="120" w:after="120"/>
              <w:jc w:val="center"/>
            </w:pPr>
            <w:r w:rsidRPr="007F1668">
              <w:t>Healthcare Professionals</w:t>
            </w:r>
          </w:p>
        </w:tc>
        <w:tc>
          <w:tcPr>
            <w:tcW w:w="1800" w:type="dxa"/>
            <w:vAlign w:val="center"/>
          </w:tcPr>
          <w:p w14:paraId="6EEB92DF" w14:textId="77777777" w:rsidR="007F1668" w:rsidRPr="007F1668" w:rsidRDefault="007F1668" w:rsidP="00B030C0">
            <w:pPr>
              <w:spacing w:before="120" w:after="120"/>
              <w:jc w:val="center"/>
            </w:pPr>
            <w:r w:rsidRPr="007F1668">
              <w:t>Interview Screening Form</w:t>
            </w:r>
          </w:p>
        </w:tc>
        <w:tc>
          <w:tcPr>
            <w:tcW w:w="1530" w:type="dxa"/>
            <w:vAlign w:val="center"/>
          </w:tcPr>
          <w:p w14:paraId="5E6E5E96" w14:textId="77777777" w:rsidR="007F1668" w:rsidRPr="007F1668" w:rsidRDefault="007F1668" w:rsidP="00B030C0">
            <w:pPr>
              <w:spacing w:before="120" w:after="120"/>
              <w:jc w:val="center"/>
            </w:pPr>
            <w:r w:rsidRPr="007F1668">
              <w:rPr>
                <w:color w:val="000000"/>
              </w:rPr>
              <w:t>300</w:t>
            </w:r>
          </w:p>
        </w:tc>
        <w:tc>
          <w:tcPr>
            <w:tcW w:w="1440" w:type="dxa"/>
            <w:vAlign w:val="center"/>
          </w:tcPr>
          <w:p w14:paraId="4B2F77C9" w14:textId="77777777" w:rsidR="007F1668" w:rsidRPr="007F1668" w:rsidRDefault="007F1668" w:rsidP="00B030C0">
            <w:pPr>
              <w:spacing w:before="120" w:after="120"/>
              <w:jc w:val="center"/>
            </w:pPr>
            <w:r w:rsidRPr="007F1668">
              <w:t>1</w:t>
            </w:r>
          </w:p>
        </w:tc>
        <w:tc>
          <w:tcPr>
            <w:tcW w:w="1440" w:type="dxa"/>
            <w:vAlign w:val="center"/>
          </w:tcPr>
          <w:p w14:paraId="771324F2" w14:textId="77777777" w:rsidR="007F1668" w:rsidRPr="007F1668" w:rsidRDefault="007F1668" w:rsidP="00B030C0">
            <w:pPr>
              <w:spacing w:before="120" w:after="120"/>
              <w:jc w:val="center"/>
              <w:rPr>
                <w:color w:val="000000"/>
              </w:rPr>
            </w:pPr>
            <w:r w:rsidRPr="007F1668">
              <w:rPr>
                <w:color w:val="000000"/>
                <w:sz w:val="22"/>
                <w:szCs w:val="22"/>
              </w:rPr>
              <w:t>10/60</w:t>
            </w:r>
          </w:p>
        </w:tc>
        <w:tc>
          <w:tcPr>
            <w:tcW w:w="1278" w:type="dxa"/>
            <w:vAlign w:val="center"/>
          </w:tcPr>
          <w:p w14:paraId="347D4A55" w14:textId="77777777" w:rsidR="007F1668" w:rsidRPr="007F1668" w:rsidRDefault="007F1668" w:rsidP="00B030C0">
            <w:pPr>
              <w:spacing w:before="120" w:after="120"/>
              <w:jc w:val="center"/>
            </w:pPr>
            <w:r w:rsidRPr="007F1668">
              <w:rPr>
                <w:color w:val="000000"/>
              </w:rPr>
              <w:t>50</w:t>
            </w:r>
          </w:p>
        </w:tc>
      </w:tr>
      <w:tr w:rsidR="007F1668" w:rsidRPr="007F1668" w14:paraId="3FF10CEA" w14:textId="77777777" w:rsidTr="00B030C0">
        <w:trPr>
          <w:trHeight w:val="386"/>
        </w:trPr>
        <w:tc>
          <w:tcPr>
            <w:tcW w:w="2088" w:type="dxa"/>
            <w:vAlign w:val="center"/>
          </w:tcPr>
          <w:p w14:paraId="2815A66B" w14:textId="77777777" w:rsidR="007F1668" w:rsidRPr="007F1668" w:rsidRDefault="007F1668" w:rsidP="00B030C0">
            <w:pPr>
              <w:spacing w:before="120" w:after="120"/>
              <w:jc w:val="center"/>
            </w:pPr>
            <w:r w:rsidRPr="007F1668">
              <w:t>General Public</w:t>
            </w:r>
          </w:p>
        </w:tc>
        <w:tc>
          <w:tcPr>
            <w:tcW w:w="1800" w:type="dxa"/>
            <w:vAlign w:val="center"/>
          </w:tcPr>
          <w:p w14:paraId="619E28C4" w14:textId="77777777" w:rsidR="007F1668" w:rsidRPr="007F1668" w:rsidRDefault="007F1668" w:rsidP="00B030C0">
            <w:pPr>
              <w:spacing w:before="120" w:after="120"/>
              <w:jc w:val="center"/>
            </w:pPr>
            <w:r w:rsidRPr="007F1668">
              <w:t>Interviews</w:t>
            </w:r>
          </w:p>
        </w:tc>
        <w:tc>
          <w:tcPr>
            <w:tcW w:w="1530" w:type="dxa"/>
            <w:vAlign w:val="center"/>
          </w:tcPr>
          <w:p w14:paraId="0B8ED580" w14:textId="77777777" w:rsidR="007F1668" w:rsidRPr="007F1668" w:rsidRDefault="007F1668" w:rsidP="00B030C0">
            <w:pPr>
              <w:spacing w:before="120" w:after="120"/>
              <w:jc w:val="center"/>
            </w:pPr>
            <w:r w:rsidRPr="007F1668">
              <w:rPr>
                <w:color w:val="000000"/>
              </w:rPr>
              <w:t>350</w:t>
            </w:r>
          </w:p>
        </w:tc>
        <w:tc>
          <w:tcPr>
            <w:tcW w:w="1440" w:type="dxa"/>
            <w:vAlign w:val="center"/>
          </w:tcPr>
          <w:p w14:paraId="01A1515E" w14:textId="77777777" w:rsidR="007F1668" w:rsidRPr="007F1668" w:rsidRDefault="007F1668" w:rsidP="00B030C0">
            <w:pPr>
              <w:spacing w:before="120" w:after="120"/>
              <w:jc w:val="center"/>
            </w:pPr>
            <w:r w:rsidRPr="007F1668">
              <w:t>1</w:t>
            </w:r>
          </w:p>
        </w:tc>
        <w:tc>
          <w:tcPr>
            <w:tcW w:w="1440" w:type="dxa"/>
            <w:vAlign w:val="center"/>
          </w:tcPr>
          <w:p w14:paraId="24BB29AA" w14:textId="77777777" w:rsidR="007F1668" w:rsidRPr="007F1668" w:rsidRDefault="007F1668" w:rsidP="00B030C0">
            <w:pPr>
              <w:spacing w:before="120" w:after="120"/>
              <w:jc w:val="center"/>
            </w:pPr>
            <w:r w:rsidRPr="007F1668">
              <w:t>1</w:t>
            </w:r>
          </w:p>
        </w:tc>
        <w:tc>
          <w:tcPr>
            <w:tcW w:w="1278" w:type="dxa"/>
            <w:vAlign w:val="center"/>
          </w:tcPr>
          <w:p w14:paraId="3B3A202C" w14:textId="77777777" w:rsidR="007F1668" w:rsidRPr="007F1668" w:rsidRDefault="007F1668" w:rsidP="00B030C0">
            <w:pPr>
              <w:spacing w:before="120" w:after="120"/>
              <w:jc w:val="center"/>
            </w:pPr>
            <w:r w:rsidRPr="007F1668">
              <w:rPr>
                <w:color w:val="000000"/>
              </w:rPr>
              <w:t>350</w:t>
            </w:r>
          </w:p>
        </w:tc>
      </w:tr>
      <w:tr w:rsidR="007F1668" w:rsidRPr="007F1668" w14:paraId="7FA9A22C" w14:textId="77777777" w:rsidTr="00B030C0">
        <w:trPr>
          <w:trHeight w:val="386"/>
        </w:trPr>
        <w:tc>
          <w:tcPr>
            <w:tcW w:w="2088" w:type="dxa"/>
            <w:vAlign w:val="center"/>
          </w:tcPr>
          <w:p w14:paraId="1D8955C3" w14:textId="77777777" w:rsidR="007F1668" w:rsidRPr="007F1668" w:rsidRDefault="007F1668" w:rsidP="00B030C0">
            <w:pPr>
              <w:spacing w:before="120" w:after="120"/>
              <w:jc w:val="center"/>
            </w:pPr>
            <w:r w:rsidRPr="007F1668">
              <w:t>Healthcare Professionals Interviews</w:t>
            </w:r>
          </w:p>
        </w:tc>
        <w:tc>
          <w:tcPr>
            <w:tcW w:w="1800" w:type="dxa"/>
            <w:vAlign w:val="center"/>
          </w:tcPr>
          <w:p w14:paraId="38ABCAC5" w14:textId="77777777" w:rsidR="007F1668" w:rsidRPr="007F1668" w:rsidRDefault="007F1668" w:rsidP="00B030C0">
            <w:pPr>
              <w:spacing w:before="120" w:after="120"/>
              <w:jc w:val="center"/>
            </w:pPr>
            <w:r w:rsidRPr="007F1668">
              <w:t>Interviews</w:t>
            </w:r>
          </w:p>
        </w:tc>
        <w:tc>
          <w:tcPr>
            <w:tcW w:w="1530" w:type="dxa"/>
            <w:vAlign w:val="center"/>
          </w:tcPr>
          <w:p w14:paraId="318EB27F" w14:textId="77777777" w:rsidR="007F1668" w:rsidRPr="007F1668" w:rsidRDefault="007F1668" w:rsidP="00B030C0">
            <w:pPr>
              <w:spacing w:before="120" w:after="120"/>
              <w:jc w:val="center"/>
            </w:pPr>
            <w:r w:rsidRPr="007F1668">
              <w:rPr>
                <w:color w:val="000000"/>
              </w:rPr>
              <w:t>150</w:t>
            </w:r>
          </w:p>
        </w:tc>
        <w:tc>
          <w:tcPr>
            <w:tcW w:w="1440" w:type="dxa"/>
            <w:vAlign w:val="center"/>
          </w:tcPr>
          <w:p w14:paraId="4A627E30" w14:textId="77777777" w:rsidR="007F1668" w:rsidRPr="007F1668" w:rsidRDefault="007F1668" w:rsidP="00B030C0">
            <w:pPr>
              <w:spacing w:before="120" w:after="120"/>
              <w:jc w:val="center"/>
            </w:pPr>
            <w:r w:rsidRPr="007F1668">
              <w:t>1</w:t>
            </w:r>
          </w:p>
        </w:tc>
        <w:tc>
          <w:tcPr>
            <w:tcW w:w="1440" w:type="dxa"/>
            <w:vAlign w:val="center"/>
          </w:tcPr>
          <w:p w14:paraId="3F8FDF4A" w14:textId="77777777" w:rsidR="007F1668" w:rsidRPr="007F1668" w:rsidRDefault="007F1668" w:rsidP="00B030C0">
            <w:pPr>
              <w:spacing w:before="120" w:after="120"/>
              <w:jc w:val="center"/>
            </w:pPr>
            <w:r w:rsidRPr="007F1668">
              <w:t>1</w:t>
            </w:r>
          </w:p>
        </w:tc>
        <w:tc>
          <w:tcPr>
            <w:tcW w:w="1278" w:type="dxa"/>
            <w:vAlign w:val="center"/>
          </w:tcPr>
          <w:p w14:paraId="0D75EA49" w14:textId="77777777" w:rsidR="007F1668" w:rsidRPr="007F1668" w:rsidRDefault="007F1668" w:rsidP="00B030C0">
            <w:pPr>
              <w:spacing w:before="120" w:after="120"/>
              <w:jc w:val="center"/>
            </w:pPr>
            <w:r w:rsidRPr="007F1668">
              <w:rPr>
                <w:color w:val="000000"/>
              </w:rPr>
              <w:t>150</w:t>
            </w:r>
          </w:p>
        </w:tc>
      </w:tr>
      <w:tr w:rsidR="007F1668" w:rsidRPr="007F1668" w14:paraId="4621B60B" w14:textId="77777777" w:rsidTr="00B030C0">
        <w:trPr>
          <w:trHeight w:val="386"/>
        </w:trPr>
        <w:tc>
          <w:tcPr>
            <w:tcW w:w="2088" w:type="dxa"/>
            <w:vAlign w:val="center"/>
          </w:tcPr>
          <w:p w14:paraId="29BF5FE8" w14:textId="77777777" w:rsidR="007F1668" w:rsidRPr="007F1668" w:rsidRDefault="007F1668" w:rsidP="00B030C0">
            <w:pPr>
              <w:spacing w:before="120" w:after="120"/>
              <w:jc w:val="center"/>
            </w:pPr>
            <w:r w:rsidRPr="007F1668">
              <w:t>General Public</w:t>
            </w:r>
          </w:p>
        </w:tc>
        <w:tc>
          <w:tcPr>
            <w:tcW w:w="1800" w:type="dxa"/>
            <w:vAlign w:val="center"/>
          </w:tcPr>
          <w:p w14:paraId="2DCF0CBE" w14:textId="77777777" w:rsidR="007F1668" w:rsidRPr="007F1668" w:rsidRDefault="007F1668" w:rsidP="00B030C0">
            <w:pPr>
              <w:spacing w:before="120" w:after="120"/>
              <w:jc w:val="center"/>
            </w:pPr>
            <w:r w:rsidRPr="007F1668">
              <w:t>Survey Screening Forms</w:t>
            </w:r>
          </w:p>
        </w:tc>
        <w:tc>
          <w:tcPr>
            <w:tcW w:w="1530" w:type="dxa"/>
            <w:vAlign w:val="center"/>
          </w:tcPr>
          <w:p w14:paraId="7B28971B" w14:textId="77777777" w:rsidR="007F1668" w:rsidRPr="007F1668" w:rsidRDefault="007F1668" w:rsidP="00B030C0">
            <w:pPr>
              <w:spacing w:before="120" w:after="120"/>
              <w:jc w:val="center"/>
            </w:pPr>
            <w:r w:rsidRPr="007F1668">
              <w:rPr>
                <w:color w:val="000000"/>
              </w:rPr>
              <w:t>5250</w:t>
            </w:r>
          </w:p>
        </w:tc>
        <w:tc>
          <w:tcPr>
            <w:tcW w:w="1440" w:type="dxa"/>
            <w:vAlign w:val="center"/>
          </w:tcPr>
          <w:p w14:paraId="5F39EEF4" w14:textId="77777777" w:rsidR="007F1668" w:rsidRPr="007F1668" w:rsidRDefault="007F1668" w:rsidP="00B030C0">
            <w:pPr>
              <w:spacing w:before="120" w:after="120"/>
              <w:jc w:val="center"/>
            </w:pPr>
            <w:r w:rsidRPr="007F1668">
              <w:t>1</w:t>
            </w:r>
          </w:p>
        </w:tc>
        <w:tc>
          <w:tcPr>
            <w:tcW w:w="1440" w:type="dxa"/>
            <w:vAlign w:val="center"/>
          </w:tcPr>
          <w:p w14:paraId="4C90E221" w14:textId="77777777" w:rsidR="007F1668" w:rsidRPr="007F1668" w:rsidRDefault="007F1668" w:rsidP="00B030C0">
            <w:pPr>
              <w:spacing w:before="120" w:after="120"/>
              <w:jc w:val="center"/>
            </w:pPr>
            <w:r w:rsidRPr="007F1668">
              <w:t>10/60</w:t>
            </w:r>
          </w:p>
        </w:tc>
        <w:tc>
          <w:tcPr>
            <w:tcW w:w="1278" w:type="dxa"/>
            <w:vAlign w:val="center"/>
          </w:tcPr>
          <w:p w14:paraId="6D3FDD82" w14:textId="77777777" w:rsidR="007F1668" w:rsidRPr="007F1668" w:rsidRDefault="007F1668" w:rsidP="00B030C0">
            <w:pPr>
              <w:spacing w:before="120" w:after="120"/>
              <w:jc w:val="center"/>
            </w:pPr>
            <w:r w:rsidRPr="007F1668">
              <w:rPr>
                <w:color w:val="000000"/>
              </w:rPr>
              <w:t>875</w:t>
            </w:r>
          </w:p>
        </w:tc>
      </w:tr>
      <w:tr w:rsidR="007F1668" w:rsidRPr="007F1668" w14:paraId="0AA64B5A" w14:textId="77777777" w:rsidTr="00B030C0">
        <w:trPr>
          <w:trHeight w:val="386"/>
        </w:trPr>
        <w:tc>
          <w:tcPr>
            <w:tcW w:w="2088" w:type="dxa"/>
            <w:vAlign w:val="center"/>
          </w:tcPr>
          <w:p w14:paraId="16519A8B" w14:textId="77777777" w:rsidR="007F1668" w:rsidRPr="007F1668" w:rsidRDefault="007F1668" w:rsidP="00B030C0">
            <w:pPr>
              <w:spacing w:before="120" w:after="120"/>
              <w:jc w:val="center"/>
            </w:pPr>
            <w:r w:rsidRPr="007F1668">
              <w:t>Healthcare Professionals</w:t>
            </w:r>
          </w:p>
        </w:tc>
        <w:tc>
          <w:tcPr>
            <w:tcW w:w="1800" w:type="dxa"/>
            <w:vAlign w:val="center"/>
          </w:tcPr>
          <w:p w14:paraId="53A2721A" w14:textId="77777777" w:rsidR="007F1668" w:rsidRPr="007F1668" w:rsidRDefault="007F1668" w:rsidP="00B030C0">
            <w:pPr>
              <w:spacing w:before="120" w:after="120"/>
              <w:jc w:val="center"/>
            </w:pPr>
            <w:r w:rsidRPr="007F1668">
              <w:t>Survey Screening Forms</w:t>
            </w:r>
          </w:p>
        </w:tc>
        <w:tc>
          <w:tcPr>
            <w:tcW w:w="1530" w:type="dxa"/>
            <w:vAlign w:val="center"/>
          </w:tcPr>
          <w:p w14:paraId="1A0044B6" w14:textId="77777777" w:rsidR="007F1668" w:rsidRPr="007F1668" w:rsidRDefault="007F1668" w:rsidP="00B030C0">
            <w:pPr>
              <w:spacing w:before="120" w:after="120"/>
              <w:jc w:val="center"/>
            </w:pPr>
            <w:r w:rsidRPr="007F1668">
              <w:rPr>
                <w:color w:val="000000"/>
              </w:rPr>
              <w:t>2250</w:t>
            </w:r>
          </w:p>
        </w:tc>
        <w:tc>
          <w:tcPr>
            <w:tcW w:w="1440" w:type="dxa"/>
            <w:vAlign w:val="center"/>
          </w:tcPr>
          <w:p w14:paraId="1758B7DC" w14:textId="77777777" w:rsidR="007F1668" w:rsidRPr="007F1668" w:rsidRDefault="007F1668" w:rsidP="00B030C0">
            <w:pPr>
              <w:spacing w:before="120" w:after="120"/>
              <w:jc w:val="center"/>
            </w:pPr>
            <w:r w:rsidRPr="007F1668">
              <w:t>1</w:t>
            </w:r>
          </w:p>
        </w:tc>
        <w:tc>
          <w:tcPr>
            <w:tcW w:w="1440" w:type="dxa"/>
            <w:vAlign w:val="center"/>
          </w:tcPr>
          <w:p w14:paraId="4192402C" w14:textId="77777777" w:rsidR="007F1668" w:rsidRPr="007F1668" w:rsidRDefault="007F1668" w:rsidP="00B030C0">
            <w:pPr>
              <w:spacing w:before="120" w:after="120"/>
              <w:jc w:val="center"/>
            </w:pPr>
            <w:r w:rsidRPr="007F1668">
              <w:t>10/60</w:t>
            </w:r>
          </w:p>
        </w:tc>
        <w:tc>
          <w:tcPr>
            <w:tcW w:w="1278" w:type="dxa"/>
            <w:vAlign w:val="center"/>
          </w:tcPr>
          <w:p w14:paraId="22B4BC3E" w14:textId="77777777" w:rsidR="007F1668" w:rsidRPr="007F1668" w:rsidRDefault="007F1668" w:rsidP="00B030C0">
            <w:pPr>
              <w:spacing w:before="120" w:after="120"/>
              <w:jc w:val="center"/>
            </w:pPr>
            <w:r w:rsidRPr="007F1668">
              <w:rPr>
                <w:color w:val="000000"/>
              </w:rPr>
              <w:t>375</w:t>
            </w:r>
          </w:p>
        </w:tc>
      </w:tr>
      <w:tr w:rsidR="007F1668" w:rsidRPr="007F1668" w14:paraId="5822C82B" w14:textId="77777777" w:rsidTr="00B030C0">
        <w:trPr>
          <w:trHeight w:val="386"/>
        </w:trPr>
        <w:tc>
          <w:tcPr>
            <w:tcW w:w="2088" w:type="dxa"/>
            <w:vAlign w:val="center"/>
          </w:tcPr>
          <w:p w14:paraId="28A57159" w14:textId="77777777" w:rsidR="007F1668" w:rsidRPr="007F1668" w:rsidRDefault="007F1668" w:rsidP="00B030C0">
            <w:pPr>
              <w:spacing w:before="120" w:after="120"/>
              <w:jc w:val="center"/>
            </w:pPr>
            <w:r w:rsidRPr="007F1668">
              <w:t>General Public</w:t>
            </w:r>
          </w:p>
        </w:tc>
        <w:tc>
          <w:tcPr>
            <w:tcW w:w="1800" w:type="dxa"/>
            <w:vAlign w:val="center"/>
          </w:tcPr>
          <w:p w14:paraId="6DFA18E7" w14:textId="77777777" w:rsidR="007F1668" w:rsidRPr="007F1668" w:rsidRDefault="007F1668" w:rsidP="00B030C0">
            <w:pPr>
              <w:spacing w:before="120" w:after="120"/>
              <w:jc w:val="center"/>
            </w:pPr>
            <w:r w:rsidRPr="007F1668">
              <w:t>Surveys</w:t>
            </w:r>
          </w:p>
        </w:tc>
        <w:tc>
          <w:tcPr>
            <w:tcW w:w="1530" w:type="dxa"/>
            <w:vAlign w:val="center"/>
          </w:tcPr>
          <w:p w14:paraId="2E9A5140" w14:textId="77777777" w:rsidR="007F1668" w:rsidRPr="007F1668" w:rsidRDefault="007F1668" w:rsidP="00B030C0">
            <w:pPr>
              <w:spacing w:before="120" w:after="120"/>
              <w:jc w:val="center"/>
            </w:pPr>
            <w:r w:rsidRPr="007F1668">
              <w:rPr>
                <w:color w:val="000000"/>
              </w:rPr>
              <w:t>2625</w:t>
            </w:r>
          </w:p>
        </w:tc>
        <w:tc>
          <w:tcPr>
            <w:tcW w:w="1440" w:type="dxa"/>
            <w:vAlign w:val="center"/>
          </w:tcPr>
          <w:p w14:paraId="712BDD7D" w14:textId="77777777" w:rsidR="007F1668" w:rsidRPr="007F1668" w:rsidRDefault="007F1668" w:rsidP="00B030C0">
            <w:pPr>
              <w:spacing w:before="120" w:after="120"/>
              <w:jc w:val="center"/>
            </w:pPr>
            <w:r w:rsidRPr="007F1668">
              <w:t>1</w:t>
            </w:r>
          </w:p>
        </w:tc>
        <w:tc>
          <w:tcPr>
            <w:tcW w:w="1440" w:type="dxa"/>
            <w:vAlign w:val="center"/>
          </w:tcPr>
          <w:p w14:paraId="3ADCEB10" w14:textId="77777777" w:rsidR="007F1668" w:rsidRPr="007F1668" w:rsidRDefault="007F1668" w:rsidP="00B030C0">
            <w:pPr>
              <w:spacing w:before="120" w:after="120"/>
              <w:jc w:val="center"/>
            </w:pPr>
            <w:r w:rsidRPr="007F1668">
              <w:t>45/60</w:t>
            </w:r>
          </w:p>
        </w:tc>
        <w:tc>
          <w:tcPr>
            <w:tcW w:w="1278" w:type="dxa"/>
            <w:vAlign w:val="center"/>
          </w:tcPr>
          <w:p w14:paraId="483298F5" w14:textId="77777777" w:rsidR="007F1668" w:rsidRPr="007F1668" w:rsidRDefault="007F1668" w:rsidP="00B030C0">
            <w:pPr>
              <w:spacing w:before="120" w:after="120"/>
              <w:jc w:val="center"/>
            </w:pPr>
            <w:r w:rsidRPr="007F1668">
              <w:rPr>
                <w:color w:val="000000"/>
              </w:rPr>
              <w:t>1,969</w:t>
            </w:r>
          </w:p>
        </w:tc>
      </w:tr>
      <w:tr w:rsidR="007F1668" w:rsidRPr="007F1668" w14:paraId="31383AD1" w14:textId="77777777" w:rsidTr="00B030C0">
        <w:trPr>
          <w:trHeight w:val="386"/>
        </w:trPr>
        <w:tc>
          <w:tcPr>
            <w:tcW w:w="2088" w:type="dxa"/>
            <w:vAlign w:val="center"/>
          </w:tcPr>
          <w:p w14:paraId="4965F94E" w14:textId="77777777" w:rsidR="007F1668" w:rsidRPr="007F1668" w:rsidRDefault="007F1668" w:rsidP="00B030C0">
            <w:pPr>
              <w:spacing w:before="120" w:after="120"/>
              <w:jc w:val="center"/>
            </w:pPr>
            <w:r w:rsidRPr="007F1668">
              <w:t>Healthcare Professionals</w:t>
            </w:r>
          </w:p>
        </w:tc>
        <w:tc>
          <w:tcPr>
            <w:tcW w:w="1800" w:type="dxa"/>
            <w:vAlign w:val="center"/>
          </w:tcPr>
          <w:p w14:paraId="6819FD73" w14:textId="77777777" w:rsidR="007F1668" w:rsidRPr="007F1668" w:rsidRDefault="007F1668" w:rsidP="00B030C0">
            <w:pPr>
              <w:spacing w:before="120" w:after="120"/>
              <w:jc w:val="center"/>
            </w:pPr>
            <w:r w:rsidRPr="007F1668">
              <w:t>Surveys</w:t>
            </w:r>
          </w:p>
        </w:tc>
        <w:tc>
          <w:tcPr>
            <w:tcW w:w="1530" w:type="dxa"/>
            <w:vAlign w:val="center"/>
          </w:tcPr>
          <w:p w14:paraId="481D15FE" w14:textId="77777777" w:rsidR="007F1668" w:rsidRPr="007F1668" w:rsidRDefault="007F1668" w:rsidP="00B030C0">
            <w:pPr>
              <w:spacing w:before="120" w:after="120"/>
              <w:jc w:val="center"/>
            </w:pPr>
            <w:r w:rsidRPr="007F1668">
              <w:rPr>
                <w:color w:val="000000"/>
              </w:rPr>
              <w:t>1125</w:t>
            </w:r>
          </w:p>
        </w:tc>
        <w:tc>
          <w:tcPr>
            <w:tcW w:w="1440" w:type="dxa"/>
            <w:vAlign w:val="center"/>
          </w:tcPr>
          <w:p w14:paraId="1EE19CB9" w14:textId="77777777" w:rsidR="007F1668" w:rsidRPr="007F1668" w:rsidRDefault="00B1110F" w:rsidP="00B030C0">
            <w:pPr>
              <w:spacing w:before="120" w:after="120"/>
              <w:jc w:val="center"/>
            </w:pPr>
            <w:r>
              <w:t>1</w:t>
            </w:r>
          </w:p>
        </w:tc>
        <w:tc>
          <w:tcPr>
            <w:tcW w:w="1440" w:type="dxa"/>
            <w:vAlign w:val="center"/>
          </w:tcPr>
          <w:p w14:paraId="50462AD1" w14:textId="77777777" w:rsidR="007F1668" w:rsidRPr="007F1668" w:rsidRDefault="007F1668" w:rsidP="00B030C0">
            <w:pPr>
              <w:spacing w:before="120" w:after="120"/>
              <w:jc w:val="center"/>
            </w:pPr>
            <w:r w:rsidRPr="007F1668">
              <w:t>45/60</w:t>
            </w:r>
          </w:p>
        </w:tc>
        <w:tc>
          <w:tcPr>
            <w:tcW w:w="1278" w:type="dxa"/>
            <w:vAlign w:val="center"/>
          </w:tcPr>
          <w:p w14:paraId="2EE563F3" w14:textId="77777777" w:rsidR="007F1668" w:rsidRPr="007F1668" w:rsidRDefault="007F1668" w:rsidP="00B030C0">
            <w:pPr>
              <w:spacing w:before="120" w:after="120"/>
              <w:jc w:val="center"/>
            </w:pPr>
            <w:r w:rsidRPr="007F1668">
              <w:rPr>
                <w:color w:val="000000"/>
              </w:rPr>
              <w:t>844</w:t>
            </w:r>
          </w:p>
        </w:tc>
      </w:tr>
      <w:tr w:rsidR="007F1668" w:rsidRPr="007F1668" w14:paraId="6E8C952C" w14:textId="77777777" w:rsidTr="00B030C0">
        <w:trPr>
          <w:trHeight w:val="278"/>
        </w:trPr>
        <w:tc>
          <w:tcPr>
            <w:tcW w:w="2088" w:type="dxa"/>
            <w:vAlign w:val="center"/>
          </w:tcPr>
          <w:p w14:paraId="55354016" w14:textId="77777777" w:rsidR="007F1668" w:rsidRPr="007F1668" w:rsidRDefault="007F1668" w:rsidP="00B030C0">
            <w:pPr>
              <w:spacing w:before="120" w:after="120"/>
              <w:jc w:val="center"/>
            </w:pPr>
            <w:r w:rsidRPr="007F1668">
              <w:t>General Public</w:t>
            </w:r>
          </w:p>
        </w:tc>
        <w:tc>
          <w:tcPr>
            <w:tcW w:w="1800" w:type="dxa"/>
            <w:vAlign w:val="center"/>
          </w:tcPr>
          <w:p w14:paraId="76E875DD" w14:textId="77777777" w:rsidR="007F1668" w:rsidRPr="007F1668" w:rsidRDefault="007F1668" w:rsidP="00B030C0">
            <w:pPr>
              <w:spacing w:before="120" w:after="120"/>
              <w:jc w:val="center"/>
            </w:pPr>
            <w:r w:rsidRPr="007F1668">
              <w:t>Pre/Post Tests</w:t>
            </w:r>
          </w:p>
        </w:tc>
        <w:tc>
          <w:tcPr>
            <w:tcW w:w="1530" w:type="dxa"/>
            <w:vAlign w:val="center"/>
          </w:tcPr>
          <w:p w14:paraId="4EFE9260" w14:textId="77777777" w:rsidR="007F1668" w:rsidRPr="007F1668" w:rsidRDefault="007F1668" w:rsidP="00B030C0">
            <w:pPr>
              <w:spacing w:before="120" w:after="120"/>
              <w:jc w:val="center"/>
            </w:pPr>
            <w:r w:rsidRPr="007F1668">
              <w:rPr>
                <w:color w:val="000000"/>
              </w:rPr>
              <w:t>1750</w:t>
            </w:r>
          </w:p>
        </w:tc>
        <w:tc>
          <w:tcPr>
            <w:tcW w:w="1440" w:type="dxa"/>
            <w:vAlign w:val="center"/>
          </w:tcPr>
          <w:p w14:paraId="174246B8" w14:textId="77777777" w:rsidR="007F1668" w:rsidRPr="007F1668" w:rsidRDefault="007F1668" w:rsidP="00B030C0">
            <w:pPr>
              <w:spacing w:before="120" w:after="120"/>
              <w:jc w:val="center"/>
            </w:pPr>
            <w:r w:rsidRPr="007F1668">
              <w:t>1</w:t>
            </w:r>
          </w:p>
        </w:tc>
        <w:tc>
          <w:tcPr>
            <w:tcW w:w="1440" w:type="dxa"/>
            <w:vAlign w:val="center"/>
          </w:tcPr>
          <w:p w14:paraId="649FAC27" w14:textId="77777777" w:rsidR="007F1668" w:rsidRPr="007F1668" w:rsidRDefault="007F1668" w:rsidP="00B030C0">
            <w:pPr>
              <w:spacing w:before="120" w:after="120"/>
              <w:jc w:val="center"/>
            </w:pPr>
            <w:r w:rsidRPr="007F1668">
              <w:t>45/60</w:t>
            </w:r>
          </w:p>
        </w:tc>
        <w:tc>
          <w:tcPr>
            <w:tcW w:w="1278" w:type="dxa"/>
            <w:vAlign w:val="center"/>
          </w:tcPr>
          <w:p w14:paraId="5C9C2D8E" w14:textId="77777777" w:rsidR="007F1668" w:rsidRPr="007F1668" w:rsidRDefault="007F1668" w:rsidP="00B030C0">
            <w:pPr>
              <w:spacing w:before="120" w:after="120"/>
              <w:jc w:val="center"/>
            </w:pPr>
            <w:r w:rsidRPr="007F1668">
              <w:rPr>
                <w:color w:val="000000"/>
              </w:rPr>
              <w:t>1,313</w:t>
            </w:r>
          </w:p>
        </w:tc>
      </w:tr>
      <w:tr w:rsidR="007F1668" w:rsidRPr="007F1668" w14:paraId="660043CD" w14:textId="77777777" w:rsidTr="00B030C0">
        <w:trPr>
          <w:trHeight w:val="278"/>
        </w:trPr>
        <w:tc>
          <w:tcPr>
            <w:tcW w:w="2088" w:type="dxa"/>
            <w:vAlign w:val="center"/>
          </w:tcPr>
          <w:p w14:paraId="2243AB1A" w14:textId="77777777" w:rsidR="007F1668" w:rsidRPr="007F1668" w:rsidRDefault="007F1668" w:rsidP="00B030C0">
            <w:pPr>
              <w:spacing w:before="120" w:after="120"/>
              <w:jc w:val="center"/>
            </w:pPr>
            <w:r w:rsidRPr="007F1668">
              <w:t>Healthcare Professionals</w:t>
            </w:r>
          </w:p>
        </w:tc>
        <w:tc>
          <w:tcPr>
            <w:tcW w:w="1800" w:type="dxa"/>
            <w:vAlign w:val="center"/>
          </w:tcPr>
          <w:p w14:paraId="1907D080" w14:textId="77777777" w:rsidR="007F1668" w:rsidRPr="007F1668" w:rsidRDefault="007F1668" w:rsidP="00B030C0">
            <w:pPr>
              <w:spacing w:before="120" w:after="120"/>
              <w:jc w:val="center"/>
            </w:pPr>
            <w:r w:rsidRPr="007F1668">
              <w:t>Pre/Post Tests</w:t>
            </w:r>
          </w:p>
        </w:tc>
        <w:tc>
          <w:tcPr>
            <w:tcW w:w="1530" w:type="dxa"/>
            <w:vAlign w:val="center"/>
          </w:tcPr>
          <w:p w14:paraId="5BD67FFC" w14:textId="77777777" w:rsidR="007F1668" w:rsidRPr="007F1668" w:rsidRDefault="007F1668" w:rsidP="00B030C0">
            <w:pPr>
              <w:spacing w:before="120" w:after="120"/>
              <w:jc w:val="center"/>
            </w:pPr>
            <w:r w:rsidRPr="007F1668">
              <w:rPr>
                <w:color w:val="000000"/>
              </w:rPr>
              <w:t>750</w:t>
            </w:r>
          </w:p>
        </w:tc>
        <w:tc>
          <w:tcPr>
            <w:tcW w:w="1440" w:type="dxa"/>
            <w:vAlign w:val="center"/>
          </w:tcPr>
          <w:p w14:paraId="4EF8DD4F" w14:textId="77777777" w:rsidR="007F1668" w:rsidRPr="007F1668" w:rsidRDefault="007F1668" w:rsidP="00B030C0">
            <w:pPr>
              <w:spacing w:before="120" w:after="120"/>
              <w:jc w:val="center"/>
            </w:pPr>
            <w:r w:rsidRPr="007F1668">
              <w:t>1</w:t>
            </w:r>
          </w:p>
        </w:tc>
        <w:tc>
          <w:tcPr>
            <w:tcW w:w="1440" w:type="dxa"/>
            <w:vAlign w:val="center"/>
          </w:tcPr>
          <w:p w14:paraId="3C4EF5B8" w14:textId="77777777" w:rsidR="007F1668" w:rsidRPr="007F1668" w:rsidRDefault="007F1668" w:rsidP="00B030C0">
            <w:pPr>
              <w:spacing w:before="120" w:after="120"/>
              <w:jc w:val="center"/>
            </w:pPr>
            <w:r w:rsidRPr="007F1668">
              <w:t>45/60</w:t>
            </w:r>
          </w:p>
        </w:tc>
        <w:tc>
          <w:tcPr>
            <w:tcW w:w="1278" w:type="dxa"/>
            <w:vAlign w:val="center"/>
          </w:tcPr>
          <w:p w14:paraId="3C355B67" w14:textId="77777777" w:rsidR="007F1668" w:rsidRPr="007F1668" w:rsidRDefault="007F1668" w:rsidP="00B030C0">
            <w:pPr>
              <w:spacing w:before="120" w:after="120"/>
              <w:jc w:val="center"/>
            </w:pPr>
            <w:r w:rsidRPr="007F1668">
              <w:rPr>
                <w:color w:val="000000"/>
              </w:rPr>
              <w:t>563</w:t>
            </w:r>
          </w:p>
        </w:tc>
      </w:tr>
      <w:tr w:rsidR="007F1668" w:rsidRPr="007F1668" w14:paraId="57093498" w14:textId="77777777" w:rsidTr="00B030C0">
        <w:tc>
          <w:tcPr>
            <w:tcW w:w="2088" w:type="dxa"/>
            <w:vAlign w:val="center"/>
          </w:tcPr>
          <w:p w14:paraId="3335F0F5" w14:textId="77777777" w:rsidR="007F1668" w:rsidRPr="007F1668" w:rsidRDefault="007F1668" w:rsidP="00B030C0">
            <w:pPr>
              <w:spacing w:before="120" w:after="120"/>
              <w:jc w:val="center"/>
            </w:pPr>
            <w:r w:rsidRPr="007F1668">
              <w:t>TOTAL</w:t>
            </w:r>
          </w:p>
        </w:tc>
        <w:tc>
          <w:tcPr>
            <w:tcW w:w="1800" w:type="dxa"/>
            <w:vAlign w:val="center"/>
          </w:tcPr>
          <w:p w14:paraId="3769A68B" w14:textId="77777777" w:rsidR="007F1668" w:rsidRPr="007F1668" w:rsidRDefault="007F1668" w:rsidP="00B030C0">
            <w:pPr>
              <w:spacing w:before="120" w:after="120"/>
              <w:jc w:val="center"/>
            </w:pPr>
          </w:p>
        </w:tc>
        <w:tc>
          <w:tcPr>
            <w:tcW w:w="1530" w:type="dxa"/>
            <w:vAlign w:val="center"/>
          </w:tcPr>
          <w:p w14:paraId="6B26FD88" w14:textId="77777777" w:rsidR="007F1668" w:rsidRPr="007F1668" w:rsidRDefault="007F1668" w:rsidP="00B030C0">
            <w:pPr>
              <w:spacing w:before="120" w:after="120"/>
              <w:jc w:val="center"/>
            </w:pPr>
            <w:r w:rsidRPr="007F1668">
              <w:t>17500</w:t>
            </w:r>
          </w:p>
        </w:tc>
        <w:tc>
          <w:tcPr>
            <w:tcW w:w="1440" w:type="dxa"/>
            <w:vAlign w:val="center"/>
          </w:tcPr>
          <w:p w14:paraId="51D93ED8" w14:textId="77777777" w:rsidR="007F1668" w:rsidRPr="007F1668" w:rsidRDefault="007F1668" w:rsidP="00B030C0">
            <w:pPr>
              <w:spacing w:before="120" w:after="120"/>
              <w:jc w:val="center"/>
            </w:pPr>
          </w:p>
        </w:tc>
        <w:tc>
          <w:tcPr>
            <w:tcW w:w="1440" w:type="dxa"/>
            <w:vAlign w:val="center"/>
          </w:tcPr>
          <w:p w14:paraId="164CC8CD" w14:textId="77777777" w:rsidR="007F1668" w:rsidRPr="007F1668" w:rsidRDefault="007F1668" w:rsidP="00B030C0">
            <w:pPr>
              <w:spacing w:before="120" w:after="120"/>
              <w:jc w:val="center"/>
            </w:pPr>
          </w:p>
        </w:tc>
        <w:tc>
          <w:tcPr>
            <w:tcW w:w="1278" w:type="dxa"/>
            <w:vAlign w:val="center"/>
          </w:tcPr>
          <w:p w14:paraId="1AC01C45" w14:textId="77777777" w:rsidR="007F1668" w:rsidRPr="007F1668" w:rsidRDefault="007F1668" w:rsidP="00B030C0">
            <w:pPr>
              <w:spacing w:before="120" w:after="120"/>
              <w:jc w:val="center"/>
            </w:pPr>
            <w:r w:rsidRPr="007F1668">
              <w:rPr>
                <w:color w:val="000000"/>
              </w:rPr>
              <w:t>7,982</w:t>
            </w:r>
          </w:p>
        </w:tc>
      </w:tr>
    </w:tbl>
    <w:p w14:paraId="17338789" w14:textId="77777777" w:rsidR="007F1668" w:rsidRDefault="007F1668" w:rsidP="00B22338">
      <w:pPr>
        <w:spacing w:after="120" w:line="276" w:lineRule="auto"/>
        <w:outlineLvl w:val="0"/>
        <w:rPr>
          <w:bCs/>
          <w:color w:val="000000"/>
        </w:rPr>
      </w:pPr>
    </w:p>
    <w:p w14:paraId="2EE33DDB" w14:textId="77777777" w:rsidR="007C1142" w:rsidRPr="00090872" w:rsidRDefault="007C1142" w:rsidP="00090872">
      <w:pPr>
        <w:spacing w:line="276" w:lineRule="auto"/>
        <w:rPr>
          <w:color w:val="000000"/>
        </w:rPr>
      </w:pPr>
      <w:r w:rsidRPr="00090872">
        <w:rPr>
          <w:color w:val="000000"/>
        </w:rPr>
        <w:t>Table A</w:t>
      </w:r>
      <w:r w:rsidR="00154F20" w:rsidRPr="00090872">
        <w:rPr>
          <w:color w:val="000000"/>
        </w:rPr>
        <w:t>.</w:t>
      </w:r>
      <w:r w:rsidRPr="00090872">
        <w:rPr>
          <w:color w:val="000000"/>
        </w:rPr>
        <w:t>12-B presents the calculations for cost of respondents’ time using two categories of mean hourly wages</w:t>
      </w:r>
      <w:r w:rsidR="00110035" w:rsidRPr="00090872">
        <w:rPr>
          <w:color w:val="000000"/>
        </w:rPr>
        <w:t>, one for the general public</w:t>
      </w:r>
      <w:r w:rsidR="00271C93" w:rsidRPr="00090872">
        <w:rPr>
          <w:color w:val="000000"/>
        </w:rPr>
        <w:t xml:space="preserve"> (</w:t>
      </w:r>
      <w:hyperlink r:id="rId16" w:anchor="00-0000" w:history="1">
        <w:r w:rsidR="00271C93" w:rsidRPr="00F332FC">
          <w:rPr>
            <w:rStyle w:val="Hyperlink"/>
          </w:rPr>
          <w:t>https://www.bls.gov/oes/current/oes_nat.htm#00-0000</w:t>
        </w:r>
      </w:hyperlink>
      <w:r w:rsidR="00271C93" w:rsidRPr="00090872">
        <w:rPr>
          <w:color w:val="000000"/>
        </w:rPr>
        <w:t>: $23.86)</w:t>
      </w:r>
      <w:r w:rsidR="00110035" w:rsidRPr="00090872">
        <w:rPr>
          <w:color w:val="000000"/>
        </w:rPr>
        <w:t xml:space="preserve"> and one for </w:t>
      </w:r>
      <w:r w:rsidR="006F67F1" w:rsidRPr="00090872">
        <w:rPr>
          <w:color w:val="000000"/>
        </w:rPr>
        <w:t>Healthcare Professionals</w:t>
      </w:r>
      <w:r w:rsidR="00271C93" w:rsidRPr="00090872">
        <w:rPr>
          <w:color w:val="000000"/>
        </w:rPr>
        <w:t xml:space="preserve"> (</w:t>
      </w:r>
      <w:hyperlink r:id="rId17" w:history="1">
        <w:r w:rsidR="00271C93" w:rsidRPr="00F332FC">
          <w:rPr>
            <w:rStyle w:val="Hyperlink"/>
          </w:rPr>
          <w:t>https://www.bls.gov/oes/current/oes290000.htm</w:t>
        </w:r>
      </w:hyperlink>
      <w:r w:rsidR="00271C93" w:rsidRPr="00090872">
        <w:rPr>
          <w:color w:val="000000"/>
        </w:rPr>
        <w:t>: $38.06)</w:t>
      </w:r>
      <w:r w:rsidRPr="00090872">
        <w:rPr>
          <w:color w:val="000000"/>
        </w:rPr>
        <w:t>. Hourly mean wage information is fr</w:t>
      </w:r>
      <w:r w:rsidR="00154F20" w:rsidRPr="00090872">
        <w:rPr>
          <w:color w:val="000000"/>
        </w:rPr>
        <w:t>om the U.S. Department of Labor's</w:t>
      </w:r>
      <w:r w:rsidRPr="00090872">
        <w:rPr>
          <w:color w:val="000000"/>
        </w:rPr>
        <w:t xml:space="preserve"> Bureau of Labor Statistics website</w:t>
      </w:r>
      <w:r w:rsidR="00271C93" w:rsidRPr="00090872">
        <w:rPr>
          <w:color w:val="000000"/>
        </w:rPr>
        <w:t xml:space="preserve"> for 2016</w:t>
      </w:r>
      <w:r w:rsidR="0022796A" w:rsidRPr="00090872">
        <w:rPr>
          <w:color w:val="000000"/>
        </w:rPr>
        <w:t xml:space="preserve"> wages</w:t>
      </w:r>
      <w:r w:rsidRPr="00090872">
        <w:rPr>
          <w:color w:val="000000"/>
        </w:rPr>
        <w:t>.</w:t>
      </w:r>
      <w:r w:rsidR="003B5856" w:rsidRPr="00090872">
        <w:rPr>
          <w:color w:val="000000"/>
        </w:rPr>
        <w:t xml:space="preserve">  The total </w:t>
      </w:r>
      <w:r w:rsidRPr="00090872">
        <w:rPr>
          <w:color w:val="000000"/>
        </w:rPr>
        <w:t>annualized respondent cost (including the screening form</w:t>
      </w:r>
      <w:r w:rsidR="003B5856" w:rsidRPr="00090872">
        <w:rPr>
          <w:color w:val="000000"/>
        </w:rPr>
        <w:t>s</w:t>
      </w:r>
      <w:r w:rsidRPr="00090872">
        <w:rPr>
          <w:color w:val="000000"/>
        </w:rPr>
        <w:t xml:space="preserve">) is </w:t>
      </w:r>
      <w:r w:rsidR="006F67F1" w:rsidRPr="00090872">
        <w:rPr>
          <w:color w:val="000000"/>
        </w:rPr>
        <w:t>$</w:t>
      </w:r>
      <w:r w:rsidR="007F1668" w:rsidRPr="00090872">
        <w:rPr>
          <w:color w:val="000000"/>
        </w:rPr>
        <w:t>224,</w:t>
      </w:r>
      <w:r w:rsidR="00051E36" w:rsidRPr="00090872">
        <w:rPr>
          <w:color w:val="000000"/>
        </w:rPr>
        <w:t>462</w:t>
      </w:r>
      <w:r w:rsidR="004C4475" w:rsidRPr="00090872">
        <w:rPr>
          <w:color w:val="000000"/>
        </w:rPr>
        <w:t>.</w:t>
      </w:r>
      <w:r w:rsidR="00B77241" w:rsidRPr="00090872">
        <w:rPr>
          <w:color w:val="000000"/>
        </w:rPr>
        <w:t xml:space="preserve"> Total c</w:t>
      </w:r>
      <w:r w:rsidR="009B7C0E" w:rsidRPr="00090872">
        <w:rPr>
          <w:color w:val="000000"/>
        </w:rPr>
        <w:t>osts are rounded to the nearest dollar.</w:t>
      </w:r>
      <w:r w:rsidR="006F67F1" w:rsidRPr="00090872">
        <w:rPr>
          <w:color w:val="000000"/>
        </w:rPr>
        <w:t xml:space="preserve"> </w:t>
      </w:r>
    </w:p>
    <w:p w14:paraId="5EC8BF0B" w14:textId="77777777" w:rsidR="00271C93" w:rsidRDefault="00271C93" w:rsidP="00B22338">
      <w:pPr>
        <w:pStyle w:val="ListParagraph"/>
        <w:spacing w:line="276" w:lineRule="auto"/>
        <w:rPr>
          <w:color w:val="000000"/>
        </w:rPr>
      </w:pPr>
    </w:p>
    <w:p w14:paraId="5655E395" w14:textId="77777777" w:rsidR="00271C93" w:rsidRPr="00090872" w:rsidRDefault="00271C93" w:rsidP="00090872">
      <w:pPr>
        <w:spacing w:line="276" w:lineRule="auto"/>
        <w:rPr>
          <w:color w:val="000000"/>
        </w:rPr>
      </w:pPr>
      <w:r w:rsidRPr="00090872">
        <w:rPr>
          <w:color w:val="000000"/>
        </w:rPr>
        <w:t>These respondent categories are broad and intended to provide an estimate of the total cost.  To the extent possible, more specific BLS wages will be used when more precise occupations are selected for the GenICs.</w:t>
      </w:r>
    </w:p>
    <w:p w14:paraId="3808BC1F" w14:textId="77777777" w:rsidR="00B22338" w:rsidRDefault="00B22338" w:rsidP="00B22338">
      <w:pPr>
        <w:pStyle w:val="ListParagraph"/>
        <w:spacing w:line="276" w:lineRule="auto"/>
        <w:rPr>
          <w:color w:val="000000"/>
        </w:rPr>
      </w:pPr>
    </w:p>
    <w:p w14:paraId="4225C7CE" w14:textId="081AECD4" w:rsidR="00B22338" w:rsidRPr="00DE4D64" w:rsidRDefault="00B22338" w:rsidP="00090872">
      <w:pPr>
        <w:spacing w:line="276" w:lineRule="auto"/>
      </w:pPr>
      <w:r w:rsidRPr="00090872">
        <w:rPr>
          <w:highlight w:val="yellow"/>
        </w:rPr>
        <w:t xml:space="preserve">For this submission, requested cost burden has been reduced from </w:t>
      </w:r>
      <w:r w:rsidR="00C509B3" w:rsidRPr="00090872">
        <w:rPr>
          <w:highlight w:val="yellow"/>
        </w:rPr>
        <w:t>$760,358</w:t>
      </w:r>
      <w:r w:rsidRPr="00090872">
        <w:rPr>
          <w:highlight w:val="yellow"/>
        </w:rPr>
        <w:t xml:space="preserve"> </w:t>
      </w:r>
      <w:r w:rsidR="00DF1D36" w:rsidRPr="00090872">
        <w:rPr>
          <w:highlight w:val="yellow"/>
        </w:rPr>
        <w:t>to $224,46</w:t>
      </w:r>
      <w:r w:rsidR="00DE4D64" w:rsidRPr="00090872">
        <w:rPr>
          <w:highlight w:val="yellow"/>
        </w:rPr>
        <w:t>2</w:t>
      </w:r>
      <w:r w:rsidR="00DF1D36" w:rsidRPr="00090872">
        <w:rPr>
          <w:highlight w:val="yellow"/>
        </w:rPr>
        <w:t xml:space="preserve"> due to a reduction in the number of anticipated information collections per year, as well as a two thirds reduction in pre- and post-tests requested from both types of respondents.</w:t>
      </w:r>
      <w:r w:rsidR="00DF1D36" w:rsidRPr="00DE4D64">
        <w:t xml:space="preserve"> </w:t>
      </w:r>
      <w:r w:rsidR="00C509B3" w:rsidRPr="00DE4D64">
        <w:t xml:space="preserve"> </w:t>
      </w:r>
    </w:p>
    <w:p w14:paraId="3E6EFBCF" w14:textId="77777777" w:rsidR="0074741E" w:rsidRPr="00BF718B" w:rsidRDefault="0074741E" w:rsidP="00B22338">
      <w:pPr>
        <w:spacing w:line="276" w:lineRule="auto"/>
        <w:rPr>
          <w:color w:val="000000"/>
        </w:rPr>
      </w:pPr>
    </w:p>
    <w:p w14:paraId="42BF0319" w14:textId="77777777" w:rsidR="0078220F" w:rsidRPr="00BF718B" w:rsidRDefault="00BB0FC3" w:rsidP="00B22338">
      <w:pPr>
        <w:spacing w:after="200" w:line="276" w:lineRule="auto"/>
        <w:rPr>
          <w:bCs/>
          <w:color w:val="000000"/>
        </w:rPr>
      </w:pPr>
      <w:bookmarkStart w:id="29" w:name="_Toc295818079"/>
      <w:bookmarkStart w:id="30" w:name="_Toc295819852"/>
      <w:r w:rsidRPr="00B22338">
        <w:rPr>
          <w:bCs/>
          <w:color w:val="000000"/>
          <w:highlight w:val="yellow"/>
        </w:rPr>
        <w:t>T</w:t>
      </w:r>
      <w:r w:rsidR="0078220F" w:rsidRPr="00B22338">
        <w:rPr>
          <w:bCs/>
          <w:color w:val="000000"/>
          <w:highlight w:val="yellow"/>
        </w:rPr>
        <w:t>able A</w:t>
      </w:r>
      <w:r w:rsidR="00DC2107" w:rsidRPr="00B22338">
        <w:rPr>
          <w:bCs/>
          <w:color w:val="000000"/>
          <w:highlight w:val="yellow"/>
        </w:rPr>
        <w:t>.</w:t>
      </w:r>
      <w:r w:rsidR="0078220F" w:rsidRPr="00B22338">
        <w:rPr>
          <w:bCs/>
          <w:color w:val="000000"/>
          <w:highlight w:val="yellow"/>
        </w:rPr>
        <w:t>12-B: Estimated Annualized Cost to Respondents</w:t>
      </w:r>
      <w:bookmarkEnd w:id="29"/>
      <w:bookmarkEnd w:id="30"/>
      <w:r w:rsidR="0078220F" w:rsidRPr="00BF718B">
        <w:rPr>
          <w:bCs/>
          <w:color w:val="000000"/>
        </w:rPr>
        <w:t xml:space="preserve"> </w:t>
      </w:r>
    </w:p>
    <w:tbl>
      <w:tblPr>
        <w:tblStyle w:val="TableGrid2"/>
        <w:tblW w:w="8298" w:type="dxa"/>
        <w:tblLayout w:type="fixed"/>
        <w:tblLook w:val="04A0" w:firstRow="1" w:lastRow="0" w:firstColumn="1" w:lastColumn="0" w:noHBand="0" w:noVBand="1"/>
      </w:tblPr>
      <w:tblGrid>
        <w:gridCol w:w="2088"/>
        <w:gridCol w:w="1800"/>
        <w:gridCol w:w="1530"/>
        <w:gridCol w:w="1440"/>
        <w:gridCol w:w="1440"/>
      </w:tblGrid>
      <w:tr w:rsidR="00D55ACD" w:rsidRPr="00BF718B" w14:paraId="1900CB75" w14:textId="77777777" w:rsidTr="00B3208E">
        <w:tc>
          <w:tcPr>
            <w:tcW w:w="2088" w:type="dxa"/>
            <w:vAlign w:val="center"/>
          </w:tcPr>
          <w:p w14:paraId="34E6BA30" w14:textId="77777777" w:rsidR="00D55ACD" w:rsidRPr="00BF718B" w:rsidRDefault="00D55ACD" w:rsidP="00B3208E">
            <w:pPr>
              <w:spacing w:before="120" w:after="120"/>
              <w:jc w:val="center"/>
            </w:pPr>
            <w:r w:rsidRPr="00BF718B">
              <w:rPr>
                <w:color w:val="000000"/>
              </w:rPr>
              <w:t>Type of Respondents</w:t>
            </w:r>
          </w:p>
        </w:tc>
        <w:tc>
          <w:tcPr>
            <w:tcW w:w="1800" w:type="dxa"/>
            <w:vAlign w:val="center"/>
          </w:tcPr>
          <w:p w14:paraId="128190B1" w14:textId="77777777" w:rsidR="00D55ACD" w:rsidRPr="00BF718B" w:rsidRDefault="00D55ACD" w:rsidP="00B3208E">
            <w:pPr>
              <w:spacing w:before="120" w:after="120"/>
              <w:jc w:val="center"/>
            </w:pPr>
            <w:r w:rsidRPr="00BF718B">
              <w:rPr>
                <w:color w:val="000000"/>
              </w:rPr>
              <w:t>Form Name</w:t>
            </w:r>
          </w:p>
        </w:tc>
        <w:tc>
          <w:tcPr>
            <w:tcW w:w="1530" w:type="dxa"/>
            <w:vAlign w:val="center"/>
          </w:tcPr>
          <w:p w14:paraId="0F989432" w14:textId="77777777" w:rsidR="00D55ACD" w:rsidRPr="00BF718B" w:rsidRDefault="00D55ACD" w:rsidP="00B3208E">
            <w:pPr>
              <w:spacing w:before="120" w:after="120"/>
              <w:jc w:val="center"/>
              <w:rPr>
                <w:color w:val="000000"/>
              </w:rPr>
            </w:pPr>
            <w:r w:rsidRPr="00BF718B">
              <w:rPr>
                <w:color w:val="000000"/>
              </w:rPr>
              <w:t>Total Burden</w:t>
            </w:r>
          </w:p>
          <w:p w14:paraId="6B79F6FC" w14:textId="77777777" w:rsidR="00D55ACD" w:rsidRPr="00BF718B" w:rsidRDefault="00D55ACD" w:rsidP="00B3208E">
            <w:pPr>
              <w:spacing w:before="120" w:after="120"/>
              <w:jc w:val="center"/>
              <w:rPr>
                <w:color w:val="000000"/>
              </w:rPr>
            </w:pPr>
            <w:r w:rsidRPr="00BF718B">
              <w:rPr>
                <w:color w:val="000000"/>
              </w:rPr>
              <w:t>(in hours)</w:t>
            </w:r>
          </w:p>
        </w:tc>
        <w:tc>
          <w:tcPr>
            <w:tcW w:w="1440" w:type="dxa"/>
            <w:vAlign w:val="center"/>
          </w:tcPr>
          <w:p w14:paraId="410523EC" w14:textId="77777777" w:rsidR="00D55ACD" w:rsidRPr="00BF718B" w:rsidRDefault="00D55ACD" w:rsidP="00B3208E">
            <w:pPr>
              <w:spacing w:before="120" w:after="120"/>
              <w:jc w:val="center"/>
              <w:rPr>
                <w:color w:val="000000"/>
              </w:rPr>
            </w:pPr>
            <w:r w:rsidRPr="00BF718B">
              <w:rPr>
                <w:color w:val="000000"/>
              </w:rPr>
              <w:t>Average Hourly Wage</w:t>
            </w:r>
          </w:p>
        </w:tc>
        <w:tc>
          <w:tcPr>
            <w:tcW w:w="1440" w:type="dxa"/>
            <w:vAlign w:val="center"/>
          </w:tcPr>
          <w:p w14:paraId="7D3FF0AB" w14:textId="77777777" w:rsidR="00D55ACD" w:rsidRPr="00BF718B" w:rsidRDefault="00D55ACD" w:rsidP="00B3208E">
            <w:pPr>
              <w:spacing w:before="120" w:after="120"/>
              <w:jc w:val="center"/>
              <w:rPr>
                <w:color w:val="000000"/>
              </w:rPr>
            </w:pPr>
            <w:r w:rsidRPr="00BF718B">
              <w:rPr>
                <w:color w:val="000000"/>
              </w:rPr>
              <w:t>Total Cost</w:t>
            </w:r>
          </w:p>
        </w:tc>
      </w:tr>
      <w:tr w:rsidR="007F1668" w:rsidRPr="00BF718B" w14:paraId="75D18C1F" w14:textId="77777777" w:rsidTr="00AA1EEE">
        <w:trPr>
          <w:trHeight w:val="386"/>
        </w:trPr>
        <w:tc>
          <w:tcPr>
            <w:tcW w:w="2088" w:type="dxa"/>
            <w:vAlign w:val="center"/>
          </w:tcPr>
          <w:p w14:paraId="4E89FA61" w14:textId="77777777" w:rsidR="007F1668" w:rsidRPr="00BF718B" w:rsidRDefault="007F1668" w:rsidP="00051E36">
            <w:pPr>
              <w:spacing w:before="120" w:after="120"/>
              <w:jc w:val="center"/>
            </w:pPr>
            <w:r w:rsidRPr="00BF718B">
              <w:t>General Public</w:t>
            </w:r>
          </w:p>
        </w:tc>
        <w:tc>
          <w:tcPr>
            <w:tcW w:w="1800" w:type="dxa"/>
            <w:vAlign w:val="center"/>
          </w:tcPr>
          <w:p w14:paraId="1E5741E4" w14:textId="77777777" w:rsidR="007F1668" w:rsidRPr="00BF718B" w:rsidRDefault="007F1668" w:rsidP="0082498D">
            <w:pPr>
              <w:spacing w:before="120" w:after="120"/>
              <w:jc w:val="center"/>
            </w:pPr>
            <w:r w:rsidRPr="00BF718B">
              <w:t>Focus Groups Screening form</w:t>
            </w:r>
          </w:p>
        </w:tc>
        <w:tc>
          <w:tcPr>
            <w:tcW w:w="1530" w:type="dxa"/>
            <w:vAlign w:val="center"/>
          </w:tcPr>
          <w:p w14:paraId="14879BD3" w14:textId="77777777" w:rsidR="007F1668" w:rsidRPr="00BF718B" w:rsidRDefault="007F1668">
            <w:pPr>
              <w:spacing w:before="120" w:after="120"/>
              <w:jc w:val="center"/>
            </w:pPr>
            <w:r w:rsidRPr="007F1668">
              <w:rPr>
                <w:color w:val="000000"/>
              </w:rPr>
              <w:t>175</w:t>
            </w:r>
          </w:p>
        </w:tc>
        <w:tc>
          <w:tcPr>
            <w:tcW w:w="1440" w:type="dxa"/>
            <w:vAlign w:val="center"/>
          </w:tcPr>
          <w:p w14:paraId="3171B8E2" w14:textId="77777777" w:rsidR="007F1668" w:rsidRPr="00BF718B" w:rsidRDefault="007F1668">
            <w:pPr>
              <w:spacing w:before="120" w:after="120"/>
              <w:jc w:val="center"/>
            </w:pPr>
            <w:r w:rsidRPr="00BF718B">
              <w:rPr>
                <w:color w:val="000000"/>
              </w:rPr>
              <w:t>$</w:t>
            </w:r>
            <w:r>
              <w:rPr>
                <w:color w:val="000000"/>
              </w:rPr>
              <w:t>23.86</w:t>
            </w:r>
          </w:p>
        </w:tc>
        <w:tc>
          <w:tcPr>
            <w:tcW w:w="1440" w:type="dxa"/>
            <w:vAlign w:val="center"/>
          </w:tcPr>
          <w:p w14:paraId="72CE77A9" w14:textId="77777777" w:rsidR="007F1668" w:rsidRPr="00BF718B" w:rsidRDefault="007F1668">
            <w:pPr>
              <w:jc w:val="center"/>
              <w:rPr>
                <w:color w:val="000000"/>
              </w:rPr>
            </w:pPr>
            <w:r>
              <w:rPr>
                <w:color w:val="000000"/>
              </w:rPr>
              <w:t>$4,176</w:t>
            </w:r>
          </w:p>
        </w:tc>
      </w:tr>
      <w:tr w:rsidR="007F1668" w:rsidRPr="00BF718B" w14:paraId="6AD4D9B4" w14:textId="77777777" w:rsidTr="00AA1EEE">
        <w:trPr>
          <w:trHeight w:val="386"/>
        </w:trPr>
        <w:tc>
          <w:tcPr>
            <w:tcW w:w="2088" w:type="dxa"/>
            <w:vAlign w:val="center"/>
          </w:tcPr>
          <w:p w14:paraId="02F979AD" w14:textId="77777777" w:rsidR="007F1668" w:rsidRPr="00BF718B" w:rsidRDefault="007F1668" w:rsidP="00051E36">
            <w:pPr>
              <w:spacing w:before="120" w:after="120"/>
              <w:jc w:val="center"/>
            </w:pPr>
            <w:r w:rsidRPr="00BF718B">
              <w:t>Healthcare Professionals</w:t>
            </w:r>
          </w:p>
        </w:tc>
        <w:tc>
          <w:tcPr>
            <w:tcW w:w="1800" w:type="dxa"/>
            <w:vAlign w:val="center"/>
          </w:tcPr>
          <w:p w14:paraId="37BD916E" w14:textId="77777777" w:rsidR="007F1668" w:rsidRPr="00BF718B" w:rsidRDefault="007F1668" w:rsidP="0082498D">
            <w:pPr>
              <w:spacing w:before="120" w:after="120"/>
              <w:jc w:val="center"/>
            </w:pPr>
            <w:r w:rsidRPr="00BF718B">
              <w:t>Focus Groups Screening form</w:t>
            </w:r>
          </w:p>
        </w:tc>
        <w:tc>
          <w:tcPr>
            <w:tcW w:w="1530" w:type="dxa"/>
            <w:vAlign w:val="center"/>
          </w:tcPr>
          <w:p w14:paraId="7E80E98C" w14:textId="77777777" w:rsidR="007F1668" w:rsidRPr="00BF718B" w:rsidRDefault="007F1668">
            <w:pPr>
              <w:spacing w:before="120" w:after="120"/>
              <w:jc w:val="center"/>
            </w:pPr>
            <w:r w:rsidRPr="007F1668">
              <w:rPr>
                <w:color w:val="000000"/>
              </w:rPr>
              <w:t>75</w:t>
            </w:r>
          </w:p>
        </w:tc>
        <w:tc>
          <w:tcPr>
            <w:tcW w:w="1440" w:type="dxa"/>
            <w:vAlign w:val="center"/>
          </w:tcPr>
          <w:p w14:paraId="328CA6BB" w14:textId="77777777" w:rsidR="007F1668" w:rsidRPr="00BF718B" w:rsidRDefault="007F1668">
            <w:pPr>
              <w:spacing w:before="120" w:after="120"/>
              <w:jc w:val="center"/>
            </w:pPr>
            <w:r w:rsidRPr="00271C93">
              <w:rPr>
                <w:color w:val="000000"/>
              </w:rPr>
              <w:t>$38.06</w:t>
            </w:r>
          </w:p>
        </w:tc>
        <w:tc>
          <w:tcPr>
            <w:tcW w:w="1440" w:type="dxa"/>
            <w:vAlign w:val="center"/>
          </w:tcPr>
          <w:p w14:paraId="58E52BF9" w14:textId="77777777" w:rsidR="007F1668" w:rsidRPr="00BF718B" w:rsidRDefault="007F1668">
            <w:pPr>
              <w:jc w:val="center"/>
              <w:rPr>
                <w:color w:val="000000"/>
              </w:rPr>
            </w:pPr>
            <w:r>
              <w:rPr>
                <w:color w:val="000000"/>
              </w:rPr>
              <w:t>$2,855</w:t>
            </w:r>
          </w:p>
        </w:tc>
      </w:tr>
      <w:tr w:rsidR="007F1668" w:rsidRPr="00BF718B" w14:paraId="327C661D" w14:textId="77777777" w:rsidTr="00AA1EEE">
        <w:trPr>
          <w:trHeight w:val="386"/>
        </w:trPr>
        <w:tc>
          <w:tcPr>
            <w:tcW w:w="2088" w:type="dxa"/>
            <w:vAlign w:val="center"/>
          </w:tcPr>
          <w:p w14:paraId="02B0BDF7" w14:textId="77777777" w:rsidR="007F1668" w:rsidRPr="00BF718B" w:rsidRDefault="007F1668" w:rsidP="00051E36">
            <w:pPr>
              <w:spacing w:before="120" w:after="120"/>
              <w:jc w:val="center"/>
            </w:pPr>
            <w:r w:rsidRPr="00BF718B">
              <w:t>General Public</w:t>
            </w:r>
          </w:p>
        </w:tc>
        <w:tc>
          <w:tcPr>
            <w:tcW w:w="1800" w:type="dxa"/>
            <w:vAlign w:val="center"/>
          </w:tcPr>
          <w:p w14:paraId="51744BAD" w14:textId="77777777" w:rsidR="007F1668" w:rsidRPr="00BF718B" w:rsidRDefault="007F1668" w:rsidP="0082498D">
            <w:pPr>
              <w:spacing w:before="120" w:after="120"/>
              <w:jc w:val="center"/>
            </w:pPr>
            <w:r w:rsidRPr="00BF718B">
              <w:t>Focus Group Guide</w:t>
            </w:r>
          </w:p>
        </w:tc>
        <w:tc>
          <w:tcPr>
            <w:tcW w:w="1530" w:type="dxa"/>
            <w:vAlign w:val="center"/>
          </w:tcPr>
          <w:p w14:paraId="7588065C" w14:textId="77777777" w:rsidR="007F1668" w:rsidRPr="00BF718B" w:rsidRDefault="007F1668">
            <w:pPr>
              <w:spacing w:before="120" w:after="120"/>
              <w:jc w:val="center"/>
            </w:pPr>
            <w:r w:rsidRPr="007F1668">
              <w:rPr>
                <w:color w:val="000000"/>
              </w:rPr>
              <w:t>788</w:t>
            </w:r>
          </w:p>
        </w:tc>
        <w:tc>
          <w:tcPr>
            <w:tcW w:w="1440" w:type="dxa"/>
            <w:vAlign w:val="center"/>
          </w:tcPr>
          <w:p w14:paraId="7E68F872" w14:textId="77777777" w:rsidR="007F1668" w:rsidRPr="00BF718B" w:rsidRDefault="007F1668">
            <w:pPr>
              <w:spacing w:before="120" w:after="120"/>
              <w:jc w:val="center"/>
            </w:pPr>
            <w:r w:rsidRPr="00BF718B">
              <w:rPr>
                <w:color w:val="000000"/>
              </w:rPr>
              <w:t>$</w:t>
            </w:r>
            <w:r>
              <w:rPr>
                <w:color w:val="000000"/>
              </w:rPr>
              <w:t>23.86</w:t>
            </w:r>
          </w:p>
        </w:tc>
        <w:tc>
          <w:tcPr>
            <w:tcW w:w="1440" w:type="dxa"/>
            <w:vAlign w:val="center"/>
          </w:tcPr>
          <w:p w14:paraId="1C102587" w14:textId="77777777" w:rsidR="007F1668" w:rsidRPr="00BF718B" w:rsidRDefault="007F1668">
            <w:pPr>
              <w:jc w:val="center"/>
              <w:rPr>
                <w:color w:val="000000"/>
              </w:rPr>
            </w:pPr>
            <w:r>
              <w:rPr>
                <w:color w:val="000000"/>
              </w:rPr>
              <w:t>$18,802</w:t>
            </w:r>
          </w:p>
        </w:tc>
      </w:tr>
      <w:tr w:rsidR="007F1668" w:rsidRPr="00BF718B" w14:paraId="12CF79D4" w14:textId="77777777" w:rsidTr="00AA1EEE">
        <w:trPr>
          <w:trHeight w:val="386"/>
        </w:trPr>
        <w:tc>
          <w:tcPr>
            <w:tcW w:w="2088" w:type="dxa"/>
            <w:vAlign w:val="center"/>
          </w:tcPr>
          <w:p w14:paraId="6966379B" w14:textId="77777777" w:rsidR="007F1668" w:rsidRPr="00BF718B" w:rsidRDefault="007F1668" w:rsidP="00051E36">
            <w:pPr>
              <w:spacing w:before="120" w:after="120"/>
              <w:jc w:val="center"/>
            </w:pPr>
            <w:r w:rsidRPr="00BF718B">
              <w:t>Healthcare Professionals</w:t>
            </w:r>
          </w:p>
        </w:tc>
        <w:tc>
          <w:tcPr>
            <w:tcW w:w="1800" w:type="dxa"/>
            <w:vAlign w:val="center"/>
          </w:tcPr>
          <w:p w14:paraId="117023AE" w14:textId="77777777" w:rsidR="007F1668" w:rsidRPr="00BF718B" w:rsidRDefault="007F1668" w:rsidP="0082498D">
            <w:pPr>
              <w:spacing w:before="120" w:after="120"/>
              <w:jc w:val="center"/>
            </w:pPr>
            <w:r w:rsidRPr="00BF718B">
              <w:t>Focus Group Guide</w:t>
            </w:r>
          </w:p>
        </w:tc>
        <w:tc>
          <w:tcPr>
            <w:tcW w:w="1530" w:type="dxa"/>
            <w:vAlign w:val="center"/>
          </w:tcPr>
          <w:p w14:paraId="1615930B" w14:textId="77777777" w:rsidR="007F1668" w:rsidRPr="00BF718B" w:rsidRDefault="007F1668">
            <w:pPr>
              <w:spacing w:before="120" w:after="120"/>
              <w:jc w:val="center"/>
            </w:pPr>
            <w:r w:rsidRPr="007F1668">
              <w:rPr>
                <w:color w:val="000000"/>
              </w:rPr>
              <w:t>338</w:t>
            </w:r>
          </w:p>
        </w:tc>
        <w:tc>
          <w:tcPr>
            <w:tcW w:w="1440" w:type="dxa"/>
            <w:vAlign w:val="center"/>
          </w:tcPr>
          <w:p w14:paraId="54B6D5C0" w14:textId="77777777" w:rsidR="007F1668" w:rsidRPr="00BF718B" w:rsidRDefault="007F1668">
            <w:pPr>
              <w:spacing w:before="120" w:after="120"/>
              <w:jc w:val="center"/>
            </w:pPr>
            <w:r w:rsidRPr="00271C93">
              <w:rPr>
                <w:color w:val="000000"/>
              </w:rPr>
              <w:t>$38.06</w:t>
            </w:r>
          </w:p>
        </w:tc>
        <w:tc>
          <w:tcPr>
            <w:tcW w:w="1440" w:type="dxa"/>
            <w:vAlign w:val="center"/>
          </w:tcPr>
          <w:p w14:paraId="05330EE7" w14:textId="77777777" w:rsidR="007F1668" w:rsidRPr="00BF718B" w:rsidRDefault="007F1668">
            <w:pPr>
              <w:jc w:val="center"/>
              <w:rPr>
                <w:color w:val="000000"/>
              </w:rPr>
            </w:pPr>
            <w:r>
              <w:rPr>
                <w:color w:val="000000"/>
              </w:rPr>
              <w:t>$12,864</w:t>
            </w:r>
          </w:p>
        </w:tc>
      </w:tr>
      <w:tr w:rsidR="007F1668" w:rsidRPr="00BF718B" w14:paraId="7F7FD71A" w14:textId="77777777" w:rsidTr="00AA1EEE">
        <w:trPr>
          <w:trHeight w:val="386"/>
        </w:trPr>
        <w:tc>
          <w:tcPr>
            <w:tcW w:w="2088" w:type="dxa"/>
            <w:vAlign w:val="center"/>
          </w:tcPr>
          <w:p w14:paraId="3C817F8D" w14:textId="77777777" w:rsidR="007F1668" w:rsidRPr="00BF718B" w:rsidRDefault="007F1668" w:rsidP="00051E36">
            <w:pPr>
              <w:spacing w:before="120" w:after="120"/>
              <w:jc w:val="center"/>
            </w:pPr>
            <w:r w:rsidRPr="00BF718B">
              <w:t>General Public</w:t>
            </w:r>
          </w:p>
        </w:tc>
        <w:tc>
          <w:tcPr>
            <w:tcW w:w="1800" w:type="dxa"/>
            <w:vAlign w:val="center"/>
          </w:tcPr>
          <w:p w14:paraId="4F070D47" w14:textId="77777777" w:rsidR="007F1668" w:rsidRPr="00BF718B" w:rsidRDefault="007F1668" w:rsidP="0082498D">
            <w:pPr>
              <w:spacing w:before="120" w:after="120"/>
              <w:jc w:val="center"/>
            </w:pPr>
            <w:r w:rsidRPr="00BF718B">
              <w:t>Interview Screening Form</w:t>
            </w:r>
          </w:p>
        </w:tc>
        <w:tc>
          <w:tcPr>
            <w:tcW w:w="1530" w:type="dxa"/>
            <w:vAlign w:val="center"/>
          </w:tcPr>
          <w:p w14:paraId="5C953A74" w14:textId="77777777" w:rsidR="007F1668" w:rsidRPr="00BF718B" w:rsidRDefault="007F1668">
            <w:pPr>
              <w:spacing w:before="120" w:after="120"/>
              <w:jc w:val="center"/>
            </w:pPr>
            <w:r w:rsidRPr="007F1668">
              <w:rPr>
                <w:color w:val="000000"/>
              </w:rPr>
              <w:t>117</w:t>
            </w:r>
          </w:p>
        </w:tc>
        <w:tc>
          <w:tcPr>
            <w:tcW w:w="1440" w:type="dxa"/>
            <w:vAlign w:val="center"/>
          </w:tcPr>
          <w:p w14:paraId="63F04FED" w14:textId="77777777" w:rsidR="007F1668" w:rsidRPr="00BF718B" w:rsidRDefault="007F1668">
            <w:pPr>
              <w:spacing w:before="120" w:after="120"/>
              <w:jc w:val="center"/>
            </w:pPr>
            <w:r w:rsidRPr="00BF718B">
              <w:rPr>
                <w:color w:val="000000"/>
              </w:rPr>
              <w:t>$</w:t>
            </w:r>
            <w:r>
              <w:rPr>
                <w:color w:val="000000"/>
              </w:rPr>
              <w:t>23.86</w:t>
            </w:r>
          </w:p>
        </w:tc>
        <w:tc>
          <w:tcPr>
            <w:tcW w:w="1440" w:type="dxa"/>
            <w:vAlign w:val="center"/>
          </w:tcPr>
          <w:p w14:paraId="1537247F" w14:textId="77777777" w:rsidR="007F1668" w:rsidRPr="00BF718B" w:rsidRDefault="007F1668">
            <w:pPr>
              <w:jc w:val="center"/>
              <w:rPr>
                <w:color w:val="000000"/>
              </w:rPr>
            </w:pPr>
            <w:r>
              <w:rPr>
                <w:color w:val="000000"/>
              </w:rPr>
              <w:t>$2,792</w:t>
            </w:r>
          </w:p>
        </w:tc>
      </w:tr>
      <w:tr w:rsidR="007F1668" w:rsidRPr="00BF718B" w14:paraId="11EE7CA3" w14:textId="77777777" w:rsidTr="00AA1EEE">
        <w:trPr>
          <w:trHeight w:val="386"/>
        </w:trPr>
        <w:tc>
          <w:tcPr>
            <w:tcW w:w="2088" w:type="dxa"/>
            <w:vAlign w:val="center"/>
          </w:tcPr>
          <w:p w14:paraId="666BFEC6" w14:textId="77777777" w:rsidR="007F1668" w:rsidRPr="00BF718B" w:rsidRDefault="007F1668" w:rsidP="00051E36">
            <w:pPr>
              <w:spacing w:before="120" w:after="120"/>
              <w:jc w:val="center"/>
            </w:pPr>
            <w:r w:rsidRPr="00BF718B">
              <w:t>Healthcare Professionals</w:t>
            </w:r>
          </w:p>
        </w:tc>
        <w:tc>
          <w:tcPr>
            <w:tcW w:w="1800" w:type="dxa"/>
            <w:vAlign w:val="center"/>
          </w:tcPr>
          <w:p w14:paraId="5819D55C" w14:textId="77777777" w:rsidR="007F1668" w:rsidRPr="00BF718B" w:rsidRDefault="007F1668" w:rsidP="0082498D">
            <w:pPr>
              <w:spacing w:before="120" w:after="120"/>
              <w:jc w:val="center"/>
            </w:pPr>
            <w:r w:rsidRPr="00BF718B">
              <w:t>Interview Screening Form</w:t>
            </w:r>
          </w:p>
        </w:tc>
        <w:tc>
          <w:tcPr>
            <w:tcW w:w="1530" w:type="dxa"/>
            <w:vAlign w:val="center"/>
          </w:tcPr>
          <w:p w14:paraId="721B05AF" w14:textId="77777777" w:rsidR="007F1668" w:rsidRPr="00BF718B" w:rsidRDefault="007F1668">
            <w:pPr>
              <w:spacing w:before="120" w:after="120"/>
              <w:jc w:val="center"/>
            </w:pPr>
            <w:r w:rsidRPr="007F1668">
              <w:rPr>
                <w:color w:val="000000"/>
              </w:rPr>
              <w:t>50</w:t>
            </w:r>
          </w:p>
        </w:tc>
        <w:tc>
          <w:tcPr>
            <w:tcW w:w="1440" w:type="dxa"/>
            <w:vAlign w:val="center"/>
          </w:tcPr>
          <w:p w14:paraId="11B5ED8F" w14:textId="77777777" w:rsidR="007F1668" w:rsidRPr="00BF718B" w:rsidRDefault="007F1668">
            <w:pPr>
              <w:spacing w:before="120" w:after="120"/>
              <w:jc w:val="center"/>
            </w:pPr>
            <w:r w:rsidRPr="00271C93">
              <w:rPr>
                <w:color w:val="000000"/>
              </w:rPr>
              <w:t>$38.06</w:t>
            </w:r>
          </w:p>
        </w:tc>
        <w:tc>
          <w:tcPr>
            <w:tcW w:w="1440" w:type="dxa"/>
            <w:vAlign w:val="center"/>
          </w:tcPr>
          <w:p w14:paraId="0B67387B" w14:textId="77777777" w:rsidR="007F1668" w:rsidRPr="00BF718B" w:rsidRDefault="007F1668">
            <w:pPr>
              <w:jc w:val="center"/>
              <w:rPr>
                <w:color w:val="000000"/>
              </w:rPr>
            </w:pPr>
            <w:r>
              <w:rPr>
                <w:color w:val="000000"/>
              </w:rPr>
              <w:t>$1,903</w:t>
            </w:r>
          </w:p>
        </w:tc>
      </w:tr>
      <w:tr w:rsidR="007F1668" w:rsidRPr="00BF718B" w14:paraId="30580B59" w14:textId="77777777" w:rsidTr="00AA1EEE">
        <w:trPr>
          <w:trHeight w:val="386"/>
        </w:trPr>
        <w:tc>
          <w:tcPr>
            <w:tcW w:w="2088" w:type="dxa"/>
            <w:vAlign w:val="center"/>
          </w:tcPr>
          <w:p w14:paraId="0530244D" w14:textId="77777777" w:rsidR="007F1668" w:rsidRPr="00BF718B" w:rsidRDefault="007F1668" w:rsidP="00051E36">
            <w:pPr>
              <w:spacing w:before="120" w:after="120"/>
              <w:jc w:val="center"/>
            </w:pPr>
            <w:r w:rsidRPr="00BF718B">
              <w:t>General Public</w:t>
            </w:r>
          </w:p>
        </w:tc>
        <w:tc>
          <w:tcPr>
            <w:tcW w:w="1800" w:type="dxa"/>
            <w:vAlign w:val="center"/>
          </w:tcPr>
          <w:p w14:paraId="22ED6276" w14:textId="77777777" w:rsidR="007F1668" w:rsidRPr="00BF718B" w:rsidRDefault="007F1668" w:rsidP="0082498D">
            <w:pPr>
              <w:spacing w:before="120" w:after="120"/>
              <w:jc w:val="center"/>
            </w:pPr>
            <w:r w:rsidRPr="00BF718B">
              <w:t>Interview Guide</w:t>
            </w:r>
          </w:p>
        </w:tc>
        <w:tc>
          <w:tcPr>
            <w:tcW w:w="1530" w:type="dxa"/>
            <w:vAlign w:val="center"/>
          </w:tcPr>
          <w:p w14:paraId="07E6FD19" w14:textId="77777777" w:rsidR="007F1668" w:rsidRPr="00BF718B" w:rsidRDefault="007F1668">
            <w:pPr>
              <w:spacing w:before="120" w:after="120"/>
              <w:jc w:val="center"/>
            </w:pPr>
            <w:r w:rsidRPr="007F1668">
              <w:rPr>
                <w:color w:val="000000"/>
              </w:rPr>
              <w:t>350</w:t>
            </w:r>
          </w:p>
        </w:tc>
        <w:tc>
          <w:tcPr>
            <w:tcW w:w="1440" w:type="dxa"/>
            <w:vAlign w:val="center"/>
          </w:tcPr>
          <w:p w14:paraId="43884C59" w14:textId="77777777" w:rsidR="007F1668" w:rsidRPr="00BF718B" w:rsidRDefault="007F1668">
            <w:pPr>
              <w:spacing w:before="120" w:after="120"/>
              <w:jc w:val="center"/>
            </w:pPr>
            <w:r w:rsidRPr="00BF718B">
              <w:rPr>
                <w:color w:val="000000"/>
              </w:rPr>
              <w:t>$</w:t>
            </w:r>
            <w:r>
              <w:rPr>
                <w:color w:val="000000"/>
              </w:rPr>
              <w:t>23.86</w:t>
            </w:r>
          </w:p>
        </w:tc>
        <w:tc>
          <w:tcPr>
            <w:tcW w:w="1440" w:type="dxa"/>
            <w:vAlign w:val="center"/>
          </w:tcPr>
          <w:p w14:paraId="5EE5C8DF" w14:textId="77777777" w:rsidR="007F1668" w:rsidRPr="00BF718B" w:rsidRDefault="007F1668">
            <w:pPr>
              <w:jc w:val="center"/>
              <w:rPr>
                <w:color w:val="000000"/>
              </w:rPr>
            </w:pPr>
            <w:r>
              <w:rPr>
                <w:color w:val="000000"/>
              </w:rPr>
              <w:t>$8,351</w:t>
            </w:r>
          </w:p>
        </w:tc>
      </w:tr>
      <w:tr w:rsidR="007F1668" w:rsidRPr="00BF718B" w14:paraId="36603271" w14:textId="77777777" w:rsidTr="00AA1EEE">
        <w:trPr>
          <w:trHeight w:val="386"/>
        </w:trPr>
        <w:tc>
          <w:tcPr>
            <w:tcW w:w="2088" w:type="dxa"/>
            <w:vAlign w:val="center"/>
          </w:tcPr>
          <w:p w14:paraId="3CB8243B" w14:textId="77777777" w:rsidR="007F1668" w:rsidRPr="00BF718B" w:rsidRDefault="007F1668" w:rsidP="00051E36">
            <w:pPr>
              <w:spacing w:before="120" w:after="120"/>
              <w:jc w:val="center"/>
            </w:pPr>
            <w:r w:rsidRPr="00BF718B">
              <w:t>Healthcare Professionals Interviews</w:t>
            </w:r>
          </w:p>
        </w:tc>
        <w:tc>
          <w:tcPr>
            <w:tcW w:w="1800" w:type="dxa"/>
            <w:vAlign w:val="center"/>
          </w:tcPr>
          <w:p w14:paraId="7F52CF89" w14:textId="77777777" w:rsidR="007F1668" w:rsidRPr="00BF718B" w:rsidRDefault="007F1668" w:rsidP="0082498D">
            <w:pPr>
              <w:spacing w:before="120" w:after="120"/>
              <w:jc w:val="center"/>
            </w:pPr>
            <w:r w:rsidRPr="00BF718B">
              <w:t>Interview Guide</w:t>
            </w:r>
          </w:p>
        </w:tc>
        <w:tc>
          <w:tcPr>
            <w:tcW w:w="1530" w:type="dxa"/>
            <w:vAlign w:val="center"/>
          </w:tcPr>
          <w:p w14:paraId="26F0AE63" w14:textId="77777777" w:rsidR="007F1668" w:rsidRPr="00BF718B" w:rsidRDefault="007F1668">
            <w:pPr>
              <w:spacing w:before="120" w:after="120"/>
              <w:jc w:val="center"/>
            </w:pPr>
            <w:r w:rsidRPr="007F1668">
              <w:rPr>
                <w:color w:val="000000"/>
              </w:rPr>
              <w:t>150</w:t>
            </w:r>
          </w:p>
        </w:tc>
        <w:tc>
          <w:tcPr>
            <w:tcW w:w="1440" w:type="dxa"/>
            <w:vAlign w:val="center"/>
          </w:tcPr>
          <w:p w14:paraId="7A5EC9ED" w14:textId="77777777" w:rsidR="007F1668" w:rsidRPr="00BF718B" w:rsidRDefault="007F1668">
            <w:pPr>
              <w:spacing w:before="120" w:after="120"/>
              <w:jc w:val="center"/>
            </w:pPr>
            <w:r w:rsidRPr="00271C93">
              <w:rPr>
                <w:color w:val="000000"/>
              </w:rPr>
              <w:t>$38.06</w:t>
            </w:r>
          </w:p>
        </w:tc>
        <w:tc>
          <w:tcPr>
            <w:tcW w:w="1440" w:type="dxa"/>
            <w:vAlign w:val="center"/>
          </w:tcPr>
          <w:p w14:paraId="2175919F" w14:textId="77777777" w:rsidR="007F1668" w:rsidRPr="00BF718B" w:rsidRDefault="007F1668">
            <w:pPr>
              <w:jc w:val="center"/>
              <w:rPr>
                <w:color w:val="000000"/>
              </w:rPr>
            </w:pPr>
            <w:r>
              <w:rPr>
                <w:color w:val="000000"/>
              </w:rPr>
              <w:t>$5,709</w:t>
            </w:r>
          </w:p>
        </w:tc>
      </w:tr>
      <w:tr w:rsidR="007F1668" w:rsidRPr="00BF718B" w14:paraId="5B68AEA5" w14:textId="77777777" w:rsidTr="00AA1EEE">
        <w:trPr>
          <w:trHeight w:val="386"/>
        </w:trPr>
        <w:tc>
          <w:tcPr>
            <w:tcW w:w="2088" w:type="dxa"/>
            <w:vAlign w:val="center"/>
          </w:tcPr>
          <w:p w14:paraId="237BDCF0" w14:textId="77777777" w:rsidR="007F1668" w:rsidRPr="00BF718B" w:rsidRDefault="007F1668" w:rsidP="00051E36">
            <w:pPr>
              <w:spacing w:before="120" w:after="120"/>
              <w:jc w:val="center"/>
            </w:pPr>
            <w:r w:rsidRPr="00BF718B">
              <w:t>General Public</w:t>
            </w:r>
          </w:p>
        </w:tc>
        <w:tc>
          <w:tcPr>
            <w:tcW w:w="1800" w:type="dxa"/>
            <w:vAlign w:val="center"/>
          </w:tcPr>
          <w:p w14:paraId="61D7AC64" w14:textId="77777777" w:rsidR="007F1668" w:rsidRPr="00BF718B" w:rsidRDefault="007F1668" w:rsidP="0082498D">
            <w:pPr>
              <w:spacing w:before="120" w:after="120"/>
              <w:jc w:val="center"/>
            </w:pPr>
            <w:r w:rsidRPr="00BF718B">
              <w:t>Survey Screening Forms</w:t>
            </w:r>
          </w:p>
        </w:tc>
        <w:tc>
          <w:tcPr>
            <w:tcW w:w="1530" w:type="dxa"/>
            <w:vAlign w:val="center"/>
          </w:tcPr>
          <w:p w14:paraId="29FD63ED" w14:textId="77777777" w:rsidR="007F1668" w:rsidRPr="00BF718B" w:rsidRDefault="007F1668">
            <w:pPr>
              <w:spacing w:before="120" w:after="120"/>
              <w:jc w:val="center"/>
            </w:pPr>
            <w:r w:rsidRPr="007F1668">
              <w:rPr>
                <w:color w:val="000000"/>
              </w:rPr>
              <w:t>875</w:t>
            </w:r>
          </w:p>
        </w:tc>
        <w:tc>
          <w:tcPr>
            <w:tcW w:w="1440" w:type="dxa"/>
            <w:vAlign w:val="center"/>
          </w:tcPr>
          <w:p w14:paraId="78EF4EA4" w14:textId="77777777" w:rsidR="007F1668" w:rsidRPr="00BF718B" w:rsidRDefault="007F1668">
            <w:pPr>
              <w:spacing w:before="120" w:after="120"/>
              <w:jc w:val="center"/>
            </w:pPr>
            <w:r w:rsidRPr="00BF718B">
              <w:rPr>
                <w:color w:val="000000"/>
              </w:rPr>
              <w:t>$</w:t>
            </w:r>
            <w:r>
              <w:rPr>
                <w:color w:val="000000"/>
              </w:rPr>
              <w:t>23.86</w:t>
            </w:r>
          </w:p>
        </w:tc>
        <w:tc>
          <w:tcPr>
            <w:tcW w:w="1440" w:type="dxa"/>
            <w:vAlign w:val="center"/>
          </w:tcPr>
          <w:p w14:paraId="0FA8D7BA" w14:textId="77777777" w:rsidR="007F1668" w:rsidRPr="00BF718B" w:rsidRDefault="007F1668">
            <w:pPr>
              <w:jc w:val="center"/>
              <w:rPr>
                <w:color w:val="000000"/>
              </w:rPr>
            </w:pPr>
            <w:r>
              <w:rPr>
                <w:color w:val="000000"/>
              </w:rPr>
              <w:t>$20,878</w:t>
            </w:r>
          </w:p>
        </w:tc>
      </w:tr>
      <w:tr w:rsidR="007F1668" w:rsidRPr="00BF718B" w14:paraId="7B57C8CD" w14:textId="77777777" w:rsidTr="00AA1EEE">
        <w:trPr>
          <w:trHeight w:val="386"/>
        </w:trPr>
        <w:tc>
          <w:tcPr>
            <w:tcW w:w="2088" w:type="dxa"/>
            <w:vAlign w:val="center"/>
          </w:tcPr>
          <w:p w14:paraId="5A00D2FF" w14:textId="77777777" w:rsidR="007F1668" w:rsidRPr="00BF718B" w:rsidRDefault="007F1668" w:rsidP="00051E36">
            <w:pPr>
              <w:spacing w:before="120" w:after="120"/>
              <w:jc w:val="center"/>
            </w:pPr>
            <w:r w:rsidRPr="00BF718B">
              <w:t>Healthcare Professionals</w:t>
            </w:r>
          </w:p>
        </w:tc>
        <w:tc>
          <w:tcPr>
            <w:tcW w:w="1800" w:type="dxa"/>
            <w:vAlign w:val="center"/>
          </w:tcPr>
          <w:p w14:paraId="6CAB5F6B" w14:textId="77777777" w:rsidR="007F1668" w:rsidRPr="00BF718B" w:rsidRDefault="007F1668" w:rsidP="0082498D">
            <w:pPr>
              <w:spacing w:before="120" w:after="120"/>
              <w:jc w:val="center"/>
            </w:pPr>
            <w:r w:rsidRPr="00BF718B">
              <w:t>Survey Screening Forms</w:t>
            </w:r>
          </w:p>
        </w:tc>
        <w:tc>
          <w:tcPr>
            <w:tcW w:w="1530" w:type="dxa"/>
            <w:vAlign w:val="center"/>
          </w:tcPr>
          <w:p w14:paraId="05788376" w14:textId="77777777" w:rsidR="007F1668" w:rsidRPr="00BF718B" w:rsidRDefault="007F1668">
            <w:pPr>
              <w:spacing w:before="120" w:after="120"/>
              <w:jc w:val="center"/>
            </w:pPr>
            <w:r w:rsidRPr="007F1668">
              <w:rPr>
                <w:color w:val="000000"/>
              </w:rPr>
              <w:t>375</w:t>
            </w:r>
          </w:p>
        </w:tc>
        <w:tc>
          <w:tcPr>
            <w:tcW w:w="1440" w:type="dxa"/>
            <w:vAlign w:val="center"/>
          </w:tcPr>
          <w:p w14:paraId="7B57F572" w14:textId="77777777" w:rsidR="007F1668" w:rsidRPr="00BF718B" w:rsidRDefault="007F1668">
            <w:pPr>
              <w:spacing w:before="120" w:after="120"/>
              <w:jc w:val="center"/>
            </w:pPr>
            <w:r w:rsidRPr="00271C93">
              <w:rPr>
                <w:color w:val="000000"/>
              </w:rPr>
              <w:t>$38.06</w:t>
            </w:r>
          </w:p>
        </w:tc>
        <w:tc>
          <w:tcPr>
            <w:tcW w:w="1440" w:type="dxa"/>
            <w:vAlign w:val="center"/>
          </w:tcPr>
          <w:p w14:paraId="786FFD5D" w14:textId="77777777" w:rsidR="007F1668" w:rsidRPr="00BF718B" w:rsidRDefault="007F1668">
            <w:pPr>
              <w:jc w:val="center"/>
              <w:rPr>
                <w:color w:val="000000"/>
              </w:rPr>
            </w:pPr>
            <w:r>
              <w:rPr>
                <w:color w:val="000000"/>
              </w:rPr>
              <w:t>$14,273</w:t>
            </w:r>
          </w:p>
        </w:tc>
      </w:tr>
      <w:tr w:rsidR="007F1668" w:rsidRPr="00BF718B" w14:paraId="67F71211" w14:textId="77777777" w:rsidTr="00AA1EEE">
        <w:trPr>
          <w:trHeight w:val="386"/>
        </w:trPr>
        <w:tc>
          <w:tcPr>
            <w:tcW w:w="2088" w:type="dxa"/>
            <w:vAlign w:val="center"/>
          </w:tcPr>
          <w:p w14:paraId="71BF4F97" w14:textId="77777777" w:rsidR="007F1668" w:rsidRPr="00BF718B" w:rsidRDefault="007F1668" w:rsidP="00051E36">
            <w:pPr>
              <w:spacing w:before="120" w:after="120"/>
              <w:jc w:val="center"/>
            </w:pPr>
            <w:r w:rsidRPr="00BF718B">
              <w:t>General Public</w:t>
            </w:r>
          </w:p>
        </w:tc>
        <w:tc>
          <w:tcPr>
            <w:tcW w:w="1800" w:type="dxa"/>
            <w:vAlign w:val="center"/>
          </w:tcPr>
          <w:p w14:paraId="535D3C14" w14:textId="77777777" w:rsidR="007F1668" w:rsidRPr="00BF718B" w:rsidRDefault="007F1668" w:rsidP="0082498D">
            <w:pPr>
              <w:spacing w:before="120" w:after="120"/>
              <w:jc w:val="center"/>
            </w:pPr>
            <w:r w:rsidRPr="00BF718B">
              <w:t>Surveys</w:t>
            </w:r>
          </w:p>
        </w:tc>
        <w:tc>
          <w:tcPr>
            <w:tcW w:w="1530" w:type="dxa"/>
            <w:vAlign w:val="center"/>
          </w:tcPr>
          <w:p w14:paraId="3AD6BE95" w14:textId="77777777" w:rsidR="007F1668" w:rsidRPr="00BF718B" w:rsidRDefault="007F1668">
            <w:pPr>
              <w:spacing w:before="120" w:after="120"/>
              <w:jc w:val="center"/>
            </w:pPr>
            <w:r w:rsidRPr="007F1668">
              <w:rPr>
                <w:color w:val="000000"/>
              </w:rPr>
              <w:t>1,969</w:t>
            </w:r>
          </w:p>
        </w:tc>
        <w:tc>
          <w:tcPr>
            <w:tcW w:w="1440" w:type="dxa"/>
            <w:vAlign w:val="center"/>
          </w:tcPr>
          <w:p w14:paraId="5B5A2282" w14:textId="77777777" w:rsidR="007F1668" w:rsidRPr="00BF718B" w:rsidRDefault="007F1668">
            <w:pPr>
              <w:spacing w:before="120" w:after="120"/>
              <w:jc w:val="center"/>
            </w:pPr>
            <w:r w:rsidRPr="00BF718B">
              <w:rPr>
                <w:color w:val="000000"/>
              </w:rPr>
              <w:t>$</w:t>
            </w:r>
            <w:r>
              <w:rPr>
                <w:color w:val="000000"/>
              </w:rPr>
              <w:t>23.86</w:t>
            </w:r>
          </w:p>
        </w:tc>
        <w:tc>
          <w:tcPr>
            <w:tcW w:w="1440" w:type="dxa"/>
            <w:vAlign w:val="center"/>
          </w:tcPr>
          <w:p w14:paraId="2BEAC0E6" w14:textId="77777777" w:rsidR="007F1668" w:rsidRPr="00BF718B" w:rsidRDefault="007F1668">
            <w:pPr>
              <w:jc w:val="center"/>
              <w:rPr>
                <w:color w:val="000000"/>
              </w:rPr>
            </w:pPr>
            <w:r>
              <w:rPr>
                <w:color w:val="000000"/>
              </w:rPr>
              <w:t>$46,980</w:t>
            </w:r>
          </w:p>
        </w:tc>
      </w:tr>
      <w:tr w:rsidR="007F1668" w:rsidRPr="00BF718B" w14:paraId="6A498C92" w14:textId="77777777" w:rsidTr="00AA1EEE">
        <w:trPr>
          <w:trHeight w:val="386"/>
        </w:trPr>
        <w:tc>
          <w:tcPr>
            <w:tcW w:w="2088" w:type="dxa"/>
            <w:vAlign w:val="center"/>
          </w:tcPr>
          <w:p w14:paraId="0C7D0034" w14:textId="77777777" w:rsidR="007F1668" w:rsidRPr="00BF718B" w:rsidRDefault="007F1668" w:rsidP="00051E36">
            <w:pPr>
              <w:spacing w:before="120" w:after="120"/>
              <w:jc w:val="center"/>
            </w:pPr>
            <w:r w:rsidRPr="00BF718B">
              <w:t>Healthcare Professionals</w:t>
            </w:r>
          </w:p>
        </w:tc>
        <w:tc>
          <w:tcPr>
            <w:tcW w:w="1800" w:type="dxa"/>
            <w:vAlign w:val="center"/>
          </w:tcPr>
          <w:p w14:paraId="327D7F31" w14:textId="77777777" w:rsidR="007F1668" w:rsidRPr="00BF718B" w:rsidRDefault="007F1668" w:rsidP="0082498D">
            <w:pPr>
              <w:spacing w:before="120" w:after="120"/>
              <w:jc w:val="center"/>
            </w:pPr>
            <w:r w:rsidRPr="00BF718B">
              <w:t>Surveys</w:t>
            </w:r>
          </w:p>
        </w:tc>
        <w:tc>
          <w:tcPr>
            <w:tcW w:w="1530" w:type="dxa"/>
            <w:vAlign w:val="center"/>
          </w:tcPr>
          <w:p w14:paraId="13854C67" w14:textId="77777777" w:rsidR="007F1668" w:rsidRPr="00BF718B" w:rsidRDefault="007F1668">
            <w:pPr>
              <w:spacing w:before="120" w:after="120"/>
              <w:jc w:val="center"/>
            </w:pPr>
            <w:r w:rsidRPr="007F1668">
              <w:rPr>
                <w:color w:val="000000"/>
              </w:rPr>
              <w:t>844</w:t>
            </w:r>
          </w:p>
        </w:tc>
        <w:tc>
          <w:tcPr>
            <w:tcW w:w="1440" w:type="dxa"/>
            <w:vAlign w:val="center"/>
          </w:tcPr>
          <w:p w14:paraId="7BD0B779" w14:textId="77777777" w:rsidR="007F1668" w:rsidRPr="00BF718B" w:rsidRDefault="007F1668">
            <w:pPr>
              <w:spacing w:before="120" w:after="120"/>
              <w:jc w:val="center"/>
            </w:pPr>
            <w:r w:rsidRPr="00271C93">
              <w:rPr>
                <w:color w:val="000000"/>
              </w:rPr>
              <w:t>$38.06</w:t>
            </w:r>
          </w:p>
        </w:tc>
        <w:tc>
          <w:tcPr>
            <w:tcW w:w="1440" w:type="dxa"/>
            <w:vAlign w:val="center"/>
          </w:tcPr>
          <w:p w14:paraId="111B95AB" w14:textId="77777777" w:rsidR="007F1668" w:rsidRPr="00BF718B" w:rsidRDefault="007F1668">
            <w:pPr>
              <w:jc w:val="center"/>
              <w:rPr>
                <w:color w:val="000000"/>
              </w:rPr>
            </w:pPr>
            <w:r>
              <w:rPr>
                <w:color w:val="000000"/>
              </w:rPr>
              <w:t>$32,123</w:t>
            </w:r>
          </w:p>
        </w:tc>
      </w:tr>
      <w:tr w:rsidR="007F1668" w:rsidRPr="00BF718B" w14:paraId="1528ECC4" w14:textId="77777777" w:rsidTr="00AA1EEE">
        <w:trPr>
          <w:trHeight w:val="278"/>
        </w:trPr>
        <w:tc>
          <w:tcPr>
            <w:tcW w:w="2088" w:type="dxa"/>
            <w:vAlign w:val="center"/>
          </w:tcPr>
          <w:p w14:paraId="22A2B9DF" w14:textId="77777777" w:rsidR="007F1668" w:rsidRPr="00BF718B" w:rsidRDefault="007F1668" w:rsidP="00051E36">
            <w:pPr>
              <w:spacing w:before="120" w:after="120"/>
              <w:jc w:val="center"/>
            </w:pPr>
            <w:r w:rsidRPr="00BF718B">
              <w:t>General Public</w:t>
            </w:r>
          </w:p>
        </w:tc>
        <w:tc>
          <w:tcPr>
            <w:tcW w:w="1800" w:type="dxa"/>
            <w:vAlign w:val="center"/>
          </w:tcPr>
          <w:p w14:paraId="57C16B04" w14:textId="77777777" w:rsidR="007F1668" w:rsidRPr="00BF718B" w:rsidRDefault="007F1668" w:rsidP="0082498D">
            <w:pPr>
              <w:spacing w:before="120" w:after="120"/>
              <w:jc w:val="center"/>
            </w:pPr>
            <w:r w:rsidRPr="00BF718B">
              <w:t>Pre/Post Tests</w:t>
            </w:r>
          </w:p>
        </w:tc>
        <w:tc>
          <w:tcPr>
            <w:tcW w:w="1530" w:type="dxa"/>
            <w:vAlign w:val="center"/>
          </w:tcPr>
          <w:p w14:paraId="32334B7A" w14:textId="77777777" w:rsidR="007F1668" w:rsidRPr="00BF718B" w:rsidRDefault="007F1668">
            <w:pPr>
              <w:spacing w:before="120" w:after="120"/>
              <w:jc w:val="center"/>
            </w:pPr>
            <w:r w:rsidRPr="007F1668">
              <w:rPr>
                <w:color w:val="000000"/>
              </w:rPr>
              <w:t>1,313</w:t>
            </w:r>
          </w:p>
        </w:tc>
        <w:tc>
          <w:tcPr>
            <w:tcW w:w="1440" w:type="dxa"/>
            <w:vAlign w:val="center"/>
          </w:tcPr>
          <w:p w14:paraId="74E344AF" w14:textId="77777777" w:rsidR="007F1668" w:rsidRPr="00BF718B" w:rsidRDefault="007F1668">
            <w:pPr>
              <w:spacing w:before="120" w:after="120"/>
              <w:jc w:val="center"/>
            </w:pPr>
            <w:r w:rsidRPr="00BF718B">
              <w:rPr>
                <w:color w:val="000000"/>
              </w:rPr>
              <w:t>$</w:t>
            </w:r>
            <w:r>
              <w:rPr>
                <w:color w:val="000000"/>
              </w:rPr>
              <w:t>23.86</w:t>
            </w:r>
          </w:p>
        </w:tc>
        <w:tc>
          <w:tcPr>
            <w:tcW w:w="1440" w:type="dxa"/>
            <w:vAlign w:val="center"/>
          </w:tcPr>
          <w:p w14:paraId="4DCEE4B6" w14:textId="77777777" w:rsidR="007F1668" w:rsidRPr="00BF718B" w:rsidRDefault="007F1668">
            <w:pPr>
              <w:jc w:val="center"/>
              <w:rPr>
                <w:color w:val="000000"/>
              </w:rPr>
            </w:pPr>
            <w:r>
              <w:rPr>
                <w:color w:val="000000"/>
              </w:rPr>
              <w:t>$31,328</w:t>
            </w:r>
          </w:p>
        </w:tc>
      </w:tr>
      <w:tr w:rsidR="007F1668" w:rsidRPr="00BF718B" w14:paraId="558ADC58" w14:textId="77777777" w:rsidTr="00AA1EEE">
        <w:trPr>
          <w:trHeight w:val="278"/>
        </w:trPr>
        <w:tc>
          <w:tcPr>
            <w:tcW w:w="2088" w:type="dxa"/>
            <w:vAlign w:val="center"/>
          </w:tcPr>
          <w:p w14:paraId="5E0FDC17" w14:textId="77777777" w:rsidR="007F1668" w:rsidRPr="00BF718B" w:rsidRDefault="007F1668" w:rsidP="00051E36">
            <w:pPr>
              <w:spacing w:before="120" w:after="120"/>
              <w:jc w:val="center"/>
            </w:pPr>
            <w:r w:rsidRPr="00BF718B">
              <w:t>Healthcare Professionals</w:t>
            </w:r>
          </w:p>
        </w:tc>
        <w:tc>
          <w:tcPr>
            <w:tcW w:w="1800" w:type="dxa"/>
            <w:vAlign w:val="center"/>
          </w:tcPr>
          <w:p w14:paraId="217B43BC" w14:textId="77777777" w:rsidR="007F1668" w:rsidRPr="00BF718B" w:rsidRDefault="007F1668" w:rsidP="0082498D">
            <w:pPr>
              <w:spacing w:before="120" w:after="120"/>
              <w:jc w:val="center"/>
            </w:pPr>
            <w:r w:rsidRPr="00BF718B">
              <w:t>Pre/Post Tests</w:t>
            </w:r>
          </w:p>
        </w:tc>
        <w:tc>
          <w:tcPr>
            <w:tcW w:w="1530" w:type="dxa"/>
            <w:vAlign w:val="center"/>
          </w:tcPr>
          <w:p w14:paraId="10E253EC" w14:textId="77777777" w:rsidR="007F1668" w:rsidRPr="00BF718B" w:rsidRDefault="007F1668">
            <w:pPr>
              <w:spacing w:before="120" w:after="120"/>
              <w:jc w:val="center"/>
            </w:pPr>
            <w:r w:rsidRPr="007F1668">
              <w:rPr>
                <w:color w:val="000000"/>
              </w:rPr>
              <w:t>563</w:t>
            </w:r>
          </w:p>
        </w:tc>
        <w:tc>
          <w:tcPr>
            <w:tcW w:w="1440" w:type="dxa"/>
            <w:vAlign w:val="center"/>
          </w:tcPr>
          <w:p w14:paraId="55BA494B" w14:textId="77777777" w:rsidR="007F1668" w:rsidRPr="00BF718B" w:rsidRDefault="007F1668">
            <w:pPr>
              <w:spacing w:before="120" w:after="120"/>
              <w:jc w:val="center"/>
            </w:pPr>
            <w:r w:rsidRPr="00271C93">
              <w:rPr>
                <w:color w:val="000000"/>
              </w:rPr>
              <w:t>$38.06</w:t>
            </w:r>
          </w:p>
        </w:tc>
        <w:tc>
          <w:tcPr>
            <w:tcW w:w="1440" w:type="dxa"/>
            <w:vAlign w:val="center"/>
          </w:tcPr>
          <w:p w14:paraId="669AA3CD" w14:textId="77777777" w:rsidR="007F1668" w:rsidRPr="00BF718B" w:rsidRDefault="007F1668">
            <w:pPr>
              <w:jc w:val="center"/>
              <w:rPr>
                <w:color w:val="000000"/>
              </w:rPr>
            </w:pPr>
            <w:r>
              <w:rPr>
                <w:color w:val="000000"/>
              </w:rPr>
              <w:t>$21,428</w:t>
            </w:r>
          </w:p>
        </w:tc>
      </w:tr>
      <w:tr w:rsidR="007F1668" w:rsidRPr="00BF718B" w14:paraId="3F18584A" w14:textId="77777777" w:rsidTr="00AA1EEE">
        <w:tc>
          <w:tcPr>
            <w:tcW w:w="2088" w:type="dxa"/>
            <w:vAlign w:val="center"/>
          </w:tcPr>
          <w:p w14:paraId="4B33F2E3" w14:textId="77777777" w:rsidR="007F1668" w:rsidRPr="00BF718B" w:rsidRDefault="007F1668" w:rsidP="00051E36">
            <w:pPr>
              <w:spacing w:before="120" w:after="120"/>
              <w:jc w:val="center"/>
            </w:pPr>
            <w:r w:rsidRPr="00BF718B">
              <w:t>TOTAL</w:t>
            </w:r>
          </w:p>
        </w:tc>
        <w:tc>
          <w:tcPr>
            <w:tcW w:w="1800" w:type="dxa"/>
            <w:vAlign w:val="center"/>
          </w:tcPr>
          <w:p w14:paraId="22F9BCEB" w14:textId="77777777" w:rsidR="007F1668" w:rsidRPr="00BF718B" w:rsidRDefault="007F1668" w:rsidP="0082498D">
            <w:pPr>
              <w:spacing w:before="120" w:after="120"/>
              <w:jc w:val="center"/>
            </w:pPr>
          </w:p>
        </w:tc>
        <w:tc>
          <w:tcPr>
            <w:tcW w:w="1530" w:type="dxa"/>
            <w:vAlign w:val="center"/>
          </w:tcPr>
          <w:p w14:paraId="61D13DAA" w14:textId="77777777" w:rsidR="007F1668" w:rsidRPr="00BF718B" w:rsidRDefault="007F1668">
            <w:pPr>
              <w:spacing w:before="120" w:after="120"/>
              <w:jc w:val="center"/>
            </w:pPr>
            <w:r w:rsidRPr="007F1668">
              <w:rPr>
                <w:color w:val="000000"/>
              </w:rPr>
              <w:t>7,982</w:t>
            </w:r>
          </w:p>
        </w:tc>
        <w:tc>
          <w:tcPr>
            <w:tcW w:w="1440" w:type="dxa"/>
            <w:vAlign w:val="center"/>
          </w:tcPr>
          <w:p w14:paraId="333788BC" w14:textId="77777777" w:rsidR="007F1668" w:rsidRPr="00BF718B" w:rsidRDefault="007F1668">
            <w:pPr>
              <w:spacing w:before="120" w:after="120"/>
              <w:jc w:val="center"/>
            </w:pPr>
          </w:p>
        </w:tc>
        <w:tc>
          <w:tcPr>
            <w:tcW w:w="1440" w:type="dxa"/>
            <w:vAlign w:val="center"/>
          </w:tcPr>
          <w:p w14:paraId="7485764D" w14:textId="77777777" w:rsidR="007F1668" w:rsidRPr="00BF718B" w:rsidRDefault="007F1668">
            <w:pPr>
              <w:jc w:val="center"/>
              <w:rPr>
                <w:color w:val="000000"/>
              </w:rPr>
            </w:pPr>
            <w:r>
              <w:rPr>
                <w:color w:val="000000"/>
              </w:rPr>
              <w:t>$224,</w:t>
            </w:r>
            <w:r w:rsidR="009F26CB">
              <w:rPr>
                <w:color w:val="000000"/>
              </w:rPr>
              <w:t>462</w:t>
            </w:r>
          </w:p>
        </w:tc>
      </w:tr>
    </w:tbl>
    <w:p w14:paraId="23FFF383" w14:textId="77777777" w:rsidR="001A4CEA" w:rsidRPr="00BF718B" w:rsidRDefault="001A4CEA" w:rsidP="00A978F5">
      <w:pPr>
        <w:spacing w:after="200" w:line="276" w:lineRule="auto"/>
        <w:rPr>
          <w:bCs/>
          <w:color w:val="000000"/>
        </w:rPr>
      </w:pPr>
    </w:p>
    <w:p w14:paraId="2D2DC042" w14:textId="77777777" w:rsidR="007C1142" w:rsidRPr="00AA1EEE" w:rsidRDefault="007C1142" w:rsidP="00B22338">
      <w:pPr>
        <w:spacing w:line="276" w:lineRule="auto"/>
        <w:outlineLvl w:val="0"/>
        <w:rPr>
          <w:b/>
          <w:bCs/>
          <w:iCs/>
          <w:color w:val="000000"/>
        </w:rPr>
      </w:pPr>
      <w:bookmarkStart w:id="31" w:name="_Toc68687809"/>
      <w:bookmarkStart w:id="32" w:name="_Toc506904667"/>
      <w:r w:rsidRPr="00AA1EEE">
        <w:rPr>
          <w:b/>
          <w:bCs/>
          <w:iCs/>
          <w:color w:val="000000"/>
        </w:rPr>
        <w:t>A</w:t>
      </w:r>
      <w:r w:rsidR="00DC2107" w:rsidRPr="00AA1EEE">
        <w:rPr>
          <w:b/>
          <w:bCs/>
          <w:iCs/>
          <w:color w:val="000000"/>
        </w:rPr>
        <w:t>.</w:t>
      </w:r>
      <w:r w:rsidRPr="00AA1EEE">
        <w:rPr>
          <w:b/>
          <w:bCs/>
          <w:iCs/>
          <w:color w:val="000000"/>
        </w:rPr>
        <w:t>13. Estimates of Other Total Annual Cost Burden to Respondents or Record</w:t>
      </w:r>
      <w:r w:rsidR="004435C4" w:rsidRPr="00AA1EEE">
        <w:rPr>
          <w:b/>
          <w:bCs/>
          <w:iCs/>
          <w:color w:val="000000"/>
        </w:rPr>
        <w:t xml:space="preserve"> K</w:t>
      </w:r>
      <w:r w:rsidRPr="00AA1EEE">
        <w:rPr>
          <w:b/>
          <w:bCs/>
          <w:iCs/>
          <w:color w:val="000000"/>
        </w:rPr>
        <w:t>eepers</w:t>
      </w:r>
      <w:bookmarkEnd w:id="31"/>
      <w:bookmarkEnd w:id="32"/>
    </w:p>
    <w:p w14:paraId="4F356B62" w14:textId="77777777" w:rsidR="007C1142" w:rsidRPr="00BF718B" w:rsidRDefault="007C1142" w:rsidP="00B22338">
      <w:pPr>
        <w:spacing w:line="276" w:lineRule="auto"/>
        <w:outlineLvl w:val="0"/>
        <w:rPr>
          <w:color w:val="000000"/>
        </w:rPr>
      </w:pPr>
    </w:p>
    <w:p w14:paraId="4F656C69" w14:textId="77777777" w:rsidR="007C1142" w:rsidRPr="00BF718B" w:rsidRDefault="007C1142" w:rsidP="00B22338">
      <w:pPr>
        <w:spacing w:line="276" w:lineRule="auto"/>
      </w:pPr>
      <w:bookmarkStart w:id="33" w:name="_Toc295817065"/>
      <w:bookmarkStart w:id="34" w:name="_Toc295817600"/>
      <w:bookmarkStart w:id="35" w:name="_Toc295818081"/>
      <w:bookmarkStart w:id="36" w:name="_Toc295819854"/>
      <w:r w:rsidRPr="00BF718B">
        <w:t>None.</w:t>
      </w:r>
      <w:bookmarkEnd w:id="33"/>
      <w:bookmarkEnd w:id="34"/>
      <w:bookmarkEnd w:id="35"/>
      <w:bookmarkEnd w:id="36"/>
      <w:r w:rsidRPr="00BF718B">
        <w:t xml:space="preserve">  </w:t>
      </w:r>
    </w:p>
    <w:p w14:paraId="00FCE1DF" w14:textId="77777777" w:rsidR="00170179" w:rsidRDefault="00170179" w:rsidP="00B22338">
      <w:pPr>
        <w:spacing w:line="276" w:lineRule="auto"/>
        <w:outlineLvl w:val="0"/>
        <w:rPr>
          <w:b/>
          <w:bCs/>
          <w:iCs/>
          <w:color w:val="000000"/>
        </w:rPr>
      </w:pPr>
      <w:bookmarkStart w:id="37" w:name="_Toc68687810"/>
      <w:bookmarkStart w:id="38" w:name="OLE_LINK1"/>
    </w:p>
    <w:p w14:paraId="0071E6CE" w14:textId="77777777" w:rsidR="007C1142" w:rsidRPr="00AA1EEE" w:rsidRDefault="007C1142" w:rsidP="00B22338">
      <w:pPr>
        <w:spacing w:line="276" w:lineRule="auto"/>
        <w:outlineLvl w:val="0"/>
        <w:rPr>
          <w:b/>
          <w:bCs/>
          <w:iCs/>
          <w:color w:val="000000"/>
        </w:rPr>
      </w:pPr>
      <w:bookmarkStart w:id="39" w:name="_Toc506904668"/>
      <w:r w:rsidRPr="00AA1EEE">
        <w:rPr>
          <w:b/>
          <w:bCs/>
          <w:iCs/>
          <w:color w:val="000000"/>
        </w:rPr>
        <w:t>A</w:t>
      </w:r>
      <w:r w:rsidR="00DC2107" w:rsidRPr="00AA1EEE">
        <w:rPr>
          <w:b/>
          <w:bCs/>
          <w:iCs/>
          <w:color w:val="000000"/>
        </w:rPr>
        <w:t>.</w:t>
      </w:r>
      <w:r w:rsidRPr="00AA1EEE">
        <w:rPr>
          <w:b/>
          <w:bCs/>
          <w:iCs/>
          <w:color w:val="000000"/>
        </w:rPr>
        <w:t>14. Annualized Cost to the Government</w:t>
      </w:r>
      <w:bookmarkEnd w:id="37"/>
      <w:bookmarkEnd w:id="39"/>
    </w:p>
    <w:bookmarkEnd w:id="38"/>
    <w:p w14:paraId="2CB0288E" w14:textId="77777777" w:rsidR="007C1142" w:rsidRPr="00BF718B" w:rsidRDefault="007C1142" w:rsidP="00B22338">
      <w:pPr>
        <w:autoSpaceDE w:val="0"/>
        <w:autoSpaceDN w:val="0"/>
        <w:adjustRightInd w:val="0"/>
        <w:spacing w:line="276" w:lineRule="auto"/>
        <w:rPr>
          <w:color w:val="000000"/>
        </w:rPr>
      </w:pPr>
    </w:p>
    <w:p w14:paraId="7D10AC01" w14:textId="77777777" w:rsidR="007C1142" w:rsidRPr="00BF718B" w:rsidRDefault="007C1142" w:rsidP="00B22338">
      <w:pPr>
        <w:autoSpaceDE w:val="0"/>
        <w:autoSpaceDN w:val="0"/>
        <w:adjustRightInd w:val="0"/>
        <w:spacing w:line="276" w:lineRule="auto"/>
        <w:rPr>
          <w:color w:val="000000"/>
        </w:rPr>
      </w:pPr>
      <w:r w:rsidRPr="00F8099E">
        <w:rPr>
          <w:color w:val="000000"/>
          <w:highlight w:val="yellow"/>
        </w:rPr>
        <w:t>The estima</w:t>
      </w:r>
      <w:r w:rsidR="004804D5" w:rsidRPr="00F8099E">
        <w:rPr>
          <w:color w:val="000000"/>
          <w:highlight w:val="yellow"/>
        </w:rPr>
        <w:t>ted average annual cost to the f</w:t>
      </w:r>
      <w:r w:rsidRPr="00F8099E">
        <w:rPr>
          <w:color w:val="000000"/>
          <w:highlight w:val="yellow"/>
        </w:rPr>
        <w:t xml:space="preserve">ederal government for the proposed </w:t>
      </w:r>
      <w:r w:rsidR="002B0956" w:rsidRPr="00F8099E">
        <w:rPr>
          <w:color w:val="000000"/>
          <w:highlight w:val="yellow"/>
        </w:rPr>
        <w:t>information collection activities</w:t>
      </w:r>
      <w:r w:rsidRPr="00F8099E">
        <w:rPr>
          <w:color w:val="000000"/>
          <w:highlight w:val="yellow"/>
        </w:rPr>
        <w:t xml:space="preserve"> is </w:t>
      </w:r>
      <w:r w:rsidR="002F399F" w:rsidRPr="00F8099E">
        <w:rPr>
          <w:color w:val="000000"/>
          <w:highlight w:val="yellow"/>
        </w:rPr>
        <w:t>$</w:t>
      </w:r>
      <w:r w:rsidR="00007E54" w:rsidRPr="00F8099E">
        <w:rPr>
          <w:color w:val="000000"/>
          <w:highlight w:val="yellow"/>
        </w:rPr>
        <w:t>1,488,155 for an anticipated five collections per year</w:t>
      </w:r>
      <w:r w:rsidRPr="00F8099E">
        <w:rPr>
          <w:color w:val="000000"/>
          <w:highlight w:val="yellow"/>
        </w:rPr>
        <w:t>.</w:t>
      </w:r>
      <w:r w:rsidR="00DB083E" w:rsidRPr="00BF718B">
        <w:rPr>
          <w:color w:val="000000"/>
        </w:rPr>
        <w:t xml:space="preserve"> </w:t>
      </w:r>
      <w:r w:rsidRPr="00F8099E">
        <w:rPr>
          <w:color w:val="000000"/>
        </w:rPr>
        <w:t xml:space="preserve">This figure encompasses </w:t>
      </w:r>
      <w:r w:rsidR="00453F6C" w:rsidRPr="00F8099E">
        <w:rPr>
          <w:color w:val="000000"/>
        </w:rPr>
        <w:t>50</w:t>
      </w:r>
      <w:r w:rsidR="004C1B77" w:rsidRPr="00F8099E">
        <w:rPr>
          <w:color w:val="000000"/>
        </w:rPr>
        <w:t>% FTE</w:t>
      </w:r>
      <w:r w:rsidR="00453F6C" w:rsidRPr="00F8099E">
        <w:rPr>
          <w:color w:val="000000"/>
        </w:rPr>
        <w:t xml:space="preserve"> of two GS-13 employees and information collection </w:t>
      </w:r>
      <w:r w:rsidRPr="00F8099E">
        <w:rPr>
          <w:color w:val="000000"/>
        </w:rPr>
        <w:t>contract costs.</w:t>
      </w:r>
      <w:r w:rsidRPr="00BF718B">
        <w:rPr>
          <w:color w:val="000000"/>
        </w:rPr>
        <w:t xml:space="preserve"> The average </w:t>
      </w:r>
      <w:r w:rsidR="00C90A07">
        <w:rPr>
          <w:color w:val="000000"/>
        </w:rPr>
        <w:t>annual</w:t>
      </w:r>
      <w:r w:rsidRPr="00BF718B">
        <w:rPr>
          <w:color w:val="000000"/>
        </w:rPr>
        <w:t xml:space="preserve"> rate was obtained from the Office of Personnel Management’s website (</w:t>
      </w:r>
      <w:r w:rsidR="00007E54" w:rsidRPr="00007E54">
        <w:t>https://www.opm.gov/policy-data-oversight/pay-leave/salaries-wages/salary-tables/18Tables/html/ATL.aspx</w:t>
      </w:r>
      <w:r w:rsidRPr="00BF718B">
        <w:rPr>
          <w:color w:val="000000"/>
        </w:rPr>
        <w:t xml:space="preserve">). </w:t>
      </w:r>
      <w:r w:rsidRPr="00F8099E">
        <w:rPr>
          <w:color w:val="000000"/>
          <w:highlight w:val="yellow"/>
        </w:rPr>
        <w:t xml:space="preserve">The </w:t>
      </w:r>
      <w:r w:rsidR="00C90A07" w:rsidRPr="00F8099E">
        <w:rPr>
          <w:color w:val="000000"/>
          <w:highlight w:val="yellow"/>
        </w:rPr>
        <w:t>annual</w:t>
      </w:r>
      <w:r w:rsidRPr="00F8099E">
        <w:rPr>
          <w:color w:val="000000"/>
          <w:highlight w:val="yellow"/>
        </w:rPr>
        <w:t xml:space="preserve"> rate for a GS-13 in metro Atlanta is </w:t>
      </w:r>
      <w:r w:rsidR="00C90A07" w:rsidRPr="00F8099E">
        <w:rPr>
          <w:color w:val="000000"/>
          <w:highlight w:val="yellow"/>
        </w:rPr>
        <w:t>$</w:t>
      </w:r>
      <w:r w:rsidR="00007E54" w:rsidRPr="00F8099E">
        <w:rPr>
          <w:highlight w:val="yellow"/>
        </w:rPr>
        <w:t>91,631</w:t>
      </w:r>
      <w:r w:rsidR="00C90A07" w:rsidRPr="00F8099E">
        <w:rPr>
          <w:highlight w:val="yellow"/>
        </w:rPr>
        <w:t xml:space="preserve"> </w:t>
      </w:r>
      <w:r w:rsidRPr="00F8099E">
        <w:rPr>
          <w:color w:val="000000"/>
          <w:highlight w:val="yellow"/>
        </w:rPr>
        <w:t>per year.</w:t>
      </w:r>
      <w:r w:rsidRPr="00BF718B">
        <w:rPr>
          <w:color w:val="000000"/>
        </w:rPr>
        <w:t xml:space="preserve"> The contractual cost for </w:t>
      </w:r>
      <w:r w:rsidR="00453F6C" w:rsidRPr="00BF718B">
        <w:rPr>
          <w:color w:val="000000"/>
        </w:rPr>
        <w:t>an information collection</w:t>
      </w:r>
      <w:r w:rsidRPr="00BF718B">
        <w:rPr>
          <w:color w:val="000000"/>
        </w:rPr>
        <w:t xml:space="preserve"> </w:t>
      </w:r>
      <w:r w:rsidR="00453F6C" w:rsidRPr="00BF718B">
        <w:rPr>
          <w:color w:val="000000"/>
        </w:rPr>
        <w:t>(</w:t>
      </w:r>
      <w:r w:rsidR="002B0956" w:rsidRPr="00BF718B">
        <w:rPr>
          <w:color w:val="000000"/>
        </w:rPr>
        <w:t>e</w:t>
      </w:r>
      <w:r w:rsidR="00453F6C" w:rsidRPr="00BF718B">
        <w:rPr>
          <w:color w:val="000000"/>
        </w:rPr>
        <w:t xml:space="preserve">.g. </w:t>
      </w:r>
      <w:r w:rsidR="002B0956" w:rsidRPr="00BF718B">
        <w:rPr>
          <w:color w:val="000000"/>
        </w:rPr>
        <w:t>the development of a screener and instrument, participant recruitment</w:t>
      </w:r>
      <w:r w:rsidRPr="00BF718B">
        <w:rPr>
          <w:color w:val="000000"/>
        </w:rPr>
        <w:t>, incentiv</w:t>
      </w:r>
      <w:r w:rsidR="00453F6C" w:rsidRPr="00BF718B">
        <w:rPr>
          <w:color w:val="000000"/>
        </w:rPr>
        <w:t>e payments, facility rental</w:t>
      </w:r>
      <w:r w:rsidR="002B0956" w:rsidRPr="00BF718B">
        <w:rPr>
          <w:color w:val="000000"/>
        </w:rPr>
        <w:t xml:space="preserve"> (when applicable)</w:t>
      </w:r>
      <w:r w:rsidR="00453F6C" w:rsidRPr="00BF718B">
        <w:rPr>
          <w:color w:val="000000"/>
        </w:rPr>
        <w:t>,</w:t>
      </w:r>
      <w:r w:rsidRPr="00BF718B">
        <w:rPr>
          <w:color w:val="000000"/>
        </w:rPr>
        <w:t xml:space="preserve"> transcription</w:t>
      </w:r>
      <w:r w:rsidR="00453F6C" w:rsidRPr="00BF718B">
        <w:rPr>
          <w:color w:val="000000"/>
        </w:rPr>
        <w:t>s, and</w:t>
      </w:r>
      <w:r w:rsidR="002B0956" w:rsidRPr="00BF718B">
        <w:rPr>
          <w:color w:val="000000"/>
        </w:rPr>
        <w:t xml:space="preserve"> final</w:t>
      </w:r>
      <w:r w:rsidR="00453F6C" w:rsidRPr="00BF718B">
        <w:rPr>
          <w:color w:val="000000"/>
        </w:rPr>
        <w:t xml:space="preserve"> reports)</w:t>
      </w:r>
      <w:r w:rsidRPr="00BF718B">
        <w:rPr>
          <w:color w:val="000000"/>
        </w:rPr>
        <w:t xml:space="preserve"> </w:t>
      </w:r>
      <w:r w:rsidR="00453F6C" w:rsidRPr="00BF718B">
        <w:rPr>
          <w:color w:val="000000"/>
        </w:rPr>
        <w:t xml:space="preserve">is </w:t>
      </w:r>
      <w:r w:rsidRPr="00BF718B">
        <w:rPr>
          <w:color w:val="000000"/>
        </w:rPr>
        <w:t>estimated at</w:t>
      </w:r>
      <w:r w:rsidR="002B0956" w:rsidRPr="00BF718B">
        <w:rPr>
          <w:color w:val="000000"/>
        </w:rPr>
        <w:t xml:space="preserve"> </w:t>
      </w:r>
      <w:r w:rsidR="00453F6C" w:rsidRPr="00BF718B">
        <w:rPr>
          <w:color w:val="000000"/>
        </w:rPr>
        <w:t>$</w:t>
      </w:r>
      <w:r w:rsidR="00E73545" w:rsidRPr="00BF718B">
        <w:rPr>
          <w:color w:val="000000"/>
        </w:rPr>
        <w:t>200</w:t>
      </w:r>
      <w:r w:rsidR="00453F6C" w:rsidRPr="00BF718B">
        <w:rPr>
          <w:color w:val="000000"/>
        </w:rPr>
        <w:t>,000.</w:t>
      </w:r>
      <w:r w:rsidRPr="00BF718B">
        <w:rPr>
          <w:color w:val="000000"/>
        </w:rPr>
        <w:t xml:space="preserve"> </w:t>
      </w:r>
    </w:p>
    <w:p w14:paraId="03A3A0CF" w14:textId="77777777" w:rsidR="002B288D" w:rsidRPr="00BF718B" w:rsidRDefault="002B288D" w:rsidP="00B22338">
      <w:pPr>
        <w:autoSpaceDE w:val="0"/>
        <w:autoSpaceDN w:val="0"/>
        <w:adjustRightInd w:val="0"/>
        <w:spacing w:line="276" w:lineRule="auto"/>
        <w:rPr>
          <w:color w:val="000000"/>
        </w:rPr>
      </w:pPr>
    </w:p>
    <w:p w14:paraId="375CD96D" w14:textId="77777777" w:rsidR="000C5352" w:rsidRPr="00BF718B" w:rsidRDefault="000C5352" w:rsidP="00B22338">
      <w:pPr>
        <w:spacing w:after="120" w:line="276" w:lineRule="auto"/>
        <w:outlineLvl w:val="0"/>
        <w:rPr>
          <w:bCs/>
          <w:color w:val="000000"/>
        </w:rPr>
      </w:pPr>
      <w:bookmarkStart w:id="40" w:name="_Toc506904602"/>
      <w:bookmarkStart w:id="41" w:name="_Toc506904669"/>
      <w:r w:rsidRPr="00BF718B">
        <w:rPr>
          <w:bCs/>
          <w:color w:val="000000"/>
        </w:rPr>
        <w:t>Table A.</w:t>
      </w:r>
      <w:r w:rsidR="0088227E" w:rsidRPr="00BF718B">
        <w:rPr>
          <w:bCs/>
          <w:color w:val="000000"/>
        </w:rPr>
        <w:t>14</w:t>
      </w:r>
      <w:r w:rsidRPr="00BF718B">
        <w:rPr>
          <w:bCs/>
          <w:color w:val="000000"/>
        </w:rPr>
        <w:t>-A: Estimated Annualized Cost to the Government per Activity and Total</w:t>
      </w:r>
      <w:bookmarkEnd w:id="40"/>
      <w:bookmarkEnd w:id="41"/>
    </w:p>
    <w:p w14:paraId="000DF53B" w14:textId="77777777" w:rsidR="000C5352" w:rsidRPr="00BF718B" w:rsidRDefault="000C5352" w:rsidP="00361F53">
      <w:pPr>
        <w:autoSpaceDE w:val="0"/>
        <w:autoSpaceDN w:val="0"/>
        <w:adjustRightInd w:val="0"/>
        <w:rPr>
          <w:color w:val="000000"/>
        </w:rPr>
      </w:pPr>
    </w:p>
    <w:tbl>
      <w:tblPr>
        <w:tblStyle w:val="TableGrid"/>
        <w:tblW w:w="0" w:type="auto"/>
        <w:tblInd w:w="288" w:type="dxa"/>
        <w:tblLook w:val="01E0" w:firstRow="1" w:lastRow="1" w:firstColumn="1" w:lastColumn="1" w:noHBand="0" w:noVBand="0"/>
      </w:tblPr>
      <w:tblGrid>
        <w:gridCol w:w="5040"/>
        <w:gridCol w:w="2880"/>
      </w:tblGrid>
      <w:tr w:rsidR="007C1142" w:rsidRPr="00BF718B" w14:paraId="47D6C102" w14:textId="77777777" w:rsidTr="002B0956">
        <w:tc>
          <w:tcPr>
            <w:tcW w:w="7920" w:type="dxa"/>
            <w:gridSpan w:val="2"/>
          </w:tcPr>
          <w:p w14:paraId="3285889D" w14:textId="77777777" w:rsidR="007C1142" w:rsidRPr="00BF718B" w:rsidRDefault="007C1142" w:rsidP="00361F53">
            <w:pPr>
              <w:autoSpaceDE w:val="0"/>
              <w:autoSpaceDN w:val="0"/>
              <w:adjustRightInd w:val="0"/>
              <w:spacing w:before="60" w:after="60"/>
              <w:jc w:val="center"/>
              <w:rPr>
                <w:color w:val="000000"/>
              </w:rPr>
            </w:pPr>
            <w:r w:rsidRPr="00BF718B">
              <w:rPr>
                <w:color w:val="000000"/>
              </w:rPr>
              <w:t>Estimated An</w:t>
            </w:r>
            <w:r w:rsidR="00453F6C" w:rsidRPr="00BF718B">
              <w:rPr>
                <w:color w:val="000000"/>
              </w:rPr>
              <w:t>nualized Cost to the Government</w:t>
            </w:r>
            <w:r w:rsidRPr="00BF718B">
              <w:rPr>
                <w:color w:val="000000"/>
              </w:rPr>
              <w:t xml:space="preserve"> per Activity and Total</w:t>
            </w:r>
          </w:p>
        </w:tc>
      </w:tr>
      <w:tr w:rsidR="007C1142" w:rsidRPr="00BF718B" w14:paraId="26B08ACA" w14:textId="77777777" w:rsidTr="002B0956">
        <w:tc>
          <w:tcPr>
            <w:tcW w:w="5040" w:type="dxa"/>
          </w:tcPr>
          <w:p w14:paraId="14B74644" w14:textId="77777777" w:rsidR="007C1142" w:rsidRPr="00BF718B" w:rsidRDefault="007C1142" w:rsidP="00361F53">
            <w:pPr>
              <w:autoSpaceDE w:val="0"/>
              <w:autoSpaceDN w:val="0"/>
              <w:adjustRightInd w:val="0"/>
              <w:spacing w:before="60" w:after="60"/>
              <w:rPr>
                <w:color w:val="000000"/>
              </w:rPr>
            </w:pPr>
            <w:r w:rsidRPr="00BF718B">
              <w:rPr>
                <w:color w:val="000000"/>
              </w:rPr>
              <w:t>Cost Category</w:t>
            </w:r>
          </w:p>
        </w:tc>
        <w:tc>
          <w:tcPr>
            <w:tcW w:w="2880" w:type="dxa"/>
          </w:tcPr>
          <w:p w14:paraId="560F5EB1" w14:textId="77777777" w:rsidR="007C1142" w:rsidRPr="00BF718B" w:rsidRDefault="007C1142" w:rsidP="00361F53">
            <w:pPr>
              <w:autoSpaceDE w:val="0"/>
              <w:autoSpaceDN w:val="0"/>
              <w:adjustRightInd w:val="0"/>
              <w:spacing w:before="60" w:after="60"/>
              <w:rPr>
                <w:color w:val="000000"/>
              </w:rPr>
            </w:pPr>
            <w:r w:rsidRPr="00BF718B">
              <w:rPr>
                <w:color w:val="000000"/>
              </w:rPr>
              <w:t>Estimated Annualized Cost</w:t>
            </w:r>
          </w:p>
        </w:tc>
      </w:tr>
      <w:tr w:rsidR="007C1142" w:rsidRPr="00BF718B" w14:paraId="0C9366E1" w14:textId="77777777" w:rsidTr="002B0956">
        <w:tc>
          <w:tcPr>
            <w:tcW w:w="5040" w:type="dxa"/>
          </w:tcPr>
          <w:p w14:paraId="5DC91CBB" w14:textId="77777777" w:rsidR="007C1142" w:rsidRPr="00F8099E" w:rsidRDefault="007C1142" w:rsidP="00007E54">
            <w:pPr>
              <w:autoSpaceDE w:val="0"/>
              <w:autoSpaceDN w:val="0"/>
              <w:adjustRightInd w:val="0"/>
              <w:spacing w:before="60" w:after="60"/>
              <w:rPr>
                <w:color w:val="000000"/>
                <w:highlight w:val="yellow"/>
              </w:rPr>
            </w:pPr>
            <w:r w:rsidRPr="00F8099E">
              <w:rPr>
                <w:color w:val="000000"/>
                <w:highlight w:val="yellow"/>
              </w:rPr>
              <w:t xml:space="preserve">Federal employee costs, per </w:t>
            </w:r>
            <w:r w:rsidR="00453F6C" w:rsidRPr="00F8099E">
              <w:rPr>
                <w:color w:val="000000"/>
                <w:highlight w:val="yellow"/>
              </w:rPr>
              <w:t>information collection</w:t>
            </w:r>
            <w:r w:rsidRPr="00F8099E">
              <w:rPr>
                <w:color w:val="000000"/>
                <w:highlight w:val="yellow"/>
              </w:rPr>
              <w:t xml:space="preserve"> (50% FTE of </w:t>
            </w:r>
            <w:r w:rsidR="004804D5" w:rsidRPr="00F8099E">
              <w:rPr>
                <w:color w:val="000000"/>
                <w:highlight w:val="yellow"/>
              </w:rPr>
              <w:t xml:space="preserve">two </w:t>
            </w:r>
            <w:r w:rsidRPr="00F8099E">
              <w:rPr>
                <w:color w:val="000000"/>
                <w:highlight w:val="yellow"/>
              </w:rPr>
              <w:t xml:space="preserve">GS-13 </w:t>
            </w:r>
            <w:r w:rsidR="004804D5" w:rsidRPr="00F8099E">
              <w:rPr>
                <w:color w:val="000000"/>
                <w:highlight w:val="yellow"/>
              </w:rPr>
              <w:t>at</w:t>
            </w:r>
            <w:r w:rsidRPr="00F8099E">
              <w:rPr>
                <w:color w:val="000000"/>
                <w:highlight w:val="yellow"/>
              </w:rPr>
              <w:t xml:space="preserve"> $</w:t>
            </w:r>
            <w:r w:rsidR="00252447" w:rsidRPr="00F8099E">
              <w:rPr>
                <w:highlight w:val="yellow"/>
              </w:rPr>
              <w:t>9</w:t>
            </w:r>
            <w:r w:rsidR="00007E54" w:rsidRPr="00F8099E">
              <w:rPr>
                <w:highlight w:val="yellow"/>
              </w:rPr>
              <w:t>1,631</w:t>
            </w:r>
            <w:r w:rsidRPr="00F8099E">
              <w:rPr>
                <w:color w:val="000000"/>
                <w:highlight w:val="yellow"/>
              </w:rPr>
              <w:t>/y</w:t>
            </w:r>
            <w:r w:rsidR="004804D5" w:rsidRPr="00F8099E">
              <w:rPr>
                <w:color w:val="000000"/>
                <w:highlight w:val="yellow"/>
              </w:rPr>
              <w:t>ea</w:t>
            </w:r>
            <w:r w:rsidRPr="00F8099E">
              <w:rPr>
                <w:color w:val="000000"/>
                <w:highlight w:val="yellow"/>
              </w:rPr>
              <w:t>r)</w:t>
            </w:r>
          </w:p>
        </w:tc>
        <w:tc>
          <w:tcPr>
            <w:tcW w:w="2880" w:type="dxa"/>
          </w:tcPr>
          <w:p w14:paraId="0760185D" w14:textId="77777777" w:rsidR="007C1142" w:rsidRPr="00F8099E" w:rsidRDefault="00453F6C" w:rsidP="00361F53">
            <w:pPr>
              <w:autoSpaceDE w:val="0"/>
              <w:autoSpaceDN w:val="0"/>
              <w:adjustRightInd w:val="0"/>
              <w:spacing w:before="60" w:after="60"/>
              <w:jc w:val="right"/>
              <w:rPr>
                <w:color w:val="000000"/>
                <w:highlight w:val="yellow"/>
              </w:rPr>
            </w:pPr>
            <w:r w:rsidRPr="00F8099E">
              <w:rPr>
                <w:color w:val="000000"/>
                <w:highlight w:val="yellow"/>
              </w:rPr>
              <w:t>$</w:t>
            </w:r>
            <w:r w:rsidR="00007E54" w:rsidRPr="00F8099E">
              <w:rPr>
                <w:highlight w:val="yellow"/>
              </w:rPr>
              <w:t>91,631</w:t>
            </w:r>
          </w:p>
        </w:tc>
      </w:tr>
      <w:tr w:rsidR="007C1142" w:rsidRPr="00BF718B" w14:paraId="0FC7EB57" w14:textId="77777777" w:rsidTr="002B0956">
        <w:tc>
          <w:tcPr>
            <w:tcW w:w="5040" w:type="dxa"/>
          </w:tcPr>
          <w:p w14:paraId="0DDE76F8" w14:textId="77777777" w:rsidR="007C1142" w:rsidRPr="00BF718B" w:rsidRDefault="007C1142" w:rsidP="00361F53">
            <w:pPr>
              <w:autoSpaceDE w:val="0"/>
              <w:autoSpaceDN w:val="0"/>
              <w:adjustRightInd w:val="0"/>
              <w:spacing w:before="60" w:after="60"/>
              <w:rPr>
                <w:color w:val="000000"/>
              </w:rPr>
            </w:pPr>
            <w:r w:rsidRPr="00BF718B">
              <w:rPr>
                <w:color w:val="000000"/>
              </w:rPr>
              <w:t xml:space="preserve">Contractual costs for </w:t>
            </w:r>
            <w:r w:rsidR="002B0956" w:rsidRPr="00BF718B">
              <w:rPr>
                <w:color w:val="000000"/>
              </w:rPr>
              <w:t xml:space="preserve">an information collection </w:t>
            </w:r>
            <w:r w:rsidR="00453F6C" w:rsidRPr="00BF718B">
              <w:rPr>
                <w:color w:val="000000"/>
              </w:rPr>
              <w:t xml:space="preserve">(e.g. </w:t>
            </w:r>
            <w:r w:rsidR="002B0956" w:rsidRPr="00BF718B">
              <w:rPr>
                <w:color w:val="000000"/>
              </w:rPr>
              <w:t xml:space="preserve">facility rental, </w:t>
            </w:r>
            <w:r w:rsidRPr="00BF718B">
              <w:rPr>
                <w:color w:val="000000"/>
              </w:rPr>
              <w:t>moderator/interviewer, participant recruitment,</w:t>
            </w:r>
            <w:r w:rsidR="00453F6C" w:rsidRPr="00BF718B">
              <w:rPr>
                <w:color w:val="000000"/>
              </w:rPr>
              <w:t xml:space="preserve"> transcriptions</w:t>
            </w:r>
            <w:r w:rsidRPr="00BF718B">
              <w:rPr>
                <w:color w:val="000000"/>
              </w:rPr>
              <w:t xml:space="preserve"> and report on findings</w:t>
            </w:r>
            <w:r w:rsidR="00453F6C" w:rsidRPr="00BF718B">
              <w:rPr>
                <w:color w:val="000000"/>
              </w:rPr>
              <w:t>)</w:t>
            </w:r>
          </w:p>
        </w:tc>
        <w:tc>
          <w:tcPr>
            <w:tcW w:w="2880" w:type="dxa"/>
          </w:tcPr>
          <w:p w14:paraId="2A86C889" w14:textId="77777777" w:rsidR="007C1142" w:rsidRPr="00BF718B" w:rsidRDefault="00453F6C" w:rsidP="00E73545">
            <w:pPr>
              <w:autoSpaceDE w:val="0"/>
              <w:autoSpaceDN w:val="0"/>
              <w:adjustRightInd w:val="0"/>
              <w:spacing w:before="60" w:after="60"/>
              <w:jc w:val="right"/>
              <w:rPr>
                <w:color w:val="000000"/>
              </w:rPr>
            </w:pPr>
            <w:r w:rsidRPr="00BF718B">
              <w:rPr>
                <w:color w:val="000000"/>
              </w:rPr>
              <w:t>$</w:t>
            </w:r>
            <w:r w:rsidR="00E73545" w:rsidRPr="00BF718B">
              <w:rPr>
                <w:color w:val="000000"/>
              </w:rPr>
              <w:t>200</w:t>
            </w:r>
            <w:r w:rsidRPr="00BF718B">
              <w:rPr>
                <w:color w:val="000000"/>
              </w:rPr>
              <w:t>,000</w:t>
            </w:r>
          </w:p>
        </w:tc>
      </w:tr>
      <w:tr w:rsidR="00453F6C" w:rsidRPr="00BF718B" w14:paraId="73BCB9BA" w14:textId="77777777" w:rsidTr="002B0956">
        <w:tc>
          <w:tcPr>
            <w:tcW w:w="5040" w:type="dxa"/>
          </w:tcPr>
          <w:p w14:paraId="039C2B98" w14:textId="77777777" w:rsidR="00453F6C" w:rsidRPr="00F8099E" w:rsidRDefault="00453F6C" w:rsidP="00361F53">
            <w:pPr>
              <w:autoSpaceDE w:val="0"/>
              <w:autoSpaceDN w:val="0"/>
              <w:adjustRightInd w:val="0"/>
              <w:spacing w:before="60" w:after="60"/>
              <w:rPr>
                <w:color w:val="000000"/>
                <w:highlight w:val="yellow"/>
              </w:rPr>
            </w:pPr>
            <w:r w:rsidRPr="00F8099E">
              <w:rPr>
                <w:color w:val="000000"/>
                <w:highlight w:val="yellow"/>
              </w:rPr>
              <w:t>Cost per information collection</w:t>
            </w:r>
          </w:p>
        </w:tc>
        <w:tc>
          <w:tcPr>
            <w:tcW w:w="2880" w:type="dxa"/>
          </w:tcPr>
          <w:p w14:paraId="19412888" w14:textId="77777777" w:rsidR="00453F6C" w:rsidRPr="00F8099E" w:rsidRDefault="00252447" w:rsidP="00007E54">
            <w:pPr>
              <w:jc w:val="right"/>
              <w:rPr>
                <w:color w:val="000000"/>
                <w:highlight w:val="yellow"/>
              </w:rPr>
            </w:pPr>
            <w:r w:rsidRPr="00F8099E">
              <w:rPr>
                <w:color w:val="000000"/>
                <w:highlight w:val="yellow"/>
              </w:rPr>
              <w:t>$29</w:t>
            </w:r>
            <w:r w:rsidR="00007E54" w:rsidRPr="00F8099E">
              <w:rPr>
                <w:color w:val="000000"/>
                <w:highlight w:val="yellow"/>
              </w:rPr>
              <w:t>1,631</w:t>
            </w:r>
            <w:r w:rsidRPr="00F8099E">
              <w:rPr>
                <w:color w:val="000000"/>
                <w:highlight w:val="yellow"/>
              </w:rPr>
              <w:t xml:space="preserve"> </w:t>
            </w:r>
          </w:p>
        </w:tc>
      </w:tr>
      <w:tr w:rsidR="007C1142" w:rsidRPr="00BF718B" w14:paraId="4F7A59F3" w14:textId="77777777" w:rsidTr="002B0956">
        <w:tc>
          <w:tcPr>
            <w:tcW w:w="5040" w:type="dxa"/>
          </w:tcPr>
          <w:p w14:paraId="2A2E09FC" w14:textId="77777777" w:rsidR="007C1142" w:rsidRPr="00F8099E" w:rsidRDefault="007C1142" w:rsidP="00361F53">
            <w:pPr>
              <w:autoSpaceDE w:val="0"/>
              <w:autoSpaceDN w:val="0"/>
              <w:adjustRightInd w:val="0"/>
              <w:spacing w:before="60" w:after="60"/>
              <w:rPr>
                <w:color w:val="000000"/>
                <w:highlight w:val="yellow"/>
              </w:rPr>
            </w:pPr>
            <w:r w:rsidRPr="00F8099E">
              <w:rPr>
                <w:color w:val="000000"/>
                <w:highlight w:val="yellow"/>
              </w:rPr>
              <w:t>Total</w:t>
            </w:r>
            <w:r w:rsidR="00453F6C" w:rsidRPr="00F8099E">
              <w:rPr>
                <w:color w:val="000000"/>
                <w:highlight w:val="yellow"/>
              </w:rPr>
              <w:t xml:space="preserve"> </w:t>
            </w:r>
            <w:r w:rsidR="002B0956" w:rsidRPr="00F8099E">
              <w:rPr>
                <w:color w:val="000000"/>
                <w:highlight w:val="yellow"/>
              </w:rPr>
              <w:t>c</w:t>
            </w:r>
            <w:r w:rsidR="00453F6C" w:rsidRPr="00F8099E">
              <w:rPr>
                <w:color w:val="000000"/>
                <w:highlight w:val="yellow"/>
              </w:rPr>
              <w:t xml:space="preserve">ost of </w:t>
            </w:r>
            <w:r w:rsidR="00007E54" w:rsidRPr="00F8099E">
              <w:rPr>
                <w:color w:val="000000"/>
                <w:highlight w:val="yellow"/>
              </w:rPr>
              <w:t>five</w:t>
            </w:r>
            <w:r w:rsidR="00453F6C" w:rsidRPr="00F8099E">
              <w:rPr>
                <w:color w:val="000000"/>
                <w:highlight w:val="yellow"/>
              </w:rPr>
              <w:t xml:space="preserve"> information collections</w:t>
            </w:r>
          </w:p>
        </w:tc>
        <w:tc>
          <w:tcPr>
            <w:tcW w:w="2880" w:type="dxa"/>
          </w:tcPr>
          <w:p w14:paraId="4341D44D" w14:textId="77777777" w:rsidR="007C1142" w:rsidRPr="00F8099E" w:rsidRDefault="00E73545" w:rsidP="00612684">
            <w:pPr>
              <w:autoSpaceDE w:val="0"/>
              <w:autoSpaceDN w:val="0"/>
              <w:adjustRightInd w:val="0"/>
              <w:spacing w:before="60" w:after="60"/>
              <w:jc w:val="right"/>
              <w:rPr>
                <w:color w:val="000000"/>
                <w:highlight w:val="yellow"/>
              </w:rPr>
            </w:pPr>
            <w:r w:rsidRPr="00F8099E">
              <w:rPr>
                <w:color w:val="000000"/>
                <w:highlight w:val="yellow"/>
              </w:rPr>
              <w:t>$</w:t>
            </w:r>
            <w:r w:rsidR="00007E54" w:rsidRPr="00F8099E">
              <w:rPr>
                <w:color w:val="000000"/>
                <w:highlight w:val="yellow"/>
              </w:rPr>
              <w:t>1,488,155</w:t>
            </w:r>
          </w:p>
        </w:tc>
      </w:tr>
    </w:tbl>
    <w:p w14:paraId="23D9A029" w14:textId="77777777" w:rsidR="00170179" w:rsidRDefault="00170179" w:rsidP="00B22338">
      <w:pPr>
        <w:spacing w:line="276" w:lineRule="auto"/>
        <w:outlineLvl w:val="0"/>
        <w:rPr>
          <w:b/>
          <w:bCs/>
          <w:iCs/>
          <w:color w:val="000000"/>
        </w:rPr>
      </w:pPr>
    </w:p>
    <w:p w14:paraId="6EE21969" w14:textId="77777777" w:rsidR="007C1142" w:rsidRPr="00AA1EEE" w:rsidRDefault="007C1142" w:rsidP="00B22338">
      <w:pPr>
        <w:spacing w:line="276" w:lineRule="auto"/>
        <w:outlineLvl w:val="0"/>
        <w:rPr>
          <w:b/>
          <w:bCs/>
          <w:iCs/>
          <w:color w:val="000000"/>
        </w:rPr>
      </w:pPr>
      <w:bookmarkStart w:id="42" w:name="_Toc506904670"/>
      <w:r w:rsidRPr="00AA1EEE">
        <w:rPr>
          <w:b/>
          <w:bCs/>
          <w:iCs/>
          <w:color w:val="000000"/>
        </w:rPr>
        <w:t>A</w:t>
      </w:r>
      <w:r w:rsidR="00DC2107" w:rsidRPr="00AA1EEE">
        <w:rPr>
          <w:b/>
          <w:bCs/>
          <w:iCs/>
          <w:color w:val="000000"/>
        </w:rPr>
        <w:t>.</w:t>
      </w:r>
      <w:r w:rsidRPr="00AA1EEE">
        <w:rPr>
          <w:b/>
          <w:bCs/>
          <w:iCs/>
          <w:color w:val="000000"/>
        </w:rPr>
        <w:t>15. Explanation for Program Changes or Adjustments</w:t>
      </w:r>
      <w:bookmarkEnd w:id="42"/>
    </w:p>
    <w:p w14:paraId="72F5CD26" w14:textId="77777777" w:rsidR="00B22338" w:rsidRDefault="00B22338" w:rsidP="00B22338">
      <w:pPr>
        <w:spacing w:line="276" w:lineRule="auto"/>
      </w:pPr>
    </w:p>
    <w:p w14:paraId="5ACC1C52" w14:textId="77777777" w:rsidR="00DF1D36" w:rsidRPr="001C5A2E" w:rsidRDefault="00DF1D36" w:rsidP="00AC7325">
      <w:pPr>
        <w:spacing w:line="276" w:lineRule="auto"/>
        <w:rPr>
          <w:highlight w:val="yellow"/>
        </w:rPr>
      </w:pPr>
      <w:r w:rsidRPr="001C5A2E">
        <w:rPr>
          <w:highlight w:val="yellow"/>
        </w:rPr>
        <w:t xml:space="preserve">For this submission, requested burden has been reduced from 37,500 respondents and 17,835 burden hours to 17500 respondents and 7,982 burden hours due to a reduction in the number of estimated number of collections per year from ten to five and a two thirds reduction in pre- and post-tests requested for both types of respondents.  </w:t>
      </w:r>
    </w:p>
    <w:p w14:paraId="636756D2" w14:textId="77777777" w:rsidR="00170179" w:rsidRDefault="00170179" w:rsidP="00B22338">
      <w:pPr>
        <w:spacing w:line="276" w:lineRule="auto"/>
        <w:outlineLvl w:val="0"/>
        <w:rPr>
          <w:b/>
          <w:bCs/>
          <w:iCs/>
          <w:color w:val="000000"/>
        </w:rPr>
      </w:pPr>
    </w:p>
    <w:p w14:paraId="0E7A98C0" w14:textId="77777777" w:rsidR="007C1142" w:rsidRPr="00AA1EEE" w:rsidRDefault="007C1142" w:rsidP="00B22338">
      <w:pPr>
        <w:spacing w:line="276" w:lineRule="auto"/>
        <w:outlineLvl w:val="0"/>
        <w:rPr>
          <w:b/>
          <w:bCs/>
          <w:iCs/>
          <w:color w:val="000000"/>
        </w:rPr>
      </w:pPr>
      <w:bookmarkStart w:id="43" w:name="_Toc506904671"/>
      <w:r w:rsidRPr="00AA1EEE">
        <w:rPr>
          <w:b/>
          <w:bCs/>
          <w:iCs/>
          <w:color w:val="000000"/>
        </w:rPr>
        <w:t>A</w:t>
      </w:r>
      <w:r w:rsidR="00DC2107" w:rsidRPr="00AA1EEE">
        <w:rPr>
          <w:b/>
          <w:bCs/>
          <w:iCs/>
          <w:color w:val="000000"/>
        </w:rPr>
        <w:t>.</w:t>
      </w:r>
      <w:r w:rsidRPr="00AA1EEE">
        <w:rPr>
          <w:b/>
          <w:bCs/>
          <w:iCs/>
          <w:color w:val="000000"/>
        </w:rPr>
        <w:t>16. Plans for Tabulation and Publication and Project Time Schedule</w:t>
      </w:r>
      <w:bookmarkEnd w:id="43"/>
    </w:p>
    <w:p w14:paraId="1042A4CA" w14:textId="77777777" w:rsidR="007C1142" w:rsidRPr="00BF718B" w:rsidRDefault="007C1142" w:rsidP="00B22338">
      <w:pPr>
        <w:spacing w:line="276" w:lineRule="auto"/>
        <w:rPr>
          <w:color w:val="000000"/>
        </w:rPr>
      </w:pPr>
    </w:p>
    <w:p w14:paraId="67B8A535" w14:textId="77777777" w:rsidR="007C1142" w:rsidRPr="00BF718B" w:rsidRDefault="007C1142" w:rsidP="00B223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0000"/>
        </w:rPr>
      </w:pPr>
      <w:r w:rsidRPr="00BF718B">
        <w:t xml:space="preserve">In some cases, the results of </w:t>
      </w:r>
      <w:r w:rsidR="002B0956" w:rsidRPr="00BF718B">
        <w:t>information collection</w:t>
      </w:r>
      <w:r w:rsidRPr="00BF718B">
        <w:t xml:space="preserve"> will not be published; instead, the information will be used to inform communication, training and/or education activities across </w:t>
      </w:r>
      <w:r w:rsidR="003A4D97" w:rsidRPr="00BF718B">
        <w:t>DGMQ</w:t>
      </w:r>
      <w:r w:rsidRPr="00BF718B">
        <w:t xml:space="preserve">. </w:t>
      </w:r>
      <w:r w:rsidR="002B0956" w:rsidRPr="00BF718B">
        <w:t xml:space="preserve">In other cases, results will be presented at professional conferences and in peer-reviewed journals. </w:t>
      </w:r>
      <w:r w:rsidRPr="00BF718B">
        <w:t>Project timelines will vary, depending on the program requirements and the activity itself.</w:t>
      </w:r>
      <w:r w:rsidRPr="00BF718B" w:rsidDel="005626D1">
        <w:t xml:space="preserve"> </w:t>
      </w:r>
      <w:r w:rsidR="00A03206" w:rsidRPr="00BF718B">
        <w:t>The project timeline will be dependent on the nature of the data collection.</w:t>
      </w:r>
    </w:p>
    <w:p w14:paraId="31A6DB90" w14:textId="77777777" w:rsidR="00170179" w:rsidRDefault="00170179" w:rsidP="00B22338">
      <w:pPr>
        <w:spacing w:line="276" w:lineRule="auto"/>
        <w:outlineLvl w:val="0"/>
        <w:rPr>
          <w:b/>
          <w:bCs/>
          <w:iCs/>
          <w:color w:val="000000"/>
        </w:rPr>
      </w:pPr>
    </w:p>
    <w:p w14:paraId="69420012" w14:textId="77777777" w:rsidR="007C1142" w:rsidRPr="00AA1EEE" w:rsidRDefault="007C1142" w:rsidP="00B22338">
      <w:pPr>
        <w:spacing w:line="276" w:lineRule="auto"/>
        <w:outlineLvl w:val="0"/>
        <w:rPr>
          <w:b/>
          <w:bCs/>
          <w:iCs/>
          <w:color w:val="000000"/>
        </w:rPr>
      </w:pPr>
      <w:bookmarkStart w:id="44" w:name="_Toc506904672"/>
      <w:r w:rsidRPr="00AA1EEE">
        <w:rPr>
          <w:b/>
          <w:bCs/>
          <w:iCs/>
          <w:color w:val="000000"/>
        </w:rPr>
        <w:t>A</w:t>
      </w:r>
      <w:r w:rsidR="00DC2107" w:rsidRPr="00AA1EEE">
        <w:rPr>
          <w:b/>
          <w:bCs/>
          <w:iCs/>
          <w:color w:val="000000"/>
        </w:rPr>
        <w:t>.</w:t>
      </w:r>
      <w:r w:rsidRPr="00AA1EEE">
        <w:rPr>
          <w:b/>
          <w:bCs/>
          <w:iCs/>
          <w:color w:val="000000"/>
        </w:rPr>
        <w:t xml:space="preserve">17. Reason(s) </w:t>
      </w:r>
      <w:r w:rsidR="00C16160" w:rsidRPr="00AA1EEE">
        <w:rPr>
          <w:b/>
          <w:bCs/>
          <w:iCs/>
          <w:color w:val="000000"/>
        </w:rPr>
        <w:t>Display of OMB Expiration Date i</w:t>
      </w:r>
      <w:r w:rsidRPr="00AA1EEE">
        <w:rPr>
          <w:b/>
          <w:bCs/>
          <w:iCs/>
          <w:color w:val="000000"/>
        </w:rPr>
        <w:t>s Inappropriate</w:t>
      </w:r>
      <w:bookmarkEnd w:id="44"/>
    </w:p>
    <w:p w14:paraId="2409ADCC" w14:textId="77777777" w:rsidR="007C1142" w:rsidRPr="00BF718B" w:rsidRDefault="007C1142" w:rsidP="00B22338">
      <w:pPr>
        <w:spacing w:line="276" w:lineRule="auto"/>
      </w:pPr>
    </w:p>
    <w:p w14:paraId="225D3D3C" w14:textId="77777777" w:rsidR="007C1142" w:rsidRPr="00BF718B" w:rsidRDefault="006B4F4E" w:rsidP="00B22338">
      <w:pPr>
        <w:spacing w:line="276" w:lineRule="auto"/>
      </w:pPr>
      <w:r w:rsidRPr="00BF718B">
        <w:t>The display of the OMB expiration date is not inappropriate.</w:t>
      </w:r>
    </w:p>
    <w:p w14:paraId="6E02DD44" w14:textId="77777777" w:rsidR="00170179" w:rsidRDefault="00170179" w:rsidP="00B22338">
      <w:pPr>
        <w:spacing w:line="276" w:lineRule="auto"/>
        <w:outlineLvl w:val="0"/>
        <w:rPr>
          <w:b/>
          <w:bCs/>
          <w:iCs/>
          <w:color w:val="000000"/>
        </w:rPr>
      </w:pPr>
    </w:p>
    <w:p w14:paraId="7EEF7BED" w14:textId="77777777" w:rsidR="007C1142" w:rsidRPr="00AA1EEE" w:rsidRDefault="004435C4" w:rsidP="00B22338">
      <w:pPr>
        <w:spacing w:line="276" w:lineRule="auto"/>
        <w:outlineLvl w:val="0"/>
        <w:rPr>
          <w:b/>
          <w:bCs/>
          <w:iCs/>
          <w:color w:val="000000"/>
        </w:rPr>
      </w:pPr>
      <w:bookmarkStart w:id="45" w:name="_Toc506904673"/>
      <w:r w:rsidRPr="00AA1EEE">
        <w:rPr>
          <w:b/>
          <w:bCs/>
          <w:iCs/>
          <w:color w:val="000000"/>
        </w:rPr>
        <w:t>A</w:t>
      </w:r>
      <w:r w:rsidR="00DC2107" w:rsidRPr="00AA1EEE">
        <w:rPr>
          <w:b/>
          <w:bCs/>
          <w:iCs/>
          <w:color w:val="000000"/>
        </w:rPr>
        <w:t>.</w:t>
      </w:r>
      <w:r w:rsidRPr="00AA1EEE">
        <w:rPr>
          <w:b/>
          <w:bCs/>
          <w:iCs/>
          <w:color w:val="000000"/>
        </w:rPr>
        <w:t>18. Exceptions</w:t>
      </w:r>
      <w:r w:rsidR="007C1142" w:rsidRPr="00AA1EEE">
        <w:rPr>
          <w:b/>
          <w:bCs/>
          <w:iCs/>
          <w:color w:val="000000"/>
        </w:rPr>
        <w:t xml:space="preserve"> to Certification for Paperwork Reduction Act Submissions</w:t>
      </w:r>
      <w:bookmarkEnd w:id="45"/>
    </w:p>
    <w:p w14:paraId="4472279C" w14:textId="77777777" w:rsidR="007C1142" w:rsidRPr="00BF718B" w:rsidRDefault="007C1142" w:rsidP="00B22338">
      <w:pPr>
        <w:spacing w:line="276" w:lineRule="auto"/>
      </w:pPr>
    </w:p>
    <w:p w14:paraId="6A6676E4" w14:textId="77777777" w:rsidR="006E1718" w:rsidRPr="00BF718B" w:rsidRDefault="00170179" w:rsidP="00B22338">
      <w:pPr>
        <w:spacing w:line="276" w:lineRule="auto"/>
        <w:rPr>
          <w:color w:val="000000"/>
        </w:rPr>
      </w:pPr>
      <w:r>
        <w:t>There are no exceptions to the certification.</w:t>
      </w:r>
    </w:p>
    <w:p w14:paraId="77EC0641" w14:textId="77777777" w:rsidR="007C1142" w:rsidRPr="00152795" w:rsidRDefault="006E1718" w:rsidP="00152795">
      <w:pPr>
        <w:spacing w:after="200"/>
        <w:rPr>
          <w:color w:val="000000" w:themeColor="text1"/>
        </w:rPr>
      </w:pPr>
      <w:r w:rsidRPr="00BF718B">
        <w:rPr>
          <w:color w:val="000000"/>
        </w:rPr>
        <w:br w:type="page"/>
      </w:r>
      <w:r w:rsidR="0074782B" w:rsidRPr="00BF718B">
        <w:rPr>
          <w:color w:val="000000" w:themeColor="text1"/>
        </w:rPr>
        <w:t>REFERENCES</w:t>
      </w:r>
    </w:p>
    <w:p w14:paraId="34B8EE5D" w14:textId="77777777" w:rsidR="00106BA7" w:rsidRPr="00BF718B" w:rsidRDefault="00106BA7" w:rsidP="00106BA7">
      <w:pPr>
        <w:rPr>
          <w:color w:val="000000"/>
        </w:rPr>
      </w:pPr>
      <w:r w:rsidRPr="00BF718B">
        <w:rPr>
          <w:color w:val="000000"/>
        </w:rPr>
        <w:t>1. U.S. Department of Health and Human Services. Centers for Disease Control and Prevention. Office of the Director, Office of Strategy and Innovation. Introduction to program evaluation for public health programs: A self-study guide. Atlanta: Centers for Disease Control and Prevention; 2005.</w:t>
      </w:r>
    </w:p>
    <w:p w14:paraId="359D3E47" w14:textId="77777777" w:rsidR="00106BA7" w:rsidRPr="00BF718B" w:rsidRDefault="00106BA7" w:rsidP="00106BA7"/>
    <w:p w14:paraId="6C6AF11F" w14:textId="77777777" w:rsidR="00106BA7" w:rsidRPr="00BF718B" w:rsidRDefault="00106BA7" w:rsidP="00106BA7">
      <w:pPr>
        <w:rPr>
          <w:color w:val="000000"/>
        </w:rPr>
      </w:pPr>
      <w:r w:rsidRPr="00BF718B">
        <w:rPr>
          <w:color w:val="000000"/>
        </w:rPr>
        <w:t>2. Mosher WD. Design and operation of the 1995 National Survey of Family Growth. Family Planning Perspectives 1998:30(1).</w:t>
      </w:r>
    </w:p>
    <w:p w14:paraId="5DB12F77" w14:textId="77777777" w:rsidR="00106BA7" w:rsidRPr="00BF718B" w:rsidRDefault="00106BA7" w:rsidP="00106BA7">
      <w:pPr>
        <w:rPr>
          <w:color w:val="000000"/>
        </w:rPr>
      </w:pPr>
    </w:p>
    <w:p w14:paraId="7176D626" w14:textId="77777777" w:rsidR="00106BA7" w:rsidRPr="00BF718B" w:rsidRDefault="00106BA7" w:rsidP="00106BA7">
      <w:pPr>
        <w:rPr>
          <w:color w:val="000000"/>
        </w:rPr>
      </w:pPr>
      <w:r w:rsidRPr="00BF718B">
        <w:rPr>
          <w:color w:val="000000"/>
        </w:rPr>
        <w:t>3. Berlin M, Mohadjer L, Waksberg J, Kolstad A, Kirsch I, Rock D, Yamamoto K.  An experiment in monetary incentives. In: American Statistical Association, editor. Proceedings of the American Stat</w:t>
      </w:r>
      <w:r w:rsidR="006708A1" w:rsidRPr="00BF718B">
        <w:rPr>
          <w:color w:val="000000"/>
        </w:rPr>
        <w:t xml:space="preserve">istical Association Section on </w:t>
      </w:r>
      <w:r w:rsidRPr="00BF718B">
        <w:rPr>
          <w:color w:val="000000"/>
        </w:rPr>
        <w:t xml:space="preserve">Survey Research Methods. Alexandria (VA): American Statistical Association;1992, p. 393-398. </w:t>
      </w:r>
    </w:p>
    <w:p w14:paraId="77025B8C" w14:textId="77777777" w:rsidR="00106BA7" w:rsidRPr="00BF718B" w:rsidRDefault="00106BA7" w:rsidP="00106BA7">
      <w:pPr>
        <w:rPr>
          <w:color w:val="000000"/>
        </w:rPr>
      </w:pPr>
    </w:p>
    <w:p w14:paraId="307F11DB" w14:textId="77777777" w:rsidR="00106BA7" w:rsidRPr="00BF718B" w:rsidRDefault="00106BA7" w:rsidP="00106BA7">
      <w:pPr>
        <w:rPr>
          <w:color w:val="000000"/>
        </w:rPr>
      </w:pPr>
      <w:r w:rsidRPr="00BF718B">
        <w:rPr>
          <w:color w:val="000000"/>
        </w:rPr>
        <w:t>4. Krueger RA. Focus groups: a practical guide for applied research. 2nd ed. Thousand Oaks, CA: Sage Publications; 1994.</w:t>
      </w:r>
    </w:p>
    <w:p w14:paraId="15DCCC1D" w14:textId="77777777" w:rsidR="00106BA7" w:rsidRPr="00BF718B" w:rsidRDefault="00106BA7" w:rsidP="00106BA7">
      <w:pPr>
        <w:rPr>
          <w:color w:val="000000"/>
        </w:rPr>
      </w:pPr>
    </w:p>
    <w:p w14:paraId="528F27EF" w14:textId="77777777" w:rsidR="00106BA7" w:rsidRPr="00BF718B" w:rsidRDefault="00106BA7" w:rsidP="00106BA7">
      <w:pPr>
        <w:rPr>
          <w:color w:val="000000"/>
        </w:rPr>
      </w:pPr>
      <w:r w:rsidRPr="00BF718B">
        <w:rPr>
          <w:color w:val="000000"/>
        </w:rPr>
        <w:t>5. Church AH . Estimating the Effect of Incentives on Mail Survey Response Rates:  A Meta Analysis. Pub Opin Q 1993:57: 62 79.</w:t>
      </w:r>
    </w:p>
    <w:p w14:paraId="58FBECE4" w14:textId="77777777" w:rsidR="00106BA7" w:rsidRPr="00BF718B" w:rsidRDefault="00106BA7" w:rsidP="00106BA7">
      <w:pPr>
        <w:rPr>
          <w:color w:val="000000"/>
        </w:rPr>
      </w:pPr>
    </w:p>
    <w:p w14:paraId="53BBC456" w14:textId="77777777" w:rsidR="00106BA7" w:rsidRPr="00BF718B" w:rsidRDefault="00106BA7" w:rsidP="00106BA7">
      <w:pPr>
        <w:rPr>
          <w:color w:val="000000"/>
        </w:rPr>
      </w:pPr>
    </w:p>
    <w:p w14:paraId="65680B74" w14:textId="77777777" w:rsidR="00106BA7" w:rsidRPr="00BF718B" w:rsidRDefault="00106BA7" w:rsidP="00106BA7">
      <w:pPr>
        <w:rPr>
          <w:color w:val="000000"/>
        </w:rPr>
      </w:pPr>
    </w:p>
    <w:p w14:paraId="638C56C7" w14:textId="77777777" w:rsidR="003161FF" w:rsidRPr="00BF718B" w:rsidRDefault="003161FF" w:rsidP="00361F53">
      <w:pPr>
        <w:spacing w:after="200"/>
      </w:pPr>
      <w:r w:rsidRPr="00BF718B">
        <w:br w:type="page"/>
      </w:r>
    </w:p>
    <w:p w14:paraId="19E9F0E1" w14:textId="77777777" w:rsidR="003161FF" w:rsidRPr="00BF718B" w:rsidRDefault="003161FF" w:rsidP="00D51019">
      <w:pPr>
        <w:pStyle w:val="Heading1"/>
      </w:pPr>
      <w:bookmarkStart w:id="46" w:name="_Toc506904607"/>
      <w:bookmarkStart w:id="47" w:name="_Toc506904674"/>
      <w:r w:rsidRPr="00BF718B">
        <w:t>ATTACHMENTS</w:t>
      </w:r>
      <w:bookmarkEnd w:id="46"/>
      <w:bookmarkEnd w:id="47"/>
    </w:p>
    <w:p w14:paraId="3ECAA062" w14:textId="77777777" w:rsidR="001B0FDF" w:rsidRPr="00BF718B" w:rsidRDefault="001B0FDF" w:rsidP="003A66C4">
      <w:pPr>
        <w:outlineLvl w:val="0"/>
        <w:rPr>
          <w:color w:val="000000"/>
        </w:rPr>
      </w:pPr>
    </w:p>
    <w:p w14:paraId="7E77B5BA" w14:textId="77777777" w:rsidR="000F6937" w:rsidRDefault="00183EDD" w:rsidP="00183EDD">
      <w:pPr>
        <w:spacing w:after="120"/>
        <w:outlineLvl w:val="0"/>
        <w:rPr>
          <w:color w:val="000000"/>
        </w:rPr>
      </w:pPr>
      <w:bookmarkStart w:id="48" w:name="_Toc494199876"/>
      <w:bookmarkStart w:id="49" w:name="_Toc506904608"/>
      <w:bookmarkStart w:id="50" w:name="_Toc506904675"/>
      <w:r w:rsidRPr="00BF718B">
        <w:rPr>
          <w:color w:val="000000"/>
        </w:rPr>
        <w:t xml:space="preserve">Attachment A1 </w:t>
      </w:r>
      <w:r w:rsidR="000F6937">
        <w:rPr>
          <w:color w:val="000000"/>
        </w:rPr>
        <w:t>–</w:t>
      </w:r>
      <w:r w:rsidRPr="00BF718B">
        <w:rPr>
          <w:color w:val="000000"/>
        </w:rPr>
        <w:t xml:space="preserve"> </w:t>
      </w:r>
      <w:r w:rsidR="000F6937" w:rsidRPr="000F6937">
        <w:rPr>
          <w:color w:val="000000"/>
        </w:rPr>
        <w:t>Section 301 of the Public Health Service Act (42 USC 241)</w:t>
      </w:r>
      <w:bookmarkEnd w:id="48"/>
      <w:bookmarkEnd w:id="49"/>
      <w:bookmarkEnd w:id="50"/>
    </w:p>
    <w:p w14:paraId="51839083" w14:textId="77777777" w:rsidR="00183EDD" w:rsidRPr="00BF718B" w:rsidRDefault="000F6937" w:rsidP="00183EDD">
      <w:pPr>
        <w:spacing w:after="120"/>
        <w:outlineLvl w:val="0"/>
        <w:rPr>
          <w:color w:val="000000"/>
        </w:rPr>
      </w:pPr>
      <w:bookmarkStart w:id="51" w:name="_Toc494199877"/>
      <w:bookmarkStart w:id="52" w:name="_Toc506904609"/>
      <w:bookmarkStart w:id="53" w:name="_Toc506904676"/>
      <w:r w:rsidRPr="00BF718B">
        <w:rPr>
          <w:color w:val="000000"/>
        </w:rPr>
        <w:t>Attachment A2</w:t>
      </w:r>
      <w:r>
        <w:rPr>
          <w:color w:val="000000"/>
        </w:rPr>
        <w:t xml:space="preserve"> -</w:t>
      </w:r>
      <w:r w:rsidRPr="00BF718B">
        <w:rPr>
          <w:color w:val="000000"/>
        </w:rPr>
        <w:t xml:space="preserve"> </w:t>
      </w:r>
      <w:r w:rsidR="001B0FDF" w:rsidRPr="00BF718B">
        <w:rPr>
          <w:color w:val="000000"/>
        </w:rPr>
        <w:t>Section 361 of the Public Health Service (PHS) Act (42 USC 264).</w:t>
      </w:r>
      <w:bookmarkEnd w:id="51"/>
      <w:bookmarkEnd w:id="52"/>
      <w:bookmarkEnd w:id="53"/>
      <w:r w:rsidR="001B0FDF" w:rsidRPr="00BF718B">
        <w:rPr>
          <w:color w:val="000000"/>
        </w:rPr>
        <w:t xml:space="preserve"> </w:t>
      </w:r>
    </w:p>
    <w:p w14:paraId="3F4BD9D1" w14:textId="77777777" w:rsidR="00183EDD" w:rsidRPr="00BF718B" w:rsidRDefault="000F6937" w:rsidP="00183EDD">
      <w:pPr>
        <w:spacing w:after="120"/>
        <w:outlineLvl w:val="0"/>
        <w:rPr>
          <w:color w:val="000000"/>
        </w:rPr>
      </w:pPr>
      <w:bookmarkStart w:id="54" w:name="_Toc494199878"/>
      <w:bookmarkStart w:id="55" w:name="_Toc506904610"/>
      <w:bookmarkStart w:id="56" w:name="_Toc506904677"/>
      <w:r w:rsidRPr="00BF718B">
        <w:rPr>
          <w:color w:val="000000"/>
        </w:rPr>
        <w:t xml:space="preserve">Attachment A3 </w:t>
      </w:r>
      <w:r w:rsidR="00183EDD" w:rsidRPr="00BF718B">
        <w:rPr>
          <w:color w:val="000000"/>
        </w:rPr>
        <w:t xml:space="preserve">- </w:t>
      </w:r>
      <w:r w:rsidR="001B0FDF" w:rsidRPr="00BF718B">
        <w:rPr>
          <w:color w:val="000000"/>
        </w:rPr>
        <w:t>42 Code of</w:t>
      </w:r>
      <w:r w:rsidR="00183EDD" w:rsidRPr="00BF718B">
        <w:rPr>
          <w:color w:val="000000"/>
        </w:rPr>
        <w:t xml:space="preserve"> Federal Regulations part</w:t>
      </w:r>
      <w:r w:rsidR="001B0FDF" w:rsidRPr="00BF718B">
        <w:rPr>
          <w:color w:val="000000"/>
        </w:rPr>
        <w:t xml:space="preserve"> 70</w:t>
      </w:r>
      <w:bookmarkEnd w:id="54"/>
      <w:bookmarkEnd w:id="55"/>
      <w:bookmarkEnd w:id="56"/>
      <w:r w:rsidR="001B0FDF" w:rsidRPr="00BF718B">
        <w:rPr>
          <w:color w:val="000000"/>
        </w:rPr>
        <w:t xml:space="preserve"> </w:t>
      </w:r>
    </w:p>
    <w:p w14:paraId="5BEFF3CD" w14:textId="77777777" w:rsidR="001B0FDF" w:rsidRPr="00BF718B" w:rsidRDefault="000F6937" w:rsidP="00183EDD">
      <w:pPr>
        <w:spacing w:after="120"/>
        <w:outlineLvl w:val="0"/>
        <w:rPr>
          <w:color w:val="000000"/>
        </w:rPr>
      </w:pPr>
      <w:bookmarkStart w:id="57" w:name="_Toc494199879"/>
      <w:bookmarkStart w:id="58" w:name="_Toc506904611"/>
      <w:bookmarkStart w:id="59" w:name="_Toc506904678"/>
      <w:r w:rsidRPr="00BF718B">
        <w:rPr>
          <w:color w:val="000000"/>
        </w:rPr>
        <w:t xml:space="preserve">Attachment A4 </w:t>
      </w:r>
      <w:r w:rsidR="00183EDD" w:rsidRPr="00BF718B">
        <w:rPr>
          <w:color w:val="000000"/>
        </w:rPr>
        <w:t xml:space="preserve">- 42 Code of Federal Regulations part </w:t>
      </w:r>
      <w:r w:rsidR="001B0FDF" w:rsidRPr="00BF718B">
        <w:rPr>
          <w:color w:val="000000"/>
        </w:rPr>
        <w:t>71.</w:t>
      </w:r>
      <w:bookmarkEnd w:id="57"/>
      <w:bookmarkEnd w:id="58"/>
      <w:bookmarkEnd w:id="59"/>
    </w:p>
    <w:p w14:paraId="1F68E740" w14:textId="77777777" w:rsidR="001B0FDF" w:rsidRPr="00BF718B" w:rsidRDefault="000F6937" w:rsidP="00183EDD">
      <w:pPr>
        <w:spacing w:before="120" w:after="120"/>
        <w:outlineLvl w:val="0"/>
        <w:rPr>
          <w:color w:val="000000"/>
        </w:rPr>
      </w:pPr>
      <w:bookmarkStart w:id="60" w:name="_Toc494199880"/>
      <w:bookmarkStart w:id="61" w:name="_Toc506904612"/>
      <w:bookmarkStart w:id="62" w:name="_Toc506904679"/>
      <w:r w:rsidRPr="00BF718B">
        <w:rPr>
          <w:color w:val="000000"/>
        </w:rPr>
        <w:t xml:space="preserve">Attachment A5 </w:t>
      </w:r>
      <w:r w:rsidR="00183EDD" w:rsidRPr="00BF718B">
        <w:rPr>
          <w:color w:val="000000"/>
        </w:rPr>
        <w:t xml:space="preserve">- </w:t>
      </w:r>
      <w:r w:rsidR="001B0FDF" w:rsidRPr="00BF718B">
        <w:rPr>
          <w:color w:val="000000"/>
        </w:rPr>
        <w:t>Section 212(a)(1)(A) of the Immigration and Nationality Act</w:t>
      </w:r>
      <w:bookmarkEnd w:id="60"/>
      <w:bookmarkEnd w:id="61"/>
      <w:bookmarkEnd w:id="62"/>
    </w:p>
    <w:p w14:paraId="167C4BAF" w14:textId="77777777" w:rsidR="001B0FDF" w:rsidRPr="00BF718B" w:rsidRDefault="001A098A" w:rsidP="00183EDD">
      <w:pPr>
        <w:spacing w:before="120" w:after="120"/>
        <w:outlineLvl w:val="0"/>
        <w:rPr>
          <w:color w:val="000000"/>
        </w:rPr>
      </w:pPr>
      <w:bookmarkStart w:id="63" w:name="_Toc494199881"/>
      <w:bookmarkStart w:id="64" w:name="_Toc506904613"/>
      <w:bookmarkStart w:id="65" w:name="_Toc506904680"/>
      <w:r w:rsidRPr="00BF718B">
        <w:rPr>
          <w:color w:val="000000"/>
        </w:rPr>
        <w:t xml:space="preserve">Attachment A6 </w:t>
      </w:r>
      <w:r w:rsidR="00183EDD" w:rsidRPr="00BF718B">
        <w:rPr>
          <w:color w:val="000000"/>
        </w:rPr>
        <w:t>-</w:t>
      </w:r>
      <w:r w:rsidR="001B0FDF" w:rsidRPr="00BF718B">
        <w:rPr>
          <w:color w:val="000000"/>
        </w:rPr>
        <w:t xml:space="preserve"> Section 325 of the Public Health Service Act.</w:t>
      </w:r>
      <w:bookmarkEnd w:id="63"/>
      <w:bookmarkEnd w:id="64"/>
      <w:bookmarkEnd w:id="65"/>
    </w:p>
    <w:p w14:paraId="39702C5A" w14:textId="77777777" w:rsidR="00183EDD" w:rsidRDefault="001A098A" w:rsidP="00183EDD">
      <w:pPr>
        <w:spacing w:before="120" w:after="120"/>
        <w:outlineLvl w:val="0"/>
        <w:rPr>
          <w:color w:val="000000"/>
        </w:rPr>
      </w:pPr>
      <w:bookmarkStart w:id="66" w:name="_Toc494199882"/>
      <w:bookmarkStart w:id="67" w:name="_Toc506904614"/>
      <w:bookmarkStart w:id="68" w:name="_Toc506904681"/>
      <w:r>
        <w:rPr>
          <w:color w:val="000000"/>
        </w:rPr>
        <w:t xml:space="preserve">Attachment A7 </w:t>
      </w:r>
      <w:r w:rsidR="00183EDD" w:rsidRPr="00BF718B">
        <w:rPr>
          <w:color w:val="000000"/>
        </w:rPr>
        <w:t>- 42 Code of Federal Regulations part 34</w:t>
      </w:r>
      <w:bookmarkEnd w:id="66"/>
      <w:bookmarkEnd w:id="67"/>
      <w:bookmarkEnd w:id="68"/>
    </w:p>
    <w:p w14:paraId="1F623FE1" w14:textId="77777777" w:rsidR="001B0FDF" w:rsidRPr="00BF718B" w:rsidRDefault="00183EDD" w:rsidP="00183EDD">
      <w:pPr>
        <w:spacing w:before="120" w:after="120"/>
        <w:outlineLvl w:val="0"/>
        <w:rPr>
          <w:color w:val="000000"/>
        </w:rPr>
      </w:pPr>
      <w:bookmarkStart w:id="69" w:name="_Toc494199883"/>
      <w:bookmarkStart w:id="70" w:name="_Toc506904615"/>
      <w:bookmarkStart w:id="71" w:name="_Toc506904682"/>
      <w:r w:rsidRPr="00BF718B">
        <w:rPr>
          <w:color w:val="000000"/>
        </w:rPr>
        <w:t xml:space="preserve">Attachment B </w:t>
      </w:r>
      <w:r w:rsidR="00733326" w:rsidRPr="00BF718B">
        <w:rPr>
          <w:color w:val="000000"/>
        </w:rPr>
        <w:t xml:space="preserve">- </w:t>
      </w:r>
      <w:r w:rsidR="004544C4" w:rsidRPr="00BF718B">
        <w:rPr>
          <w:color w:val="000000"/>
        </w:rPr>
        <w:t>60</w:t>
      </w:r>
      <w:r w:rsidR="00733326" w:rsidRPr="00BF718B">
        <w:rPr>
          <w:color w:val="000000"/>
        </w:rPr>
        <w:t xml:space="preserve"> </w:t>
      </w:r>
      <w:r w:rsidR="004544C4" w:rsidRPr="00BF718B">
        <w:rPr>
          <w:color w:val="000000"/>
        </w:rPr>
        <w:t>Day Federal Register Notice</w:t>
      </w:r>
      <w:bookmarkEnd w:id="69"/>
      <w:bookmarkEnd w:id="70"/>
      <w:bookmarkEnd w:id="71"/>
    </w:p>
    <w:p w14:paraId="173963A5" w14:textId="77777777" w:rsidR="00F95CE1" w:rsidRDefault="00F95CE1" w:rsidP="00183EDD">
      <w:pPr>
        <w:spacing w:before="120" w:after="120"/>
        <w:outlineLvl w:val="0"/>
        <w:rPr>
          <w:color w:val="000000"/>
        </w:rPr>
      </w:pPr>
      <w:bookmarkStart w:id="72" w:name="_Toc506904616"/>
      <w:bookmarkStart w:id="73" w:name="_Toc506904683"/>
      <w:bookmarkStart w:id="74" w:name="_Toc494199884"/>
      <w:r>
        <w:rPr>
          <w:color w:val="000000"/>
        </w:rPr>
        <w:t>Attachment B2 – Comment on Federal Register Notice</w:t>
      </w:r>
      <w:bookmarkEnd w:id="72"/>
      <w:bookmarkEnd w:id="73"/>
    </w:p>
    <w:p w14:paraId="0FB080AB" w14:textId="77777777" w:rsidR="00F95CE1" w:rsidRDefault="00F95CE1" w:rsidP="00183EDD">
      <w:pPr>
        <w:spacing w:before="120" w:after="120"/>
        <w:outlineLvl w:val="0"/>
        <w:rPr>
          <w:color w:val="000000"/>
        </w:rPr>
      </w:pPr>
      <w:bookmarkStart w:id="75" w:name="_Toc506904617"/>
      <w:bookmarkStart w:id="76" w:name="_Toc506904684"/>
      <w:r>
        <w:rPr>
          <w:color w:val="000000"/>
        </w:rPr>
        <w:t>Attachment B3 – Comment on Federal Register Notice</w:t>
      </w:r>
      <w:bookmarkEnd w:id="75"/>
      <w:bookmarkEnd w:id="76"/>
    </w:p>
    <w:p w14:paraId="0144DDCB" w14:textId="77777777" w:rsidR="002B1A14" w:rsidRDefault="002B1A14" w:rsidP="00183EDD">
      <w:pPr>
        <w:spacing w:before="120" w:after="120"/>
        <w:outlineLvl w:val="0"/>
        <w:rPr>
          <w:color w:val="000000"/>
        </w:rPr>
      </w:pPr>
      <w:bookmarkStart w:id="77" w:name="_Toc506904618"/>
      <w:bookmarkStart w:id="78" w:name="_Toc506904685"/>
      <w:r>
        <w:rPr>
          <w:color w:val="000000"/>
        </w:rPr>
        <w:t>Attachment B4 – Comment on Federal Register Notice</w:t>
      </w:r>
      <w:bookmarkEnd w:id="77"/>
      <w:bookmarkEnd w:id="78"/>
    </w:p>
    <w:p w14:paraId="49FD54AA" w14:textId="77777777" w:rsidR="002B1A14" w:rsidRDefault="002B1A14" w:rsidP="00183EDD">
      <w:pPr>
        <w:spacing w:before="120" w:after="120"/>
        <w:outlineLvl w:val="0"/>
        <w:rPr>
          <w:color w:val="000000"/>
        </w:rPr>
      </w:pPr>
      <w:bookmarkStart w:id="79" w:name="_Toc506904619"/>
      <w:bookmarkStart w:id="80" w:name="_Toc506904686"/>
      <w:r>
        <w:rPr>
          <w:color w:val="000000"/>
        </w:rPr>
        <w:t>Attachment B5 – Comment on Federal Register Notice</w:t>
      </w:r>
      <w:bookmarkEnd w:id="79"/>
      <w:bookmarkEnd w:id="80"/>
    </w:p>
    <w:p w14:paraId="16A5E623" w14:textId="77777777" w:rsidR="002703AB" w:rsidRPr="00BF718B" w:rsidRDefault="00183EDD" w:rsidP="00183EDD">
      <w:pPr>
        <w:spacing w:before="120" w:after="120"/>
        <w:outlineLvl w:val="0"/>
        <w:rPr>
          <w:color w:val="000000"/>
        </w:rPr>
      </w:pPr>
      <w:bookmarkStart w:id="81" w:name="_Toc506904620"/>
      <w:bookmarkStart w:id="82" w:name="_Toc506904687"/>
      <w:r w:rsidRPr="00BF718B">
        <w:rPr>
          <w:color w:val="000000"/>
        </w:rPr>
        <w:t xml:space="preserve">Attachment C - </w:t>
      </w:r>
      <w:r w:rsidR="000143B3" w:rsidRPr="00BF718B">
        <w:rPr>
          <w:color w:val="000000"/>
        </w:rPr>
        <w:t>Sample</w:t>
      </w:r>
      <w:r w:rsidR="002703AB" w:rsidRPr="00BF718B">
        <w:rPr>
          <w:color w:val="000000"/>
        </w:rPr>
        <w:t xml:space="preserve"> of a Focus Group Guide</w:t>
      </w:r>
      <w:bookmarkEnd w:id="74"/>
      <w:bookmarkEnd w:id="81"/>
      <w:bookmarkEnd w:id="82"/>
    </w:p>
    <w:p w14:paraId="757A8CA0" w14:textId="77777777" w:rsidR="002703AB" w:rsidRPr="00BF718B" w:rsidRDefault="00183EDD" w:rsidP="00183EDD">
      <w:pPr>
        <w:spacing w:before="120" w:after="120"/>
        <w:outlineLvl w:val="0"/>
        <w:rPr>
          <w:color w:val="000000"/>
        </w:rPr>
      </w:pPr>
      <w:bookmarkStart w:id="83" w:name="_Toc494199885"/>
      <w:bookmarkStart w:id="84" w:name="_Toc506904621"/>
      <w:bookmarkStart w:id="85" w:name="_Toc506904688"/>
      <w:r w:rsidRPr="00BF718B">
        <w:rPr>
          <w:color w:val="000000"/>
        </w:rPr>
        <w:t xml:space="preserve">Attachment D - </w:t>
      </w:r>
      <w:r w:rsidR="000143B3" w:rsidRPr="00BF718B">
        <w:rPr>
          <w:color w:val="000000"/>
        </w:rPr>
        <w:t>Sample</w:t>
      </w:r>
      <w:r w:rsidR="002703AB" w:rsidRPr="00BF718B">
        <w:rPr>
          <w:color w:val="000000"/>
        </w:rPr>
        <w:t xml:space="preserve"> of an Interview Guide</w:t>
      </w:r>
      <w:bookmarkEnd w:id="83"/>
      <w:bookmarkEnd w:id="84"/>
      <w:bookmarkEnd w:id="85"/>
    </w:p>
    <w:p w14:paraId="7971D400" w14:textId="77777777" w:rsidR="002703AB" w:rsidRPr="00BF718B" w:rsidRDefault="00183EDD" w:rsidP="00183EDD">
      <w:pPr>
        <w:spacing w:before="120" w:after="120"/>
        <w:outlineLvl w:val="0"/>
        <w:rPr>
          <w:color w:val="000000"/>
        </w:rPr>
      </w:pPr>
      <w:bookmarkStart w:id="86" w:name="_Toc494199886"/>
      <w:bookmarkStart w:id="87" w:name="_Toc506904622"/>
      <w:bookmarkStart w:id="88" w:name="_Toc506904689"/>
      <w:r w:rsidRPr="00BF718B">
        <w:rPr>
          <w:color w:val="000000"/>
        </w:rPr>
        <w:t xml:space="preserve">Attachment E - </w:t>
      </w:r>
      <w:r w:rsidR="000143B3" w:rsidRPr="00BF718B">
        <w:rPr>
          <w:color w:val="000000"/>
        </w:rPr>
        <w:t>Sample</w:t>
      </w:r>
      <w:r w:rsidR="002703AB" w:rsidRPr="00BF718B">
        <w:rPr>
          <w:color w:val="000000"/>
        </w:rPr>
        <w:t xml:space="preserve"> of a Survey</w:t>
      </w:r>
      <w:bookmarkEnd w:id="86"/>
      <w:bookmarkEnd w:id="87"/>
      <w:bookmarkEnd w:id="88"/>
    </w:p>
    <w:p w14:paraId="1EDF0A33" w14:textId="77777777" w:rsidR="009C6666" w:rsidRPr="00BF718B" w:rsidRDefault="00183EDD" w:rsidP="00183EDD">
      <w:pPr>
        <w:spacing w:before="120" w:after="120"/>
        <w:outlineLvl w:val="0"/>
        <w:rPr>
          <w:color w:val="000000"/>
        </w:rPr>
      </w:pPr>
      <w:bookmarkStart w:id="89" w:name="_Toc494199887"/>
      <w:bookmarkStart w:id="90" w:name="_Toc506904623"/>
      <w:bookmarkStart w:id="91" w:name="_Toc506904690"/>
      <w:r w:rsidRPr="00BF718B">
        <w:rPr>
          <w:color w:val="000000"/>
        </w:rPr>
        <w:t>Attachment F</w:t>
      </w:r>
      <w:r w:rsidR="009C6666" w:rsidRPr="00BF718B">
        <w:rPr>
          <w:color w:val="000000"/>
        </w:rPr>
        <w:t xml:space="preserve">1 – </w:t>
      </w:r>
      <w:r w:rsidR="000143B3" w:rsidRPr="00BF718B">
        <w:rPr>
          <w:color w:val="000000"/>
        </w:rPr>
        <w:t xml:space="preserve">Sample of </w:t>
      </w:r>
      <w:r w:rsidR="009C6666" w:rsidRPr="00BF718B">
        <w:rPr>
          <w:color w:val="000000"/>
        </w:rPr>
        <w:t>a Pre-Test</w:t>
      </w:r>
      <w:bookmarkEnd w:id="89"/>
      <w:bookmarkEnd w:id="90"/>
      <w:bookmarkEnd w:id="91"/>
    </w:p>
    <w:p w14:paraId="6D97064A" w14:textId="77777777" w:rsidR="009C6666" w:rsidRPr="00BF718B" w:rsidRDefault="009C6666" w:rsidP="00183EDD">
      <w:pPr>
        <w:spacing w:before="120" w:after="120"/>
        <w:outlineLvl w:val="0"/>
        <w:rPr>
          <w:color w:val="000000"/>
        </w:rPr>
      </w:pPr>
      <w:bookmarkStart w:id="92" w:name="_Toc494199888"/>
      <w:bookmarkStart w:id="93" w:name="_Toc506904624"/>
      <w:bookmarkStart w:id="94" w:name="_Toc506904691"/>
      <w:r w:rsidRPr="00BF718B">
        <w:rPr>
          <w:color w:val="000000"/>
        </w:rPr>
        <w:t xml:space="preserve">Attachment F2 – </w:t>
      </w:r>
      <w:r w:rsidR="000143B3" w:rsidRPr="00BF718B">
        <w:rPr>
          <w:color w:val="000000"/>
        </w:rPr>
        <w:t xml:space="preserve">Sample of </w:t>
      </w:r>
      <w:r w:rsidRPr="00BF718B">
        <w:rPr>
          <w:color w:val="000000"/>
        </w:rPr>
        <w:t>Post-Test</w:t>
      </w:r>
      <w:bookmarkEnd w:id="92"/>
      <w:bookmarkEnd w:id="93"/>
      <w:bookmarkEnd w:id="94"/>
    </w:p>
    <w:p w14:paraId="55D934D3" w14:textId="77777777" w:rsidR="00A101E3" w:rsidRPr="00BF718B" w:rsidRDefault="009C6666" w:rsidP="00183EDD">
      <w:pPr>
        <w:spacing w:before="120" w:after="120"/>
        <w:outlineLvl w:val="0"/>
        <w:rPr>
          <w:color w:val="000000"/>
        </w:rPr>
      </w:pPr>
      <w:bookmarkStart w:id="95" w:name="_Toc494199889"/>
      <w:bookmarkStart w:id="96" w:name="_Toc506904625"/>
      <w:bookmarkStart w:id="97" w:name="_Toc506904692"/>
      <w:r w:rsidRPr="00BF718B">
        <w:rPr>
          <w:color w:val="000000"/>
        </w:rPr>
        <w:t>Attachment G</w:t>
      </w:r>
      <w:r w:rsidR="00183EDD" w:rsidRPr="00BF718B">
        <w:rPr>
          <w:color w:val="000000"/>
        </w:rPr>
        <w:t xml:space="preserve"> - </w:t>
      </w:r>
      <w:r w:rsidR="000143B3" w:rsidRPr="00BF718B">
        <w:rPr>
          <w:color w:val="000000"/>
        </w:rPr>
        <w:t>Sample</w:t>
      </w:r>
      <w:r w:rsidR="000B62B5" w:rsidRPr="00BF718B">
        <w:rPr>
          <w:color w:val="000000"/>
        </w:rPr>
        <w:t xml:space="preserve"> of a Screening Tool</w:t>
      </w:r>
      <w:bookmarkEnd w:id="95"/>
      <w:bookmarkEnd w:id="96"/>
      <w:bookmarkEnd w:id="97"/>
    </w:p>
    <w:p w14:paraId="08CC6AE2" w14:textId="77777777" w:rsidR="00E54F1F" w:rsidRPr="00BF718B" w:rsidRDefault="00E54F1F" w:rsidP="00361F53"/>
    <w:p w14:paraId="252D069E" w14:textId="77777777" w:rsidR="00506CF6" w:rsidRPr="00BF718B" w:rsidRDefault="00506CF6" w:rsidP="0071521A">
      <w:pPr>
        <w:spacing w:after="200" w:line="276" w:lineRule="auto"/>
      </w:pPr>
    </w:p>
    <w:sectPr w:rsidR="00506CF6" w:rsidRPr="00BF718B" w:rsidSect="00BF718B">
      <w:footerReference w:type="default" r:id="rId18"/>
      <w:pgSz w:w="12240" w:h="15840"/>
      <w:pgMar w:top="90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E1E7D" w14:textId="77777777" w:rsidR="007F6AAC" w:rsidRDefault="007F6AAC" w:rsidP="00827DF4">
      <w:r>
        <w:separator/>
      </w:r>
    </w:p>
  </w:endnote>
  <w:endnote w:type="continuationSeparator" w:id="0">
    <w:p w14:paraId="4B481AEA" w14:textId="77777777" w:rsidR="007F6AAC" w:rsidRDefault="007F6AAC"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316400"/>
      <w:docPartObj>
        <w:docPartGallery w:val="Page Numbers (Bottom of Page)"/>
        <w:docPartUnique/>
      </w:docPartObj>
    </w:sdtPr>
    <w:sdtEndPr/>
    <w:sdtContent>
      <w:p w14:paraId="18FF690D" w14:textId="7DC0D6CE" w:rsidR="00AC7325" w:rsidRDefault="00AC7325">
        <w:pPr>
          <w:pStyle w:val="Footer"/>
          <w:jc w:val="right"/>
        </w:pPr>
        <w:r>
          <w:fldChar w:fldCharType="begin"/>
        </w:r>
        <w:r>
          <w:instrText xml:space="preserve"> PAGE   \* MERGEFORMAT </w:instrText>
        </w:r>
        <w:r>
          <w:fldChar w:fldCharType="separate"/>
        </w:r>
        <w:r w:rsidR="002571E2">
          <w:rPr>
            <w:noProof/>
          </w:rPr>
          <w:t>1</w:t>
        </w:r>
        <w:r>
          <w:rPr>
            <w:noProof/>
          </w:rPr>
          <w:fldChar w:fldCharType="end"/>
        </w:r>
      </w:p>
    </w:sdtContent>
  </w:sdt>
  <w:p w14:paraId="196DCE33" w14:textId="77777777" w:rsidR="00AC7325" w:rsidRDefault="00AC7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5075C" w14:textId="77777777" w:rsidR="007F6AAC" w:rsidRDefault="007F6AAC" w:rsidP="00827DF4">
      <w:r>
        <w:separator/>
      </w:r>
    </w:p>
  </w:footnote>
  <w:footnote w:type="continuationSeparator" w:id="0">
    <w:p w14:paraId="326AF88D" w14:textId="77777777" w:rsidR="007F6AAC" w:rsidRDefault="007F6AAC"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97BC5"/>
    <w:multiLevelType w:val="hybridMultilevel"/>
    <w:tmpl w:val="954C05B0"/>
    <w:lvl w:ilvl="0" w:tplc="5B9A8DD4">
      <w:numFmt w:val="bullet"/>
      <w:lvlText w:val=""/>
      <w:lvlJc w:val="left"/>
      <w:pPr>
        <w:ind w:left="780" w:hanging="4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A2186"/>
    <w:multiLevelType w:val="hybridMultilevel"/>
    <w:tmpl w:val="712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333AD5"/>
    <w:multiLevelType w:val="hybridMultilevel"/>
    <w:tmpl w:val="7B26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131710"/>
    <w:multiLevelType w:val="hybridMultilevel"/>
    <w:tmpl w:val="DC6CD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42CFC"/>
    <w:multiLevelType w:val="hybridMultilevel"/>
    <w:tmpl w:val="465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23A6C"/>
    <w:multiLevelType w:val="hybridMultilevel"/>
    <w:tmpl w:val="F2B21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59303CE"/>
    <w:multiLevelType w:val="hybridMultilevel"/>
    <w:tmpl w:val="09F8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4218D"/>
    <w:multiLevelType w:val="hybridMultilevel"/>
    <w:tmpl w:val="3B22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7489D"/>
    <w:multiLevelType w:val="hybridMultilevel"/>
    <w:tmpl w:val="D9E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032DEC"/>
    <w:multiLevelType w:val="hybridMultilevel"/>
    <w:tmpl w:val="28FCB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6F151A"/>
    <w:multiLevelType w:val="hybridMultilevel"/>
    <w:tmpl w:val="99AAA2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25">
    <w:nsid w:val="5B50536F"/>
    <w:multiLevelType w:val="hybridMultilevel"/>
    <w:tmpl w:val="4F029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24E4C86">
      <w:numFmt w:val="bullet"/>
      <w:lvlText w:val="•"/>
      <w:lvlJc w:val="left"/>
      <w:pPr>
        <w:ind w:left="3270" w:hanging="750"/>
      </w:pPr>
      <w:rPr>
        <w:rFonts w:ascii="Calibri" w:eastAsiaTheme="minorHAnsi" w:hAnsi="Calibri"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9307B"/>
    <w:multiLevelType w:val="hybridMultilevel"/>
    <w:tmpl w:val="489CD7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584807"/>
    <w:multiLevelType w:val="hybridMultilevel"/>
    <w:tmpl w:val="0A4C5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8891437"/>
    <w:multiLevelType w:val="hybridMultilevel"/>
    <w:tmpl w:val="58204906"/>
    <w:lvl w:ilvl="0" w:tplc="379A83E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ED3497"/>
    <w:multiLevelType w:val="hybridMultilevel"/>
    <w:tmpl w:val="CBDA0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22558A"/>
    <w:multiLevelType w:val="hybridMultilevel"/>
    <w:tmpl w:val="9242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224A19"/>
    <w:multiLevelType w:val="hybridMultilevel"/>
    <w:tmpl w:val="C2D4D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0F111A8"/>
    <w:multiLevelType w:val="hybridMultilevel"/>
    <w:tmpl w:val="413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F75B7D"/>
    <w:multiLevelType w:val="hybridMultilevel"/>
    <w:tmpl w:val="01F0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4"/>
  </w:num>
  <w:num w:numId="4">
    <w:abstractNumId w:val="24"/>
  </w:num>
  <w:num w:numId="5">
    <w:abstractNumId w:val="20"/>
  </w:num>
  <w:num w:numId="6">
    <w:abstractNumId w:val="36"/>
  </w:num>
  <w:num w:numId="7">
    <w:abstractNumId w:val="12"/>
  </w:num>
  <w:num w:numId="8">
    <w:abstractNumId w:val="5"/>
  </w:num>
  <w:num w:numId="9">
    <w:abstractNumId w:val="29"/>
  </w:num>
  <w:num w:numId="10">
    <w:abstractNumId w:val="17"/>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16"/>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8"/>
  </w:num>
  <w:num w:numId="16">
    <w:abstractNumId w:val="13"/>
  </w:num>
  <w:num w:numId="17">
    <w:abstractNumId w:val="22"/>
  </w:num>
  <w:num w:numId="18">
    <w:abstractNumId w:val="2"/>
  </w:num>
  <w:num w:numId="19">
    <w:abstractNumId w:val="39"/>
  </w:num>
  <w:num w:numId="20">
    <w:abstractNumId w:val="18"/>
  </w:num>
  <w:num w:numId="21">
    <w:abstractNumId w:val="3"/>
  </w:num>
  <w:num w:numId="22">
    <w:abstractNumId w:val="40"/>
  </w:num>
  <w:num w:numId="23">
    <w:abstractNumId w:val="37"/>
  </w:num>
  <w:num w:numId="24">
    <w:abstractNumId w:val="30"/>
  </w:num>
  <w:num w:numId="25">
    <w:abstractNumId w:val="33"/>
  </w:num>
  <w:num w:numId="26">
    <w:abstractNumId w:val="1"/>
  </w:num>
  <w:num w:numId="27">
    <w:abstractNumId w:val="11"/>
  </w:num>
  <w:num w:numId="28">
    <w:abstractNumId w:val="25"/>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36"/>
  </w:num>
  <w:num w:numId="31">
    <w:abstractNumId w:val="28"/>
  </w:num>
  <w:num w:numId="32">
    <w:abstractNumId w:val="43"/>
  </w:num>
  <w:num w:numId="33">
    <w:abstractNumId w:val="35"/>
  </w:num>
  <w:num w:numId="34">
    <w:abstractNumId w:val="8"/>
  </w:num>
  <w:num w:numId="35">
    <w:abstractNumId w:val="10"/>
  </w:num>
  <w:num w:numId="36">
    <w:abstractNumId w:val="19"/>
  </w:num>
  <w:num w:numId="37">
    <w:abstractNumId w:val="31"/>
  </w:num>
  <w:num w:numId="38">
    <w:abstractNumId w:val="15"/>
  </w:num>
  <w:num w:numId="39">
    <w:abstractNumId w:val="21"/>
  </w:num>
  <w:num w:numId="40">
    <w:abstractNumId w:val="6"/>
  </w:num>
  <w:num w:numId="41">
    <w:abstractNumId w:val="42"/>
  </w:num>
  <w:num w:numId="42">
    <w:abstractNumId w:val="4"/>
  </w:num>
  <w:num w:numId="43">
    <w:abstractNumId w:val="26"/>
  </w:num>
  <w:num w:numId="44">
    <w:abstractNumId w:val="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07E54"/>
    <w:rsid w:val="00011F3E"/>
    <w:rsid w:val="00013BA4"/>
    <w:rsid w:val="000143B3"/>
    <w:rsid w:val="00016AC1"/>
    <w:rsid w:val="00016DFD"/>
    <w:rsid w:val="00017D79"/>
    <w:rsid w:val="00023744"/>
    <w:rsid w:val="00024F9D"/>
    <w:rsid w:val="00031E53"/>
    <w:rsid w:val="0003490B"/>
    <w:rsid w:val="0004182C"/>
    <w:rsid w:val="000451FC"/>
    <w:rsid w:val="00051E36"/>
    <w:rsid w:val="00063C4C"/>
    <w:rsid w:val="00086A3D"/>
    <w:rsid w:val="00090872"/>
    <w:rsid w:val="00096AD1"/>
    <w:rsid w:val="000A1090"/>
    <w:rsid w:val="000A1ADF"/>
    <w:rsid w:val="000A1B0D"/>
    <w:rsid w:val="000A3C6C"/>
    <w:rsid w:val="000A716E"/>
    <w:rsid w:val="000B62B5"/>
    <w:rsid w:val="000B7A6C"/>
    <w:rsid w:val="000C3A74"/>
    <w:rsid w:val="000C3C1F"/>
    <w:rsid w:val="000C47D6"/>
    <w:rsid w:val="000C5352"/>
    <w:rsid w:val="000D17CD"/>
    <w:rsid w:val="000D50A6"/>
    <w:rsid w:val="000D70BD"/>
    <w:rsid w:val="000E0CD5"/>
    <w:rsid w:val="000E1506"/>
    <w:rsid w:val="000E200E"/>
    <w:rsid w:val="000F6550"/>
    <w:rsid w:val="000F6937"/>
    <w:rsid w:val="000F7E0E"/>
    <w:rsid w:val="00101917"/>
    <w:rsid w:val="001060DE"/>
    <w:rsid w:val="00106BA7"/>
    <w:rsid w:val="00110035"/>
    <w:rsid w:val="001100B3"/>
    <w:rsid w:val="00110290"/>
    <w:rsid w:val="00115477"/>
    <w:rsid w:val="001156DB"/>
    <w:rsid w:val="001157B5"/>
    <w:rsid w:val="0011727E"/>
    <w:rsid w:val="00121127"/>
    <w:rsid w:val="001254EA"/>
    <w:rsid w:val="00132888"/>
    <w:rsid w:val="001341F6"/>
    <w:rsid w:val="0014042C"/>
    <w:rsid w:val="001427AB"/>
    <w:rsid w:val="00145B8C"/>
    <w:rsid w:val="00146DA7"/>
    <w:rsid w:val="00152795"/>
    <w:rsid w:val="00152D0D"/>
    <w:rsid w:val="00154F20"/>
    <w:rsid w:val="00167D57"/>
    <w:rsid w:val="00170179"/>
    <w:rsid w:val="00172A3A"/>
    <w:rsid w:val="00172AEE"/>
    <w:rsid w:val="001775A8"/>
    <w:rsid w:val="00177C7C"/>
    <w:rsid w:val="001834D0"/>
    <w:rsid w:val="00183EDD"/>
    <w:rsid w:val="0018524D"/>
    <w:rsid w:val="00185BFC"/>
    <w:rsid w:val="0018726F"/>
    <w:rsid w:val="00193326"/>
    <w:rsid w:val="00197F20"/>
    <w:rsid w:val="001A098A"/>
    <w:rsid w:val="001A4209"/>
    <w:rsid w:val="001A4CEA"/>
    <w:rsid w:val="001B0BB4"/>
    <w:rsid w:val="001B0FDF"/>
    <w:rsid w:val="001B31AB"/>
    <w:rsid w:val="001B3710"/>
    <w:rsid w:val="001C5A2E"/>
    <w:rsid w:val="001C79E2"/>
    <w:rsid w:val="001D31AB"/>
    <w:rsid w:val="001D6262"/>
    <w:rsid w:val="001D77ED"/>
    <w:rsid w:val="001E085D"/>
    <w:rsid w:val="001E39B9"/>
    <w:rsid w:val="001E6811"/>
    <w:rsid w:val="001E6FF5"/>
    <w:rsid w:val="001F2316"/>
    <w:rsid w:val="001F3D8A"/>
    <w:rsid w:val="00202007"/>
    <w:rsid w:val="002059B7"/>
    <w:rsid w:val="00207004"/>
    <w:rsid w:val="00210A19"/>
    <w:rsid w:val="002166BA"/>
    <w:rsid w:val="0022796A"/>
    <w:rsid w:val="00231433"/>
    <w:rsid w:val="00234328"/>
    <w:rsid w:val="00236646"/>
    <w:rsid w:val="002440A2"/>
    <w:rsid w:val="00244104"/>
    <w:rsid w:val="002455CF"/>
    <w:rsid w:val="00252447"/>
    <w:rsid w:val="00255368"/>
    <w:rsid w:val="002571E2"/>
    <w:rsid w:val="0026687D"/>
    <w:rsid w:val="002703AB"/>
    <w:rsid w:val="00270C91"/>
    <w:rsid w:val="00271C93"/>
    <w:rsid w:val="00273A87"/>
    <w:rsid w:val="00275B13"/>
    <w:rsid w:val="00282256"/>
    <w:rsid w:val="002844BF"/>
    <w:rsid w:val="00284E9F"/>
    <w:rsid w:val="00285044"/>
    <w:rsid w:val="002901EC"/>
    <w:rsid w:val="0029618A"/>
    <w:rsid w:val="002A7DEA"/>
    <w:rsid w:val="002B0956"/>
    <w:rsid w:val="002B1A14"/>
    <w:rsid w:val="002B288D"/>
    <w:rsid w:val="002B5349"/>
    <w:rsid w:val="002B7DD4"/>
    <w:rsid w:val="002C08F4"/>
    <w:rsid w:val="002C2798"/>
    <w:rsid w:val="002C5D12"/>
    <w:rsid w:val="002C7E67"/>
    <w:rsid w:val="002D1791"/>
    <w:rsid w:val="002D4437"/>
    <w:rsid w:val="002D60CF"/>
    <w:rsid w:val="002F11BD"/>
    <w:rsid w:val="002F2CEC"/>
    <w:rsid w:val="002F399F"/>
    <w:rsid w:val="002F4BF8"/>
    <w:rsid w:val="002F725A"/>
    <w:rsid w:val="003028A3"/>
    <w:rsid w:val="0030794A"/>
    <w:rsid w:val="003161FF"/>
    <w:rsid w:val="00317C6E"/>
    <w:rsid w:val="003264C3"/>
    <w:rsid w:val="00332D84"/>
    <w:rsid w:val="00333F3C"/>
    <w:rsid w:val="0034047D"/>
    <w:rsid w:val="003407A4"/>
    <w:rsid w:val="00342768"/>
    <w:rsid w:val="00343B3C"/>
    <w:rsid w:val="00353D19"/>
    <w:rsid w:val="0035484C"/>
    <w:rsid w:val="00360801"/>
    <w:rsid w:val="00361961"/>
    <w:rsid w:val="00361A41"/>
    <w:rsid w:val="00361F53"/>
    <w:rsid w:val="003641FA"/>
    <w:rsid w:val="00366E12"/>
    <w:rsid w:val="003701B1"/>
    <w:rsid w:val="00380743"/>
    <w:rsid w:val="00380EDE"/>
    <w:rsid w:val="00381331"/>
    <w:rsid w:val="0038564E"/>
    <w:rsid w:val="0038793E"/>
    <w:rsid w:val="003900EE"/>
    <w:rsid w:val="00390549"/>
    <w:rsid w:val="003942DE"/>
    <w:rsid w:val="00394692"/>
    <w:rsid w:val="00394EC3"/>
    <w:rsid w:val="003A38E9"/>
    <w:rsid w:val="003A4D97"/>
    <w:rsid w:val="003A62DB"/>
    <w:rsid w:val="003A66C4"/>
    <w:rsid w:val="003A6E37"/>
    <w:rsid w:val="003B277F"/>
    <w:rsid w:val="003B5856"/>
    <w:rsid w:val="003B64AE"/>
    <w:rsid w:val="003B6A30"/>
    <w:rsid w:val="003D397A"/>
    <w:rsid w:val="003D51F5"/>
    <w:rsid w:val="003D5400"/>
    <w:rsid w:val="003D7105"/>
    <w:rsid w:val="003E0517"/>
    <w:rsid w:val="003E0BAC"/>
    <w:rsid w:val="003E735B"/>
    <w:rsid w:val="003F0849"/>
    <w:rsid w:val="003F0F47"/>
    <w:rsid w:val="003F2011"/>
    <w:rsid w:val="003F3CCC"/>
    <w:rsid w:val="003F7719"/>
    <w:rsid w:val="00403D06"/>
    <w:rsid w:val="0040770F"/>
    <w:rsid w:val="0041252D"/>
    <w:rsid w:val="00415689"/>
    <w:rsid w:val="004241DA"/>
    <w:rsid w:val="0043052C"/>
    <w:rsid w:val="00430F18"/>
    <w:rsid w:val="00434B9D"/>
    <w:rsid w:val="00441DE3"/>
    <w:rsid w:val="004435C4"/>
    <w:rsid w:val="004437FE"/>
    <w:rsid w:val="00446074"/>
    <w:rsid w:val="00446358"/>
    <w:rsid w:val="004470D3"/>
    <w:rsid w:val="004533F0"/>
    <w:rsid w:val="00453F6C"/>
    <w:rsid w:val="004544C4"/>
    <w:rsid w:val="00461AFE"/>
    <w:rsid w:val="00463E2C"/>
    <w:rsid w:val="00467E6B"/>
    <w:rsid w:val="0047633C"/>
    <w:rsid w:val="00477C55"/>
    <w:rsid w:val="004804D5"/>
    <w:rsid w:val="00485A00"/>
    <w:rsid w:val="004A07C6"/>
    <w:rsid w:val="004A43A2"/>
    <w:rsid w:val="004B3B2D"/>
    <w:rsid w:val="004B5252"/>
    <w:rsid w:val="004B6DC1"/>
    <w:rsid w:val="004C1B77"/>
    <w:rsid w:val="004C32D8"/>
    <w:rsid w:val="004C4475"/>
    <w:rsid w:val="004C6399"/>
    <w:rsid w:val="004C7758"/>
    <w:rsid w:val="004D4179"/>
    <w:rsid w:val="004E2ABB"/>
    <w:rsid w:val="004F13D4"/>
    <w:rsid w:val="004F3B1D"/>
    <w:rsid w:val="00506CF6"/>
    <w:rsid w:val="005074AC"/>
    <w:rsid w:val="005075D5"/>
    <w:rsid w:val="0051285D"/>
    <w:rsid w:val="00517C3A"/>
    <w:rsid w:val="0052058F"/>
    <w:rsid w:val="00521362"/>
    <w:rsid w:val="00522277"/>
    <w:rsid w:val="00526DC9"/>
    <w:rsid w:val="00532F40"/>
    <w:rsid w:val="005352DE"/>
    <w:rsid w:val="00537DEE"/>
    <w:rsid w:val="00547161"/>
    <w:rsid w:val="00551B64"/>
    <w:rsid w:val="00551D18"/>
    <w:rsid w:val="005534D9"/>
    <w:rsid w:val="00564ED7"/>
    <w:rsid w:val="00565156"/>
    <w:rsid w:val="00585493"/>
    <w:rsid w:val="005855CA"/>
    <w:rsid w:val="00591F4A"/>
    <w:rsid w:val="00593A1C"/>
    <w:rsid w:val="00596B4A"/>
    <w:rsid w:val="005A0B7C"/>
    <w:rsid w:val="005A58E1"/>
    <w:rsid w:val="005A5981"/>
    <w:rsid w:val="005B0529"/>
    <w:rsid w:val="005C20AD"/>
    <w:rsid w:val="005C238D"/>
    <w:rsid w:val="005C744E"/>
    <w:rsid w:val="005C7962"/>
    <w:rsid w:val="005D14E9"/>
    <w:rsid w:val="005D3418"/>
    <w:rsid w:val="005E2028"/>
    <w:rsid w:val="005F096A"/>
    <w:rsid w:val="005F2A2E"/>
    <w:rsid w:val="005F2B7E"/>
    <w:rsid w:val="005F3672"/>
    <w:rsid w:val="005F4083"/>
    <w:rsid w:val="005F66AD"/>
    <w:rsid w:val="006011C7"/>
    <w:rsid w:val="00601928"/>
    <w:rsid w:val="006111CA"/>
    <w:rsid w:val="00612684"/>
    <w:rsid w:val="006143E6"/>
    <w:rsid w:val="006217BE"/>
    <w:rsid w:val="00621C9D"/>
    <w:rsid w:val="00625A14"/>
    <w:rsid w:val="00637413"/>
    <w:rsid w:val="00637CF4"/>
    <w:rsid w:val="00644920"/>
    <w:rsid w:val="00651A18"/>
    <w:rsid w:val="00654C70"/>
    <w:rsid w:val="00656558"/>
    <w:rsid w:val="00662E2D"/>
    <w:rsid w:val="0066656F"/>
    <w:rsid w:val="006708A1"/>
    <w:rsid w:val="0067091C"/>
    <w:rsid w:val="00682186"/>
    <w:rsid w:val="00684429"/>
    <w:rsid w:val="00686218"/>
    <w:rsid w:val="00691B8A"/>
    <w:rsid w:val="00692D2C"/>
    <w:rsid w:val="00696648"/>
    <w:rsid w:val="006A37F0"/>
    <w:rsid w:val="006A46B5"/>
    <w:rsid w:val="006A6545"/>
    <w:rsid w:val="006B129E"/>
    <w:rsid w:val="006B4F4E"/>
    <w:rsid w:val="006B56C9"/>
    <w:rsid w:val="006B5731"/>
    <w:rsid w:val="006C02A1"/>
    <w:rsid w:val="006C1051"/>
    <w:rsid w:val="006C33A0"/>
    <w:rsid w:val="006D06BD"/>
    <w:rsid w:val="006D21E5"/>
    <w:rsid w:val="006D325F"/>
    <w:rsid w:val="006D3C61"/>
    <w:rsid w:val="006E1718"/>
    <w:rsid w:val="006E3B52"/>
    <w:rsid w:val="006F2146"/>
    <w:rsid w:val="006F4E9C"/>
    <w:rsid w:val="006F596D"/>
    <w:rsid w:val="006F67F1"/>
    <w:rsid w:val="00701543"/>
    <w:rsid w:val="007110A0"/>
    <w:rsid w:val="0071521A"/>
    <w:rsid w:val="007175C6"/>
    <w:rsid w:val="00721DCC"/>
    <w:rsid w:val="00724E28"/>
    <w:rsid w:val="00733326"/>
    <w:rsid w:val="00736A2A"/>
    <w:rsid w:val="007423C6"/>
    <w:rsid w:val="007457BD"/>
    <w:rsid w:val="00745921"/>
    <w:rsid w:val="0074741E"/>
    <w:rsid w:val="0074782B"/>
    <w:rsid w:val="00750A79"/>
    <w:rsid w:val="007526B7"/>
    <w:rsid w:val="00754761"/>
    <w:rsid w:val="00762AE5"/>
    <w:rsid w:val="007640B2"/>
    <w:rsid w:val="0077256C"/>
    <w:rsid w:val="00774782"/>
    <w:rsid w:val="00775117"/>
    <w:rsid w:val="007819F0"/>
    <w:rsid w:val="00781D75"/>
    <w:rsid w:val="0078220F"/>
    <w:rsid w:val="0078347F"/>
    <w:rsid w:val="0078446F"/>
    <w:rsid w:val="00796BD1"/>
    <w:rsid w:val="007A0252"/>
    <w:rsid w:val="007A1B61"/>
    <w:rsid w:val="007B21DF"/>
    <w:rsid w:val="007B282E"/>
    <w:rsid w:val="007B4FA1"/>
    <w:rsid w:val="007B563A"/>
    <w:rsid w:val="007C1142"/>
    <w:rsid w:val="007C4223"/>
    <w:rsid w:val="007C7C13"/>
    <w:rsid w:val="007D1AFC"/>
    <w:rsid w:val="007D5061"/>
    <w:rsid w:val="007D7FC0"/>
    <w:rsid w:val="007E4FF2"/>
    <w:rsid w:val="007E7916"/>
    <w:rsid w:val="007F1668"/>
    <w:rsid w:val="007F1D34"/>
    <w:rsid w:val="007F37F0"/>
    <w:rsid w:val="007F6AAC"/>
    <w:rsid w:val="0080197C"/>
    <w:rsid w:val="00803367"/>
    <w:rsid w:val="00810B19"/>
    <w:rsid w:val="008143DD"/>
    <w:rsid w:val="00815911"/>
    <w:rsid w:val="00821D2A"/>
    <w:rsid w:val="00823C94"/>
    <w:rsid w:val="0082498D"/>
    <w:rsid w:val="00824DB4"/>
    <w:rsid w:val="00827DF4"/>
    <w:rsid w:val="008351BE"/>
    <w:rsid w:val="008419E1"/>
    <w:rsid w:val="0084665C"/>
    <w:rsid w:val="00862F5D"/>
    <w:rsid w:val="00864A05"/>
    <w:rsid w:val="0088064D"/>
    <w:rsid w:val="0088227E"/>
    <w:rsid w:val="00882A31"/>
    <w:rsid w:val="00882FB1"/>
    <w:rsid w:val="00885DBC"/>
    <w:rsid w:val="008A2CD1"/>
    <w:rsid w:val="008B0E6B"/>
    <w:rsid w:val="008B4938"/>
    <w:rsid w:val="008C27C2"/>
    <w:rsid w:val="008C2A33"/>
    <w:rsid w:val="008C7FB1"/>
    <w:rsid w:val="008D0630"/>
    <w:rsid w:val="008D0766"/>
    <w:rsid w:val="008D0F45"/>
    <w:rsid w:val="008D0FDF"/>
    <w:rsid w:val="008D12F6"/>
    <w:rsid w:val="008D19D3"/>
    <w:rsid w:val="008D2074"/>
    <w:rsid w:val="008D4DFE"/>
    <w:rsid w:val="008E6C42"/>
    <w:rsid w:val="008F2D37"/>
    <w:rsid w:val="008F714E"/>
    <w:rsid w:val="008F7E36"/>
    <w:rsid w:val="009006D8"/>
    <w:rsid w:val="0090233E"/>
    <w:rsid w:val="00917E72"/>
    <w:rsid w:val="0092182A"/>
    <w:rsid w:val="0092193A"/>
    <w:rsid w:val="00941AB5"/>
    <w:rsid w:val="00941EA1"/>
    <w:rsid w:val="00944123"/>
    <w:rsid w:val="0094449F"/>
    <w:rsid w:val="00944DBF"/>
    <w:rsid w:val="00953577"/>
    <w:rsid w:val="0095749B"/>
    <w:rsid w:val="00960A53"/>
    <w:rsid w:val="00970022"/>
    <w:rsid w:val="009714C5"/>
    <w:rsid w:val="009745A4"/>
    <w:rsid w:val="00974C9C"/>
    <w:rsid w:val="00980CD8"/>
    <w:rsid w:val="00984000"/>
    <w:rsid w:val="00985322"/>
    <w:rsid w:val="0099021B"/>
    <w:rsid w:val="009925D8"/>
    <w:rsid w:val="0099493A"/>
    <w:rsid w:val="00996B71"/>
    <w:rsid w:val="009A2831"/>
    <w:rsid w:val="009A3FFD"/>
    <w:rsid w:val="009A496F"/>
    <w:rsid w:val="009B130C"/>
    <w:rsid w:val="009B27FA"/>
    <w:rsid w:val="009B5F90"/>
    <w:rsid w:val="009B7C0E"/>
    <w:rsid w:val="009C2AF8"/>
    <w:rsid w:val="009C3525"/>
    <w:rsid w:val="009C6666"/>
    <w:rsid w:val="009D2385"/>
    <w:rsid w:val="009D3476"/>
    <w:rsid w:val="009D71E9"/>
    <w:rsid w:val="009D7E9B"/>
    <w:rsid w:val="009E0833"/>
    <w:rsid w:val="009E2A82"/>
    <w:rsid w:val="009F213F"/>
    <w:rsid w:val="009F26CB"/>
    <w:rsid w:val="009F4132"/>
    <w:rsid w:val="009F5181"/>
    <w:rsid w:val="009F74BD"/>
    <w:rsid w:val="00A0058B"/>
    <w:rsid w:val="00A00686"/>
    <w:rsid w:val="00A03206"/>
    <w:rsid w:val="00A03F29"/>
    <w:rsid w:val="00A057E7"/>
    <w:rsid w:val="00A057F0"/>
    <w:rsid w:val="00A101E3"/>
    <w:rsid w:val="00A10618"/>
    <w:rsid w:val="00A16A9B"/>
    <w:rsid w:val="00A17AF7"/>
    <w:rsid w:val="00A20933"/>
    <w:rsid w:val="00A24635"/>
    <w:rsid w:val="00A24F50"/>
    <w:rsid w:val="00A27E9B"/>
    <w:rsid w:val="00A3097D"/>
    <w:rsid w:val="00A30E4D"/>
    <w:rsid w:val="00A322BE"/>
    <w:rsid w:val="00A35F72"/>
    <w:rsid w:val="00A37809"/>
    <w:rsid w:val="00A46610"/>
    <w:rsid w:val="00A52084"/>
    <w:rsid w:val="00A540BF"/>
    <w:rsid w:val="00A62421"/>
    <w:rsid w:val="00A6307E"/>
    <w:rsid w:val="00A71974"/>
    <w:rsid w:val="00A7307B"/>
    <w:rsid w:val="00A743A9"/>
    <w:rsid w:val="00A75E21"/>
    <w:rsid w:val="00A75E8E"/>
    <w:rsid w:val="00A80FC3"/>
    <w:rsid w:val="00A825F8"/>
    <w:rsid w:val="00A82CE5"/>
    <w:rsid w:val="00A84B5F"/>
    <w:rsid w:val="00A920BE"/>
    <w:rsid w:val="00A962D8"/>
    <w:rsid w:val="00A978F5"/>
    <w:rsid w:val="00AA047B"/>
    <w:rsid w:val="00AA1EEE"/>
    <w:rsid w:val="00AA2395"/>
    <w:rsid w:val="00AA36C4"/>
    <w:rsid w:val="00AA5973"/>
    <w:rsid w:val="00AB10DA"/>
    <w:rsid w:val="00AB4914"/>
    <w:rsid w:val="00AB7812"/>
    <w:rsid w:val="00AC1C9E"/>
    <w:rsid w:val="00AC7325"/>
    <w:rsid w:val="00AC77ED"/>
    <w:rsid w:val="00AE3213"/>
    <w:rsid w:val="00AF1FC1"/>
    <w:rsid w:val="00AF4EF5"/>
    <w:rsid w:val="00AF4FBC"/>
    <w:rsid w:val="00AF7E2D"/>
    <w:rsid w:val="00B00BEF"/>
    <w:rsid w:val="00B030C0"/>
    <w:rsid w:val="00B1042D"/>
    <w:rsid w:val="00B110A4"/>
    <w:rsid w:val="00B1110F"/>
    <w:rsid w:val="00B17955"/>
    <w:rsid w:val="00B17DC8"/>
    <w:rsid w:val="00B207C1"/>
    <w:rsid w:val="00B22338"/>
    <w:rsid w:val="00B2241F"/>
    <w:rsid w:val="00B2437C"/>
    <w:rsid w:val="00B25405"/>
    <w:rsid w:val="00B3208E"/>
    <w:rsid w:val="00B3452D"/>
    <w:rsid w:val="00B3631A"/>
    <w:rsid w:val="00B4542F"/>
    <w:rsid w:val="00B46CDE"/>
    <w:rsid w:val="00B5069D"/>
    <w:rsid w:val="00B6149F"/>
    <w:rsid w:val="00B72CDD"/>
    <w:rsid w:val="00B738B8"/>
    <w:rsid w:val="00B756F6"/>
    <w:rsid w:val="00B76F1A"/>
    <w:rsid w:val="00B77241"/>
    <w:rsid w:val="00B77456"/>
    <w:rsid w:val="00B8007D"/>
    <w:rsid w:val="00B844C8"/>
    <w:rsid w:val="00B8494A"/>
    <w:rsid w:val="00B87C41"/>
    <w:rsid w:val="00B96C51"/>
    <w:rsid w:val="00BA06D1"/>
    <w:rsid w:val="00BB0CAC"/>
    <w:rsid w:val="00BB0FC3"/>
    <w:rsid w:val="00BB48F0"/>
    <w:rsid w:val="00BB5C36"/>
    <w:rsid w:val="00BC7C87"/>
    <w:rsid w:val="00BD2DC1"/>
    <w:rsid w:val="00BD37D9"/>
    <w:rsid w:val="00BD5523"/>
    <w:rsid w:val="00BD6C1F"/>
    <w:rsid w:val="00BE29AF"/>
    <w:rsid w:val="00BE4154"/>
    <w:rsid w:val="00BF718B"/>
    <w:rsid w:val="00BF73F0"/>
    <w:rsid w:val="00C01ADE"/>
    <w:rsid w:val="00C025A9"/>
    <w:rsid w:val="00C10E7C"/>
    <w:rsid w:val="00C1235F"/>
    <w:rsid w:val="00C12FC7"/>
    <w:rsid w:val="00C14F5B"/>
    <w:rsid w:val="00C15CDE"/>
    <w:rsid w:val="00C16160"/>
    <w:rsid w:val="00C1636C"/>
    <w:rsid w:val="00C24B94"/>
    <w:rsid w:val="00C24E1C"/>
    <w:rsid w:val="00C2530B"/>
    <w:rsid w:val="00C40682"/>
    <w:rsid w:val="00C43BEC"/>
    <w:rsid w:val="00C45CA8"/>
    <w:rsid w:val="00C509B3"/>
    <w:rsid w:val="00C52E04"/>
    <w:rsid w:val="00C53537"/>
    <w:rsid w:val="00C54B8D"/>
    <w:rsid w:val="00C56639"/>
    <w:rsid w:val="00C57DE7"/>
    <w:rsid w:val="00C60AB4"/>
    <w:rsid w:val="00C61DC0"/>
    <w:rsid w:val="00C642C6"/>
    <w:rsid w:val="00C65003"/>
    <w:rsid w:val="00C82850"/>
    <w:rsid w:val="00C82AED"/>
    <w:rsid w:val="00C851EF"/>
    <w:rsid w:val="00C90A07"/>
    <w:rsid w:val="00C92E90"/>
    <w:rsid w:val="00C941B3"/>
    <w:rsid w:val="00C94F55"/>
    <w:rsid w:val="00CB026A"/>
    <w:rsid w:val="00CB7FE1"/>
    <w:rsid w:val="00CC2D20"/>
    <w:rsid w:val="00CC3654"/>
    <w:rsid w:val="00CD3460"/>
    <w:rsid w:val="00CE0D55"/>
    <w:rsid w:val="00CE0E1D"/>
    <w:rsid w:val="00CF18CE"/>
    <w:rsid w:val="00CF32F1"/>
    <w:rsid w:val="00CF3CA0"/>
    <w:rsid w:val="00CF4C2C"/>
    <w:rsid w:val="00D00FB8"/>
    <w:rsid w:val="00D01B36"/>
    <w:rsid w:val="00D029CE"/>
    <w:rsid w:val="00D02FD7"/>
    <w:rsid w:val="00D03A37"/>
    <w:rsid w:val="00D05E0A"/>
    <w:rsid w:val="00D064BC"/>
    <w:rsid w:val="00D0767C"/>
    <w:rsid w:val="00D12715"/>
    <w:rsid w:val="00D12C68"/>
    <w:rsid w:val="00D1309C"/>
    <w:rsid w:val="00D14CA9"/>
    <w:rsid w:val="00D16095"/>
    <w:rsid w:val="00D1701D"/>
    <w:rsid w:val="00D20D92"/>
    <w:rsid w:val="00D25282"/>
    <w:rsid w:val="00D25A60"/>
    <w:rsid w:val="00D303DA"/>
    <w:rsid w:val="00D33894"/>
    <w:rsid w:val="00D33EB1"/>
    <w:rsid w:val="00D34441"/>
    <w:rsid w:val="00D3594F"/>
    <w:rsid w:val="00D3611F"/>
    <w:rsid w:val="00D37F26"/>
    <w:rsid w:val="00D41CF1"/>
    <w:rsid w:val="00D462BC"/>
    <w:rsid w:val="00D46811"/>
    <w:rsid w:val="00D504C2"/>
    <w:rsid w:val="00D51019"/>
    <w:rsid w:val="00D55ACD"/>
    <w:rsid w:val="00D61210"/>
    <w:rsid w:val="00D64124"/>
    <w:rsid w:val="00D74DA8"/>
    <w:rsid w:val="00D81625"/>
    <w:rsid w:val="00D83C22"/>
    <w:rsid w:val="00D87FC0"/>
    <w:rsid w:val="00D93FE9"/>
    <w:rsid w:val="00D95FDB"/>
    <w:rsid w:val="00D97070"/>
    <w:rsid w:val="00DA0852"/>
    <w:rsid w:val="00DA0E9C"/>
    <w:rsid w:val="00DA2489"/>
    <w:rsid w:val="00DB083E"/>
    <w:rsid w:val="00DB0D64"/>
    <w:rsid w:val="00DB4C39"/>
    <w:rsid w:val="00DB69B0"/>
    <w:rsid w:val="00DC2107"/>
    <w:rsid w:val="00DD2717"/>
    <w:rsid w:val="00DD4BC6"/>
    <w:rsid w:val="00DD79B1"/>
    <w:rsid w:val="00DE0261"/>
    <w:rsid w:val="00DE044F"/>
    <w:rsid w:val="00DE4D64"/>
    <w:rsid w:val="00DF1D36"/>
    <w:rsid w:val="00DF2F58"/>
    <w:rsid w:val="00DF4C30"/>
    <w:rsid w:val="00DF5950"/>
    <w:rsid w:val="00E0428C"/>
    <w:rsid w:val="00E05012"/>
    <w:rsid w:val="00E15FBF"/>
    <w:rsid w:val="00E17541"/>
    <w:rsid w:val="00E235EA"/>
    <w:rsid w:val="00E2727F"/>
    <w:rsid w:val="00E3112A"/>
    <w:rsid w:val="00E31E32"/>
    <w:rsid w:val="00E3225F"/>
    <w:rsid w:val="00E32712"/>
    <w:rsid w:val="00E401C6"/>
    <w:rsid w:val="00E466D1"/>
    <w:rsid w:val="00E52BC6"/>
    <w:rsid w:val="00E54502"/>
    <w:rsid w:val="00E54F1F"/>
    <w:rsid w:val="00E6224C"/>
    <w:rsid w:val="00E64FD5"/>
    <w:rsid w:val="00E669C1"/>
    <w:rsid w:val="00E73545"/>
    <w:rsid w:val="00E97B8B"/>
    <w:rsid w:val="00EA061C"/>
    <w:rsid w:val="00EB1529"/>
    <w:rsid w:val="00EC0B1D"/>
    <w:rsid w:val="00EC3A3A"/>
    <w:rsid w:val="00EC3DCF"/>
    <w:rsid w:val="00EC3F7D"/>
    <w:rsid w:val="00EC3FE4"/>
    <w:rsid w:val="00EC6D5F"/>
    <w:rsid w:val="00ED01A2"/>
    <w:rsid w:val="00ED10BF"/>
    <w:rsid w:val="00ED1E40"/>
    <w:rsid w:val="00ED523F"/>
    <w:rsid w:val="00ED6AA4"/>
    <w:rsid w:val="00ED7E27"/>
    <w:rsid w:val="00EE7338"/>
    <w:rsid w:val="00EE7B95"/>
    <w:rsid w:val="00EF1609"/>
    <w:rsid w:val="00EF31AF"/>
    <w:rsid w:val="00EF3D72"/>
    <w:rsid w:val="00EF4BAC"/>
    <w:rsid w:val="00F0024D"/>
    <w:rsid w:val="00F02C55"/>
    <w:rsid w:val="00F03802"/>
    <w:rsid w:val="00F043B1"/>
    <w:rsid w:val="00F05ADA"/>
    <w:rsid w:val="00F1286D"/>
    <w:rsid w:val="00F15079"/>
    <w:rsid w:val="00F1708B"/>
    <w:rsid w:val="00F26A92"/>
    <w:rsid w:val="00F278FD"/>
    <w:rsid w:val="00F312EA"/>
    <w:rsid w:val="00F340D5"/>
    <w:rsid w:val="00F36459"/>
    <w:rsid w:val="00F36541"/>
    <w:rsid w:val="00F50F52"/>
    <w:rsid w:val="00F571E1"/>
    <w:rsid w:val="00F57AB7"/>
    <w:rsid w:val="00F62D76"/>
    <w:rsid w:val="00F65AC7"/>
    <w:rsid w:val="00F70BDA"/>
    <w:rsid w:val="00F70F7E"/>
    <w:rsid w:val="00F7238A"/>
    <w:rsid w:val="00F736B6"/>
    <w:rsid w:val="00F74857"/>
    <w:rsid w:val="00F8023D"/>
    <w:rsid w:val="00F8099E"/>
    <w:rsid w:val="00F85F4D"/>
    <w:rsid w:val="00F957B4"/>
    <w:rsid w:val="00F95CE1"/>
    <w:rsid w:val="00FA2C0F"/>
    <w:rsid w:val="00FA6178"/>
    <w:rsid w:val="00FB194B"/>
    <w:rsid w:val="00FB43FF"/>
    <w:rsid w:val="00FB4476"/>
    <w:rsid w:val="00FB56FA"/>
    <w:rsid w:val="00FB7E80"/>
    <w:rsid w:val="00FC2F67"/>
    <w:rsid w:val="00FC37ED"/>
    <w:rsid w:val="00FC5470"/>
    <w:rsid w:val="00FD3DD1"/>
    <w:rsid w:val="00FE542F"/>
    <w:rsid w:val="00FE5533"/>
    <w:rsid w:val="00FF3384"/>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B2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51019"/>
    <w:pPr>
      <w:outlineLvl w:val="0"/>
    </w:pPr>
    <w:rPr>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D51019"/>
    <w:rPr>
      <w:rFonts w:ascii="Times New Roman" w:eastAsia="Times New Roman" w:hAnsi="Times New Roman" w:cs="Times New Roman"/>
      <w:b/>
      <w:bCs/>
      <w:iCs/>
      <w:color w:val="000000"/>
      <w:sz w:val="24"/>
      <w:szCs w:val="24"/>
    </w:rPr>
  </w:style>
  <w:style w:type="paragraph" w:styleId="TOCHeading">
    <w:name w:val="TOC Heading"/>
    <w:basedOn w:val="Heading1"/>
    <w:next w:val="Normal"/>
    <w:uiPriority w:val="39"/>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3264C3"/>
    <w:pPr>
      <w:numPr>
        <w:numId w:val="41"/>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3264C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51019"/>
    <w:pPr>
      <w:outlineLvl w:val="0"/>
    </w:pPr>
    <w:rPr>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D51019"/>
    <w:rPr>
      <w:rFonts w:ascii="Times New Roman" w:eastAsia="Times New Roman" w:hAnsi="Times New Roman" w:cs="Times New Roman"/>
      <w:b/>
      <w:bCs/>
      <w:iCs/>
      <w:color w:val="000000"/>
      <w:sz w:val="24"/>
      <w:szCs w:val="24"/>
    </w:rPr>
  </w:style>
  <w:style w:type="paragraph" w:styleId="TOCHeading">
    <w:name w:val="TOC Heading"/>
    <w:basedOn w:val="Heading1"/>
    <w:next w:val="Normal"/>
    <w:uiPriority w:val="39"/>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3264C3"/>
    <w:pPr>
      <w:numPr>
        <w:numId w:val="41"/>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3264C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231166138">
      <w:bodyDiv w:val="1"/>
      <w:marLeft w:val="0"/>
      <w:marRight w:val="0"/>
      <w:marTop w:val="0"/>
      <w:marBottom w:val="0"/>
      <w:divBdr>
        <w:top w:val="none" w:sz="0" w:space="0" w:color="auto"/>
        <w:left w:val="none" w:sz="0" w:space="0" w:color="auto"/>
        <w:bottom w:val="none" w:sz="0" w:space="0" w:color="auto"/>
        <w:right w:val="none" w:sz="0" w:space="0" w:color="auto"/>
      </w:divBdr>
    </w:div>
    <w:div w:id="322241515">
      <w:bodyDiv w:val="1"/>
      <w:marLeft w:val="0"/>
      <w:marRight w:val="0"/>
      <w:marTop w:val="0"/>
      <w:marBottom w:val="0"/>
      <w:divBdr>
        <w:top w:val="none" w:sz="0" w:space="0" w:color="auto"/>
        <w:left w:val="none" w:sz="0" w:space="0" w:color="auto"/>
        <w:bottom w:val="none" w:sz="0" w:space="0" w:color="auto"/>
        <w:right w:val="none" w:sz="0" w:space="0" w:color="auto"/>
      </w:divBdr>
    </w:div>
    <w:div w:id="322976761">
      <w:bodyDiv w:val="1"/>
      <w:marLeft w:val="0"/>
      <w:marRight w:val="0"/>
      <w:marTop w:val="0"/>
      <w:marBottom w:val="0"/>
      <w:divBdr>
        <w:top w:val="none" w:sz="0" w:space="0" w:color="auto"/>
        <w:left w:val="none" w:sz="0" w:space="0" w:color="auto"/>
        <w:bottom w:val="none" w:sz="0" w:space="0" w:color="auto"/>
        <w:right w:val="none" w:sz="0" w:space="0" w:color="auto"/>
      </w:divBdr>
    </w:div>
    <w:div w:id="374427070">
      <w:bodyDiv w:val="1"/>
      <w:marLeft w:val="0"/>
      <w:marRight w:val="0"/>
      <w:marTop w:val="0"/>
      <w:marBottom w:val="0"/>
      <w:divBdr>
        <w:top w:val="none" w:sz="0" w:space="0" w:color="auto"/>
        <w:left w:val="none" w:sz="0" w:space="0" w:color="auto"/>
        <w:bottom w:val="none" w:sz="0" w:space="0" w:color="auto"/>
        <w:right w:val="none" w:sz="0" w:space="0" w:color="auto"/>
      </w:divBdr>
    </w:div>
    <w:div w:id="425537393">
      <w:bodyDiv w:val="1"/>
      <w:marLeft w:val="60"/>
      <w:marRight w:val="60"/>
      <w:marTop w:val="60"/>
      <w:marBottom w:val="15"/>
      <w:divBdr>
        <w:top w:val="none" w:sz="0" w:space="0" w:color="auto"/>
        <w:left w:val="none" w:sz="0" w:space="0" w:color="auto"/>
        <w:bottom w:val="none" w:sz="0" w:space="0" w:color="auto"/>
        <w:right w:val="none" w:sz="0" w:space="0" w:color="auto"/>
      </w:divBdr>
      <w:divsChild>
        <w:div w:id="1858152128">
          <w:marLeft w:val="0"/>
          <w:marRight w:val="0"/>
          <w:marTop w:val="120"/>
          <w:marBottom w:val="120"/>
          <w:divBdr>
            <w:top w:val="none" w:sz="0" w:space="0" w:color="auto"/>
            <w:left w:val="none" w:sz="0" w:space="0" w:color="auto"/>
            <w:bottom w:val="none" w:sz="0" w:space="0" w:color="auto"/>
            <w:right w:val="none" w:sz="0" w:space="0" w:color="auto"/>
          </w:divBdr>
        </w:div>
        <w:div w:id="705526565">
          <w:marLeft w:val="0"/>
          <w:marRight w:val="0"/>
          <w:marTop w:val="0"/>
          <w:marBottom w:val="0"/>
          <w:divBdr>
            <w:top w:val="none" w:sz="0" w:space="0" w:color="auto"/>
            <w:left w:val="none" w:sz="0" w:space="0" w:color="auto"/>
            <w:bottom w:val="none" w:sz="0" w:space="0" w:color="auto"/>
            <w:right w:val="none" w:sz="0" w:space="0" w:color="auto"/>
          </w:divBdr>
        </w:div>
        <w:div w:id="1577083589">
          <w:marLeft w:val="0"/>
          <w:marRight w:val="0"/>
          <w:marTop w:val="0"/>
          <w:marBottom w:val="0"/>
          <w:divBdr>
            <w:top w:val="none" w:sz="0" w:space="0" w:color="auto"/>
            <w:left w:val="none" w:sz="0" w:space="0" w:color="auto"/>
            <w:bottom w:val="none" w:sz="0" w:space="0" w:color="auto"/>
            <w:right w:val="none" w:sz="0" w:space="0" w:color="auto"/>
          </w:divBdr>
        </w:div>
        <w:div w:id="1226840192">
          <w:marLeft w:val="0"/>
          <w:marRight w:val="0"/>
          <w:marTop w:val="0"/>
          <w:marBottom w:val="0"/>
          <w:divBdr>
            <w:top w:val="none" w:sz="0" w:space="0" w:color="auto"/>
            <w:left w:val="none" w:sz="0" w:space="0" w:color="auto"/>
            <w:bottom w:val="none" w:sz="0" w:space="0" w:color="auto"/>
            <w:right w:val="none" w:sz="0" w:space="0" w:color="auto"/>
          </w:divBdr>
        </w:div>
        <w:div w:id="2092701632">
          <w:marLeft w:val="0"/>
          <w:marRight w:val="0"/>
          <w:marTop w:val="0"/>
          <w:marBottom w:val="0"/>
          <w:divBdr>
            <w:top w:val="none" w:sz="0" w:space="0" w:color="auto"/>
            <w:left w:val="none" w:sz="0" w:space="0" w:color="auto"/>
            <w:bottom w:val="none" w:sz="0" w:space="0" w:color="auto"/>
            <w:right w:val="none" w:sz="0" w:space="0" w:color="auto"/>
          </w:divBdr>
        </w:div>
        <w:div w:id="1043558354">
          <w:marLeft w:val="0"/>
          <w:marRight w:val="0"/>
          <w:marTop w:val="0"/>
          <w:marBottom w:val="0"/>
          <w:divBdr>
            <w:top w:val="none" w:sz="0" w:space="0" w:color="auto"/>
            <w:left w:val="none" w:sz="0" w:space="0" w:color="auto"/>
            <w:bottom w:val="none" w:sz="0" w:space="0" w:color="auto"/>
            <w:right w:val="none" w:sz="0" w:space="0" w:color="auto"/>
          </w:divBdr>
        </w:div>
        <w:div w:id="1685551698">
          <w:marLeft w:val="0"/>
          <w:marRight w:val="0"/>
          <w:marTop w:val="0"/>
          <w:marBottom w:val="0"/>
          <w:divBdr>
            <w:top w:val="none" w:sz="0" w:space="0" w:color="auto"/>
            <w:left w:val="none" w:sz="0" w:space="0" w:color="auto"/>
            <w:bottom w:val="none" w:sz="0" w:space="0" w:color="auto"/>
            <w:right w:val="none" w:sz="0" w:space="0" w:color="auto"/>
          </w:divBdr>
        </w:div>
        <w:div w:id="1183663753">
          <w:marLeft w:val="0"/>
          <w:marRight w:val="0"/>
          <w:marTop w:val="0"/>
          <w:marBottom w:val="0"/>
          <w:divBdr>
            <w:top w:val="none" w:sz="0" w:space="0" w:color="auto"/>
            <w:left w:val="none" w:sz="0" w:space="0" w:color="auto"/>
            <w:bottom w:val="none" w:sz="0" w:space="0" w:color="auto"/>
            <w:right w:val="none" w:sz="0" w:space="0" w:color="auto"/>
          </w:divBdr>
        </w:div>
        <w:div w:id="451556456">
          <w:marLeft w:val="0"/>
          <w:marRight w:val="0"/>
          <w:marTop w:val="0"/>
          <w:marBottom w:val="0"/>
          <w:divBdr>
            <w:top w:val="none" w:sz="0" w:space="0" w:color="auto"/>
            <w:left w:val="none" w:sz="0" w:space="0" w:color="auto"/>
            <w:bottom w:val="none" w:sz="0" w:space="0" w:color="auto"/>
            <w:right w:val="none" w:sz="0" w:space="0" w:color="auto"/>
          </w:divBdr>
        </w:div>
        <w:div w:id="517157544">
          <w:marLeft w:val="0"/>
          <w:marRight w:val="0"/>
          <w:marTop w:val="0"/>
          <w:marBottom w:val="0"/>
          <w:divBdr>
            <w:top w:val="none" w:sz="0" w:space="0" w:color="auto"/>
            <w:left w:val="none" w:sz="0" w:space="0" w:color="auto"/>
            <w:bottom w:val="none" w:sz="0" w:space="0" w:color="auto"/>
            <w:right w:val="none" w:sz="0" w:space="0" w:color="auto"/>
          </w:divBdr>
        </w:div>
        <w:div w:id="1939098106">
          <w:marLeft w:val="0"/>
          <w:marRight w:val="0"/>
          <w:marTop w:val="0"/>
          <w:marBottom w:val="0"/>
          <w:divBdr>
            <w:top w:val="none" w:sz="0" w:space="0" w:color="auto"/>
            <w:left w:val="none" w:sz="0" w:space="0" w:color="auto"/>
            <w:bottom w:val="none" w:sz="0" w:space="0" w:color="auto"/>
            <w:right w:val="none" w:sz="0" w:space="0" w:color="auto"/>
          </w:divBdr>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732">
      <w:bodyDiv w:val="1"/>
      <w:marLeft w:val="0"/>
      <w:marRight w:val="0"/>
      <w:marTop w:val="0"/>
      <w:marBottom w:val="0"/>
      <w:divBdr>
        <w:top w:val="none" w:sz="0" w:space="0" w:color="auto"/>
        <w:left w:val="none" w:sz="0" w:space="0" w:color="auto"/>
        <w:bottom w:val="none" w:sz="0" w:space="0" w:color="auto"/>
        <w:right w:val="none" w:sz="0" w:space="0" w:color="auto"/>
      </w:divBdr>
    </w:div>
    <w:div w:id="464734555">
      <w:bodyDiv w:val="1"/>
      <w:marLeft w:val="0"/>
      <w:marRight w:val="0"/>
      <w:marTop w:val="0"/>
      <w:marBottom w:val="0"/>
      <w:divBdr>
        <w:top w:val="none" w:sz="0" w:space="0" w:color="auto"/>
        <w:left w:val="none" w:sz="0" w:space="0" w:color="auto"/>
        <w:bottom w:val="none" w:sz="0" w:space="0" w:color="auto"/>
        <w:right w:val="none" w:sz="0" w:space="0" w:color="auto"/>
      </w:divBdr>
    </w:div>
    <w:div w:id="590813852">
      <w:bodyDiv w:val="1"/>
      <w:marLeft w:val="0"/>
      <w:marRight w:val="0"/>
      <w:marTop w:val="0"/>
      <w:marBottom w:val="0"/>
      <w:divBdr>
        <w:top w:val="none" w:sz="0" w:space="0" w:color="auto"/>
        <w:left w:val="none" w:sz="0" w:space="0" w:color="auto"/>
        <w:bottom w:val="none" w:sz="0" w:space="0" w:color="auto"/>
        <w:right w:val="none" w:sz="0" w:space="0" w:color="auto"/>
      </w:divBdr>
    </w:div>
    <w:div w:id="665284999">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795224818">
      <w:bodyDiv w:val="1"/>
      <w:marLeft w:val="0"/>
      <w:marRight w:val="0"/>
      <w:marTop w:val="0"/>
      <w:marBottom w:val="0"/>
      <w:divBdr>
        <w:top w:val="none" w:sz="0" w:space="0" w:color="auto"/>
        <w:left w:val="none" w:sz="0" w:space="0" w:color="auto"/>
        <w:bottom w:val="none" w:sz="0" w:space="0" w:color="auto"/>
        <w:right w:val="none" w:sz="0" w:space="0" w:color="auto"/>
      </w:divBdr>
    </w:div>
    <w:div w:id="838929795">
      <w:bodyDiv w:val="1"/>
      <w:marLeft w:val="0"/>
      <w:marRight w:val="0"/>
      <w:marTop w:val="0"/>
      <w:marBottom w:val="0"/>
      <w:divBdr>
        <w:top w:val="none" w:sz="0" w:space="0" w:color="auto"/>
        <w:left w:val="none" w:sz="0" w:space="0" w:color="auto"/>
        <w:bottom w:val="none" w:sz="0" w:space="0" w:color="auto"/>
        <w:right w:val="none" w:sz="0" w:space="0" w:color="auto"/>
      </w:divBdr>
    </w:div>
    <w:div w:id="91320111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181092690">
      <w:bodyDiv w:val="1"/>
      <w:marLeft w:val="0"/>
      <w:marRight w:val="0"/>
      <w:marTop w:val="0"/>
      <w:marBottom w:val="0"/>
      <w:divBdr>
        <w:top w:val="none" w:sz="0" w:space="0" w:color="auto"/>
        <w:left w:val="none" w:sz="0" w:space="0" w:color="auto"/>
        <w:bottom w:val="none" w:sz="0" w:space="0" w:color="auto"/>
        <w:right w:val="none" w:sz="0" w:space="0" w:color="auto"/>
      </w:divBdr>
    </w:div>
    <w:div w:id="1302224588">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420635529">
      <w:bodyDiv w:val="1"/>
      <w:marLeft w:val="0"/>
      <w:marRight w:val="0"/>
      <w:marTop w:val="0"/>
      <w:marBottom w:val="0"/>
      <w:divBdr>
        <w:top w:val="none" w:sz="0" w:space="0" w:color="auto"/>
        <w:left w:val="none" w:sz="0" w:space="0" w:color="auto"/>
        <w:bottom w:val="none" w:sz="0" w:space="0" w:color="auto"/>
        <w:right w:val="none" w:sz="0" w:space="0" w:color="auto"/>
      </w:divBdr>
    </w:div>
    <w:div w:id="1434352041">
      <w:bodyDiv w:val="1"/>
      <w:marLeft w:val="0"/>
      <w:marRight w:val="0"/>
      <w:marTop w:val="0"/>
      <w:marBottom w:val="0"/>
      <w:divBdr>
        <w:top w:val="none" w:sz="0" w:space="0" w:color="auto"/>
        <w:left w:val="none" w:sz="0" w:space="0" w:color="auto"/>
        <w:bottom w:val="none" w:sz="0" w:space="0" w:color="auto"/>
        <w:right w:val="none" w:sz="0" w:space="0" w:color="auto"/>
      </w:divBdr>
    </w:div>
    <w:div w:id="1511989294">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1762067046">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 w:id="2091539064">
      <w:bodyDiv w:val="1"/>
      <w:marLeft w:val="0"/>
      <w:marRight w:val="0"/>
      <w:marTop w:val="0"/>
      <w:marBottom w:val="0"/>
      <w:divBdr>
        <w:top w:val="none" w:sz="0" w:space="0" w:color="auto"/>
        <w:left w:val="none" w:sz="0" w:space="0" w:color="auto"/>
        <w:bottom w:val="none" w:sz="0" w:space="0" w:color="auto"/>
        <w:right w:val="none" w:sz="0" w:space="0" w:color="auto"/>
      </w:divBdr>
    </w:div>
    <w:div w:id="2112431015">
      <w:bodyDiv w:val="1"/>
      <w:marLeft w:val="0"/>
      <w:marRight w:val="0"/>
      <w:marTop w:val="0"/>
      <w:marBottom w:val="0"/>
      <w:divBdr>
        <w:top w:val="none" w:sz="0" w:space="0" w:color="auto"/>
        <w:left w:val="none" w:sz="0" w:space="0" w:color="auto"/>
        <w:bottom w:val="none" w:sz="0" w:space="0" w:color="auto"/>
        <w:right w:val="none" w:sz="0" w:space="0" w:color="auto"/>
      </w:divBdr>
      <w:divsChild>
        <w:div w:id="1446773750">
          <w:marLeft w:val="0"/>
          <w:marRight w:val="0"/>
          <w:marTop w:val="0"/>
          <w:marBottom w:val="0"/>
          <w:divBdr>
            <w:top w:val="none" w:sz="0" w:space="0" w:color="auto"/>
            <w:left w:val="none" w:sz="0" w:space="0" w:color="auto"/>
            <w:bottom w:val="none" w:sz="0" w:space="0" w:color="auto"/>
            <w:right w:val="none" w:sz="0" w:space="0" w:color="auto"/>
          </w:divBdr>
        </w:div>
      </w:divsChild>
    </w:div>
    <w:div w:id="21261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bls.gov/oes/current/oes290000.htm" TargetMode="Externa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PFY6PPX2AYTS-2589-2634</_dlc_DocId>
    <_dlc_DocIdUrl xmlns="81daf041-c113-401c-bf82-107f5d396711">
      <Url>https://esp.cdc.gov/sites/ncezid/OD/policy/PRA/_layouts/15/DocIdRedir.aspx?ID=PFY6PPX2AYTS-2589-2634</Url>
      <Description>PFY6PPX2AYTS-2589-2634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B446-C784-422B-8756-DD07919CB424}">
  <ds:schemaRefs>
    <ds:schemaRef ds:uri="http://schemas.microsoft.com/sharepoint/v3/contenttype/forms"/>
  </ds:schemaRefs>
</ds:datastoreItem>
</file>

<file path=customXml/itemProps2.xml><?xml version="1.0" encoding="utf-8"?>
<ds:datastoreItem xmlns:ds="http://schemas.openxmlformats.org/officeDocument/2006/customXml" ds:itemID="{0710EA32-27B1-44A8-B154-685382A0012E}">
  <ds:schemaRefs>
    <ds:schemaRef ds:uri="http://schemas.microsoft.com/sharepoint/events"/>
  </ds:schemaRefs>
</ds:datastoreItem>
</file>

<file path=customXml/itemProps3.xml><?xml version="1.0" encoding="utf-8"?>
<ds:datastoreItem xmlns:ds="http://schemas.openxmlformats.org/officeDocument/2006/customXml" ds:itemID="{79A2E292-F5AF-4D65-AD53-D01C3A456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1F23B-A65E-42A3-B704-85557087B676}">
  <ds:schemaRefs>
    <ds:schemaRef ds:uri="http://schemas.openxmlformats.org/officeDocument/2006/bibliography"/>
  </ds:schemaRefs>
</ds:datastoreItem>
</file>

<file path=customXml/itemProps5.xml><?xml version="1.0" encoding="utf-8"?>
<ds:datastoreItem xmlns:ds="http://schemas.openxmlformats.org/officeDocument/2006/customXml" ds:itemID="{B9D967B0-D2A0-4136-8BA1-3A844B7E3602}">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6.xml><?xml version="1.0" encoding="utf-8"?>
<ds:datastoreItem xmlns:ds="http://schemas.openxmlformats.org/officeDocument/2006/customXml" ds:itemID="{0BFA75C4-5A85-4BE3-BB30-50B49FFE5E2E}">
  <ds:schemaRefs>
    <ds:schemaRef ds:uri="http://schemas.openxmlformats.org/officeDocument/2006/bibliography"/>
  </ds:schemaRefs>
</ds:datastoreItem>
</file>

<file path=customXml/itemProps7.xml><?xml version="1.0" encoding="utf-8"?>
<ds:datastoreItem xmlns:ds="http://schemas.openxmlformats.org/officeDocument/2006/customXml" ds:itemID="{9A1161DA-7C7B-4A3C-AA8F-54B751DA0274}">
  <ds:schemaRefs>
    <ds:schemaRef ds:uri="http://schemas.openxmlformats.org/officeDocument/2006/bibliography"/>
  </ds:schemaRefs>
</ds:datastoreItem>
</file>

<file path=customXml/itemProps8.xml><?xml version="1.0" encoding="utf-8"?>
<ds:datastoreItem xmlns:ds="http://schemas.openxmlformats.org/officeDocument/2006/customXml" ds:itemID="{488D6770-A587-4691-92C7-B3B9010C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6350</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SYSTEM</cp:lastModifiedBy>
  <cp:revision>2</cp:revision>
  <cp:lastPrinted>2011-08-01T15:24:00Z</cp:lastPrinted>
  <dcterms:created xsi:type="dcterms:W3CDTF">2018-03-21T14:07:00Z</dcterms:created>
  <dcterms:modified xsi:type="dcterms:W3CDTF">2018-03-21T14:07:00Z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4c2eaa38-89f6-45d2-97c6-d60da6228ee1</vt:lpwstr>
  </property>
</Properties>
</file>