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E963B" w14:textId="7D7AA34C" w:rsidR="00720055" w:rsidRDefault="00720055" w:rsidP="00541FF7">
      <w:pPr>
        <w:jc w:val="center"/>
        <w:rPr>
          <w:b/>
          <w:sz w:val="28"/>
          <w:szCs w:val="28"/>
        </w:rPr>
      </w:pPr>
      <w:bookmarkStart w:id="0" w:name="_Toc422159582"/>
      <w:bookmarkStart w:id="1" w:name="_GoBack"/>
      <w:bookmarkEnd w:id="1"/>
      <w:r>
        <w:rPr>
          <w:b/>
          <w:sz w:val="28"/>
          <w:szCs w:val="28"/>
        </w:rPr>
        <w:t>National Institute for Occupational Safety and Health (NIOSH)</w:t>
      </w:r>
    </w:p>
    <w:p w14:paraId="51D6253B" w14:textId="77777777" w:rsidR="008963A4" w:rsidRPr="0002172E" w:rsidRDefault="00FA1175" w:rsidP="0058481E">
      <w:pPr>
        <w:jc w:val="center"/>
        <w:rPr>
          <w:b/>
          <w:sz w:val="28"/>
          <w:szCs w:val="28"/>
        </w:rPr>
      </w:pPr>
      <w:r w:rsidRPr="0002172E">
        <w:rPr>
          <w:b/>
          <w:sz w:val="28"/>
          <w:szCs w:val="28"/>
        </w:rPr>
        <w:t xml:space="preserve">Measuring Well-Being for </w:t>
      </w:r>
      <w:r w:rsidRPr="00711249">
        <w:rPr>
          <w:b/>
          <w:i/>
          <w:sz w:val="28"/>
          <w:szCs w:val="28"/>
        </w:rPr>
        <w:t>Total Worker Health</w:t>
      </w:r>
      <w:r w:rsidR="0002172E" w:rsidRPr="00711249">
        <w:rPr>
          <w:b/>
          <w:sz w:val="28"/>
          <w:szCs w:val="28"/>
          <w:vertAlign w:val="superscript"/>
        </w:rPr>
        <w:t>®</w:t>
      </w:r>
    </w:p>
    <w:p w14:paraId="1F5F336F" w14:textId="77777777" w:rsidR="008963A4" w:rsidRPr="008963A4" w:rsidRDefault="008963A4" w:rsidP="0058481E">
      <w:pPr>
        <w:jc w:val="center"/>
        <w:rPr>
          <w:b/>
        </w:rPr>
      </w:pPr>
    </w:p>
    <w:p w14:paraId="2244EB7D" w14:textId="77777777" w:rsidR="008963A4" w:rsidRPr="008963A4" w:rsidRDefault="008963A4" w:rsidP="0058481E">
      <w:pPr>
        <w:jc w:val="center"/>
        <w:rPr>
          <w:b/>
        </w:rPr>
      </w:pPr>
    </w:p>
    <w:p w14:paraId="490ADCCC" w14:textId="77777777" w:rsidR="008963A4" w:rsidRPr="008963A4" w:rsidRDefault="008963A4" w:rsidP="0058481E">
      <w:pPr>
        <w:jc w:val="center"/>
        <w:rPr>
          <w:b/>
        </w:rPr>
      </w:pPr>
    </w:p>
    <w:p w14:paraId="40C55567" w14:textId="77777777" w:rsidR="008963A4" w:rsidRPr="008963A4" w:rsidRDefault="008963A4" w:rsidP="0058481E">
      <w:pPr>
        <w:jc w:val="center"/>
        <w:rPr>
          <w:b/>
        </w:rPr>
      </w:pPr>
    </w:p>
    <w:p w14:paraId="6D6A1B58" w14:textId="77777777" w:rsidR="008963A4" w:rsidRPr="0002172E" w:rsidRDefault="008963A4" w:rsidP="0058481E">
      <w:pPr>
        <w:jc w:val="center"/>
        <w:rPr>
          <w:sz w:val="28"/>
          <w:szCs w:val="28"/>
        </w:rPr>
      </w:pPr>
      <w:r w:rsidRPr="0002172E">
        <w:rPr>
          <w:b/>
          <w:sz w:val="28"/>
          <w:szCs w:val="28"/>
        </w:rPr>
        <w:t>Supporting Statement – Section A</w:t>
      </w:r>
    </w:p>
    <w:p w14:paraId="1AA7F163" w14:textId="77777777" w:rsidR="008963A4" w:rsidRPr="008963A4" w:rsidRDefault="008963A4" w:rsidP="0058481E">
      <w:pPr>
        <w:jc w:val="center"/>
        <w:rPr>
          <w:b/>
        </w:rPr>
      </w:pPr>
    </w:p>
    <w:p w14:paraId="37E42487" w14:textId="77777777" w:rsidR="008963A4" w:rsidRPr="008963A4" w:rsidRDefault="008963A4" w:rsidP="0058481E">
      <w:pPr>
        <w:jc w:val="center"/>
        <w:rPr>
          <w:b/>
        </w:rPr>
      </w:pPr>
    </w:p>
    <w:p w14:paraId="465A2669" w14:textId="77777777" w:rsidR="008963A4" w:rsidRPr="008963A4" w:rsidRDefault="008963A4" w:rsidP="0058481E">
      <w:pPr>
        <w:jc w:val="center"/>
        <w:rPr>
          <w:b/>
        </w:rPr>
      </w:pPr>
    </w:p>
    <w:p w14:paraId="0B805C0B" w14:textId="77777777" w:rsidR="008963A4" w:rsidRPr="008963A4" w:rsidRDefault="008963A4" w:rsidP="0058481E">
      <w:pPr>
        <w:jc w:val="center"/>
        <w:rPr>
          <w:b/>
        </w:rPr>
      </w:pPr>
    </w:p>
    <w:p w14:paraId="5657D9ED" w14:textId="77777777" w:rsidR="008963A4" w:rsidRPr="008963A4" w:rsidRDefault="008963A4" w:rsidP="0058481E">
      <w:pPr>
        <w:jc w:val="center"/>
        <w:rPr>
          <w:b/>
        </w:rPr>
      </w:pPr>
    </w:p>
    <w:p w14:paraId="03504154" w14:textId="77777777" w:rsidR="008963A4" w:rsidRPr="008963A4" w:rsidRDefault="008963A4" w:rsidP="0058481E">
      <w:pPr>
        <w:jc w:val="center"/>
        <w:rPr>
          <w:b/>
        </w:rPr>
      </w:pPr>
    </w:p>
    <w:p w14:paraId="38E6DA08" w14:textId="1203BCCC" w:rsidR="008963A4" w:rsidRPr="008963A4" w:rsidRDefault="008963A4" w:rsidP="0058481E">
      <w:pPr>
        <w:jc w:val="center"/>
      </w:pPr>
      <w:r w:rsidRPr="008963A4">
        <w:rPr>
          <w:b/>
        </w:rPr>
        <w:t>Submitted:</w:t>
      </w:r>
      <w:r w:rsidR="00720055">
        <w:rPr>
          <w:b/>
        </w:rPr>
        <w:t xml:space="preserve"> </w:t>
      </w:r>
      <w:r w:rsidR="0075799C">
        <w:t>March 7, 2018</w:t>
      </w:r>
      <w:r w:rsidR="00A421B3">
        <w:t xml:space="preserve"> </w:t>
      </w:r>
    </w:p>
    <w:p w14:paraId="0B472653" w14:textId="77777777" w:rsidR="008963A4" w:rsidRPr="008963A4" w:rsidRDefault="008963A4" w:rsidP="0058481E">
      <w:pPr>
        <w:jc w:val="center"/>
        <w:rPr>
          <w:b/>
        </w:rPr>
      </w:pPr>
    </w:p>
    <w:p w14:paraId="4395F839" w14:textId="77777777" w:rsidR="008963A4" w:rsidRPr="008963A4" w:rsidRDefault="008963A4" w:rsidP="0058481E">
      <w:pPr>
        <w:jc w:val="center"/>
        <w:rPr>
          <w:b/>
        </w:rPr>
      </w:pPr>
    </w:p>
    <w:p w14:paraId="6B6073C7" w14:textId="77777777" w:rsidR="008963A4" w:rsidRPr="008963A4" w:rsidRDefault="008963A4" w:rsidP="0058481E">
      <w:pPr>
        <w:rPr>
          <w:b/>
        </w:rPr>
      </w:pPr>
    </w:p>
    <w:p w14:paraId="6E4687A9" w14:textId="77777777" w:rsidR="008963A4" w:rsidRPr="008963A4" w:rsidRDefault="008963A4" w:rsidP="0058481E">
      <w:pPr>
        <w:rPr>
          <w:b/>
        </w:rPr>
      </w:pPr>
    </w:p>
    <w:p w14:paraId="22CF4DAA" w14:textId="77777777" w:rsidR="008963A4" w:rsidRPr="008963A4" w:rsidRDefault="008963A4" w:rsidP="0058481E">
      <w:pPr>
        <w:rPr>
          <w:b/>
        </w:rPr>
      </w:pPr>
    </w:p>
    <w:p w14:paraId="05E3428F" w14:textId="77777777" w:rsidR="0007288F" w:rsidRDefault="0007288F" w:rsidP="0058481E">
      <w:pPr>
        <w:rPr>
          <w:b/>
          <w:u w:val="single"/>
        </w:rPr>
      </w:pPr>
    </w:p>
    <w:p w14:paraId="7A7D2C95" w14:textId="77777777" w:rsidR="0007288F" w:rsidRDefault="0007288F" w:rsidP="0058481E">
      <w:pPr>
        <w:rPr>
          <w:b/>
          <w:u w:val="single"/>
        </w:rPr>
      </w:pPr>
    </w:p>
    <w:p w14:paraId="2F2438A8" w14:textId="77777777" w:rsidR="0007288F" w:rsidRDefault="0007288F" w:rsidP="0058481E">
      <w:pPr>
        <w:rPr>
          <w:b/>
          <w:u w:val="single"/>
        </w:rPr>
      </w:pPr>
    </w:p>
    <w:p w14:paraId="1B9E477F" w14:textId="77777777" w:rsidR="0007288F" w:rsidRDefault="0007288F" w:rsidP="0058481E">
      <w:pPr>
        <w:rPr>
          <w:b/>
          <w:u w:val="single"/>
        </w:rPr>
      </w:pPr>
    </w:p>
    <w:p w14:paraId="22298B09" w14:textId="77777777" w:rsidR="0007288F" w:rsidRDefault="0007288F" w:rsidP="0058481E">
      <w:pPr>
        <w:rPr>
          <w:b/>
          <w:u w:val="single"/>
        </w:rPr>
      </w:pPr>
    </w:p>
    <w:p w14:paraId="2EC79F14" w14:textId="77777777" w:rsidR="0007288F" w:rsidRDefault="0007288F" w:rsidP="0058481E">
      <w:pPr>
        <w:rPr>
          <w:b/>
          <w:u w:val="single"/>
        </w:rPr>
      </w:pPr>
    </w:p>
    <w:p w14:paraId="3B2E8EB1" w14:textId="77777777" w:rsidR="0007288F" w:rsidRDefault="0007288F" w:rsidP="0058481E">
      <w:pPr>
        <w:rPr>
          <w:b/>
          <w:u w:val="single"/>
        </w:rPr>
      </w:pPr>
    </w:p>
    <w:p w14:paraId="042500A2" w14:textId="77777777" w:rsidR="0007288F" w:rsidRDefault="0007288F" w:rsidP="0058481E">
      <w:pPr>
        <w:rPr>
          <w:b/>
          <w:u w:val="single"/>
        </w:rPr>
      </w:pPr>
    </w:p>
    <w:p w14:paraId="1A9602A6" w14:textId="77777777" w:rsidR="0007288F" w:rsidRDefault="0007288F" w:rsidP="0058481E">
      <w:pPr>
        <w:rPr>
          <w:b/>
          <w:u w:val="single"/>
        </w:rPr>
      </w:pPr>
    </w:p>
    <w:p w14:paraId="07F04BD6" w14:textId="77777777" w:rsidR="0007288F" w:rsidRDefault="0007288F" w:rsidP="0058481E">
      <w:pPr>
        <w:rPr>
          <w:b/>
          <w:u w:val="single"/>
        </w:rPr>
      </w:pPr>
    </w:p>
    <w:p w14:paraId="289A06B1" w14:textId="77777777" w:rsidR="0007288F" w:rsidRDefault="0007288F" w:rsidP="0058481E">
      <w:pPr>
        <w:rPr>
          <w:b/>
          <w:u w:val="single"/>
        </w:rPr>
      </w:pPr>
    </w:p>
    <w:p w14:paraId="37FF85C0" w14:textId="77777777" w:rsidR="0007288F" w:rsidRDefault="0007288F" w:rsidP="0058481E">
      <w:pPr>
        <w:rPr>
          <w:b/>
          <w:u w:val="single"/>
        </w:rPr>
      </w:pPr>
    </w:p>
    <w:p w14:paraId="60BADB3C" w14:textId="77777777" w:rsidR="0007288F" w:rsidRDefault="0007288F" w:rsidP="0058481E">
      <w:pPr>
        <w:rPr>
          <w:b/>
          <w:u w:val="single"/>
        </w:rPr>
      </w:pPr>
    </w:p>
    <w:p w14:paraId="7B796762" w14:textId="77777777" w:rsidR="0007288F" w:rsidRDefault="0007288F" w:rsidP="0058481E">
      <w:pPr>
        <w:rPr>
          <w:b/>
          <w:u w:val="single"/>
        </w:rPr>
      </w:pPr>
    </w:p>
    <w:p w14:paraId="7B800B97" w14:textId="77777777" w:rsidR="008963A4" w:rsidRPr="008963A4" w:rsidRDefault="008963A4" w:rsidP="0058481E">
      <w:pPr>
        <w:rPr>
          <w:b/>
          <w:u w:val="single"/>
        </w:rPr>
      </w:pPr>
      <w:r w:rsidRPr="0002172E">
        <w:rPr>
          <w:b/>
          <w:u w:val="single"/>
        </w:rPr>
        <w:t>Program Official/Project Officer</w:t>
      </w:r>
    </w:p>
    <w:p w14:paraId="7A499CC2" w14:textId="77777777" w:rsidR="008963A4" w:rsidRDefault="0002172E" w:rsidP="0058481E">
      <w:r>
        <w:t>Chia-Chia Chang</w:t>
      </w:r>
    </w:p>
    <w:p w14:paraId="750FB6E2" w14:textId="77777777" w:rsidR="0002172E" w:rsidRDefault="0002172E" w:rsidP="0058481E">
      <w:pPr>
        <w:pStyle w:val="Cover-DocumentDetails"/>
        <w:spacing w:before="0" w:after="0"/>
        <w:rPr>
          <w:rFonts w:ascii="Times New Roman" w:hAnsi="Times New Roman" w:cs="Times New Roman"/>
          <w:color w:val="000000"/>
          <w:sz w:val="24"/>
          <w:szCs w:val="24"/>
        </w:rPr>
      </w:pPr>
      <w:r w:rsidRPr="00362226">
        <w:rPr>
          <w:rFonts w:ascii="Times New Roman" w:hAnsi="Times New Roman" w:cs="Times New Roman"/>
          <w:color w:val="000000"/>
          <w:spacing w:val="1"/>
          <w:sz w:val="24"/>
          <w:szCs w:val="24"/>
        </w:rPr>
        <w:t>395 E St SW, 9200</w:t>
      </w:r>
    </w:p>
    <w:p w14:paraId="76E7F868" w14:textId="77777777" w:rsidR="0002172E" w:rsidRDefault="0002172E" w:rsidP="0058481E">
      <w:pPr>
        <w:pStyle w:val="Cover-DocumentDetails"/>
        <w:spacing w:before="0" w:after="0"/>
        <w:rPr>
          <w:rFonts w:ascii="Times New Roman" w:hAnsi="Times New Roman" w:cs="Times New Roman"/>
          <w:color w:val="000000"/>
          <w:sz w:val="24"/>
          <w:szCs w:val="24"/>
        </w:rPr>
      </w:pPr>
      <w:r w:rsidRPr="00362226">
        <w:rPr>
          <w:rFonts w:ascii="Times New Roman" w:hAnsi="Times New Roman" w:cs="Times New Roman"/>
          <w:color w:val="000000"/>
          <w:sz w:val="24"/>
          <w:szCs w:val="24"/>
        </w:rPr>
        <w:t>Washington, DC 20201</w:t>
      </w:r>
    </w:p>
    <w:p w14:paraId="3C3194CF" w14:textId="77777777" w:rsidR="0002172E" w:rsidRDefault="0002172E" w:rsidP="0058481E">
      <w:pPr>
        <w:pStyle w:val="Cover-DocumentDetails"/>
        <w:spacing w:before="0" w:after="0"/>
        <w:rPr>
          <w:rFonts w:ascii="Times New Roman" w:hAnsi="Times New Roman" w:cs="Times New Roman"/>
          <w:sz w:val="24"/>
          <w:szCs w:val="24"/>
        </w:rPr>
      </w:pPr>
      <w:r w:rsidRPr="00362226">
        <w:rPr>
          <w:rFonts w:ascii="Times New Roman" w:hAnsi="Times New Roman" w:cs="Times New Roman"/>
          <w:sz w:val="24"/>
          <w:szCs w:val="24"/>
        </w:rPr>
        <w:t>202-245-0656</w:t>
      </w:r>
    </w:p>
    <w:p w14:paraId="44E51857" w14:textId="64D78E26" w:rsidR="0007288F" w:rsidRDefault="0002172E" w:rsidP="0058481E">
      <w:pPr>
        <w:rPr>
          <w:color w:val="000000"/>
        </w:rPr>
      </w:pPr>
      <w:r w:rsidRPr="00362226">
        <w:rPr>
          <w:color w:val="000000"/>
        </w:rPr>
        <w:t>cuc8@cdc.gov</w:t>
      </w:r>
    </w:p>
    <w:p w14:paraId="3C75253E" w14:textId="75228267" w:rsidR="00541FF7" w:rsidRDefault="00541FF7" w:rsidP="0058481E">
      <w:pPr>
        <w:rPr>
          <w:color w:val="000000"/>
        </w:rPr>
      </w:pPr>
    </w:p>
    <w:p w14:paraId="47F1A32D" w14:textId="1C0DD5A2" w:rsidR="00541FF7" w:rsidRDefault="00541FF7" w:rsidP="0058481E">
      <w:pPr>
        <w:rPr>
          <w:color w:val="000000"/>
        </w:rPr>
      </w:pPr>
    </w:p>
    <w:p w14:paraId="59C96AFC" w14:textId="1F1A3C29" w:rsidR="00541FF7" w:rsidRDefault="00541FF7" w:rsidP="0058481E">
      <w:pPr>
        <w:rPr>
          <w:color w:val="000000"/>
        </w:rPr>
      </w:pPr>
    </w:p>
    <w:p w14:paraId="4C82B8FA" w14:textId="4DFF1E9E" w:rsidR="00541FF7" w:rsidRDefault="00541FF7" w:rsidP="0058481E">
      <w:pPr>
        <w:rPr>
          <w:color w:val="000000"/>
        </w:rPr>
      </w:pPr>
    </w:p>
    <w:p w14:paraId="123F714C" w14:textId="7003BA3E" w:rsidR="00A421B3" w:rsidRDefault="00A421B3">
      <w:pPr>
        <w:rPr>
          <w:color w:val="000000"/>
        </w:rPr>
      </w:pPr>
    </w:p>
    <w:p w14:paraId="5A0CC7BF" w14:textId="77777777" w:rsidR="00F32DE0" w:rsidRDefault="00F32DE0">
      <w:pPr>
        <w:rPr>
          <w:b/>
          <w:sz w:val="28"/>
          <w:szCs w:val="28"/>
        </w:rPr>
      </w:pPr>
    </w:p>
    <w:p w14:paraId="5BDB853A" w14:textId="77777777" w:rsidR="00386793" w:rsidRDefault="00386793" w:rsidP="0058429D">
      <w:pPr>
        <w:jc w:val="center"/>
        <w:rPr>
          <w:b/>
          <w:sz w:val="28"/>
          <w:szCs w:val="28"/>
        </w:rPr>
      </w:pPr>
    </w:p>
    <w:p w14:paraId="23E3A749" w14:textId="5D4930A1" w:rsidR="0058429D" w:rsidRDefault="0058429D" w:rsidP="0058429D">
      <w:pPr>
        <w:jc w:val="center"/>
        <w:rPr>
          <w:b/>
          <w:sz w:val="28"/>
          <w:szCs w:val="28"/>
        </w:rPr>
      </w:pPr>
      <w:r>
        <w:rPr>
          <w:b/>
          <w:sz w:val="28"/>
          <w:szCs w:val="28"/>
        </w:rPr>
        <w:lastRenderedPageBreak/>
        <w:t>Table of Content</w:t>
      </w:r>
      <w:r w:rsidR="00012A34">
        <w:rPr>
          <w:b/>
          <w:sz w:val="28"/>
          <w:szCs w:val="28"/>
        </w:rPr>
        <w:t>s</w:t>
      </w:r>
    </w:p>
    <w:p w14:paraId="20DF6786" w14:textId="77777777" w:rsidR="00720B71" w:rsidRDefault="00720B71" w:rsidP="0058429D">
      <w:pPr>
        <w:jc w:val="center"/>
        <w:rPr>
          <w:b/>
          <w:sz w:val="28"/>
          <w:szCs w:val="28"/>
        </w:rPr>
      </w:pPr>
    </w:p>
    <w:p w14:paraId="6F9561A6" w14:textId="406FC43A" w:rsidR="0058429D" w:rsidRPr="00541FF7" w:rsidRDefault="0058429D" w:rsidP="00541FF7">
      <w:pPr>
        <w:rPr>
          <w:b/>
        </w:rPr>
      </w:pPr>
      <w:r w:rsidRPr="00541FF7">
        <w:rPr>
          <w:b/>
        </w:rPr>
        <w:t>Justification</w:t>
      </w:r>
    </w:p>
    <w:p w14:paraId="1AC7B000" w14:textId="77777777" w:rsidR="00541FF7" w:rsidRPr="00720B71" w:rsidRDefault="00541FF7" w:rsidP="00541FF7">
      <w:pPr>
        <w:pStyle w:val="ListParagraph"/>
        <w:ind w:left="360"/>
        <w:rPr>
          <w:b/>
        </w:rPr>
      </w:pPr>
    </w:p>
    <w:p w14:paraId="50D01E1B" w14:textId="77777777" w:rsidR="0058429D" w:rsidRPr="00720B71" w:rsidRDefault="0058429D" w:rsidP="00CD1551">
      <w:pPr>
        <w:pStyle w:val="ListParagraph"/>
        <w:numPr>
          <w:ilvl w:val="0"/>
          <w:numId w:val="18"/>
        </w:numPr>
      </w:pPr>
      <w:r w:rsidRPr="00720B71">
        <w:t>Circumstances Making the Collection of Information Necessary</w:t>
      </w:r>
    </w:p>
    <w:p w14:paraId="5B1FD4F0" w14:textId="77777777" w:rsidR="0058429D" w:rsidRPr="00720B71" w:rsidRDefault="0058429D" w:rsidP="00CD1551">
      <w:pPr>
        <w:pStyle w:val="ListParagraph"/>
        <w:numPr>
          <w:ilvl w:val="0"/>
          <w:numId w:val="18"/>
        </w:numPr>
      </w:pPr>
      <w:r w:rsidRPr="00720B71">
        <w:t>Purpose and Use of Information Collection</w:t>
      </w:r>
    </w:p>
    <w:p w14:paraId="6F38E0F0" w14:textId="04326C2C" w:rsidR="0058429D" w:rsidRPr="00720B71" w:rsidRDefault="0058429D" w:rsidP="00CD1551">
      <w:pPr>
        <w:pStyle w:val="ListParagraph"/>
        <w:numPr>
          <w:ilvl w:val="0"/>
          <w:numId w:val="18"/>
        </w:numPr>
      </w:pPr>
      <w:r w:rsidRPr="00720B71">
        <w:t>Use of Improve</w:t>
      </w:r>
      <w:r w:rsidR="00CD1551" w:rsidRPr="00720B71">
        <w:t>d</w:t>
      </w:r>
      <w:r w:rsidRPr="00720B71">
        <w:t xml:space="preserve"> Information Technology and Burden Reduction</w:t>
      </w:r>
    </w:p>
    <w:p w14:paraId="741A4AA6" w14:textId="77777777" w:rsidR="0058429D" w:rsidRPr="00720B71" w:rsidRDefault="0058429D" w:rsidP="00CD1551">
      <w:pPr>
        <w:pStyle w:val="ListParagraph"/>
        <w:numPr>
          <w:ilvl w:val="0"/>
          <w:numId w:val="18"/>
        </w:numPr>
      </w:pPr>
      <w:r w:rsidRPr="00720B71">
        <w:t>Efforts to Identify Duplication and Use of Similar Information</w:t>
      </w:r>
    </w:p>
    <w:p w14:paraId="2FAEBF10" w14:textId="77777777" w:rsidR="0058429D" w:rsidRPr="00720B71" w:rsidRDefault="0058429D" w:rsidP="00CD1551">
      <w:pPr>
        <w:pStyle w:val="ListParagraph"/>
        <w:numPr>
          <w:ilvl w:val="0"/>
          <w:numId w:val="18"/>
        </w:numPr>
      </w:pPr>
      <w:r w:rsidRPr="00720B71">
        <w:t>Impact on Small Businesses or Other Small Entities</w:t>
      </w:r>
    </w:p>
    <w:p w14:paraId="5DE48CEC" w14:textId="1D6C7661" w:rsidR="0058429D" w:rsidRPr="00720B71" w:rsidRDefault="0058429D" w:rsidP="00CD1551">
      <w:pPr>
        <w:pStyle w:val="ListParagraph"/>
        <w:numPr>
          <w:ilvl w:val="0"/>
          <w:numId w:val="18"/>
        </w:numPr>
      </w:pPr>
      <w:r w:rsidRPr="00720B71">
        <w:t>Consequences of Collect</w:t>
      </w:r>
      <w:r w:rsidR="00CD1551" w:rsidRPr="00720B71">
        <w:t>ing</w:t>
      </w:r>
      <w:r w:rsidRPr="00720B71">
        <w:t xml:space="preserve"> the Information Less Frequently</w:t>
      </w:r>
    </w:p>
    <w:p w14:paraId="23FF17D9" w14:textId="65062906" w:rsidR="0058429D" w:rsidRPr="00720B71" w:rsidRDefault="0058429D" w:rsidP="00CD1551">
      <w:pPr>
        <w:pStyle w:val="ListParagraph"/>
        <w:numPr>
          <w:ilvl w:val="0"/>
          <w:numId w:val="18"/>
        </w:numPr>
      </w:pPr>
      <w:r w:rsidRPr="00720B71">
        <w:t>Special Circumstances Relating to the Guidelines of 5 CFR 1320.5</w:t>
      </w:r>
    </w:p>
    <w:p w14:paraId="0C4298B5" w14:textId="77777777" w:rsidR="0058429D" w:rsidRPr="00720B71" w:rsidRDefault="0058429D" w:rsidP="00CD1551">
      <w:pPr>
        <w:pStyle w:val="ListParagraph"/>
        <w:numPr>
          <w:ilvl w:val="0"/>
          <w:numId w:val="18"/>
        </w:numPr>
      </w:pPr>
      <w:r w:rsidRPr="00720B71">
        <w:t>Comments in Response to the Federal Register Notice and Efforts to Consult Outside the Agency</w:t>
      </w:r>
    </w:p>
    <w:p w14:paraId="71E9060F" w14:textId="77777777" w:rsidR="0058429D" w:rsidRPr="00720B71" w:rsidRDefault="0058429D" w:rsidP="00CD1551">
      <w:pPr>
        <w:pStyle w:val="ListParagraph"/>
        <w:numPr>
          <w:ilvl w:val="0"/>
          <w:numId w:val="18"/>
        </w:numPr>
      </w:pPr>
      <w:r w:rsidRPr="00720B71">
        <w:t>Explanation of Any Payment or Gift to Respondents</w:t>
      </w:r>
    </w:p>
    <w:p w14:paraId="139A5108" w14:textId="77777777" w:rsidR="0058429D" w:rsidRPr="00720B71" w:rsidRDefault="0058429D" w:rsidP="00CD1551">
      <w:pPr>
        <w:pStyle w:val="ListParagraph"/>
        <w:numPr>
          <w:ilvl w:val="0"/>
          <w:numId w:val="18"/>
        </w:numPr>
      </w:pPr>
      <w:r w:rsidRPr="00720B71">
        <w:t>Protection of the Privacy and Confidentiality of Information Provided by Respondents</w:t>
      </w:r>
    </w:p>
    <w:p w14:paraId="222362D2" w14:textId="36ADDCDC" w:rsidR="0058429D" w:rsidRPr="00720B71" w:rsidRDefault="0058429D" w:rsidP="00CD1551">
      <w:pPr>
        <w:pStyle w:val="ListParagraph"/>
        <w:numPr>
          <w:ilvl w:val="0"/>
          <w:numId w:val="18"/>
        </w:numPr>
      </w:pPr>
      <w:r w:rsidRPr="00720B71">
        <w:t>Institutional Review Board (IRB) and Justification for Sensitive Questions</w:t>
      </w:r>
    </w:p>
    <w:p w14:paraId="4292CDA2" w14:textId="77777777" w:rsidR="0058429D" w:rsidRPr="00720B71" w:rsidRDefault="0058429D" w:rsidP="00CD1551">
      <w:pPr>
        <w:pStyle w:val="ListParagraph"/>
        <w:numPr>
          <w:ilvl w:val="0"/>
          <w:numId w:val="18"/>
        </w:numPr>
      </w:pPr>
      <w:r w:rsidRPr="00720B71">
        <w:t>Estimates of Annualized Burden Hours and Costs</w:t>
      </w:r>
    </w:p>
    <w:p w14:paraId="14E7944C" w14:textId="2DB89C73" w:rsidR="0058429D" w:rsidRPr="00720B71" w:rsidRDefault="0058429D" w:rsidP="00CD1551">
      <w:pPr>
        <w:pStyle w:val="ListParagraph"/>
        <w:numPr>
          <w:ilvl w:val="0"/>
          <w:numId w:val="18"/>
        </w:numPr>
      </w:pPr>
      <w:r w:rsidRPr="00720B71">
        <w:t xml:space="preserve">Estimates of Other Total Annual Cost Burden to Respondents or Records Keepers </w:t>
      </w:r>
    </w:p>
    <w:p w14:paraId="1330F64A" w14:textId="77777777" w:rsidR="0058429D" w:rsidRPr="00720B71" w:rsidRDefault="0058429D" w:rsidP="00CD1551">
      <w:pPr>
        <w:pStyle w:val="ListParagraph"/>
        <w:numPr>
          <w:ilvl w:val="0"/>
          <w:numId w:val="18"/>
        </w:numPr>
      </w:pPr>
      <w:r w:rsidRPr="00720B71">
        <w:t xml:space="preserve">Annualized Cost to the Government </w:t>
      </w:r>
    </w:p>
    <w:p w14:paraId="58651DB8" w14:textId="0B997E0C" w:rsidR="0058429D" w:rsidRPr="00720B71" w:rsidRDefault="0058429D" w:rsidP="00CD1551">
      <w:pPr>
        <w:pStyle w:val="ListParagraph"/>
        <w:numPr>
          <w:ilvl w:val="0"/>
          <w:numId w:val="18"/>
        </w:numPr>
      </w:pPr>
      <w:r w:rsidRPr="00720B71">
        <w:t>Explanation for Program Changes or Adjustments</w:t>
      </w:r>
    </w:p>
    <w:p w14:paraId="3A31F575" w14:textId="77777777" w:rsidR="0058429D" w:rsidRPr="00720B71" w:rsidRDefault="0058429D" w:rsidP="00CD1551">
      <w:pPr>
        <w:pStyle w:val="ListParagraph"/>
        <w:numPr>
          <w:ilvl w:val="0"/>
          <w:numId w:val="18"/>
        </w:numPr>
      </w:pPr>
      <w:r w:rsidRPr="00720B71">
        <w:t>Plans for Tabulation and Publication and Project Time Schedule</w:t>
      </w:r>
    </w:p>
    <w:p w14:paraId="3B63F0EE" w14:textId="3860B774" w:rsidR="00CD1551" w:rsidRPr="00720B71" w:rsidRDefault="0058429D" w:rsidP="00CD1551">
      <w:pPr>
        <w:pStyle w:val="ListParagraph"/>
        <w:numPr>
          <w:ilvl w:val="0"/>
          <w:numId w:val="18"/>
        </w:numPr>
      </w:pPr>
      <w:r w:rsidRPr="00720B71">
        <w:t>Reason(s) Display of OMB Expiration Date is Inappropriate</w:t>
      </w:r>
      <w:r w:rsidR="00CD1551" w:rsidRPr="00720B71">
        <w:t xml:space="preserve"> </w:t>
      </w:r>
    </w:p>
    <w:p w14:paraId="572E689A" w14:textId="716AA2AC" w:rsidR="0058429D" w:rsidRPr="00720B71" w:rsidRDefault="0058429D" w:rsidP="00CD1551">
      <w:pPr>
        <w:pStyle w:val="ListParagraph"/>
        <w:numPr>
          <w:ilvl w:val="0"/>
          <w:numId w:val="18"/>
        </w:numPr>
      </w:pPr>
      <w:r w:rsidRPr="00720B71">
        <w:t>Exceptions to Certification of Paperwork Reduction Act Submissions</w:t>
      </w:r>
    </w:p>
    <w:p w14:paraId="1E74C577" w14:textId="77777777" w:rsidR="0058429D" w:rsidRPr="00720B71" w:rsidRDefault="0058429D" w:rsidP="0058429D"/>
    <w:p w14:paraId="00C8234D" w14:textId="77777777" w:rsidR="0058429D" w:rsidRPr="00720B71" w:rsidRDefault="0058429D" w:rsidP="0058429D">
      <w:pPr>
        <w:rPr>
          <w:b/>
        </w:rPr>
      </w:pPr>
      <w:r w:rsidRPr="00720B71">
        <w:rPr>
          <w:b/>
        </w:rPr>
        <w:t xml:space="preserve">List of Attachments </w:t>
      </w:r>
    </w:p>
    <w:p w14:paraId="18FEF5E0" w14:textId="77777777" w:rsidR="0058429D" w:rsidRPr="00720B71" w:rsidRDefault="0058429D" w:rsidP="0058429D"/>
    <w:p w14:paraId="082B4EFF" w14:textId="77777777" w:rsidR="0058429D" w:rsidRPr="00720B71" w:rsidRDefault="0058429D" w:rsidP="00CD1551">
      <w:pPr>
        <w:pStyle w:val="ListParagraph"/>
        <w:numPr>
          <w:ilvl w:val="0"/>
          <w:numId w:val="20"/>
        </w:numPr>
      </w:pPr>
      <w:r w:rsidRPr="00720B71">
        <w:t>Att.</w:t>
      </w:r>
      <w:r w:rsidR="006B6B7D" w:rsidRPr="00720B71">
        <w:t xml:space="preserve"> </w:t>
      </w:r>
      <w:r w:rsidRPr="00720B71">
        <w:t>A Authorizing Legislation</w:t>
      </w:r>
    </w:p>
    <w:p w14:paraId="00824998" w14:textId="77777777" w:rsidR="0058429D" w:rsidRPr="00720B71" w:rsidRDefault="0058429D" w:rsidP="00CD1551">
      <w:pPr>
        <w:pStyle w:val="ListParagraph"/>
        <w:numPr>
          <w:ilvl w:val="0"/>
          <w:numId w:val="20"/>
        </w:numPr>
      </w:pPr>
      <w:r w:rsidRPr="00720B71">
        <w:t>Att.</w:t>
      </w:r>
      <w:r w:rsidR="006B6B7D" w:rsidRPr="00720B71">
        <w:t xml:space="preserve"> </w:t>
      </w:r>
      <w:r w:rsidRPr="00720B71">
        <w:t>B 60-Day FRN</w:t>
      </w:r>
    </w:p>
    <w:p w14:paraId="214E09D9" w14:textId="77777777" w:rsidR="0058429D" w:rsidRPr="00720B71" w:rsidRDefault="0058429D" w:rsidP="00CD1551">
      <w:pPr>
        <w:pStyle w:val="ListParagraph"/>
        <w:numPr>
          <w:ilvl w:val="0"/>
          <w:numId w:val="20"/>
        </w:numPr>
      </w:pPr>
      <w:r w:rsidRPr="00720B71">
        <w:t>Att. C Consent Form</w:t>
      </w:r>
    </w:p>
    <w:p w14:paraId="49DC9FD0" w14:textId="77777777" w:rsidR="0058429D" w:rsidRPr="00720B71" w:rsidRDefault="0058429D" w:rsidP="00CD1551">
      <w:pPr>
        <w:pStyle w:val="ListParagraph"/>
        <w:numPr>
          <w:ilvl w:val="0"/>
          <w:numId w:val="20"/>
        </w:numPr>
      </w:pPr>
      <w:r w:rsidRPr="00720B71">
        <w:t>Att.</w:t>
      </w:r>
      <w:r w:rsidR="006B6B7D" w:rsidRPr="00720B71">
        <w:t xml:space="preserve"> </w:t>
      </w:r>
      <w:r w:rsidRPr="00720B71">
        <w:t>D Survey</w:t>
      </w:r>
    </w:p>
    <w:p w14:paraId="2FEBD152" w14:textId="180D8477" w:rsidR="0058429D" w:rsidRPr="00720B71" w:rsidRDefault="0058429D" w:rsidP="00CD1551">
      <w:pPr>
        <w:pStyle w:val="ListParagraph"/>
        <w:numPr>
          <w:ilvl w:val="0"/>
          <w:numId w:val="20"/>
        </w:numPr>
      </w:pPr>
      <w:r w:rsidRPr="00720B71">
        <w:t>A</w:t>
      </w:r>
      <w:r w:rsidR="00A01812">
        <w:t>tt. E Recruitment and Reminder E</w:t>
      </w:r>
      <w:r w:rsidRPr="00720B71">
        <w:t>mails</w:t>
      </w:r>
    </w:p>
    <w:p w14:paraId="04C9F9B4" w14:textId="77777777" w:rsidR="0058429D" w:rsidRPr="00720B71" w:rsidRDefault="0058429D" w:rsidP="00CD1551">
      <w:pPr>
        <w:pStyle w:val="ListParagraph"/>
        <w:numPr>
          <w:ilvl w:val="0"/>
          <w:numId w:val="20"/>
        </w:numPr>
      </w:pPr>
      <w:r w:rsidRPr="00720B71">
        <w:t xml:space="preserve">Att. F IRB Determination </w:t>
      </w:r>
    </w:p>
    <w:p w14:paraId="537D29BC" w14:textId="77777777" w:rsidR="0058429D" w:rsidRPr="00720B71" w:rsidRDefault="0058429D" w:rsidP="00CD1551">
      <w:pPr>
        <w:pStyle w:val="ListParagraph"/>
        <w:numPr>
          <w:ilvl w:val="0"/>
          <w:numId w:val="20"/>
        </w:numPr>
      </w:pPr>
      <w:r w:rsidRPr="00720B71">
        <w:t>Att. G References</w:t>
      </w:r>
    </w:p>
    <w:p w14:paraId="03B6E5BF" w14:textId="77777777" w:rsidR="007C09AF" w:rsidRDefault="007C09AF" w:rsidP="00CD1551">
      <w:pPr>
        <w:pStyle w:val="ListParagraph"/>
        <w:numPr>
          <w:ilvl w:val="0"/>
          <w:numId w:val="20"/>
        </w:numPr>
      </w:pPr>
      <w:r w:rsidRPr="00720B71">
        <w:t>Att. H Comments from 60-day FRN</w:t>
      </w:r>
    </w:p>
    <w:p w14:paraId="385C79F0" w14:textId="58C1530D" w:rsidR="00E73884" w:rsidRDefault="0045462B" w:rsidP="00E73884">
      <w:pPr>
        <w:pStyle w:val="ListParagraph"/>
        <w:numPr>
          <w:ilvl w:val="0"/>
          <w:numId w:val="20"/>
        </w:numPr>
      </w:pPr>
      <w:r>
        <w:t xml:space="preserve">Att. </w:t>
      </w:r>
      <w:r w:rsidR="00A01812">
        <w:t xml:space="preserve">I Instrument Domains and Subdomains Table </w:t>
      </w:r>
    </w:p>
    <w:p w14:paraId="0B9C003A" w14:textId="166BA39C" w:rsidR="00E73884" w:rsidRPr="00720B71" w:rsidRDefault="00E73884" w:rsidP="00E73884">
      <w:pPr>
        <w:pStyle w:val="ListParagraph"/>
        <w:numPr>
          <w:ilvl w:val="0"/>
          <w:numId w:val="20"/>
        </w:numPr>
      </w:pPr>
      <w:r>
        <w:t xml:space="preserve">Att. J </w:t>
      </w:r>
      <w:r w:rsidR="00AF3871">
        <w:t xml:space="preserve">Worker Well-being Survey Items and Associated References </w:t>
      </w:r>
    </w:p>
    <w:p w14:paraId="1A9878B3" w14:textId="77777777" w:rsidR="0058429D" w:rsidRPr="00720B71" w:rsidRDefault="0058429D" w:rsidP="0058429D">
      <w:pPr>
        <w:jc w:val="center"/>
        <w:rPr>
          <w:b/>
        </w:rPr>
      </w:pPr>
    </w:p>
    <w:p w14:paraId="665B3A39" w14:textId="77777777" w:rsidR="0058429D" w:rsidRDefault="0058429D" w:rsidP="0058429D">
      <w:pPr>
        <w:rPr>
          <w:b/>
          <w:sz w:val="28"/>
          <w:szCs w:val="28"/>
        </w:rPr>
      </w:pPr>
    </w:p>
    <w:p w14:paraId="35933BC6" w14:textId="77777777" w:rsidR="00720B71" w:rsidRDefault="00720B71" w:rsidP="0058429D">
      <w:pPr>
        <w:rPr>
          <w:b/>
          <w:sz w:val="28"/>
          <w:szCs w:val="28"/>
        </w:rPr>
      </w:pPr>
    </w:p>
    <w:p w14:paraId="6C68E854" w14:textId="77777777" w:rsidR="00720B71" w:rsidRDefault="00720B71" w:rsidP="0058429D">
      <w:pPr>
        <w:rPr>
          <w:b/>
          <w:sz w:val="28"/>
          <w:szCs w:val="28"/>
        </w:rPr>
      </w:pPr>
    </w:p>
    <w:p w14:paraId="0FA5D0B6" w14:textId="77777777" w:rsidR="00720B71" w:rsidRDefault="00720B71" w:rsidP="0058429D">
      <w:pPr>
        <w:rPr>
          <w:b/>
          <w:sz w:val="28"/>
          <w:szCs w:val="28"/>
        </w:rPr>
      </w:pPr>
    </w:p>
    <w:p w14:paraId="674482B3" w14:textId="77777777" w:rsidR="00720B71" w:rsidRDefault="00720B71" w:rsidP="0058429D">
      <w:pPr>
        <w:rPr>
          <w:b/>
          <w:sz w:val="28"/>
          <w:szCs w:val="28"/>
        </w:rPr>
      </w:pPr>
    </w:p>
    <w:p w14:paraId="4A56E9CA" w14:textId="77777777" w:rsidR="00720B71" w:rsidRDefault="00720B71" w:rsidP="0058429D">
      <w:pPr>
        <w:rPr>
          <w:b/>
          <w:sz w:val="28"/>
          <w:szCs w:val="28"/>
        </w:rPr>
      </w:pPr>
    </w:p>
    <w:p w14:paraId="54D59CAF" w14:textId="77777777" w:rsidR="0058429D" w:rsidRDefault="0058429D" w:rsidP="0058481E">
      <w:pPr>
        <w:jc w:val="center"/>
        <w:rPr>
          <w:b/>
          <w:sz w:val="28"/>
          <w:szCs w:val="28"/>
        </w:rPr>
      </w:pPr>
    </w:p>
    <w:p w14:paraId="065122C9" w14:textId="77777777" w:rsidR="00CD1551" w:rsidRDefault="00CD1551" w:rsidP="0058481E">
      <w:pPr>
        <w:jc w:val="center"/>
        <w:rPr>
          <w:b/>
          <w:sz w:val="28"/>
          <w:szCs w:val="28"/>
        </w:rPr>
      </w:pPr>
    </w:p>
    <w:p w14:paraId="1715638C" w14:textId="77777777" w:rsidR="0002172E" w:rsidRDefault="00A67DE5" w:rsidP="0058429D">
      <w:pPr>
        <w:ind w:left="2160" w:firstLine="720"/>
        <w:rPr>
          <w:b/>
          <w:sz w:val="28"/>
          <w:szCs w:val="28"/>
        </w:rPr>
      </w:pPr>
      <w:r w:rsidRPr="00FA1175">
        <w:rPr>
          <w:b/>
          <w:sz w:val="28"/>
          <w:szCs w:val="28"/>
        </w:rPr>
        <w:lastRenderedPageBreak/>
        <w:t>SUPPORTING STATEMENT</w:t>
      </w:r>
      <w:bookmarkEnd w:id="0"/>
      <w:r w:rsidR="00555DAF" w:rsidRPr="00FA1175">
        <w:rPr>
          <w:b/>
          <w:sz w:val="28"/>
          <w:szCs w:val="28"/>
        </w:rPr>
        <w:t xml:space="preserve"> A </w:t>
      </w:r>
    </w:p>
    <w:p w14:paraId="2A98A1E4" w14:textId="77777777" w:rsidR="003165CC" w:rsidRPr="00FA1175" w:rsidRDefault="00555DAF" w:rsidP="0058481E">
      <w:pPr>
        <w:jc w:val="center"/>
        <w:rPr>
          <w:b/>
        </w:rPr>
      </w:pPr>
      <w:r w:rsidRPr="00FA1175">
        <w:rPr>
          <w:b/>
          <w:sz w:val="28"/>
          <w:szCs w:val="28"/>
        </w:rPr>
        <w:t>Submission for “</w:t>
      </w:r>
      <w:r w:rsidR="00FA1175" w:rsidRPr="00FA1175">
        <w:rPr>
          <w:b/>
        </w:rPr>
        <w:t xml:space="preserve">Measuring Well-Being for </w:t>
      </w:r>
      <w:r w:rsidR="00FA1175" w:rsidRPr="002015FF">
        <w:rPr>
          <w:b/>
          <w:i/>
        </w:rPr>
        <w:t>Total Worker Health</w:t>
      </w:r>
      <w:r w:rsidRPr="00FA1175">
        <w:rPr>
          <w:b/>
          <w:caps/>
        </w:rPr>
        <w:t>”</w:t>
      </w:r>
    </w:p>
    <w:p w14:paraId="3C876BDD" w14:textId="77777777" w:rsidR="00A67DE5" w:rsidRDefault="00A67DE5" w:rsidP="0058481E"/>
    <w:p w14:paraId="3241D46E" w14:textId="77777777" w:rsidR="000953AB" w:rsidRDefault="000953AB" w:rsidP="0058481E"/>
    <w:p w14:paraId="065230F0" w14:textId="2BD4916F" w:rsidR="000953AB" w:rsidRDefault="000953AB" w:rsidP="0058481E"/>
    <w:p w14:paraId="1A2C27EE" w14:textId="77777777" w:rsidR="000953AB" w:rsidRDefault="000953AB" w:rsidP="0058481E"/>
    <w:p w14:paraId="2B04868A" w14:textId="77777777" w:rsidR="000953AB" w:rsidRDefault="000953AB" w:rsidP="0058481E"/>
    <w:p w14:paraId="67AA34FF" w14:textId="77777777" w:rsidR="000953AB" w:rsidRDefault="000953AB" w:rsidP="0058481E"/>
    <w:p w14:paraId="07C004D0" w14:textId="77777777" w:rsidR="000953AB" w:rsidRDefault="000953AB" w:rsidP="0058481E"/>
    <w:p w14:paraId="4EA7CDCD" w14:textId="0E3E8C4C" w:rsidR="00A67DE5" w:rsidRDefault="00A67DE5" w:rsidP="0058481E"/>
    <w:p w14:paraId="1098F663" w14:textId="5730DEF9" w:rsidR="000375B0" w:rsidRDefault="000375B0" w:rsidP="0058481E"/>
    <w:p w14:paraId="08E6DA57" w14:textId="4E00A841" w:rsidR="000375B0" w:rsidRDefault="000375B0" w:rsidP="0058481E"/>
    <w:p w14:paraId="0A43AC32" w14:textId="6B5B3B55" w:rsidR="000375B0" w:rsidRDefault="000375B0" w:rsidP="0058481E"/>
    <w:p w14:paraId="168F0878" w14:textId="48F63EAB" w:rsidR="0059766F" w:rsidRDefault="0059766F" w:rsidP="00541FF7">
      <w:pPr>
        <w:rPr>
          <w:b/>
          <w:sz w:val="28"/>
          <w:szCs w:val="28"/>
        </w:rPr>
      </w:pPr>
      <w:bookmarkStart w:id="2" w:name="_Toc422159584"/>
    </w:p>
    <w:tbl>
      <w:tblPr>
        <w:tblW w:w="9816"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59766F" w14:paraId="57797C32" w14:textId="77777777" w:rsidTr="0059766F">
        <w:trPr>
          <w:trHeight w:val="7272"/>
        </w:trPr>
        <w:tc>
          <w:tcPr>
            <w:tcW w:w="9816" w:type="dxa"/>
            <w:tcBorders>
              <w:top w:val="single" w:sz="4" w:space="0" w:color="auto"/>
              <w:left w:val="single" w:sz="4" w:space="0" w:color="auto"/>
              <w:bottom w:val="single" w:sz="4" w:space="0" w:color="auto"/>
              <w:right w:val="single" w:sz="4" w:space="0" w:color="auto"/>
            </w:tcBorders>
          </w:tcPr>
          <w:p w14:paraId="084492A7" w14:textId="06CCC300" w:rsidR="0059766F" w:rsidRPr="00515A46" w:rsidRDefault="0059766F" w:rsidP="0059766F">
            <w:pPr>
              <w:pStyle w:val="ListParagraph"/>
              <w:numPr>
                <w:ilvl w:val="0"/>
                <w:numId w:val="16"/>
              </w:numPr>
              <w:spacing w:after="200" w:line="276" w:lineRule="auto"/>
            </w:pPr>
            <w:r w:rsidRPr="00CD1551">
              <w:rPr>
                <w:b/>
              </w:rPr>
              <w:t xml:space="preserve">Goal of </w:t>
            </w:r>
            <w:r w:rsidRPr="00515A46">
              <w:rPr>
                <w:b/>
              </w:rPr>
              <w:t>the study:</w:t>
            </w:r>
            <w:r w:rsidRPr="00515A46">
              <w:t xml:space="preserve"> </w:t>
            </w:r>
            <w:r w:rsidR="00C54873">
              <w:t>There is currently no comprehensive measure of worker well-being in the U.S. despite well-being becoming a high</w:t>
            </w:r>
            <w:r w:rsidR="00B3607E">
              <w:t xml:space="preserve">er </w:t>
            </w:r>
            <w:r w:rsidR="00C54873">
              <w:t xml:space="preserve">priority </w:t>
            </w:r>
            <w:r w:rsidR="00B3607E">
              <w:t>in some employment settings</w:t>
            </w:r>
            <w:r w:rsidR="00C54873">
              <w:t xml:space="preserve">. </w:t>
            </w:r>
            <w:r w:rsidR="00C90F16" w:rsidRPr="00C90F16">
              <w:t>The</w:t>
            </w:r>
            <w:r w:rsidR="00C54873">
              <w:rPr>
                <w:color w:val="000000"/>
              </w:rPr>
              <w:t xml:space="preserve"> goal of th</w:t>
            </w:r>
            <w:r w:rsidR="00F24AE0">
              <w:rPr>
                <w:color w:val="000000"/>
              </w:rPr>
              <w:t xml:space="preserve">is </w:t>
            </w:r>
            <w:r w:rsidR="00C54873">
              <w:rPr>
                <w:color w:val="000000"/>
              </w:rPr>
              <w:t xml:space="preserve">study is to gather data and conduct </w:t>
            </w:r>
            <w:r w:rsidR="00C54873" w:rsidRPr="00790B6C">
              <w:rPr>
                <w:color w:val="000000"/>
              </w:rPr>
              <w:t>psychometric testing</w:t>
            </w:r>
            <w:r w:rsidR="00C54873">
              <w:rPr>
                <w:color w:val="000000"/>
              </w:rPr>
              <w:t xml:space="preserve"> of a draft worker well-being survey instrument, and to refine the instrument accordingly, to enable estimates of worker well-being at the national and worker population (e.g., industry, industry sector, occupation, organizational) levels in the United States.</w:t>
            </w:r>
          </w:p>
          <w:p w14:paraId="49BAC6D7" w14:textId="77777777" w:rsidR="0059766F" w:rsidRPr="00515A46" w:rsidRDefault="0059766F">
            <w:pPr>
              <w:pStyle w:val="ListParagraph"/>
              <w:ind w:left="360"/>
            </w:pPr>
          </w:p>
          <w:p w14:paraId="1D6B0C76" w14:textId="35EEFBCD" w:rsidR="0059766F" w:rsidRPr="00515A46" w:rsidRDefault="0059766F" w:rsidP="0059766F">
            <w:pPr>
              <w:pStyle w:val="ListParagraph"/>
              <w:numPr>
                <w:ilvl w:val="0"/>
                <w:numId w:val="16"/>
              </w:numPr>
              <w:spacing w:after="200" w:line="276" w:lineRule="auto"/>
            </w:pPr>
            <w:r w:rsidRPr="00515A46">
              <w:rPr>
                <w:b/>
              </w:rPr>
              <w:t>Intended use of the resulting data:</w:t>
            </w:r>
            <w:r w:rsidRPr="00515A46">
              <w:t xml:space="preserve"> </w:t>
            </w:r>
            <w:r w:rsidR="00294E24">
              <w:t>T</w:t>
            </w:r>
            <w:r w:rsidRPr="00515A46">
              <w:t>h</w:t>
            </w:r>
            <w:r w:rsidR="00C54873">
              <w:t>e</w:t>
            </w:r>
            <w:r w:rsidRPr="00515A46">
              <w:t xml:space="preserve"> project’s objective is to field a survey for the purposes of instrument testing, validation, and finalization</w:t>
            </w:r>
            <w:r w:rsidR="00294E24">
              <w:t>.</w:t>
            </w:r>
            <w:r w:rsidR="00C54873">
              <w:t xml:space="preserve"> </w:t>
            </w:r>
            <w:r w:rsidR="00294E24">
              <w:t>T</w:t>
            </w:r>
            <w:r w:rsidRPr="00515A46">
              <w:t xml:space="preserve">he ultimate end goal of the instrument is the routine measurement of </w:t>
            </w:r>
            <w:r w:rsidR="00E76DE2" w:rsidRPr="00515A46">
              <w:t xml:space="preserve">worker well-being </w:t>
            </w:r>
            <w:r w:rsidR="00E76DE2">
              <w:t xml:space="preserve">of </w:t>
            </w:r>
            <w:r w:rsidRPr="00515A46">
              <w:t>a sample of workers in the U.S., at national or other population-level scales.</w:t>
            </w:r>
            <w:r w:rsidR="00E76DE2">
              <w:t xml:space="preserve"> This in</w:t>
            </w:r>
            <w:r w:rsidR="0002182D">
              <w:t>s</w:t>
            </w:r>
            <w:r w:rsidR="00E76DE2">
              <w:t>trument will be useful to employers to assess and advance the well-being of the workforce.</w:t>
            </w:r>
          </w:p>
          <w:p w14:paraId="2EC9C2FD" w14:textId="77777777" w:rsidR="0059766F" w:rsidRPr="00515A46" w:rsidRDefault="0059766F">
            <w:pPr>
              <w:pStyle w:val="ListParagraph"/>
              <w:ind w:left="360"/>
            </w:pPr>
          </w:p>
          <w:p w14:paraId="0D4A3FA0" w14:textId="516BF36B" w:rsidR="0059766F" w:rsidRPr="00515A46" w:rsidRDefault="0059766F" w:rsidP="00272F11">
            <w:pPr>
              <w:pStyle w:val="ListParagraph"/>
              <w:numPr>
                <w:ilvl w:val="0"/>
                <w:numId w:val="16"/>
              </w:numPr>
              <w:spacing w:after="200" w:line="276" w:lineRule="auto"/>
            </w:pPr>
            <w:r w:rsidRPr="00515A46">
              <w:rPr>
                <w:b/>
              </w:rPr>
              <w:t>Methods to be used to collect:</w:t>
            </w:r>
            <w:r w:rsidRPr="00515A46">
              <w:t xml:space="preserve"> The survey will be administered </w:t>
            </w:r>
            <w:r w:rsidR="00C54873">
              <w:t>to</w:t>
            </w:r>
            <w:r w:rsidR="00935096">
              <w:t xml:space="preserve"> </w:t>
            </w:r>
            <w:r w:rsidR="00C54873">
              <w:t>a</w:t>
            </w:r>
            <w:r w:rsidR="00CD3ED8">
              <w:t>n</w:t>
            </w:r>
            <w:r w:rsidR="00C54873">
              <w:t xml:space="preserve"> </w:t>
            </w:r>
            <w:r w:rsidRPr="00515A46">
              <w:t>online</w:t>
            </w:r>
            <w:r w:rsidR="00C54873">
              <w:t xml:space="preserve"> panel of employed workers convened by GfK, a survey vendor</w:t>
            </w:r>
            <w:r w:rsidRPr="00515A46">
              <w:t>.</w:t>
            </w:r>
          </w:p>
          <w:p w14:paraId="74779D30" w14:textId="77777777" w:rsidR="0059766F" w:rsidRPr="00515A46" w:rsidRDefault="0059766F">
            <w:pPr>
              <w:pStyle w:val="ListParagraph"/>
              <w:ind w:left="360"/>
            </w:pPr>
          </w:p>
          <w:p w14:paraId="0521E694" w14:textId="3FAC60AD" w:rsidR="00BC026D" w:rsidRDefault="0059766F" w:rsidP="00BC026D">
            <w:pPr>
              <w:pStyle w:val="ListParagraph"/>
              <w:numPr>
                <w:ilvl w:val="0"/>
                <w:numId w:val="16"/>
              </w:numPr>
            </w:pPr>
            <w:r w:rsidRPr="00515A46">
              <w:rPr>
                <w:b/>
              </w:rPr>
              <w:t>The subpopulation to be studied:</w:t>
            </w:r>
            <w:r w:rsidRPr="00515A46">
              <w:t xml:space="preserve">  A random sample of participants from the G</w:t>
            </w:r>
            <w:r w:rsidR="00C54873">
              <w:t>f</w:t>
            </w:r>
            <w:r w:rsidRPr="00515A46">
              <w:t>K online panel will be drawn from all panel participants who are English speaking, employed, and at least 18 years old.</w:t>
            </w:r>
          </w:p>
          <w:p w14:paraId="0C455D43" w14:textId="77777777" w:rsidR="00BC026D" w:rsidRDefault="00BC026D" w:rsidP="00BC026D"/>
          <w:p w14:paraId="1683C06B" w14:textId="451B55C7" w:rsidR="0059766F" w:rsidRPr="009B2C27" w:rsidRDefault="00BC026D" w:rsidP="002B56DE">
            <w:pPr>
              <w:pStyle w:val="ListParagraph"/>
              <w:numPr>
                <w:ilvl w:val="0"/>
                <w:numId w:val="16"/>
              </w:numPr>
            </w:pPr>
            <w:r w:rsidRPr="009B2C27">
              <w:rPr>
                <w:b/>
              </w:rPr>
              <w:t>How data will be analyzed:</w:t>
            </w:r>
            <w:r>
              <w:t xml:space="preserve"> </w:t>
            </w:r>
            <w:r w:rsidR="002B56DE" w:rsidRPr="002B56DE">
              <w:t>Psychometric analyses</w:t>
            </w:r>
            <w:r w:rsidR="002B56DE">
              <w:t>, including e</w:t>
            </w:r>
            <w:r w:rsidRPr="00515A46">
              <w:t xml:space="preserve">xploratory </w:t>
            </w:r>
            <w:r>
              <w:t xml:space="preserve">and confirmatory </w:t>
            </w:r>
            <w:r w:rsidRPr="00515A46">
              <w:t>factor analys</w:t>
            </w:r>
            <w:r w:rsidR="00DC35B7">
              <w:t>e</w:t>
            </w:r>
            <w:r w:rsidRPr="00515A46">
              <w:t>s</w:t>
            </w:r>
            <w:r w:rsidR="00E76DE2">
              <w:t>,</w:t>
            </w:r>
            <w:r w:rsidRPr="00515A46">
              <w:t xml:space="preserve"> will be conducted </w:t>
            </w:r>
            <w:r>
              <w:t>to understand and finalize the factor structure of the instrument</w:t>
            </w:r>
            <w:r w:rsidR="00337A8F">
              <w:t xml:space="preserve"> and to </w:t>
            </w:r>
            <w:r w:rsidR="009B2C27">
              <w:t>assess the overall validity of the instrument.</w:t>
            </w:r>
          </w:p>
        </w:tc>
      </w:tr>
    </w:tbl>
    <w:p w14:paraId="6C7CD3F5" w14:textId="77777777" w:rsidR="005A2144" w:rsidRDefault="005A2144" w:rsidP="004557A4">
      <w:pPr>
        <w:pStyle w:val="Heading1"/>
        <w:rPr>
          <w:bCs w:val="0"/>
        </w:rPr>
      </w:pPr>
    </w:p>
    <w:p w14:paraId="1B84FD90" w14:textId="77777777" w:rsidR="005A2144" w:rsidRDefault="005A2144" w:rsidP="004557A4">
      <w:pPr>
        <w:pStyle w:val="Heading1"/>
        <w:rPr>
          <w:bCs w:val="0"/>
        </w:rPr>
      </w:pPr>
    </w:p>
    <w:p w14:paraId="4808855D" w14:textId="77777777" w:rsidR="00962DF1" w:rsidRDefault="00962DF1">
      <w:pPr>
        <w:rPr>
          <w:b/>
        </w:rPr>
      </w:pPr>
      <w:r>
        <w:rPr>
          <w:bCs/>
        </w:rPr>
        <w:br w:type="page"/>
      </w:r>
    </w:p>
    <w:p w14:paraId="72724071" w14:textId="170841EB" w:rsidR="003213E6" w:rsidRPr="003213E6" w:rsidRDefault="003213E6" w:rsidP="004557A4">
      <w:pPr>
        <w:pStyle w:val="Heading1"/>
      </w:pPr>
      <w:r w:rsidRPr="004557A4">
        <w:rPr>
          <w:bCs w:val="0"/>
        </w:rPr>
        <w:t>A.</w:t>
      </w:r>
      <w:r w:rsidRPr="004557A4">
        <w:t xml:space="preserve"> </w:t>
      </w:r>
      <w:r w:rsidR="00A67DE5" w:rsidRPr="004557A4">
        <w:t>Justification</w:t>
      </w:r>
      <w:bookmarkEnd w:id="2"/>
    </w:p>
    <w:p w14:paraId="04583570" w14:textId="77777777" w:rsidR="00AF0D15" w:rsidRDefault="00AF0D15" w:rsidP="00AF0D15"/>
    <w:p w14:paraId="6A207415" w14:textId="25D8F967" w:rsidR="00AF0D15" w:rsidRPr="00FC203D" w:rsidRDefault="00AF0D15" w:rsidP="00AF0D15">
      <w:pPr>
        <w:rPr>
          <w:b/>
        </w:rPr>
      </w:pPr>
      <w:r w:rsidRPr="00FC203D">
        <w:rPr>
          <w:b/>
        </w:rPr>
        <w:t xml:space="preserve">1.1 Overview of Request </w:t>
      </w:r>
    </w:p>
    <w:p w14:paraId="65B534AB" w14:textId="77777777" w:rsidR="000E5910" w:rsidRDefault="000E5910" w:rsidP="00AF0D15"/>
    <w:p w14:paraId="0FFFB927" w14:textId="77777777" w:rsidR="00FF1E6F" w:rsidRDefault="009B2C27" w:rsidP="00AF0D15">
      <w:r w:rsidRPr="003F249F">
        <w:t xml:space="preserve">This is a request for a new information collection. </w:t>
      </w:r>
      <w:r>
        <w:t xml:space="preserve">The </w:t>
      </w:r>
      <w:r w:rsidRPr="003F249F">
        <w:rPr>
          <w:color w:val="000000"/>
        </w:rPr>
        <w:t xml:space="preserve">Centers for Disease Control and Prevention </w:t>
      </w:r>
      <w:r>
        <w:rPr>
          <w:color w:val="000000"/>
        </w:rPr>
        <w:t>(</w:t>
      </w:r>
      <w:r w:rsidRPr="003F249F">
        <w:t>CDC</w:t>
      </w:r>
      <w:r>
        <w:t>)</w:t>
      </w:r>
      <w:r w:rsidRPr="003F249F">
        <w:t xml:space="preserve"> is requesting a 1-year approval to collect information using </w:t>
      </w:r>
      <w:r w:rsidR="00A82710">
        <w:t>a</w:t>
      </w:r>
      <w:r>
        <w:t xml:space="preserve"> worker well-being survey.</w:t>
      </w:r>
      <w:r w:rsidR="00BE5531">
        <w:t xml:space="preserve"> </w:t>
      </w:r>
      <w:r w:rsidR="00BE5531" w:rsidRPr="0059766F">
        <w:t xml:space="preserve">This survey does not </w:t>
      </w:r>
      <w:r w:rsidR="00BE5531">
        <w:t>collect</w:t>
      </w:r>
      <w:r w:rsidR="00BE5531" w:rsidRPr="0059766F">
        <w:t xml:space="preserve"> personally identifiable data</w:t>
      </w:r>
      <w:r w:rsidR="00BE5531">
        <w:t>.</w:t>
      </w:r>
      <w:r w:rsidR="009363E6">
        <w:t xml:space="preserve"> </w:t>
      </w:r>
    </w:p>
    <w:p w14:paraId="15AA570E" w14:textId="77777777" w:rsidR="00FF1E6F" w:rsidRDefault="00FF1E6F" w:rsidP="00AF0D15"/>
    <w:p w14:paraId="7ABA256E" w14:textId="319C2CDD" w:rsidR="003172C9" w:rsidRPr="000E5910" w:rsidRDefault="009B2C27" w:rsidP="00AF0D15">
      <w:r>
        <w:t>CDC’s</w:t>
      </w:r>
      <w:r w:rsidR="00AF0D15">
        <w:t xml:space="preserve"> N</w:t>
      </w:r>
      <w:r w:rsidR="00E6551E">
        <w:t xml:space="preserve">ational </w:t>
      </w:r>
      <w:r w:rsidR="00AF0D15">
        <w:t>I</w:t>
      </w:r>
      <w:r w:rsidR="00E6551E">
        <w:t xml:space="preserve">nstitute for </w:t>
      </w:r>
      <w:r w:rsidR="00AF0D15">
        <w:t>O</w:t>
      </w:r>
      <w:r w:rsidR="00E6551E">
        <w:t xml:space="preserve">ccupational </w:t>
      </w:r>
      <w:r w:rsidR="00AF0D15">
        <w:t>S</w:t>
      </w:r>
      <w:r w:rsidR="00E6551E">
        <w:t xml:space="preserve">afety and </w:t>
      </w:r>
      <w:r w:rsidR="00AF0D15">
        <w:t>H</w:t>
      </w:r>
      <w:r w:rsidR="00E6551E">
        <w:t>ealth</w:t>
      </w:r>
      <w:r w:rsidR="00AF0D15">
        <w:t xml:space="preserve"> </w:t>
      </w:r>
      <w:r w:rsidR="00E6551E">
        <w:t xml:space="preserve">(NIOSH) </w:t>
      </w:r>
      <w:r w:rsidR="00AF0D15">
        <w:t xml:space="preserve">has contracted with the RAND Corporation to develop an instrument to measure worker well-being. </w:t>
      </w:r>
      <w:r w:rsidR="000E5910">
        <w:t xml:space="preserve">In response to partner and stakeholder requests and interests, </w:t>
      </w:r>
      <w:r w:rsidR="00E6551E">
        <w:t xml:space="preserve">NIOSH’S </w:t>
      </w:r>
      <w:r w:rsidR="00E6551E" w:rsidRPr="00E76DE2">
        <w:rPr>
          <w:i/>
        </w:rPr>
        <w:t>Total Worker Health</w:t>
      </w:r>
      <w:r w:rsidR="00E6551E">
        <w:t xml:space="preserve"> Program </w:t>
      </w:r>
      <w:r w:rsidR="00F75EB9">
        <w:t>started a</w:t>
      </w:r>
      <w:r w:rsidR="00E76DE2">
        <w:t>n</w:t>
      </w:r>
      <w:r w:rsidR="00F75EB9">
        <w:t xml:space="preserve"> initiative to </w:t>
      </w:r>
      <w:r w:rsidR="004A6B99">
        <w:t>define and measure the concept of worker well-being.</w:t>
      </w:r>
      <w:r w:rsidR="004A6B99">
        <w:rPr>
          <w:rStyle w:val="FootnoteReference"/>
        </w:rPr>
        <w:footnoteReference w:id="2"/>
      </w:r>
      <w:r w:rsidR="004A6B99">
        <w:t xml:space="preserve"> </w:t>
      </w:r>
      <w:r w:rsidR="009363E6">
        <w:t>C</w:t>
      </w:r>
      <w:r w:rsidR="009363E6" w:rsidRPr="00704346">
        <w:t>onceptualizing</w:t>
      </w:r>
      <w:r w:rsidR="009363E6">
        <w:t xml:space="preserve"> and measuring</w:t>
      </w:r>
      <w:r w:rsidR="009363E6" w:rsidRPr="00704346">
        <w:t xml:space="preserve"> </w:t>
      </w:r>
      <w:r w:rsidR="009363E6" w:rsidRPr="00704346">
        <w:rPr>
          <w:i/>
          <w:iCs/>
        </w:rPr>
        <w:t xml:space="preserve">worker </w:t>
      </w:r>
      <w:r w:rsidR="009363E6" w:rsidRPr="00750972">
        <w:rPr>
          <w:iCs/>
        </w:rPr>
        <w:t>well-being</w:t>
      </w:r>
      <w:r w:rsidR="009363E6" w:rsidRPr="00704346">
        <w:rPr>
          <w:i/>
          <w:iCs/>
        </w:rPr>
        <w:t xml:space="preserve"> </w:t>
      </w:r>
      <w:r w:rsidR="009363E6" w:rsidRPr="00704346">
        <w:t xml:space="preserve">is a </w:t>
      </w:r>
      <w:r w:rsidR="009363E6">
        <w:t>developing</w:t>
      </w:r>
      <w:r w:rsidR="009363E6" w:rsidRPr="00704346">
        <w:t xml:space="preserve"> field of research</w:t>
      </w:r>
      <w:r w:rsidR="009363E6">
        <w:t>,</w:t>
      </w:r>
      <w:r w:rsidR="009363E6" w:rsidRPr="008D660D">
        <w:t xml:space="preserve"> </w:t>
      </w:r>
      <w:r w:rsidR="009363E6">
        <w:t>and presently there is no consistent definition or consensus around measurement.</w:t>
      </w:r>
      <w:r w:rsidR="009363E6" w:rsidRPr="004A6B99">
        <w:t xml:space="preserve"> </w:t>
      </w:r>
      <w:r w:rsidR="009363E6">
        <w:t xml:space="preserve">Thus far, worker well-being has been measured in somewhat limited and discrete ways through </w:t>
      </w:r>
      <w:r w:rsidR="009363E6" w:rsidRPr="00704346">
        <w:t>concepts</w:t>
      </w:r>
      <w:r w:rsidR="009363E6">
        <w:t xml:space="preserve"> as varied as job satisfaction, employee engagement, positive emotions,</w:t>
      </w:r>
      <w:r w:rsidR="009363E6" w:rsidRPr="00704346">
        <w:t xml:space="preserve"> </w:t>
      </w:r>
      <w:r w:rsidR="009363E6">
        <w:t>good physical or mental health, and quality of social relationships, to name a few.</w:t>
      </w:r>
      <w:r w:rsidR="009363E6">
        <w:rPr>
          <w:rStyle w:val="FootnoteReference"/>
        </w:rPr>
        <w:footnoteReference w:id="3"/>
      </w:r>
      <w:r w:rsidR="009363E6" w:rsidRPr="008F1DB2">
        <w:rPr>
          <w:vertAlign w:val="superscript"/>
        </w:rPr>
        <w:t>,</w:t>
      </w:r>
      <w:r w:rsidR="009363E6">
        <w:rPr>
          <w:rStyle w:val="FootnoteReference"/>
        </w:rPr>
        <w:footnoteReference w:id="4"/>
      </w:r>
      <w:r w:rsidR="009363E6">
        <w:t xml:space="preserve"> But no single instrument currently exists that is inclusive of these and other relevant indicators, thereby capturing the full multidimensional nature of worker well-being. The lack of such an instrument </w:t>
      </w:r>
      <w:r w:rsidR="009363E6" w:rsidRPr="00C9048A">
        <w:t>creates challenges for any program or initiative that aim</w:t>
      </w:r>
      <w:r w:rsidR="009363E6">
        <w:t xml:space="preserve">s to understand and advance the well-being of </w:t>
      </w:r>
      <w:r w:rsidR="009363E6" w:rsidRPr="00C9048A">
        <w:t>workers or workplaces.</w:t>
      </w:r>
      <w:r w:rsidR="009363E6">
        <w:t xml:space="preserve"> In the last three years, NIOSH and RAND have worked to conceptualize and operationalize worker well-being. Because there is currently no instrument for assessing worker well-being, developing a well-being measur</w:t>
      </w:r>
      <w:r w:rsidR="00795AFD">
        <w:t xml:space="preserve">ement tool would be meeting NIOSH’s </w:t>
      </w:r>
      <w:r w:rsidR="009363E6">
        <w:t>mission of developing an innovative approach to improving well-being and occupational safety and health</w:t>
      </w:r>
      <w:r w:rsidR="00F33953">
        <w:t xml:space="preserve">. </w:t>
      </w:r>
      <w:r w:rsidR="009363E6">
        <w:rPr>
          <w:color w:val="000000"/>
        </w:rPr>
        <w:t>The goals of the present project are to collect data to enable psychometric testing of a worker well-being instrument</w:t>
      </w:r>
      <w:r w:rsidR="00F33953">
        <w:rPr>
          <w:color w:val="000000"/>
        </w:rPr>
        <w:t xml:space="preserve"> </w:t>
      </w:r>
      <w:r w:rsidR="009363E6">
        <w:rPr>
          <w:color w:val="000000"/>
        </w:rPr>
        <w:t xml:space="preserve">and to refine the instrument as dictated by test findings. The resultant instrument will allow a standardized approach to measuring worker </w:t>
      </w:r>
      <w:r w:rsidR="003F4CFA">
        <w:rPr>
          <w:color w:val="000000"/>
        </w:rPr>
        <w:t>well-being</w:t>
      </w:r>
      <w:r w:rsidR="009400D2">
        <w:rPr>
          <w:color w:val="000000"/>
        </w:rPr>
        <w:t>.</w:t>
      </w:r>
    </w:p>
    <w:p w14:paraId="3D5C5BBC" w14:textId="77777777" w:rsidR="004A6B99" w:rsidRDefault="004A6B99" w:rsidP="00AF0D15">
      <w:pPr>
        <w:rPr>
          <w:vertAlign w:val="superscript"/>
        </w:rPr>
      </w:pPr>
    </w:p>
    <w:p w14:paraId="25935C70" w14:textId="347331E1" w:rsidR="00780939" w:rsidRDefault="009363E6" w:rsidP="00AF0D15">
      <w:r>
        <w:t xml:space="preserve">This data collection is authorized under Section 20 (Attachment 1) of the Occupational Safety and Health Act (Public Law 91-596). Developing a standardized approach for measuring worker well-being </w:t>
      </w:r>
      <w:r w:rsidR="00386793">
        <w:t>directly addresses NIOSH’s mission as mandated by the Occupational Safety and Health Act to “assure safe and healthful working conditions for working men and women” and “to preserve our human resources,” and it</w:t>
      </w:r>
      <w:r w:rsidR="00C8610F">
        <w:t xml:space="preserve"> is a priority goal of </w:t>
      </w:r>
      <w:r>
        <w:t xml:space="preserve">the </w:t>
      </w:r>
      <w:r>
        <w:rPr>
          <w:i/>
          <w:iCs/>
        </w:rPr>
        <w:t>National Total Worker Health Agenda (2016-2026)</w:t>
      </w:r>
      <w:r w:rsidR="00C8610F">
        <w:rPr>
          <w:iCs/>
        </w:rPr>
        <w:t>,</w:t>
      </w:r>
      <w:r w:rsidR="00B41C4C">
        <w:rPr>
          <w:rStyle w:val="FootnoteReference"/>
          <w:iCs/>
        </w:rPr>
        <w:footnoteReference w:id="5"/>
      </w:r>
      <w:r>
        <w:t xml:space="preserve"> </w:t>
      </w:r>
      <w:r w:rsidR="00C8610F">
        <w:t xml:space="preserve">which was developed with stakeholder input and public comment. </w:t>
      </w:r>
      <w:r w:rsidR="00E4249A">
        <w:t>Studies suggest linkages between workplace injury and issues related to worker well-being.</w:t>
      </w:r>
      <w:r w:rsidR="00E4249A">
        <w:rPr>
          <w:rStyle w:val="FootnoteReference"/>
        </w:rPr>
        <w:footnoteReference w:id="6"/>
      </w:r>
      <w:r w:rsidR="00E4249A">
        <w:rPr>
          <w:vertAlign w:val="superscript"/>
        </w:rPr>
        <w:t>,</w:t>
      </w:r>
      <w:r w:rsidR="00E4249A">
        <w:rPr>
          <w:rStyle w:val="FootnoteReference"/>
        </w:rPr>
        <w:footnoteReference w:id="7"/>
      </w:r>
      <w:r w:rsidR="00E4249A">
        <w:rPr>
          <w:vertAlign w:val="superscript"/>
        </w:rPr>
        <w:t>,</w:t>
      </w:r>
      <w:r w:rsidR="00E4249A">
        <w:rPr>
          <w:rStyle w:val="FootnoteReference"/>
        </w:rPr>
        <w:footnoteReference w:id="8"/>
      </w:r>
      <w:r w:rsidR="00E4249A">
        <w:rPr>
          <w:vertAlign w:val="superscript"/>
        </w:rPr>
        <w:t>,</w:t>
      </w:r>
      <w:r w:rsidR="00E4249A">
        <w:rPr>
          <w:rStyle w:val="FootnoteReference"/>
        </w:rPr>
        <w:footnoteReference w:id="9"/>
      </w:r>
      <w:r w:rsidR="00E4249A">
        <w:rPr>
          <w:vertAlign w:val="superscript"/>
        </w:rPr>
        <w:t>,</w:t>
      </w:r>
      <w:r w:rsidR="00E4249A">
        <w:rPr>
          <w:rStyle w:val="FootnoteReference"/>
        </w:rPr>
        <w:footnoteReference w:id="10"/>
      </w:r>
      <w:r w:rsidR="00E4249A">
        <w:rPr>
          <w:vertAlign w:val="superscript"/>
        </w:rPr>
        <w:t>,</w:t>
      </w:r>
      <w:r w:rsidR="00E4249A">
        <w:rPr>
          <w:rStyle w:val="FootnoteReference"/>
        </w:rPr>
        <w:footnoteReference w:id="11"/>
      </w:r>
      <w:r w:rsidR="00E4249A">
        <w:t xml:space="preserve"> Further, the association of well-being and occupational injury and illness has been recognized by the American College of Occupational and Environmental Medicine and the American Industrial Hygiene Association,</w:t>
      </w:r>
      <w:r w:rsidR="00E4249A">
        <w:rPr>
          <w:rStyle w:val="FootnoteReference"/>
        </w:rPr>
        <w:footnoteReference w:id="12"/>
      </w:r>
      <w:r w:rsidR="00E4249A" w:rsidRPr="0056573A">
        <w:rPr>
          <w:vertAlign w:val="superscript"/>
        </w:rPr>
        <w:t>,</w:t>
      </w:r>
      <w:r w:rsidR="00E4249A">
        <w:rPr>
          <w:rStyle w:val="FootnoteReference"/>
        </w:rPr>
        <w:footnoteReference w:id="13"/>
      </w:r>
      <w:r w:rsidR="00E4249A">
        <w:t xml:space="preserve"> and worker well-being has been identified as an emerging issue by the Occupational Safety and Health Administration and the Institute of Medicine.</w:t>
      </w:r>
      <w:r w:rsidR="00E4249A">
        <w:rPr>
          <w:rStyle w:val="FootnoteReference"/>
        </w:rPr>
        <w:footnoteReference w:id="14"/>
      </w:r>
      <w:r w:rsidR="00E4249A" w:rsidRPr="00F33953">
        <w:rPr>
          <w:vertAlign w:val="superscript"/>
        </w:rPr>
        <w:t>,</w:t>
      </w:r>
      <w:r w:rsidR="00E4249A">
        <w:rPr>
          <w:rStyle w:val="FootnoteReference"/>
        </w:rPr>
        <w:footnoteReference w:id="15"/>
      </w:r>
      <w:r w:rsidR="00E4249A">
        <w:t xml:space="preserve"> </w:t>
      </w:r>
      <w:r>
        <w:t xml:space="preserve">Worker well-being has also become an international occupational </w:t>
      </w:r>
      <w:r w:rsidR="00A421B3">
        <w:t>h</w:t>
      </w:r>
      <w:r>
        <w:t>ealth priority,</w:t>
      </w:r>
      <w:r w:rsidR="00E4249A" w:rsidRPr="00E4249A">
        <w:rPr>
          <w:rStyle w:val="FootnoteReference"/>
        </w:rPr>
        <w:t xml:space="preserve"> </w:t>
      </w:r>
      <w:r w:rsidR="00E4249A">
        <w:rPr>
          <w:rStyle w:val="FootnoteReference"/>
        </w:rPr>
        <w:footnoteReference w:id="16"/>
      </w:r>
      <w:r w:rsidR="00E4249A">
        <w:rPr>
          <w:vertAlign w:val="superscript"/>
        </w:rPr>
        <w:t>,</w:t>
      </w:r>
      <w:r w:rsidR="00E4249A">
        <w:rPr>
          <w:rStyle w:val="FootnoteReference"/>
        </w:rPr>
        <w:footnoteReference w:id="17"/>
      </w:r>
      <w:r w:rsidR="00E4249A">
        <w:t xml:space="preserve"> with activities occurring in the European Union,</w:t>
      </w:r>
      <w:r>
        <w:rPr>
          <w:rStyle w:val="FootnoteReference"/>
        </w:rPr>
        <w:footnoteReference w:id="18"/>
      </w:r>
      <w:r w:rsidRPr="00435DEC">
        <w:rPr>
          <w:vertAlign w:val="superscript"/>
        </w:rPr>
        <w:t>,</w:t>
      </w:r>
      <w:r>
        <w:rPr>
          <w:rStyle w:val="FootnoteReference"/>
        </w:rPr>
        <w:footnoteReference w:id="19"/>
      </w:r>
      <w:r>
        <w:rPr>
          <w:vertAlign w:val="superscript"/>
        </w:rPr>
        <w:t xml:space="preserve"> </w:t>
      </w:r>
      <w:r w:rsidR="00C511EF">
        <w:t>Australia,</w:t>
      </w:r>
      <w:r w:rsidR="00C511EF">
        <w:rPr>
          <w:rStyle w:val="FootnoteReference"/>
        </w:rPr>
        <w:footnoteReference w:id="20"/>
      </w:r>
      <w:r w:rsidR="00C511EF">
        <w:t xml:space="preserve"> Japan,</w:t>
      </w:r>
      <w:r w:rsidR="00C511EF">
        <w:rPr>
          <w:rStyle w:val="FootnoteReference"/>
        </w:rPr>
        <w:footnoteReference w:id="21"/>
      </w:r>
      <w:r w:rsidR="00C511EF">
        <w:t xml:space="preserve"> and in international conferences with attendees from countries across the globe.</w:t>
      </w:r>
      <w:r w:rsidR="00C511EF">
        <w:rPr>
          <w:rStyle w:val="FootnoteReference"/>
        </w:rPr>
        <w:footnoteReference w:id="22"/>
      </w:r>
      <w:r w:rsidR="00C511EF">
        <w:t xml:space="preserve"> </w:t>
      </w:r>
    </w:p>
    <w:p w14:paraId="337E3611" w14:textId="734C12C9" w:rsidR="003172C9" w:rsidRDefault="003172C9" w:rsidP="003172C9"/>
    <w:p w14:paraId="4B934651" w14:textId="08C1623C" w:rsidR="00C511EF" w:rsidRDefault="00C511EF" w:rsidP="00C511EF">
      <w:r>
        <w:t xml:space="preserve">NIOSH and U.S. Government investment in the development of a well-being measurement instrument will help ensure that organizations have wide and open access to a tool of this nature. Additionally, development of such an instrument is likely to be beyond the capacity of small businesses. Small businesses play such an important role in the nation’s economy; </w:t>
      </w:r>
      <w:r w:rsidRPr="00FB55F8">
        <w:t xml:space="preserve">35% of the U.S. workforce </w:t>
      </w:r>
      <w:r>
        <w:t xml:space="preserve">is employed in firms </w:t>
      </w:r>
      <w:r w:rsidR="00A70CDB">
        <w:t xml:space="preserve">with less than </w:t>
      </w:r>
      <w:r w:rsidRPr="00FB55F8">
        <w:t xml:space="preserve">100 employees, and 89% of U.S. businesses have </w:t>
      </w:r>
      <w:r w:rsidR="00A70CDB">
        <w:t>fewer than</w:t>
      </w:r>
      <w:r w:rsidRPr="00FB55F8">
        <w:t xml:space="preserve"> 20 employees</w:t>
      </w:r>
      <w:r>
        <w:t>.</w:t>
      </w:r>
      <w:r>
        <w:rPr>
          <w:rStyle w:val="FootnoteReference"/>
        </w:rPr>
        <w:footnoteReference w:id="23"/>
      </w:r>
      <w:r w:rsidRPr="00B3681D">
        <w:t xml:space="preserve"> </w:t>
      </w:r>
    </w:p>
    <w:p w14:paraId="181BEEF7" w14:textId="77777777" w:rsidR="00A70518" w:rsidRDefault="00A70518" w:rsidP="00BE5EE6"/>
    <w:p w14:paraId="77670FE6" w14:textId="6792A2F8" w:rsidR="00A70518" w:rsidRPr="009852BF" w:rsidRDefault="006F1325" w:rsidP="00A70518">
      <w:r>
        <w:t xml:space="preserve">Ultimately, the instrument will enable organizations to assess the level of well-being in their workforces and the effectiveness of policies and interventions to improve workforce well-being and, in turn, the safety and health of their workplaces. </w:t>
      </w:r>
      <w:r w:rsidR="00BE5EE6">
        <w:t xml:space="preserve">In this regard, the present effort </w:t>
      </w:r>
      <w:r w:rsidR="00E707D2">
        <w:t>will contribute</w:t>
      </w:r>
      <w:r w:rsidR="00BE5EE6">
        <w:t xml:space="preserve"> to CDC’s Strategic Priority #2: Better prevent the leading causes of illness, injury, disability, and death. Given the costs of work-related injury and illness to the US economy </w:t>
      </w:r>
      <w:r w:rsidR="00C511EF">
        <w:t>(estimated at $250 billion),</w:t>
      </w:r>
      <w:r w:rsidR="00C511EF">
        <w:rPr>
          <w:rStyle w:val="FootnoteReference"/>
        </w:rPr>
        <w:footnoteReference w:id="24"/>
      </w:r>
      <w:r w:rsidR="00AA3BC5">
        <w:t xml:space="preserve"> </w:t>
      </w:r>
      <w:r w:rsidR="007C3B86">
        <w:t>as well as</w:t>
      </w:r>
      <w:r w:rsidR="009021E8">
        <w:t xml:space="preserve"> </w:t>
      </w:r>
      <w:r w:rsidR="00A70518">
        <w:t xml:space="preserve">the relationship of worker well-being to organizational </w:t>
      </w:r>
      <w:r w:rsidR="00C511EF">
        <w:t>performance and productivity,</w:t>
      </w:r>
      <w:r w:rsidR="00C511EF" w:rsidRPr="008E19CC">
        <w:rPr>
          <w:rStyle w:val="FootnoteReference"/>
        </w:rPr>
        <w:footnoteReference w:id="25"/>
      </w:r>
      <w:r w:rsidR="00C511EF" w:rsidRPr="008E19CC">
        <w:rPr>
          <w:vertAlign w:val="superscript"/>
        </w:rPr>
        <w:t>,</w:t>
      </w:r>
      <w:r w:rsidR="00C511EF" w:rsidRPr="008E19CC">
        <w:rPr>
          <w:rStyle w:val="FootnoteReference"/>
        </w:rPr>
        <w:footnoteReference w:id="26"/>
      </w:r>
      <w:r w:rsidR="00C511EF" w:rsidRPr="008E19CC">
        <w:rPr>
          <w:vertAlign w:val="superscript"/>
        </w:rPr>
        <w:t>,</w:t>
      </w:r>
      <w:r w:rsidR="00C511EF" w:rsidRPr="008E19CC">
        <w:rPr>
          <w:rStyle w:val="FootnoteReference"/>
        </w:rPr>
        <w:footnoteReference w:id="27"/>
      </w:r>
      <w:r w:rsidR="00C511EF" w:rsidRPr="008E19CC">
        <w:rPr>
          <w:vertAlign w:val="superscript"/>
        </w:rPr>
        <w:t>,</w:t>
      </w:r>
      <w:r w:rsidR="00C511EF" w:rsidRPr="008E19CC">
        <w:rPr>
          <w:rStyle w:val="FootnoteReference"/>
        </w:rPr>
        <w:footnoteReference w:id="28"/>
      </w:r>
      <w:r w:rsidR="00C511EF">
        <w:t xml:space="preserve"> advancing understanding about worker well-being has important implications for business outcomes and US economic competiveness.</w:t>
      </w:r>
    </w:p>
    <w:p w14:paraId="62B4A8E0" w14:textId="1B1806B5" w:rsidR="007B0817" w:rsidRDefault="007B0817" w:rsidP="0058481E">
      <w:pPr>
        <w:tabs>
          <w:tab w:val="left" w:pos="540"/>
        </w:tabs>
      </w:pPr>
    </w:p>
    <w:p w14:paraId="6DE8F39E" w14:textId="0940570D" w:rsidR="00A67DE5" w:rsidRPr="00FC203D" w:rsidRDefault="00555DAF" w:rsidP="0058481E">
      <w:pPr>
        <w:pStyle w:val="Heading2"/>
        <w:rPr>
          <w:rFonts w:ascii="Times New Roman" w:hAnsi="Times New Roman"/>
        </w:rPr>
      </w:pPr>
      <w:bookmarkStart w:id="3" w:name="_Toc422159585"/>
      <w:r w:rsidRPr="00FC203D">
        <w:rPr>
          <w:rFonts w:ascii="Times New Roman" w:hAnsi="Times New Roman"/>
        </w:rPr>
        <w:t>1.</w:t>
      </w:r>
      <w:r w:rsidR="00AF0D15" w:rsidRPr="00FC203D">
        <w:rPr>
          <w:rFonts w:ascii="Times New Roman" w:hAnsi="Times New Roman"/>
        </w:rPr>
        <w:t>2</w:t>
      </w:r>
      <w:r w:rsidRPr="00FC203D">
        <w:rPr>
          <w:rFonts w:ascii="Times New Roman" w:hAnsi="Times New Roman"/>
        </w:rPr>
        <w:t xml:space="preserve"> Circumstances Making the</w:t>
      </w:r>
      <w:r w:rsidR="00A67DE5" w:rsidRPr="00FC203D">
        <w:rPr>
          <w:rFonts w:ascii="Times New Roman" w:hAnsi="Times New Roman"/>
        </w:rPr>
        <w:t xml:space="preserve"> Information Collection</w:t>
      </w:r>
      <w:bookmarkEnd w:id="3"/>
      <w:r w:rsidRPr="00FC203D">
        <w:rPr>
          <w:rFonts w:ascii="Times New Roman" w:hAnsi="Times New Roman"/>
        </w:rPr>
        <w:t xml:space="preserve"> Necessary</w:t>
      </w:r>
    </w:p>
    <w:p w14:paraId="7C7AFF80" w14:textId="77777777" w:rsidR="00447191" w:rsidRDefault="00447191" w:rsidP="003C7BF1">
      <w:pPr>
        <w:rPr>
          <w:color w:val="000000"/>
        </w:rPr>
      </w:pPr>
    </w:p>
    <w:p w14:paraId="478AFDD2" w14:textId="4FA30C4C" w:rsidR="0040708D" w:rsidRDefault="00260E84" w:rsidP="000E43F5">
      <w:pPr>
        <w:rPr>
          <w:color w:val="000000"/>
        </w:rPr>
      </w:pPr>
      <w:r>
        <w:rPr>
          <w:color w:val="000000"/>
        </w:rPr>
        <w:t xml:space="preserve">In 2011 NIOSH launched the </w:t>
      </w:r>
      <w:r w:rsidRPr="004D0AFA">
        <w:rPr>
          <w:i/>
          <w:color w:val="000000"/>
        </w:rPr>
        <w:t xml:space="preserve">Total Worker Health </w:t>
      </w:r>
      <w:r>
        <w:rPr>
          <w:color w:val="000000"/>
        </w:rPr>
        <w:t>prog</w:t>
      </w:r>
      <w:r w:rsidR="00810634">
        <w:rPr>
          <w:color w:val="000000"/>
        </w:rPr>
        <w:t>r</w:t>
      </w:r>
      <w:r>
        <w:rPr>
          <w:color w:val="000000"/>
        </w:rPr>
        <w:t>am</w:t>
      </w:r>
      <w:r w:rsidR="00B73591">
        <w:rPr>
          <w:color w:val="000000"/>
        </w:rPr>
        <w:t xml:space="preserve"> </w:t>
      </w:r>
      <w:r w:rsidR="00A65B4D">
        <w:rPr>
          <w:color w:val="000000"/>
        </w:rPr>
        <w:t xml:space="preserve">to </w:t>
      </w:r>
      <w:r w:rsidR="001364F5">
        <w:rPr>
          <w:color w:val="000000"/>
        </w:rPr>
        <w:t>expand the reach of the occupational safety and health profession to</w:t>
      </w:r>
      <w:r w:rsidR="00810634">
        <w:rPr>
          <w:color w:val="000000"/>
        </w:rPr>
        <w:t xml:space="preserve"> include</w:t>
      </w:r>
      <w:r w:rsidR="001364F5">
        <w:rPr>
          <w:color w:val="000000"/>
        </w:rPr>
        <w:t xml:space="preserve"> the</w:t>
      </w:r>
      <w:r w:rsidR="00B96F9B">
        <w:rPr>
          <w:color w:val="000000"/>
        </w:rPr>
        <w:t xml:space="preserve"> </w:t>
      </w:r>
      <w:r w:rsidR="008A4EF5">
        <w:rPr>
          <w:color w:val="000000"/>
        </w:rPr>
        <w:t>overa</w:t>
      </w:r>
      <w:r w:rsidR="00DF0615">
        <w:rPr>
          <w:color w:val="000000"/>
        </w:rPr>
        <w:t>ll well-being of the workforce (</w:t>
      </w:r>
      <w:r w:rsidR="008A4EF5">
        <w:rPr>
          <w:color w:val="000000"/>
        </w:rPr>
        <w:t>in contrast to a narrow focus on injury and illness alone</w:t>
      </w:r>
      <w:r w:rsidR="00262CA5">
        <w:rPr>
          <w:color w:val="000000"/>
        </w:rPr>
        <w:t>).</w:t>
      </w:r>
      <w:r w:rsidR="00B239B4">
        <w:rPr>
          <w:rStyle w:val="FootnoteReference"/>
          <w:color w:val="000000"/>
        </w:rPr>
        <w:footnoteReference w:id="29"/>
      </w:r>
      <w:r w:rsidR="00B239B4">
        <w:rPr>
          <w:color w:val="000000"/>
        </w:rPr>
        <w:t xml:space="preserve"> </w:t>
      </w:r>
      <w:r w:rsidR="00984A24">
        <w:rPr>
          <w:color w:val="000000"/>
        </w:rPr>
        <w:t>Absent</w:t>
      </w:r>
      <w:r w:rsidR="006C6E69">
        <w:rPr>
          <w:color w:val="000000"/>
        </w:rPr>
        <w:t xml:space="preserve"> metrics </w:t>
      </w:r>
      <w:r w:rsidR="00984A24">
        <w:rPr>
          <w:color w:val="000000"/>
        </w:rPr>
        <w:t>to enable</w:t>
      </w:r>
      <w:r w:rsidR="006C6E69">
        <w:rPr>
          <w:color w:val="000000"/>
        </w:rPr>
        <w:t xml:space="preserve"> researchers, practitioners, and policy-makers to characterize the status </w:t>
      </w:r>
      <w:r w:rsidR="00984A24">
        <w:rPr>
          <w:color w:val="000000"/>
        </w:rPr>
        <w:t>of well-being in the workforce, the development of a tool for this purpose became a prim</w:t>
      </w:r>
      <w:r w:rsidR="00F15918">
        <w:rPr>
          <w:color w:val="000000"/>
        </w:rPr>
        <w:t xml:space="preserve">ary goal of </w:t>
      </w:r>
      <w:r w:rsidR="00246D5B">
        <w:rPr>
          <w:color w:val="000000"/>
        </w:rPr>
        <w:t>NIOSH</w:t>
      </w:r>
      <w:r w:rsidR="00BC72B7">
        <w:rPr>
          <w:color w:val="000000"/>
        </w:rPr>
        <w:t xml:space="preserve"> to address the needs of the employee safety and health community</w:t>
      </w:r>
      <w:r w:rsidR="0032796F">
        <w:rPr>
          <w:color w:val="000000"/>
        </w:rPr>
        <w:t xml:space="preserve">. </w:t>
      </w:r>
      <w:r w:rsidR="00AC7665">
        <w:rPr>
          <w:color w:val="000000"/>
        </w:rPr>
        <w:t xml:space="preserve">This goal has been strongly endorsed by </w:t>
      </w:r>
      <w:r w:rsidR="00246D5B">
        <w:rPr>
          <w:color w:val="000000"/>
        </w:rPr>
        <w:t>stakeholders</w:t>
      </w:r>
      <w:r w:rsidR="00BE5531">
        <w:rPr>
          <w:color w:val="000000"/>
        </w:rPr>
        <w:t xml:space="preserve"> who intend to use the instrument</w:t>
      </w:r>
      <w:r w:rsidR="004A6481">
        <w:rPr>
          <w:color w:val="000000"/>
        </w:rPr>
        <w:t xml:space="preserve"> to assess the well-being of the workforce of their own organization</w:t>
      </w:r>
      <w:r w:rsidR="00BA6235">
        <w:rPr>
          <w:color w:val="000000"/>
        </w:rPr>
        <w:t>,</w:t>
      </w:r>
      <w:r w:rsidR="004A6481">
        <w:rPr>
          <w:color w:val="000000"/>
        </w:rPr>
        <w:t xml:space="preserve"> their stakeholder organizations</w:t>
      </w:r>
      <w:r w:rsidR="00BA6235">
        <w:rPr>
          <w:color w:val="000000"/>
        </w:rPr>
        <w:t>, and to evaluate interventions addressing worker safety and hea</w:t>
      </w:r>
      <w:r w:rsidR="00546127">
        <w:rPr>
          <w:color w:val="000000"/>
        </w:rPr>
        <w:t>lth</w:t>
      </w:r>
      <w:r w:rsidR="004A6481">
        <w:rPr>
          <w:color w:val="000000"/>
        </w:rPr>
        <w:t xml:space="preserve">. </w:t>
      </w:r>
      <w:r w:rsidR="006E6804">
        <w:rPr>
          <w:color w:val="000000"/>
        </w:rPr>
        <w:t xml:space="preserve">Organizations that wish to use the instrument </w:t>
      </w:r>
      <w:r w:rsidR="00246D5B">
        <w:rPr>
          <w:color w:val="000000"/>
        </w:rPr>
        <w:t>includ</w:t>
      </w:r>
      <w:r w:rsidR="006E6804">
        <w:rPr>
          <w:color w:val="000000"/>
        </w:rPr>
        <w:t>e</w:t>
      </w:r>
      <w:r w:rsidR="00BE5531">
        <w:rPr>
          <w:color w:val="000000"/>
        </w:rPr>
        <w:t xml:space="preserve"> employers, employee health </w:t>
      </w:r>
      <w:r w:rsidR="007340C9">
        <w:rPr>
          <w:color w:val="000000"/>
        </w:rPr>
        <w:t>organizations (</w:t>
      </w:r>
      <w:r w:rsidR="00137E9B">
        <w:rPr>
          <w:color w:val="000000"/>
        </w:rPr>
        <w:t xml:space="preserve">e.g., Medgate, one of the </w:t>
      </w:r>
      <w:r w:rsidR="0004679C">
        <w:rPr>
          <w:color w:val="000000"/>
        </w:rPr>
        <w:t xml:space="preserve">nation’s </w:t>
      </w:r>
      <w:r w:rsidR="00137E9B">
        <w:rPr>
          <w:color w:val="000000"/>
        </w:rPr>
        <w:t>largest environmental health and safety software companies</w:t>
      </w:r>
      <w:r w:rsidR="00DE555B">
        <w:rPr>
          <w:color w:val="000000"/>
        </w:rPr>
        <w:t>;</w:t>
      </w:r>
      <w:r w:rsidR="009E4506">
        <w:rPr>
          <w:color w:val="000000"/>
        </w:rPr>
        <w:t xml:space="preserve"> </w:t>
      </w:r>
      <w:r w:rsidR="00BC72B7">
        <w:rPr>
          <w:color w:val="000000"/>
        </w:rPr>
        <w:t>SAIF</w:t>
      </w:r>
      <w:r w:rsidR="002B56DE">
        <w:rPr>
          <w:color w:val="000000"/>
        </w:rPr>
        <w:t xml:space="preserve"> Corporation</w:t>
      </w:r>
      <w:r w:rsidR="00BC72B7">
        <w:rPr>
          <w:color w:val="000000"/>
        </w:rPr>
        <w:t xml:space="preserve">, </w:t>
      </w:r>
      <w:r w:rsidR="006C7CBB">
        <w:rPr>
          <w:color w:val="000000"/>
        </w:rPr>
        <w:t>Oregon</w:t>
      </w:r>
      <w:r w:rsidR="00BC72B7">
        <w:rPr>
          <w:color w:val="000000"/>
        </w:rPr>
        <w:t>’s state-chartered workers compensation c</w:t>
      </w:r>
      <w:r w:rsidR="006C7CBB">
        <w:rPr>
          <w:color w:val="000000"/>
        </w:rPr>
        <w:t xml:space="preserve">orporation) and research programs (e.g., </w:t>
      </w:r>
      <w:r w:rsidR="00627E02">
        <w:rPr>
          <w:color w:val="000000"/>
        </w:rPr>
        <w:t>the University of Colorado</w:t>
      </w:r>
      <w:r w:rsidR="009E4506">
        <w:rPr>
          <w:color w:val="000000"/>
        </w:rPr>
        <w:t xml:space="preserve">’s </w:t>
      </w:r>
      <w:r w:rsidR="009E4506" w:rsidRPr="009E4506">
        <w:rPr>
          <w:color w:val="000000"/>
        </w:rPr>
        <w:t>Center for Health, Work &amp; Environment</w:t>
      </w:r>
      <w:r w:rsidR="00BC72B7">
        <w:rPr>
          <w:color w:val="000000"/>
        </w:rPr>
        <w:t xml:space="preserve">; </w:t>
      </w:r>
      <w:r w:rsidR="009E4506" w:rsidRPr="009E4506">
        <w:rPr>
          <w:color w:val="000000"/>
        </w:rPr>
        <w:t>Harvard T.H. Chan School of Public Health</w:t>
      </w:r>
      <w:r w:rsidR="0032796F">
        <w:rPr>
          <w:color w:val="000000"/>
        </w:rPr>
        <w:t xml:space="preserve">). </w:t>
      </w:r>
      <w:r w:rsidR="0040708D">
        <w:rPr>
          <w:color w:val="000000"/>
        </w:rPr>
        <w:t>Further, policy organizations such as the Integrated Benefits Institute</w:t>
      </w:r>
      <w:r w:rsidR="006E6804">
        <w:rPr>
          <w:color w:val="000000"/>
        </w:rPr>
        <w:t xml:space="preserve">, which had a representative on the expert panel which helped to develop the framework </w:t>
      </w:r>
      <w:r w:rsidR="00691DB1">
        <w:rPr>
          <w:color w:val="000000"/>
        </w:rPr>
        <w:t xml:space="preserve">for our instrument </w:t>
      </w:r>
      <w:r w:rsidR="006E6804">
        <w:rPr>
          <w:color w:val="000000"/>
        </w:rPr>
        <w:t xml:space="preserve">(discussed later) </w:t>
      </w:r>
      <w:r w:rsidR="0040708D">
        <w:rPr>
          <w:color w:val="000000"/>
        </w:rPr>
        <w:t xml:space="preserve"> and the National Academies of Science </w:t>
      </w:r>
      <w:r w:rsidR="006E6804">
        <w:rPr>
          <w:color w:val="000000"/>
        </w:rPr>
        <w:t xml:space="preserve">(which </w:t>
      </w:r>
      <w:r w:rsidR="000E43F5">
        <w:rPr>
          <w:color w:val="000000"/>
        </w:rPr>
        <w:t xml:space="preserve">has requested information from NIOSH about this project for its Action Collaborative on </w:t>
      </w:r>
      <w:r w:rsidR="000E43F5" w:rsidRPr="000E43F5">
        <w:rPr>
          <w:color w:val="000000"/>
        </w:rPr>
        <w:t>Business Engagement in Building Healthy Communities</w:t>
      </w:r>
      <w:r w:rsidR="000E43F5">
        <w:rPr>
          <w:color w:val="000000"/>
        </w:rPr>
        <w:t xml:space="preserve"> and </w:t>
      </w:r>
      <w:r w:rsidR="00015879">
        <w:rPr>
          <w:color w:val="000000"/>
        </w:rPr>
        <w:t xml:space="preserve">its </w:t>
      </w:r>
      <w:r w:rsidR="000E43F5">
        <w:rPr>
          <w:color w:val="000000"/>
        </w:rPr>
        <w:t xml:space="preserve">Action Collaborative </w:t>
      </w:r>
      <w:r w:rsidR="000E43F5" w:rsidRPr="000E43F5">
        <w:rPr>
          <w:color w:val="000000"/>
        </w:rPr>
        <w:t>on Clinician Well-Being and Resilience</w:t>
      </w:r>
      <w:r w:rsidR="000E43F5">
        <w:rPr>
          <w:color w:val="000000"/>
        </w:rPr>
        <w:t>)</w:t>
      </w:r>
      <w:r w:rsidR="006E6804">
        <w:rPr>
          <w:color w:val="000000"/>
        </w:rPr>
        <w:t xml:space="preserve"> </w:t>
      </w:r>
      <w:r w:rsidR="0040708D">
        <w:rPr>
          <w:color w:val="000000"/>
        </w:rPr>
        <w:t xml:space="preserve">have recognized the importance of this NIOSH effort to understand and measure worker well-being. </w:t>
      </w:r>
      <w:r w:rsidR="00627E02">
        <w:rPr>
          <w:color w:val="000000"/>
        </w:rPr>
        <w:t xml:space="preserve">All of these and other NIOSH stakeholders have </w:t>
      </w:r>
      <w:r w:rsidR="00BC72B7">
        <w:rPr>
          <w:color w:val="000000"/>
        </w:rPr>
        <w:t xml:space="preserve">identified the </w:t>
      </w:r>
      <w:r w:rsidR="0040708D">
        <w:rPr>
          <w:color w:val="000000"/>
        </w:rPr>
        <w:t xml:space="preserve">immediate and practical utility </w:t>
      </w:r>
      <w:r w:rsidR="00BC72B7">
        <w:rPr>
          <w:color w:val="000000"/>
        </w:rPr>
        <w:t>of</w:t>
      </w:r>
      <w:r w:rsidR="00627E02">
        <w:rPr>
          <w:color w:val="000000"/>
        </w:rPr>
        <w:t xml:space="preserve"> the </w:t>
      </w:r>
      <w:r w:rsidR="0040708D">
        <w:rPr>
          <w:color w:val="000000"/>
        </w:rPr>
        <w:t>instrument for</w:t>
      </w:r>
      <w:r w:rsidR="0004679C">
        <w:rPr>
          <w:color w:val="000000"/>
        </w:rPr>
        <w:t xml:space="preserve"> </w:t>
      </w:r>
      <w:r w:rsidR="00DF0615">
        <w:rPr>
          <w:color w:val="000000"/>
        </w:rPr>
        <w:t>gather</w:t>
      </w:r>
      <w:r w:rsidR="0040708D">
        <w:rPr>
          <w:color w:val="000000"/>
        </w:rPr>
        <w:t>ing</w:t>
      </w:r>
      <w:r w:rsidR="00DF0615">
        <w:rPr>
          <w:color w:val="000000"/>
        </w:rPr>
        <w:t xml:space="preserve"> foundational information</w:t>
      </w:r>
      <w:r w:rsidR="0040708D">
        <w:rPr>
          <w:color w:val="000000"/>
        </w:rPr>
        <w:t xml:space="preserve"> </w:t>
      </w:r>
      <w:r w:rsidR="00184D31">
        <w:rPr>
          <w:color w:val="000000"/>
        </w:rPr>
        <w:t>essential for</w:t>
      </w:r>
      <w:r w:rsidR="0040708D">
        <w:rPr>
          <w:color w:val="000000"/>
        </w:rPr>
        <w:t xml:space="preserve"> improving </w:t>
      </w:r>
      <w:r w:rsidR="00184D31">
        <w:rPr>
          <w:color w:val="000000"/>
        </w:rPr>
        <w:t>the well-being of workers</w:t>
      </w:r>
      <w:r w:rsidR="00627E02">
        <w:rPr>
          <w:color w:val="000000"/>
        </w:rPr>
        <w:t xml:space="preserve">. </w:t>
      </w:r>
    </w:p>
    <w:p w14:paraId="0BAAB486" w14:textId="77777777" w:rsidR="00FC203D" w:rsidRDefault="00FC203D" w:rsidP="00B85C5F">
      <w:pPr>
        <w:rPr>
          <w:color w:val="000000"/>
        </w:rPr>
      </w:pPr>
    </w:p>
    <w:p w14:paraId="11FAE5F2" w14:textId="7195C39F" w:rsidR="009B2C27" w:rsidRDefault="00776D81" w:rsidP="00EA6EC6">
      <w:pPr>
        <w:rPr>
          <w:color w:val="000000"/>
        </w:rPr>
      </w:pPr>
      <w:r>
        <w:rPr>
          <w:color w:val="000000"/>
        </w:rPr>
        <w:t>C</w:t>
      </w:r>
      <w:r w:rsidR="009B2C27">
        <w:rPr>
          <w:color w:val="000000"/>
        </w:rPr>
        <w:t>urrently</w:t>
      </w:r>
      <w:r w:rsidR="00BA77B5">
        <w:rPr>
          <w:color w:val="000000"/>
        </w:rPr>
        <w:t>,</w:t>
      </w:r>
      <w:r w:rsidR="009B2C27">
        <w:rPr>
          <w:color w:val="000000"/>
        </w:rPr>
        <w:t xml:space="preserve"> there are no measures of well-being that are suitable for the workforce. By validating the survey</w:t>
      </w:r>
      <w:r w:rsidR="009B2C27" w:rsidRPr="00C90F16">
        <w:rPr>
          <w:color w:val="000000"/>
        </w:rPr>
        <w:t>,</w:t>
      </w:r>
      <w:r w:rsidR="009B2C27">
        <w:rPr>
          <w:color w:val="000000"/>
        </w:rPr>
        <w:t xml:space="preserve"> </w:t>
      </w:r>
      <w:r w:rsidR="00B3607E">
        <w:rPr>
          <w:color w:val="000000"/>
        </w:rPr>
        <w:t xml:space="preserve">on a relatively large and varied U.S. sample, </w:t>
      </w:r>
      <w:r w:rsidR="001102B4">
        <w:rPr>
          <w:color w:val="000000"/>
        </w:rPr>
        <w:t>the instrument will be applicable</w:t>
      </w:r>
      <w:r w:rsidR="00262CA5">
        <w:rPr>
          <w:color w:val="000000"/>
        </w:rPr>
        <w:t xml:space="preserve"> for</w:t>
      </w:r>
      <w:r w:rsidR="001102B4">
        <w:rPr>
          <w:color w:val="000000"/>
        </w:rPr>
        <w:t xml:space="preserve"> </w:t>
      </w:r>
      <w:r w:rsidR="00B3607E">
        <w:rPr>
          <w:color w:val="000000"/>
        </w:rPr>
        <w:t xml:space="preserve">future </w:t>
      </w:r>
      <w:r w:rsidR="009B2C27">
        <w:rPr>
          <w:color w:val="000000"/>
        </w:rPr>
        <w:t xml:space="preserve">measurement of worker well-being </w:t>
      </w:r>
      <w:r w:rsidR="00B3607E">
        <w:rPr>
          <w:color w:val="000000"/>
        </w:rPr>
        <w:t xml:space="preserve">in the U.S. </w:t>
      </w:r>
      <w:r w:rsidR="009B2C27">
        <w:rPr>
          <w:color w:val="000000"/>
        </w:rPr>
        <w:t xml:space="preserve">at the national </w:t>
      </w:r>
      <w:r w:rsidR="00B30A76">
        <w:rPr>
          <w:color w:val="000000"/>
        </w:rPr>
        <w:t xml:space="preserve">as well as </w:t>
      </w:r>
      <w:r w:rsidR="002C21CE">
        <w:rPr>
          <w:color w:val="000000"/>
        </w:rPr>
        <w:t xml:space="preserve">at </w:t>
      </w:r>
      <w:r w:rsidR="00B30A76">
        <w:rPr>
          <w:color w:val="000000"/>
        </w:rPr>
        <w:t xml:space="preserve">various worker subpopulation </w:t>
      </w:r>
      <w:r w:rsidR="009B2C27">
        <w:rPr>
          <w:color w:val="000000"/>
        </w:rPr>
        <w:t>level</w:t>
      </w:r>
      <w:r w:rsidR="00B30A76">
        <w:rPr>
          <w:color w:val="000000"/>
        </w:rPr>
        <w:t>s</w:t>
      </w:r>
      <w:r w:rsidR="00B3607E">
        <w:rPr>
          <w:color w:val="000000"/>
        </w:rPr>
        <w:t xml:space="preserve">. These later studies could establish </w:t>
      </w:r>
      <w:r w:rsidR="00B30A76">
        <w:rPr>
          <w:color w:val="000000"/>
        </w:rPr>
        <w:t>well-</w:t>
      </w:r>
      <w:r w:rsidR="007340C9">
        <w:rPr>
          <w:color w:val="000000"/>
        </w:rPr>
        <w:t>being benchmarks</w:t>
      </w:r>
      <w:r w:rsidR="009B2C27">
        <w:rPr>
          <w:color w:val="000000"/>
        </w:rPr>
        <w:t xml:space="preserve"> </w:t>
      </w:r>
      <w:r w:rsidR="007F336E">
        <w:rPr>
          <w:color w:val="000000"/>
        </w:rPr>
        <w:t xml:space="preserve">that would be helpful for industries </w:t>
      </w:r>
      <w:r w:rsidR="006876C3">
        <w:rPr>
          <w:color w:val="000000"/>
        </w:rPr>
        <w:t xml:space="preserve">and organizations </w:t>
      </w:r>
      <w:r w:rsidR="007F336E">
        <w:rPr>
          <w:color w:val="000000"/>
        </w:rPr>
        <w:t xml:space="preserve">seeking to measure well-being </w:t>
      </w:r>
      <w:r w:rsidR="006876C3">
        <w:rPr>
          <w:color w:val="000000"/>
        </w:rPr>
        <w:t>of their</w:t>
      </w:r>
      <w:r w:rsidR="007F336E">
        <w:rPr>
          <w:color w:val="000000"/>
        </w:rPr>
        <w:t xml:space="preserve"> workforces.</w:t>
      </w:r>
      <w:r w:rsidR="00F15918">
        <w:rPr>
          <w:color w:val="000000"/>
        </w:rPr>
        <w:t xml:space="preserve"> </w:t>
      </w:r>
    </w:p>
    <w:p w14:paraId="75BDC910" w14:textId="54755BA0" w:rsidR="009B2C27" w:rsidRDefault="009B2C27" w:rsidP="00EA6EC6">
      <w:pPr>
        <w:rPr>
          <w:color w:val="000000"/>
        </w:rPr>
      </w:pPr>
    </w:p>
    <w:p w14:paraId="0622ABB6" w14:textId="24EE4D89" w:rsidR="00863334" w:rsidRPr="00863334" w:rsidRDefault="00863334" w:rsidP="0023134F">
      <w:pPr>
        <w:rPr>
          <w:b/>
          <w:i/>
        </w:rPr>
      </w:pPr>
      <w:r w:rsidRPr="00863334">
        <w:rPr>
          <w:b/>
          <w:i/>
        </w:rPr>
        <w:t>Development of the worker well-being survey instrument</w:t>
      </w:r>
    </w:p>
    <w:p w14:paraId="7B2220D5" w14:textId="77777777" w:rsidR="00863334" w:rsidRDefault="00863334" w:rsidP="0023134F"/>
    <w:p w14:paraId="3311AC6B" w14:textId="46C0560D" w:rsidR="004D0AFA" w:rsidRDefault="00F62432" w:rsidP="004D0AFA">
      <w:r>
        <w:t>The present study is guided by a</w:t>
      </w:r>
      <w:r w:rsidR="00E45DCB">
        <w:t xml:space="preserve"> </w:t>
      </w:r>
      <w:r w:rsidR="00863334">
        <w:t xml:space="preserve">worker </w:t>
      </w:r>
      <w:r>
        <w:t xml:space="preserve">well-being framework that was </w:t>
      </w:r>
      <w:r w:rsidR="00E45DCB">
        <w:t xml:space="preserve">developed </w:t>
      </w:r>
      <w:r>
        <w:t xml:space="preserve">over the course of 2014-2016, </w:t>
      </w:r>
      <w:r w:rsidR="00FC203D">
        <w:t>through a</w:t>
      </w:r>
      <w:r w:rsidR="00E45DCB">
        <w:t xml:space="preserve"> comprehensive literature review</w:t>
      </w:r>
      <w:r w:rsidR="00A4661E">
        <w:t xml:space="preserve"> </w:t>
      </w:r>
      <w:r w:rsidR="00FC203D">
        <w:t xml:space="preserve">and input from </w:t>
      </w:r>
      <w:r w:rsidR="00E50103">
        <w:t xml:space="preserve">an </w:t>
      </w:r>
      <w:r w:rsidR="00BA77B5">
        <w:t>international panel</w:t>
      </w:r>
      <w:r>
        <w:t xml:space="preserve"> of well-being and occupational health experts</w:t>
      </w:r>
      <w:r w:rsidR="00224D0E">
        <w:t xml:space="preserve">. </w:t>
      </w:r>
      <w:r w:rsidR="004D0AFA">
        <w:t xml:space="preserve">NIOSH and partners have used this process (literature review, expert panel) in the past </w:t>
      </w:r>
      <w:r w:rsidR="004C6792">
        <w:t>to develop the Quality of Workl</w:t>
      </w:r>
      <w:r w:rsidR="004D0AFA">
        <w:t>ife Questionnaire.</w:t>
      </w:r>
    </w:p>
    <w:p w14:paraId="33FAA13A" w14:textId="77777777" w:rsidR="004D0AFA" w:rsidRDefault="004D0AFA" w:rsidP="00CD3ED8"/>
    <w:p w14:paraId="468C998A" w14:textId="4E9E7E5E" w:rsidR="00863334" w:rsidRDefault="00CD3ED8" w:rsidP="0023134F">
      <w:r>
        <w:t xml:space="preserve">The literature review targeted English-language </w:t>
      </w:r>
      <w:r w:rsidRPr="00CD3ED8">
        <w:t>review, meta-analyses, conceptual/theoretical, and methods-focused papers</w:t>
      </w:r>
      <w:r w:rsidR="001B14B3">
        <w:t>; there was no limitation placed on the timeframe of the papers reviewed</w:t>
      </w:r>
      <w:r>
        <w:t xml:space="preserve">. </w:t>
      </w:r>
      <w:r w:rsidR="00863334">
        <w:t xml:space="preserve">The review </w:t>
      </w:r>
      <w:r w:rsidR="004D0AFA">
        <w:t>identified available constructs for well-being and</w:t>
      </w:r>
      <w:r w:rsidR="00F659CD">
        <w:t xml:space="preserve"> helped inform our definition of worker well-being. The review also </w:t>
      </w:r>
      <w:r w:rsidR="00863334">
        <w:t xml:space="preserve">included an in-depth assessment of </w:t>
      </w:r>
      <w:r w:rsidR="00224D0E">
        <w:t xml:space="preserve">existing measurement instruments related to </w:t>
      </w:r>
      <w:r w:rsidR="00863334">
        <w:t xml:space="preserve">well-being, the majority of which were validated instruments. Altogether we reviewed about 150 </w:t>
      </w:r>
      <w:r w:rsidR="00F54456">
        <w:t xml:space="preserve">reports </w:t>
      </w:r>
      <w:r w:rsidR="00863334">
        <w:t xml:space="preserve">from the well-being literature and extracted 150 constructs that had been studied as well-being indicators. Through a categorization and grouping process, five domains emerged that comprise the worker well-being framework: </w:t>
      </w:r>
    </w:p>
    <w:p w14:paraId="022504C9" w14:textId="77777777" w:rsidR="00262CA5" w:rsidRDefault="00262CA5" w:rsidP="0023134F"/>
    <w:p w14:paraId="04DEA60C" w14:textId="77777777" w:rsidR="00863334" w:rsidRPr="00D42B28" w:rsidRDefault="00863334" w:rsidP="00863334">
      <w:pPr>
        <w:pStyle w:val="ListParagraph"/>
        <w:widowControl w:val="0"/>
        <w:numPr>
          <w:ilvl w:val="0"/>
          <w:numId w:val="17"/>
        </w:numPr>
        <w:autoSpaceDE w:val="0"/>
        <w:autoSpaceDN w:val="0"/>
        <w:adjustRightInd w:val="0"/>
        <w:ind w:left="630"/>
      </w:pPr>
      <w:r w:rsidRPr="00D42B28">
        <w:rPr>
          <w:i/>
          <w:u w:val="single"/>
        </w:rPr>
        <w:t>Workplace physical environment and safety climate</w:t>
      </w:r>
      <w:r w:rsidRPr="00D42B28">
        <w:t xml:space="preserve"> include</w:t>
      </w:r>
      <w:r>
        <w:t>s</w:t>
      </w:r>
      <w:r w:rsidRPr="00D42B28">
        <w:t xml:space="preserve"> factors that relate to physical and safety features of the work environment that comprise overall working conditions.</w:t>
      </w:r>
    </w:p>
    <w:p w14:paraId="6C94DD6B" w14:textId="77777777" w:rsidR="00863334" w:rsidRPr="00D42B28" w:rsidRDefault="00863334" w:rsidP="00863334">
      <w:pPr>
        <w:pStyle w:val="ListParagraph"/>
        <w:widowControl w:val="0"/>
        <w:numPr>
          <w:ilvl w:val="0"/>
          <w:numId w:val="17"/>
        </w:numPr>
        <w:autoSpaceDE w:val="0"/>
        <w:autoSpaceDN w:val="0"/>
        <w:adjustRightInd w:val="0"/>
        <w:ind w:left="630"/>
      </w:pPr>
      <w:r w:rsidRPr="00D42B28">
        <w:rPr>
          <w:i/>
          <w:u w:val="single"/>
        </w:rPr>
        <w:t>Organizational policies and culture</w:t>
      </w:r>
      <w:r w:rsidRPr="00D42B28">
        <w:t xml:space="preserve"> relate</w:t>
      </w:r>
      <w:r>
        <w:t>s</w:t>
      </w:r>
      <w:r w:rsidRPr="00D42B28">
        <w:t xml:space="preserve"> to organizational policies and character as determined through the values, attitudes, and behaviors promoted by an organization. </w:t>
      </w:r>
    </w:p>
    <w:p w14:paraId="25FF4184" w14:textId="77777777" w:rsidR="00863334" w:rsidRPr="00D42B28" w:rsidRDefault="00863334" w:rsidP="00863334">
      <w:pPr>
        <w:pStyle w:val="ListParagraph"/>
        <w:widowControl w:val="0"/>
        <w:numPr>
          <w:ilvl w:val="0"/>
          <w:numId w:val="17"/>
        </w:numPr>
        <w:autoSpaceDE w:val="0"/>
        <w:autoSpaceDN w:val="0"/>
        <w:adjustRightInd w:val="0"/>
        <w:ind w:left="630"/>
      </w:pPr>
      <w:r w:rsidRPr="00D42B28">
        <w:rPr>
          <w:i/>
          <w:u w:val="single"/>
        </w:rPr>
        <w:t>Health status</w:t>
      </w:r>
      <w:r w:rsidRPr="00D42B28">
        <w:t xml:space="preserve"> involves aspects of individuals’ lives relating to their physical and mental health and welfare. </w:t>
      </w:r>
    </w:p>
    <w:p w14:paraId="4C81314E" w14:textId="77777777" w:rsidR="00863334" w:rsidRPr="00D42B28" w:rsidRDefault="00863334" w:rsidP="00863334">
      <w:pPr>
        <w:pStyle w:val="ListParagraph"/>
        <w:widowControl w:val="0"/>
        <w:numPr>
          <w:ilvl w:val="0"/>
          <w:numId w:val="17"/>
        </w:numPr>
        <w:autoSpaceDE w:val="0"/>
        <w:autoSpaceDN w:val="0"/>
        <w:adjustRightInd w:val="0"/>
        <w:ind w:left="630"/>
      </w:pPr>
      <w:r w:rsidRPr="00D42B28">
        <w:rPr>
          <w:i/>
          <w:u w:val="single"/>
        </w:rPr>
        <w:t>Work evaluation and experience</w:t>
      </w:r>
      <w:r w:rsidRPr="00D42B28">
        <w:t xml:space="preserve"> refers to individuals’ experiences and evaluations of their working lives that comprise psychologic</w:t>
      </w:r>
      <w:r>
        <w:t>al well-being at work.</w:t>
      </w:r>
    </w:p>
    <w:p w14:paraId="134D5AB3" w14:textId="77777777" w:rsidR="00863334" w:rsidRPr="00D42B28" w:rsidRDefault="00863334" w:rsidP="00863334">
      <w:pPr>
        <w:pStyle w:val="ListParagraph"/>
        <w:widowControl w:val="0"/>
        <w:numPr>
          <w:ilvl w:val="0"/>
          <w:numId w:val="17"/>
        </w:numPr>
        <w:autoSpaceDE w:val="0"/>
        <w:autoSpaceDN w:val="0"/>
        <w:adjustRightInd w:val="0"/>
        <w:ind w:left="630"/>
      </w:pPr>
      <w:r w:rsidRPr="00D42B28">
        <w:rPr>
          <w:i/>
          <w:u w:val="single"/>
        </w:rPr>
        <w:t>Home, community, and society</w:t>
      </w:r>
      <w:r w:rsidRPr="00D42B28">
        <w:t xml:space="preserve"> encompasses the external context or aspects of individuals’ lives that are situated outside of work but may still influence worker well-being.</w:t>
      </w:r>
    </w:p>
    <w:p w14:paraId="2C35FE6B" w14:textId="77777777" w:rsidR="00F659CD" w:rsidRDefault="00F659CD" w:rsidP="00F659CD"/>
    <w:p w14:paraId="0C2B5043" w14:textId="2619BAAD" w:rsidR="00AA3987" w:rsidRDefault="00F659CD" w:rsidP="0023134F">
      <w:r>
        <w:t>W</w:t>
      </w:r>
      <w:r w:rsidR="00863334">
        <w:t xml:space="preserve">e identified numerous potential subdomains and subdomain constructs within each framework domain. For example, mental health may be a subdomain of the domain </w:t>
      </w:r>
      <w:r w:rsidR="00863334" w:rsidRPr="00F659CD">
        <w:rPr>
          <w:i/>
        </w:rPr>
        <w:t>health status</w:t>
      </w:r>
      <w:r w:rsidR="00863334">
        <w:t>, with anxiety, depression, or experience of stress being subdomain constructs</w:t>
      </w:r>
      <w:r w:rsidR="00F54456">
        <w:t xml:space="preserve"> comprising me</w:t>
      </w:r>
      <w:r w:rsidR="00F54456" w:rsidRPr="00BA77B5">
        <w:t>ntal health</w:t>
      </w:r>
      <w:r w:rsidR="00863334" w:rsidRPr="00BA77B5">
        <w:t>.</w:t>
      </w:r>
      <w:r>
        <w:t xml:space="preserve"> </w:t>
      </w:r>
      <w:r w:rsidR="00680B6E">
        <w:t xml:space="preserve">To prioritize the subdomains and constructs, we collaborated with </w:t>
      </w:r>
      <w:r w:rsidR="00AF3871">
        <w:t xml:space="preserve">expert </w:t>
      </w:r>
      <w:r w:rsidR="00680B6E">
        <w:t xml:space="preserve">with experience in organizational psychology, </w:t>
      </w:r>
      <w:r w:rsidR="00680B6E" w:rsidRPr="0038796D">
        <w:t>research methods and psycholo</w:t>
      </w:r>
      <w:r w:rsidR="00680B6E">
        <w:t>gical measurement, workforce health and productivity improvement, well-being and performance, and worker safety and health. W</w:t>
      </w:r>
      <w:r w:rsidR="00863334" w:rsidRPr="00BA77B5">
        <w:t xml:space="preserve">e ended up with a set of 20 subdomains and 58 subdomain constructs that comprise the </w:t>
      </w:r>
      <w:r w:rsidR="00E50103" w:rsidRPr="00BA77B5">
        <w:t xml:space="preserve">overall </w:t>
      </w:r>
      <w:r w:rsidR="00863334" w:rsidRPr="00BA77B5">
        <w:t>worker well-being framework</w:t>
      </w:r>
      <w:r w:rsidR="007F336E" w:rsidRPr="00BA77B5">
        <w:t xml:space="preserve"> (</w:t>
      </w:r>
      <w:r w:rsidR="00BA77B5" w:rsidRPr="00BA77B5">
        <w:t>Attachment I</w:t>
      </w:r>
      <w:r w:rsidR="007F336E" w:rsidRPr="00BA77B5">
        <w:t>)</w:t>
      </w:r>
      <w:r w:rsidR="00863334" w:rsidRPr="00BA77B5">
        <w:t>.</w:t>
      </w:r>
      <w:r w:rsidR="00F62432" w:rsidRPr="00BA77B5">
        <w:t xml:space="preserve"> Following subdomain prioritization exercises, we extracted relevant items </w:t>
      </w:r>
      <w:r w:rsidR="00AF3871" w:rsidRPr="00BA77B5">
        <w:t>from published</w:t>
      </w:r>
      <w:r w:rsidR="009739B8">
        <w:t xml:space="preserve"> </w:t>
      </w:r>
      <w:r w:rsidR="00F62432" w:rsidRPr="00BA77B5">
        <w:t>instruments</w:t>
      </w:r>
      <w:r w:rsidR="00E50103" w:rsidRPr="00BA77B5">
        <w:t xml:space="preserve"> identified</w:t>
      </w:r>
      <w:r w:rsidR="00F62432" w:rsidRPr="00BA77B5">
        <w:t xml:space="preserve"> in our review</w:t>
      </w:r>
      <w:r w:rsidR="00AA3987">
        <w:t xml:space="preserve"> to and developed a draft survey instrument </w:t>
      </w:r>
      <w:r w:rsidR="009739B8">
        <w:t xml:space="preserve">to </w:t>
      </w:r>
      <w:r w:rsidR="00AA3987" w:rsidRPr="00BA77B5">
        <w:t>operationalize constructs at the subdomain level</w:t>
      </w:r>
      <w:r w:rsidR="00AA3987">
        <w:t xml:space="preserve">. </w:t>
      </w:r>
      <w:r w:rsidR="00730DB1">
        <w:t xml:space="preserve">The </w:t>
      </w:r>
      <w:r w:rsidR="00AA3987">
        <w:t>survey</w:t>
      </w:r>
      <w:r w:rsidR="00730DB1">
        <w:t xml:space="preserve"> was reviewed by the </w:t>
      </w:r>
      <w:r w:rsidR="00680B6E">
        <w:rPr>
          <w:color w:val="000000" w:themeColor="text1"/>
        </w:rPr>
        <w:t>expert panel</w:t>
      </w:r>
      <w:r w:rsidR="00730DB1">
        <w:rPr>
          <w:color w:val="000000" w:themeColor="text1"/>
        </w:rPr>
        <w:t xml:space="preserve">, who </w:t>
      </w:r>
      <w:r w:rsidR="00680B6E" w:rsidRPr="00AC6938">
        <w:rPr>
          <w:color w:val="000000" w:themeColor="text1"/>
        </w:rPr>
        <w:t>helped prioritize sub</w:t>
      </w:r>
      <w:r w:rsidR="00730DB1">
        <w:rPr>
          <w:color w:val="000000" w:themeColor="text1"/>
        </w:rPr>
        <w:t xml:space="preserve">domain constructs to minimize burden to </w:t>
      </w:r>
      <w:r w:rsidR="00AA3987">
        <w:rPr>
          <w:color w:val="000000" w:themeColor="text1"/>
        </w:rPr>
        <w:t xml:space="preserve">survey </w:t>
      </w:r>
      <w:r w:rsidR="00730DB1">
        <w:rPr>
          <w:color w:val="000000" w:themeColor="text1"/>
        </w:rPr>
        <w:t>respondents</w:t>
      </w:r>
      <w:r w:rsidR="00AA3987">
        <w:rPr>
          <w:color w:val="000000" w:themeColor="text1"/>
        </w:rPr>
        <w:t>.</w:t>
      </w:r>
      <w:r w:rsidR="00680B6E" w:rsidRPr="00AC6938">
        <w:rPr>
          <w:color w:val="000000" w:themeColor="text1"/>
        </w:rPr>
        <w:t xml:space="preserve"> </w:t>
      </w:r>
      <w:r w:rsidR="00680B6E">
        <w:rPr>
          <w:color w:val="000000" w:themeColor="text1"/>
        </w:rPr>
        <w:t>T</w:t>
      </w:r>
      <w:r w:rsidR="00730DB1">
        <w:rPr>
          <w:color w:val="000000" w:themeColor="text1"/>
        </w:rPr>
        <w:t>he experts</w:t>
      </w:r>
      <w:r w:rsidR="00680B6E">
        <w:rPr>
          <w:color w:val="000000" w:themeColor="text1"/>
        </w:rPr>
        <w:t xml:space="preserve"> also </w:t>
      </w:r>
      <w:r w:rsidR="00680B6E" w:rsidRPr="00AC6938">
        <w:rPr>
          <w:color w:val="000000" w:themeColor="text1"/>
        </w:rPr>
        <w:t xml:space="preserve">confirmed our choices for selecting measurement tools to match the worker well-being framework. </w:t>
      </w:r>
      <w:r w:rsidR="009E6A2F">
        <w:t>The 83</w:t>
      </w:r>
      <w:r w:rsidR="00AA3987">
        <w:t xml:space="preserve"> questions in the instrument is mapped to the various worker well-being subdomain constructs, subdomains, and domains. </w:t>
      </w:r>
      <w:r w:rsidR="00573097">
        <w:t xml:space="preserve">The instrument as a whole underwent </w:t>
      </w:r>
      <w:r w:rsidR="0062073F">
        <w:t xml:space="preserve">cognitive </w:t>
      </w:r>
      <w:r w:rsidR="00573097">
        <w:t>testing with a</w:t>
      </w:r>
      <w:r w:rsidR="00D2331B">
        <w:t xml:space="preserve"> convenience sample</w:t>
      </w:r>
      <w:r w:rsidR="00573097">
        <w:t xml:space="preserve"> of nine </w:t>
      </w:r>
      <w:r w:rsidR="005C2803">
        <w:t xml:space="preserve">employed </w:t>
      </w:r>
      <w:r w:rsidR="00573097">
        <w:t>individuals who provided feedback on</w:t>
      </w:r>
      <w:r w:rsidR="005C2803">
        <w:t xml:space="preserve"> issues </w:t>
      </w:r>
      <w:r w:rsidR="00215FA8">
        <w:t xml:space="preserve">such as </w:t>
      </w:r>
      <w:r w:rsidR="005C2803">
        <w:t>overall survey length, organization, individual questions that required editing or explanation for clarity, and problems related to survey response scales and directions. Results of the cognitive testing were used to further refine the instrument</w:t>
      </w:r>
      <w:r w:rsidR="00AA3987">
        <w:t>.</w:t>
      </w:r>
    </w:p>
    <w:p w14:paraId="09E2245C" w14:textId="77777777" w:rsidR="00AA3987" w:rsidRDefault="00AA3987" w:rsidP="0023134F"/>
    <w:p w14:paraId="04413B8C" w14:textId="74B2C951" w:rsidR="00F62432" w:rsidRPr="00AA3987" w:rsidRDefault="00F62432" w:rsidP="0023134F">
      <w:r w:rsidRPr="00F62432">
        <w:rPr>
          <w:b/>
          <w:i/>
        </w:rPr>
        <w:t>Need for instrument validation testing</w:t>
      </w:r>
    </w:p>
    <w:p w14:paraId="55961012" w14:textId="77777777" w:rsidR="00F62432" w:rsidRDefault="00F62432" w:rsidP="0023134F"/>
    <w:p w14:paraId="5571F731" w14:textId="2607C482" w:rsidR="005565BC" w:rsidRDefault="009C6F6D" w:rsidP="00B84251">
      <w:r>
        <w:t xml:space="preserve">While the majority of items used in the worker well-being survey instrument are pulled from </w:t>
      </w:r>
      <w:r w:rsidRPr="00E73884">
        <w:t>existing and validated instruments</w:t>
      </w:r>
      <w:r w:rsidR="009739B8">
        <w:t xml:space="preserve"> (</w:t>
      </w:r>
      <w:r w:rsidR="00AF3871">
        <w:t xml:space="preserve">see </w:t>
      </w:r>
      <w:r w:rsidR="009739B8">
        <w:t xml:space="preserve">Attachment J </w:t>
      </w:r>
      <w:r w:rsidR="00AF3871">
        <w:t>for</w:t>
      </w:r>
      <w:r w:rsidR="009739B8">
        <w:t xml:space="preserve"> the sources of the items in the survey)</w:t>
      </w:r>
      <w:r w:rsidRPr="00E73884">
        <w:t xml:space="preserve">, </w:t>
      </w:r>
      <w:r w:rsidR="005565BC" w:rsidRPr="00E73884">
        <w:t>in order</w:t>
      </w:r>
      <w:r w:rsidR="005565BC">
        <w:t xml:space="preserve"> to integrate all the items into one instrument</w:t>
      </w:r>
      <w:r w:rsidR="00C460F6">
        <w:t>,</w:t>
      </w:r>
      <w:r w:rsidR="005565BC">
        <w:t xml:space="preserve"> many of the questions underwent </w:t>
      </w:r>
      <w:r w:rsidR="00215FA8">
        <w:t xml:space="preserve">modest </w:t>
      </w:r>
      <w:r w:rsidR="005565BC">
        <w:t xml:space="preserve">changes </w:t>
      </w:r>
      <w:r w:rsidR="00215FA8">
        <w:t>with regard their</w:t>
      </w:r>
      <w:r w:rsidR="005565BC">
        <w:t xml:space="preserve"> response categories and </w:t>
      </w:r>
      <w:r w:rsidR="003D00BC">
        <w:t xml:space="preserve">reference period </w:t>
      </w:r>
      <w:r w:rsidR="00C460F6">
        <w:t xml:space="preserve">so </w:t>
      </w:r>
      <w:r w:rsidR="00FC13D5">
        <w:t xml:space="preserve">that </w:t>
      </w:r>
      <w:r w:rsidR="00857477">
        <w:t>the overall</w:t>
      </w:r>
      <w:r w:rsidR="00C460F6">
        <w:t xml:space="preserve"> instrument</w:t>
      </w:r>
      <w:r w:rsidR="003D00BC">
        <w:t xml:space="preserve"> </w:t>
      </w:r>
      <w:r w:rsidR="00FC13D5">
        <w:t>w</w:t>
      </w:r>
      <w:r w:rsidR="00C460F6">
        <w:t>ould be</w:t>
      </w:r>
      <w:r w:rsidR="005565BC">
        <w:t xml:space="preserve"> </w:t>
      </w:r>
      <w:r w:rsidR="00C460F6">
        <w:t xml:space="preserve">more </w:t>
      </w:r>
      <w:r w:rsidR="005565BC">
        <w:t>consiste</w:t>
      </w:r>
      <w:r w:rsidR="00C460F6">
        <w:t>nt</w:t>
      </w:r>
      <w:r w:rsidR="003D00BC">
        <w:t xml:space="preserve"> across survey questions</w:t>
      </w:r>
      <w:r w:rsidR="008A7D73">
        <w:t xml:space="preserve">. </w:t>
      </w:r>
      <w:r w:rsidR="00576CCB">
        <w:t xml:space="preserve">Occasionally, the items themselves were revised </w:t>
      </w:r>
      <w:r w:rsidR="00FE4367">
        <w:t>to better reflect the range of workers and their work situations (telecommuters, short-term workers, etc.)</w:t>
      </w:r>
      <w:r w:rsidR="00E45DCB">
        <w:t>.</w:t>
      </w:r>
      <w:r w:rsidR="007F336E">
        <w:t xml:space="preserve"> In addition to changes in the wording, some of the original scales considered were not included wholesale into the instrument.</w:t>
      </w:r>
      <w:r w:rsidR="00FE4367">
        <w:t xml:space="preserve"> </w:t>
      </w:r>
      <w:r w:rsidR="003B2CBD">
        <w:t>Because of these necessary modifications,</w:t>
      </w:r>
      <w:r w:rsidR="00065C4F">
        <w:t xml:space="preserve"> we </w:t>
      </w:r>
      <w:r w:rsidR="009E4506">
        <w:t>need</w:t>
      </w:r>
      <w:r w:rsidR="00065C4F">
        <w:t xml:space="preserve"> to conduct basic psychometric testing on </w:t>
      </w:r>
      <w:r w:rsidR="00065C4F" w:rsidRPr="009B134A">
        <w:t>the entire instrument</w:t>
      </w:r>
      <w:r w:rsidR="003B2CBD" w:rsidRPr="009B134A">
        <w:t>.</w:t>
      </w:r>
      <w:r w:rsidR="007F336E" w:rsidRPr="009B134A">
        <w:t xml:space="preserve"> </w:t>
      </w:r>
      <w:r w:rsidR="00A82710" w:rsidRPr="009B134A">
        <w:t xml:space="preserve">A description of testing is provided in the following section of this </w:t>
      </w:r>
      <w:r w:rsidR="006F0B3D" w:rsidRPr="009B134A">
        <w:t>supporting</w:t>
      </w:r>
      <w:r w:rsidR="006F0B3D">
        <w:t xml:space="preserve"> statement</w:t>
      </w:r>
      <w:r w:rsidR="00A82710">
        <w:t xml:space="preserve">. </w:t>
      </w:r>
      <w:r w:rsidR="00C429F1">
        <w:t>We anticipate that any researcher interested in using this new instrument would want to know</w:t>
      </w:r>
      <w:r w:rsidR="007F336E">
        <w:t xml:space="preserve"> how it was developed,</w:t>
      </w:r>
      <w:r w:rsidR="00C429F1">
        <w:t xml:space="preserve"> its psychometric properties</w:t>
      </w:r>
      <w:r w:rsidR="009B5F0E">
        <w:t>,</w:t>
      </w:r>
      <w:r w:rsidR="003B2CBD">
        <w:t xml:space="preserve"> and to be assured the instrument is psychometrically sound</w:t>
      </w:r>
      <w:r w:rsidR="00F62432">
        <w:t>.</w:t>
      </w:r>
      <w:r w:rsidR="00A82710">
        <w:t xml:space="preserve"> </w:t>
      </w:r>
    </w:p>
    <w:p w14:paraId="01AF649C" w14:textId="00A11D68" w:rsidR="00573097" w:rsidRDefault="00573097" w:rsidP="00B84251"/>
    <w:p w14:paraId="7A1E8978" w14:textId="4C7177D2" w:rsidR="00F27632" w:rsidRPr="001115CE" w:rsidRDefault="0002702C" w:rsidP="0058481E">
      <w:r>
        <w:t xml:space="preserve">Thus, </w:t>
      </w:r>
      <w:r w:rsidR="00D81ACF">
        <w:t>we</w:t>
      </w:r>
      <w:r w:rsidR="00373A27">
        <w:t xml:space="preserve"> design</w:t>
      </w:r>
      <w:r w:rsidR="00D81ACF">
        <w:t>ed</w:t>
      </w:r>
      <w:r w:rsidR="00373A27">
        <w:t xml:space="preserve"> a survey instrument that will be validated through the present project (see </w:t>
      </w:r>
      <w:r w:rsidR="00F62432">
        <w:t>S</w:t>
      </w:r>
      <w:r w:rsidR="00373A27">
        <w:t>ection 2, Purpose and Use of Information). The instrument will then be</w:t>
      </w:r>
      <w:r w:rsidR="002C5875">
        <w:t xml:space="preserve"> made freely available to the public and to any interested party such as researchers, industries, and other government agencies to field </w:t>
      </w:r>
      <w:r w:rsidR="00A24E88">
        <w:t>and</w:t>
      </w:r>
      <w:r w:rsidR="00216D3D">
        <w:t xml:space="preserve"> gather data on well-being</w:t>
      </w:r>
      <w:r w:rsidR="002C5875">
        <w:t xml:space="preserve">. The present effort </w:t>
      </w:r>
      <w:r w:rsidR="00216D3D">
        <w:t>will also enable</w:t>
      </w:r>
      <w:r w:rsidR="00A24E88">
        <w:t xml:space="preserve"> interested parties </w:t>
      </w:r>
      <w:r w:rsidR="002C5875">
        <w:t xml:space="preserve">to administer the survey on </w:t>
      </w:r>
      <w:r w:rsidR="002C5875" w:rsidRPr="00D711F1">
        <w:t xml:space="preserve">a national </w:t>
      </w:r>
      <w:r w:rsidR="00D4581E" w:rsidRPr="00D711F1">
        <w:t xml:space="preserve">or worker sub-population </w:t>
      </w:r>
      <w:r w:rsidR="002C5875" w:rsidRPr="00D711F1">
        <w:t>level</w:t>
      </w:r>
      <w:r w:rsidR="00D4581E">
        <w:t>.</w:t>
      </w:r>
      <w:r w:rsidR="00EE1E65">
        <w:t xml:space="preserve"> </w:t>
      </w:r>
      <w:r w:rsidR="002C5875">
        <w:t xml:space="preserve">The development of survey instruments that are placed in the public domain and intended as a public good for the advancement of the field of occupational safety and health is a model that NIOSH has used successfully in the past. </w:t>
      </w:r>
      <w:r w:rsidR="00F62432">
        <w:t>For example, the Quality of Work</w:t>
      </w:r>
      <w:r w:rsidR="009E6448">
        <w:t xml:space="preserve"> </w:t>
      </w:r>
      <w:r w:rsidR="00F62432">
        <w:t xml:space="preserve">Life </w:t>
      </w:r>
      <w:r w:rsidR="00AF3871">
        <w:t>Questionnaire was</w:t>
      </w:r>
      <w:r w:rsidR="00F62432">
        <w:t xml:space="preserve"> publicly released following completion</w:t>
      </w:r>
      <w:r w:rsidR="00765532">
        <w:t>; it</w:t>
      </w:r>
      <w:r w:rsidR="00DE2595">
        <w:t xml:space="preserve"> was</w:t>
      </w:r>
      <w:r w:rsidR="00E52DA9">
        <w:t xml:space="preserve"> subsequently adopted by the National Opinion Research Center and administered as a module of the General Social Survey, </w:t>
      </w:r>
      <w:r w:rsidR="001115CE" w:rsidRPr="001115CE">
        <w:t>a biannual, nationally representative, personal interview survey</w:t>
      </w:r>
      <w:r w:rsidR="001115CE">
        <w:t>.</w:t>
      </w:r>
      <w:r w:rsidR="001115CE">
        <w:rPr>
          <w:rStyle w:val="FootnoteReference"/>
        </w:rPr>
        <w:footnoteReference w:id="30"/>
      </w:r>
    </w:p>
    <w:p w14:paraId="03604A73" w14:textId="77777777" w:rsidR="0058481E" w:rsidRDefault="0058481E" w:rsidP="0058481E"/>
    <w:p w14:paraId="2014C9B0" w14:textId="77777777" w:rsidR="00A67DE5" w:rsidRDefault="0002172E" w:rsidP="0058481E">
      <w:pPr>
        <w:pStyle w:val="Heading2"/>
        <w:rPr>
          <w:rFonts w:ascii="Times New Roman" w:hAnsi="Times New Roman"/>
        </w:rPr>
      </w:pPr>
      <w:bookmarkStart w:id="4" w:name="_Toc422159586"/>
      <w:r>
        <w:rPr>
          <w:rFonts w:ascii="Times New Roman" w:hAnsi="Times New Roman"/>
        </w:rPr>
        <w:t xml:space="preserve">2. </w:t>
      </w:r>
      <w:r w:rsidR="00A67DE5" w:rsidRPr="00EF52AE">
        <w:rPr>
          <w:rFonts w:ascii="Times New Roman" w:hAnsi="Times New Roman"/>
        </w:rPr>
        <w:t>Purpose and Use of Information</w:t>
      </w:r>
      <w:bookmarkEnd w:id="4"/>
    </w:p>
    <w:p w14:paraId="5CF921AF" w14:textId="77777777" w:rsidR="007340C9" w:rsidRDefault="007340C9" w:rsidP="009A76A7"/>
    <w:p w14:paraId="45458651" w14:textId="23744BC4" w:rsidR="009A76A7" w:rsidRDefault="009A76A7" w:rsidP="009A76A7">
      <w:r w:rsidRPr="00800E72">
        <w:t>In</w:t>
      </w:r>
      <w:r w:rsidR="0004251F">
        <w:t xml:space="preserve"> </w:t>
      </w:r>
      <w:r w:rsidRPr="00800E72">
        <w:t xml:space="preserve">developing a validated survey instrument </w:t>
      </w:r>
      <w:r>
        <w:t xml:space="preserve">to measure </w:t>
      </w:r>
      <w:r>
        <w:rPr>
          <w:color w:val="000000"/>
        </w:rPr>
        <w:t xml:space="preserve">worker well-being in the United States, </w:t>
      </w:r>
      <w:r w:rsidRPr="00800E72">
        <w:rPr>
          <w:color w:val="000000"/>
        </w:rPr>
        <w:t xml:space="preserve">we </w:t>
      </w:r>
      <w:r>
        <w:rPr>
          <w:color w:val="000000"/>
        </w:rPr>
        <w:t>have one overarching testing goal:</w:t>
      </w:r>
      <w:r w:rsidRPr="00800E72">
        <w:rPr>
          <w:color w:val="000000"/>
        </w:rPr>
        <w:t xml:space="preserve"> to</w:t>
      </w:r>
      <w:r w:rsidR="001B5C73">
        <w:rPr>
          <w:color w:val="000000"/>
        </w:rPr>
        <w:t xml:space="preserve"> gather necessary data in order</w:t>
      </w:r>
      <w:r w:rsidR="007F4C83">
        <w:rPr>
          <w:color w:val="000000"/>
        </w:rPr>
        <w:t xml:space="preserve"> </w:t>
      </w:r>
      <w:r w:rsidR="008635F0">
        <w:rPr>
          <w:color w:val="000000"/>
        </w:rPr>
        <w:t>t</w:t>
      </w:r>
      <w:r w:rsidR="00C90F16">
        <w:t>o conduct psychometric testing</w:t>
      </w:r>
      <w:r w:rsidRPr="00800E72">
        <w:rPr>
          <w:color w:val="000000"/>
        </w:rPr>
        <w:t xml:space="preserve">. </w:t>
      </w:r>
      <w:r>
        <w:t>S</w:t>
      </w:r>
      <w:r w:rsidRPr="00721B20">
        <w:t>tandard psychometric approache</w:t>
      </w:r>
      <w:r>
        <w:t xml:space="preserve">s including exploratory and confirmatory factor analysis, item-total correlations, </w:t>
      </w:r>
      <w:r w:rsidR="00CD316D">
        <w:t xml:space="preserve">item response rates, </w:t>
      </w:r>
      <w:r>
        <w:t>and internal consistency me</w:t>
      </w:r>
      <w:r w:rsidR="0023757B">
        <w:t xml:space="preserve">asures (e.g., </w:t>
      </w:r>
      <w:bookmarkStart w:id="5" w:name="OLE_LINK1"/>
      <w:r w:rsidR="0023757B">
        <w:t>Cronbach’s alpha</w:t>
      </w:r>
      <w:bookmarkEnd w:id="5"/>
      <w:r w:rsidR="0023757B">
        <w:t>)</w:t>
      </w:r>
      <w:r>
        <w:t xml:space="preserve"> will be employed, together with inferential analyses involving ANOVA, T-tests, and correlational analyses.</w:t>
      </w:r>
      <w:r w:rsidR="005C60AB">
        <w:t xml:space="preserve"> </w:t>
      </w:r>
      <w:r>
        <w:t xml:space="preserve">Findings from these analyses in combination with expert judgment will be used to finalize the worker </w:t>
      </w:r>
      <w:r w:rsidRPr="00FA4049">
        <w:t>well-being survey instrument.</w:t>
      </w:r>
    </w:p>
    <w:p w14:paraId="173EA353" w14:textId="77777777" w:rsidR="009A76A7" w:rsidRPr="00FA4049" w:rsidRDefault="009A76A7" w:rsidP="009A76A7"/>
    <w:p w14:paraId="590C6F15" w14:textId="38FCBFBC" w:rsidR="009A76A7" w:rsidRDefault="009A76A7" w:rsidP="009A76A7">
      <w:r>
        <w:rPr>
          <w:color w:val="000000"/>
        </w:rPr>
        <w:t xml:space="preserve">We will begin with analyses </w:t>
      </w:r>
      <w:r w:rsidR="007D752B">
        <w:rPr>
          <w:color w:val="000000"/>
        </w:rPr>
        <w:t xml:space="preserve">(e.g. Hypothesis 1) </w:t>
      </w:r>
      <w:r>
        <w:rPr>
          <w:color w:val="000000"/>
        </w:rPr>
        <w:t>to</w:t>
      </w:r>
      <w:r w:rsidRPr="00826DF1">
        <w:rPr>
          <w:color w:val="000000"/>
        </w:rPr>
        <w:t xml:space="preserve"> uncover the factor structure</w:t>
      </w:r>
      <w:r w:rsidRPr="00B37580">
        <w:t xml:space="preserve"> </w:t>
      </w:r>
      <w:r>
        <w:t>of the survey instrument to confirm or otherwise point to ways to refine the worker well-being framework and instrument.</w:t>
      </w:r>
      <w:r w:rsidR="005C60AB">
        <w:t xml:space="preserve">  </w:t>
      </w:r>
      <w:r>
        <w:rPr>
          <w:color w:val="000000"/>
        </w:rPr>
        <w:t>E</w:t>
      </w:r>
      <w:r w:rsidRPr="00FA4049">
        <w:t xml:space="preserve">xploratory </w:t>
      </w:r>
      <w:r>
        <w:t xml:space="preserve">and confirmatory </w:t>
      </w:r>
      <w:r w:rsidRPr="00FA4049">
        <w:t>factor analys</w:t>
      </w:r>
      <w:r>
        <w:t>e</w:t>
      </w:r>
      <w:r w:rsidRPr="00FA4049">
        <w:t xml:space="preserve">s will </w:t>
      </w:r>
      <w:r w:rsidRPr="00826DF1">
        <w:rPr>
          <w:color w:val="000000"/>
        </w:rPr>
        <w:t xml:space="preserve">help us </w:t>
      </w:r>
      <w:r>
        <w:rPr>
          <w:color w:val="000000"/>
        </w:rPr>
        <w:t xml:space="preserve">to </w:t>
      </w:r>
      <w:r w:rsidRPr="00826DF1">
        <w:rPr>
          <w:color w:val="000000"/>
        </w:rPr>
        <w:t xml:space="preserve">understand if the </w:t>
      </w:r>
      <w:r>
        <w:rPr>
          <w:color w:val="000000"/>
        </w:rPr>
        <w:t>subdomain factors comprising each domain</w:t>
      </w:r>
      <w:r w:rsidR="005C60AB">
        <w:rPr>
          <w:color w:val="000000"/>
        </w:rPr>
        <w:t xml:space="preserve"> </w:t>
      </w:r>
      <w:r w:rsidRPr="00826DF1">
        <w:rPr>
          <w:color w:val="000000"/>
        </w:rPr>
        <w:t>are in fact unique, or otherwise overlap in some way</w:t>
      </w:r>
      <w:r>
        <w:rPr>
          <w:color w:val="000000"/>
        </w:rPr>
        <w:t xml:space="preserve">, and to </w:t>
      </w:r>
      <w:r>
        <w:t xml:space="preserve">establish </w:t>
      </w:r>
      <w:r w:rsidRPr="00FA4049">
        <w:t>the total nu</w:t>
      </w:r>
      <w:r>
        <w:t>mber of subdomain factors in each domain</w:t>
      </w:r>
      <w:r w:rsidR="00B239B4">
        <w:t>.</w:t>
      </w:r>
      <w:r w:rsidRPr="00FA4049">
        <w:t xml:space="preserve"> For example, in the workplace physical environment and safety climate domain, we will evalu</w:t>
      </w:r>
      <w:r>
        <w:t xml:space="preserve">ate four hypothesized subdomain factors, </w:t>
      </w:r>
      <w:r w:rsidRPr="00FA4049">
        <w:t>including safety behavior and policies, safety perceptions and</w:t>
      </w:r>
      <w:r>
        <w:t xml:space="preserve"> attitudes, workplace physical design, discrimination and harassment. </w:t>
      </w:r>
      <w:r w:rsidR="00852418">
        <w:t xml:space="preserve">We expect the instrument to be multidimensional, but, conversely a null result could demonstrate that the instrument has fewer factors than expected or is simply unidimensional. </w:t>
      </w:r>
    </w:p>
    <w:p w14:paraId="4D0E60DB" w14:textId="77777777" w:rsidR="009A76A7" w:rsidRDefault="009A76A7" w:rsidP="009A76A7"/>
    <w:p w14:paraId="3BA67E70" w14:textId="550177A1" w:rsidR="009A76A7" w:rsidRDefault="009A76A7" w:rsidP="009A76A7">
      <w:r>
        <w:t>Following from the factor analyses, we will</w:t>
      </w:r>
      <w:r w:rsidRPr="00826DF1">
        <w:t xml:space="preserve"> gather statistical evidence</w:t>
      </w:r>
      <w:r w:rsidRPr="00910A5F">
        <w:t xml:space="preserve"> </w:t>
      </w:r>
      <w:r>
        <w:t xml:space="preserve">to determine the optimal number of items necessary for characterizing subdomain factors </w:t>
      </w:r>
      <w:r w:rsidR="00852418">
        <w:t xml:space="preserve">(e.g. H2) </w:t>
      </w:r>
      <w:r>
        <w:t>within each domain</w:t>
      </w:r>
      <w:r w:rsidRPr="00826DF1">
        <w:t xml:space="preserve"> </w:t>
      </w:r>
      <w:r>
        <w:t xml:space="preserve">while still retaining the original meaning of the subdomains and </w:t>
      </w:r>
      <w:r w:rsidR="00260065">
        <w:t>domains as conceptualized in our</w:t>
      </w:r>
      <w:r>
        <w:t xml:space="preserve"> aforementioned worker well-being framework. To accomplish this we will examine the internal consistenc</w:t>
      </w:r>
      <w:r w:rsidR="005C60AB">
        <w:t>y of subdomain factors</w:t>
      </w:r>
      <w:r>
        <w:t xml:space="preserve"> and consider removing items that do not contribute significantly to the overall Cronbach’s alpha for factors.  Based upon the refined content for subdomain factors, we will construct algorithms for computing scale scores for each of the subdomains and domains for practical application of </w:t>
      </w:r>
      <w:r w:rsidR="00B239B4">
        <w:t xml:space="preserve">the instrument. </w:t>
      </w:r>
    </w:p>
    <w:p w14:paraId="0FD57184" w14:textId="77777777" w:rsidR="009A76A7" w:rsidRDefault="009A76A7" w:rsidP="009A76A7"/>
    <w:p w14:paraId="0A709C23" w14:textId="1669EE1E" w:rsidR="009A76A7" w:rsidRDefault="009A76A7" w:rsidP="009A76A7">
      <w:r>
        <w:t>In support of our testing goal</w:t>
      </w:r>
      <w:r w:rsidR="009B4DA6">
        <w:t>s</w:t>
      </w:r>
      <w:r>
        <w:t>, we will test the following hypotheses:</w:t>
      </w:r>
    </w:p>
    <w:p w14:paraId="6FBD337C" w14:textId="77777777" w:rsidR="007340C9" w:rsidRDefault="007340C9" w:rsidP="009A76A7"/>
    <w:p w14:paraId="5B5A1B2D" w14:textId="546BB007" w:rsidR="00852418" w:rsidRDefault="009A76A7" w:rsidP="00852418">
      <w:pPr>
        <w:pStyle w:val="ListParagraph"/>
      </w:pPr>
      <w:r w:rsidRPr="00660223">
        <w:rPr>
          <w:b/>
        </w:rPr>
        <w:t>H1:</w:t>
      </w:r>
      <w:r w:rsidR="004C3780">
        <w:rPr>
          <w:b/>
        </w:rPr>
        <w:t xml:space="preserve">  </w:t>
      </w:r>
      <w:r w:rsidR="002C5820" w:rsidRPr="00216395">
        <w:t>Th</w:t>
      </w:r>
      <w:r w:rsidR="002C5820">
        <w:t>e</w:t>
      </w:r>
      <w:r w:rsidR="002C5820" w:rsidRPr="00216395">
        <w:t xml:space="preserve"> instrument is multidimensional and many of</w:t>
      </w:r>
      <w:r w:rsidR="002C5820">
        <w:t xml:space="preserve"> the domains are represented by </w:t>
      </w:r>
      <w:r w:rsidR="002C5820" w:rsidRPr="00216395">
        <w:t>multiple</w:t>
      </w:r>
      <w:r w:rsidR="002C5820">
        <w:t>,</w:t>
      </w:r>
      <w:r w:rsidR="002C5820" w:rsidRPr="00216395">
        <w:t xml:space="preserve"> </w:t>
      </w:r>
      <w:r w:rsidR="002C5820">
        <w:t xml:space="preserve">unique subdomain </w:t>
      </w:r>
      <w:r w:rsidR="002C5820" w:rsidRPr="00216395">
        <w:t>factors.</w:t>
      </w:r>
    </w:p>
    <w:p w14:paraId="42CE2A2D" w14:textId="77777777" w:rsidR="007340C9" w:rsidRDefault="007340C9" w:rsidP="009A76A7">
      <w:pPr>
        <w:pStyle w:val="ListParagraph"/>
      </w:pPr>
    </w:p>
    <w:p w14:paraId="5115348C" w14:textId="169149B0" w:rsidR="009A76A7" w:rsidRDefault="009A76A7" w:rsidP="008E19CC">
      <w:pPr>
        <w:pStyle w:val="ListParagraph"/>
      </w:pPr>
      <w:r w:rsidRPr="00660223">
        <w:rPr>
          <w:b/>
        </w:rPr>
        <w:t>H2:</w:t>
      </w:r>
      <w:r w:rsidR="00E42618">
        <w:t xml:space="preserve"> </w:t>
      </w:r>
      <w:r w:rsidR="007F4C83" w:rsidRPr="007F4C83">
        <w:t>The factors can be represented by a subset of items that allows us to maximize instrument economy without compromising precision.</w:t>
      </w:r>
    </w:p>
    <w:p w14:paraId="3DECCAFD" w14:textId="696C1433" w:rsidR="009A76A7" w:rsidRDefault="009A76A7" w:rsidP="00852418">
      <w:r w:rsidRPr="00910A72">
        <w:t xml:space="preserve">To gather </w:t>
      </w:r>
      <w:r>
        <w:t>further criterion-related</w:t>
      </w:r>
      <w:r w:rsidR="002F6160">
        <w:t xml:space="preserve"> (predictive</w:t>
      </w:r>
      <w:r>
        <w:t xml:space="preserve">) </w:t>
      </w:r>
      <w:r w:rsidRPr="00910A72">
        <w:t>evidence of the i</w:t>
      </w:r>
      <w:r w:rsidR="008635F0">
        <w:t>nstrument’s validity, we will</w:t>
      </w:r>
      <w:r w:rsidRPr="00910A72">
        <w:t xml:space="preserve"> </w:t>
      </w:r>
      <w:r>
        <w:t xml:space="preserve">test additional hypotheses </w:t>
      </w:r>
      <w:r w:rsidR="00852418">
        <w:t xml:space="preserve">(e.g. H3a-c) </w:t>
      </w:r>
      <w:r>
        <w:t>to examine the strength of association</w:t>
      </w:r>
      <w:r w:rsidR="00F462DD">
        <w:t>s</w:t>
      </w:r>
      <w:r>
        <w:t xml:space="preserve"> among instrument measures that reflect known relationships in worker populations. </w:t>
      </w:r>
      <w:r w:rsidR="00593001">
        <w:t xml:space="preserve">Criterion </w:t>
      </w:r>
      <w:r w:rsidR="00FB6F8B">
        <w:t>validity demonstrates the extent to which a measure relates to some external criterion</w:t>
      </w:r>
      <w:r w:rsidR="00843C58">
        <w:t>.</w:t>
      </w:r>
      <w:r w:rsidR="00843C58">
        <w:rPr>
          <w:rStyle w:val="FootnoteReference"/>
        </w:rPr>
        <w:footnoteReference w:id="31"/>
      </w:r>
      <w:r w:rsidR="00FB6F8B">
        <w:t xml:space="preserve"> </w:t>
      </w:r>
      <w:r w:rsidR="00795AFD" w:rsidRPr="00795AFD">
        <w:rPr>
          <w:iCs/>
        </w:rPr>
        <w:t xml:space="preserve">For example, scores on written state driver tests are validated by their association with </w:t>
      </w:r>
      <w:r w:rsidR="00795AFD">
        <w:rPr>
          <w:iCs/>
        </w:rPr>
        <w:t xml:space="preserve">actual </w:t>
      </w:r>
      <w:r w:rsidR="00795AFD" w:rsidRPr="00795AFD">
        <w:rPr>
          <w:iCs/>
        </w:rPr>
        <w:t>driving records</w:t>
      </w:r>
      <w:r w:rsidR="00843C58" w:rsidRPr="00795AFD">
        <w:t xml:space="preserve">. </w:t>
      </w:r>
      <w:r w:rsidR="002F6160">
        <w:t xml:space="preserve">A sample of </w:t>
      </w:r>
      <w:r w:rsidR="00843C58">
        <w:t xml:space="preserve">worker well-being </w:t>
      </w:r>
      <w:r>
        <w:t>validity hypotheses</w:t>
      </w:r>
      <w:r w:rsidR="00843C58">
        <w:t>, based on existing research cited in the following paragraph,</w:t>
      </w:r>
      <w:r>
        <w:t xml:space="preserve"> to be tested include the </w:t>
      </w:r>
      <w:r w:rsidR="007340C9">
        <w:t>following:</w:t>
      </w:r>
    </w:p>
    <w:p w14:paraId="403416D7" w14:textId="77777777" w:rsidR="009A76A7" w:rsidRDefault="009A76A7" w:rsidP="009A76A7">
      <w:pPr>
        <w:ind w:left="1440"/>
      </w:pPr>
    </w:p>
    <w:p w14:paraId="295D0229" w14:textId="77777777" w:rsidR="009A76A7" w:rsidRDefault="009A76A7" w:rsidP="00852418">
      <w:pPr>
        <w:ind w:left="720"/>
      </w:pPr>
      <w:r w:rsidRPr="00660223">
        <w:rPr>
          <w:b/>
        </w:rPr>
        <w:t>H3a:</w:t>
      </w:r>
      <w:r>
        <w:t xml:space="preserve"> </w:t>
      </w:r>
      <w:r w:rsidRPr="00910A72">
        <w:t>Temporary/contract workers are likely to have fewer benefits than permanent workers.</w:t>
      </w:r>
    </w:p>
    <w:p w14:paraId="103F1572" w14:textId="77777777" w:rsidR="00B239B4" w:rsidRDefault="00B239B4" w:rsidP="00852418">
      <w:pPr>
        <w:ind w:left="720"/>
      </w:pPr>
    </w:p>
    <w:p w14:paraId="619D9FFF" w14:textId="0EA51F8D" w:rsidR="009A76A7" w:rsidRDefault="009A76A7" w:rsidP="00852418">
      <w:pPr>
        <w:ind w:left="720"/>
      </w:pPr>
      <w:r w:rsidRPr="00660223">
        <w:rPr>
          <w:b/>
        </w:rPr>
        <w:t>H3b:</w:t>
      </w:r>
      <w:r>
        <w:t xml:space="preserve"> </w:t>
      </w:r>
      <w:r w:rsidR="00DE7B87">
        <w:t xml:space="preserve">The prevalence of injuries </w:t>
      </w:r>
      <w:r w:rsidRPr="00392772">
        <w:t>in blue collar jobs (e.g., co</w:t>
      </w:r>
      <w:r w:rsidR="00803511">
        <w:t xml:space="preserve">nstruction, factories) </w:t>
      </w:r>
      <w:r w:rsidR="00DE7B87">
        <w:t>will be higher</w:t>
      </w:r>
      <w:r w:rsidRPr="00392772">
        <w:t xml:space="preserve"> than workers in white collar jobs.</w:t>
      </w:r>
    </w:p>
    <w:p w14:paraId="55D7AA0E" w14:textId="77777777" w:rsidR="00B239B4" w:rsidRDefault="00B239B4" w:rsidP="00852418">
      <w:pPr>
        <w:ind w:firstLine="720"/>
      </w:pPr>
    </w:p>
    <w:p w14:paraId="71877563" w14:textId="3350FBFA" w:rsidR="00D074F8" w:rsidRDefault="009A76A7" w:rsidP="00852418">
      <w:pPr>
        <w:ind w:left="720"/>
      </w:pPr>
      <w:r w:rsidRPr="00660223">
        <w:rPr>
          <w:b/>
        </w:rPr>
        <w:t>H3c:</w:t>
      </w:r>
      <w:r>
        <w:t xml:space="preserve"> </w:t>
      </w:r>
      <w:r w:rsidRPr="00392772">
        <w:t xml:space="preserve">Workers who score high on the depression </w:t>
      </w:r>
      <w:r w:rsidR="008649C8">
        <w:t xml:space="preserve">scale are more likely to report </w:t>
      </w:r>
      <w:r w:rsidRPr="00392772">
        <w:t>low levels of job satisfaction than workers who score low on the depression scale</w:t>
      </w:r>
    </w:p>
    <w:p w14:paraId="44DF68BB" w14:textId="77777777" w:rsidR="008649C8" w:rsidRDefault="008649C8" w:rsidP="008649C8">
      <w:pPr>
        <w:ind w:left="1440"/>
      </w:pPr>
    </w:p>
    <w:p w14:paraId="069CEE5E" w14:textId="4DA10042" w:rsidR="00C30D54" w:rsidRDefault="009739B8" w:rsidP="00A60422">
      <w:r>
        <w:t>Hypothesis such as these will h</w:t>
      </w:r>
      <w:r w:rsidRPr="00AC6938">
        <w:t xml:space="preserve">elp validate the instrument during testing. Literature suggests, for example, that temporary/ contract workers </w:t>
      </w:r>
      <w:r>
        <w:t xml:space="preserve">may have </w:t>
      </w:r>
      <w:r w:rsidRPr="00AC6938">
        <w:t xml:space="preserve">fewer benefits </w:t>
      </w:r>
      <w:r>
        <w:t xml:space="preserve">when compared to </w:t>
      </w:r>
      <w:r w:rsidRPr="00AC6938">
        <w:t>permanent employees.</w:t>
      </w:r>
      <w:r w:rsidR="00FB6F8B">
        <w:rPr>
          <w:rStyle w:val="FootnoteReference"/>
        </w:rPr>
        <w:footnoteReference w:id="32"/>
      </w:r>
      <w:r w:rsidRPr="00AC6938">
        <w:t xml:space="preserve"> </w:t>
      </w:r>
      <w:r w:rsidRPr="009739B8">
        <w:t xml:space="preserve">Further, </w:t>
      </w:r>
      <w:r w:rsidRPr="00BF2B12">
        <w:t xml:space="preserve">some studies suggest temporary workers are less satisfied with their jobs when compared to permanent </w:t>
      </w:r>
      <w:r w:rsidR="00836F53" w:rsidRPr="00BF2B12">
        <w:t>workers</w:t>
      </w:r>
      <w:r w:rsidR="00C60951" w:rsidRPr="00BF2B12">
        <w:rPr>
          <w:rStyle w:val="FootnoteReference"/>
        </w:rPr>
        <w:footnoteReference w:id="33"/>
      </w:r>
      <w:r w:rsidRPr="00BF2B12">
        <w:t>, and</w:t>
      </w:r>
      <w:r w:rsidRPr="009739B8">
        <w:t xml:space="preserve"> Human </w:t>
      </w:r>
      <w:r w:rsidRPr="00457D6D">
        <w:t>Resource departments may discuss different types of benefits fo</w:t>
      </w:r>
      <w:r w:rsidR="00457D6D" w:rsidRPr="00457D6D">
        <w:t>r temporary vs. permanent works</w:t>
      </w:r>
      <w:r w:rsidRPr="00457D6D">
        <w:t>.</w:t>
      </w:r>
      <w:r w:rsidR="00457D6D">
        <w:rPr>
          <w:rStyle w:val="FootnoteReference"/>
        </w:rPr>
        <w:footnoteReference w:id="34"/>
      </w:r>
      <w:r w:rsidRPr="00457D6D">
        <w:t xml:space="preserve"> As for</w:t>
      </w:r>
      <w:r w:rsidRPr="009739B8">
        <w:t xml:space="preserve"> blue-collar vs. white-collar jobs, data typically suggests that jobs like construction, manufacturing, or natural resources and mining (all typically blue-collar jobs) sustain the majority of injuries w</w:t>
      </w:r>
      <w:r w:rsidR="0032796F">
        <w:t>hen comparing across industries.</w:t>
      </w:r>
      <w:r w:rsidR="0032796F">
        <w:rPr>
          <w:rStyle w:val="FootnoteReference"/>
        </w:rPr>
        <w:footnoteReference w:id="35"/>
      </w:r>
      <w:r w:rsidR="0032796F">
        <w:t xml:space="preserve"> </w:t>
      </w:r>
      <w:r w:rsidRPr="00AC6938">
        <w:t>Because these assumptions, which inform our hypotheses, suggest these phenomena hold true over time, testing these hypotheses will help confirm the validity of our framework and the instrument.</w:t>
      </w:r>
    </w:p>
    <w:p w14:paraId="1C6D6FF9" w14:textId="77777777" w:rsidR="00C30D54" w:rsidRDefault="00C30D54" w:rsidP="001031D5"/>
    <w:p w14:paraId="042B5509" w14:textId="3D33C86E" w:rsidR="001031D5" w:rsidRDefault="006F0B3D" w:rsidP="001031D5">
      <w:r>
        <w:t>T</w:t>
      </w:r>
      <w:r w:rsidR="001031D5">
        <w:t>he instrument will be fielded with ~1000 individuals</w:t>
      </w:r>
      <w:r w:rsidR="00A82710">
        <w:t xml:space="preserve">. </w:t>
      </w:r>
      <w:r w:rsidR="001031D5">
        <w:t xml:space="preserve">Based </w:t>
      </w:r>
      <w:r w:rsidR="001031D5" w:rsidRPr="0091422D">
        <w:t>on power calculations, further</w:t>
      </w:r>
      <w:r w:rsidR="001031D5">
        <w:t xml:space="preserve"> decreases to this sample size will impede our ability to perform basic instrument psychometric testing</w:t>
      </w:r>
      <w:r w:rsidR="009C303F">
        <w:t xml:space="preserve"> (see SSB for more information on sample size and power calculations)</w:t>
      </w:r>
      <w:r w:rsidR="001031D5">
        <w:t xml:space="preserve">. Without this work, we will not be able to develop an instrument that accurately measures worker well-being. </w:t>
      </w:r>
      <w:r w:rsidR="001031D5" w:rsidRPr="00B84251">
        <w:t xml:space="preserve">NIOSH is seeking a </w:t>
      </w:r>
      <w:r w:rsidR="001031D5">
        <w:t>one-year</w:t>
      </w:r>
      <w:r w:rsidR="001031D5" w:rsidRPr="00B84251">
        <w:t xml:space="preserve"> approval from OMB to collect the data.</w:t>
      </w:r>
    </w:p>
    <w:p w14:paraId="39A4D926" w14:textId="77777777" w:rsidR="001031D5" w:rsidRDefault="001031D5" w:rsidP="001A7959"/>
    <w:p w14:paraId="74AF537E" w14:textId="0E023714" w:rsidR="002E3A77" w:rsidRDefault="00D074F8" w:rsidP="002E3A77">
      <w:r w:rsidRPr="001031D5">
        <w:t xml:space="preserve">Data will be collected once for this project and will be </w:t>
      </w:r>
      <w:r w:rsidR="006D2AA4">
        <w:t>conducted</w:t>
      </w:r>
      <w:r w:rsidRPr="001031D5">
        <w:t xml:space="preserve"> by GfK as described in Supporting Statement B. GfK houses an online panel called KnowledgePanel</w:t>
      </w:r>
      <w:r w:rsidR="000A074D" w:rsidRPr="001031D5">
        <w:t>®</w:t>
      </w:r>
      <w:r w:rsidRPr="001031D5">
        <w:t xml:space="preserve">, which allows the project to use an existing sample for the testing of this instrument. GfK is a survey vendor, and will deliver data to NIOSH’s contractor RAND Corporation. </w:t>
      </w:r>
      <w:r w:rsidR="002E3A77" w:rsidRPr="001031D5">
        <w:t>KnowledgePanel is the largest national, probability-based panel that provides the highest level of accuracy and sample representativeness available in online research for measurement of public opinion, attitudes, and behaviors.</w:t>
      </w:r>
      <w:r w:rsidR="002E3A77" w:rsidRPr="001031D5">
        <w:rPr>
          <w:rStyle w:val="FootnoteReference"/>
        </w:rPr>
        <w:footnoteReference w:id="36"/>
      </w:r>
      <w:r w:rsidR="002E3A77" w:rsidRPr="001031D5">
        <w:t xml:space="preserve"> The panel was first developed in 1999 by Knowledge Networks, a GfK company, </w:t>
      </w:r>
      <w:r w:rsidR="002E3A77" w:rsidRPr="00DE7B87">
        <w:t>with panel members who are randomly selected</w:t>
      </w:r>
      <w:r w:rsidR="00B3607E" w:rsidRPr="00DE7B87">
        <w:t xml:space="preserve"> increasing the variability in their</w:t>
      </w:r>
      <w:r w:rsidR="002E3A77" w:rsidRPr="00DE7B87">
        <w:t xml:space="preserve"> panel </w:t>
      </w:r>
      <w:r w:rsidR="00DE7B87" w:rsidRPr="00DE7B87">
        <w:t xml:space="preserve">when </w:t>
      </w:r>
      <w:r w:rsidR="00B3607E" w:rsidRPr="00DE7B87">
        <w:t>compared to some other</w:t>
      </w:r>
      <w:r w:rsidR="00B3607E" w:rsidRPr="00DE7B87">
        <w:rPr>
          <w:strike/>
        </w:rPr>
        <w:t xml:space="preserve"> </w:t>
      </w:r>
      <w:r w:rsidR="002E3A77" w:rsidRPr="00DE7B87">
        <w:t>volunteer opt-in panels.</w:t>
      </w:r>
      <w:r w:rsidR="002E3A77">
        <w:t xml:space="preserve"> </w:t>
      </w:r>
    </w:p>
    <w:p w14:paraId="3118E128" w14:textId="77777777" w:rsidR="00BC4F7A" w:rsidRDefault="00BC4F7A" w:rsidP="0058481E">
      <w:pPr>
        <w:tabs>
          <w:tab w:val="left" w:pos="360"/>
          <w:tab w:val="left" w:pos="720"/>
          <w:tab w:val="left" w:pos="1080"/>
          <w:tab w:val="left" w:pos="1440"/>
        </w:tabs>
      </w:pPr>
    </w:p>
    <w:p w14:paraId="22829705" w14:textId="77777777" w:rsidR="00A67DE5" w:rsidRDefault="0002172E" w:rsidP="006D0E0C">
      <w:pPr>
        <w:pStyle w:val="Heading2"/>
        <w:rPr>
          <w:rFonts w:ascii="Times New Roman" w:hAnsi="Times New Roman"/>
        </w:rPr>
      </w:pPr>
      <w:bookmarkStart w:id="7" w:name="_Toc422159587"/>
      <w:r>
        <w:rPr>
          <w:rFonts w:ascii="Times New Roman" w:hAnsi="Times New Roman"/>
        </w:rPr>
        <w:t xml:space="preserve">3. </w:t>
      </w:r>
      <w:bookmarkEnd w:id="7"/>
      <w:r w:rsidR="006D0E0C">
        <w:rPr>
          <w:rFonts w:ascii="Times New Roman" w:hAnsi="Times New Roman"/>
        </w:rPr>
        <w:t xml:space="preserve">Use of Improved Information </w:t>
      </w:r>
      <w:r w:rsidR="00730271">
        <w:rPr>
          <w:rFonts w:ascii="Times New Roman" w:hAnsi="Times New Roman"/>
        </w:rPr>
        <w:t>Technology</w:t>
      </w:r>
      <w:r w:rsidR="006D0E0C">
        <w:rPr>
          <w:rFonts w:ascii="Times New Roman" w:hAnsi="Times New Roman"/>
        </w:rPr>
        <w:t xml:space="preserve"> and Burden Reduction</w:t>
      </w:r>
    </w:p>
    <w:p w14:paraId="06E86C58" w14:textId="77777777" w:rsidR="006D0E0C" w:rsidRPr="006D0E0C" w:rsidRDefault="006D0E0C" w:rsidP="006D0E0C"/>
    <w:p w14:paraId="60FE61A1" w14:textId="75FDB276" w:rsidR="00493101" w:rsidRDefault="00493101" w:rsidP="00493101">
      <w:pPr>
        <w:tabs>
          <w:tab w:val="left" w:pos="540"/>
        </w:tabs>
      </w:pPr>
      <w:r>
        <w:t xml:space="preserve">The </w:t>
      </w:r>
      <w:r w:rsidR="00D045A0">
        <w:t xml:space="preserve">worker well-being </w:t>
      </w:r>
      <w:r w:rsidR="00AE7DF8">
        <w:t>instrument</w:t>
      </w:r>
      <w:r>
        <w:t xml:space="preserve"> will be administered through computer-assisted data collection programs to reduce response burden on respondents. The surveys will be hosted and programmed by </w:t>
      </w:r>
      <w:r w:rsidR="006D2AA4">
        <w:t>GfK</w:t>
      </w:r>
      <w:r>
        <w:t xml:space="preserve">. </w:t>
      </w:r>
      <w:r w:rsidR="00AE7DF8">
        <w:t>The</w:t>
      </w:r>
      <w:r>
        <w:t xml:space="preserve"> data collection platforms are used to help manage the data collection process including questionnaire layout (including skip patterns), sample management, fieldwork monitoring, and final dataset production. The systems allow a user to begin the survey, save responses, and go back later to complete the remaining items. </w:t>
      </w:r>
      <w:r w:rsidR="006D2AA4">
        <w:t>GfK</w:t>
      </w:r>
      <w:r>
        <w:t xml:space="preserve"> also </w:t>
      </w:r>
      <w:r w:rsidR="00665A82">
        <w:t>maintains</w:t>
      </w:r>
      <w:r>
        <w:t xml:space="preserve"> an email address and toll-free hotline, which provides technical </w:t>
      </w:r>
      <w:r w:rsidR="00665A82">
        <w:t>assistance for respondents. R</w:t>
      </w:r>
      <w:r>
        <w:t xml:space="preserve">espondents can participate in the survey via the Internet and smart phones. In instances when the Internet is not available, </w:t>
      </w:r>
      <w:r w:rsidR="006D2AA4">
        <w:t>GfK</w:t>
      </w:r>
      <w:r>
        <w:t xml:space="preserve"> </w:t>
      </w:r>
      <w:r w:rsidRPr="0091422D">
        <w:t xml:space="preserve">can support administration by paper; in addition, </w:t>
      </w:r>
      <w:r w:rsidR="006D2AA4" w:rsidRPr="0091422D">
        <w:t>GfK</w:t>
      </w:r>
      <w:r w:rsidRPr="0091422D">
        <w:t xml:space="preserve"> also has capability for phone surveys. </w:t>
      </w:r>
      <w:r w:rsidR="003E1FD8" w:rsidRPr="0091422D">
        <w:t xml:space="preserve">Therefore, provisions are made to address some of the common barriers to Internet survey including lack of access to Internet service, a computer, or email address. </w:t>
      </w:r>
      <w:r w:rsidR="001A694D" w:rsidRPr="0091422D">
        <w:t>More on this is discussed in Supporting Statement B.</w:t>
      </w:r>
      <w:r w:rsidR="001A694D">
        <w:t xml:space="preserve"> </w:t>
      </w:r>
    </w:p>
    <w:p w14:paraId="497F9D3D" w14:textId="77777777" w:rsidR="00493101" w:rsidRDefault="00493101" w:rsidP="00493101">
      <w:pPr>
        <w:tabs>
          <w:tab w:val="left" w:pos="540"/>
        </w:tabs>
      </w:pPr>
    </w:p>
    <w:p w14:paraId="614842EA" w14:textId="087A0A9E" w:rsidR="00FA1175" w:rsidRDefault="00665A82" w:rsidP="00493101">
      <w:pPr>
        <w:tabs>
          <w:tab w:val="left" w:pos="540"/>
        </w:tabs>
      </w:pPr>
      <w:r>
        <w:t>We</w:t>
      </w:r>
      <w:r w:rsidR="00493101">
        <w:t xml:space="preserve"> are not currently working with </w:t>
      </w:r>
      <w:r w:rsidR="006D2AA4">
        <w:t>GfK</w:t>
      </w:r>
      <w:r w:rsidR="00493101">
        <w:t xml:space="preserve"> and do not have illustrative screen shots </w:t>
      </w:r>
      <w:r w:rsidR="006D2AA4">
        <w:t>of</w:t>
      </w:r>
      <w:r w:rsidR="00493101">
        <w:t xml:space="preserve"> </w:t>
      </w:r>
      <w:r>
        <w:t>the worker well-being survey.</w:t>
      </w:r>
      <w:r w:rsidR="00493101">
        <w:t xml:space="preserve"> However, </w:t>
      </w:r>
      <w:r w:rsidR="006D2AA4">
        <w:t>GfK</w:t>
      </w:r>
      <w:r>
        <w:t xml:space="preserve"> is an established vendor</w:t>
      </w:r>
      <w:r w:rsidR="00493101">
        <w:t xml:space="preserve"> and </w:t>
      </w:r>
      <w:r>
        <w:t xml:space="preserve">has </w:t>
      </w:r>
      <w:r w:rsidR="00493101">
        <w:t>fielded countless studies of simil</w:t>
      </w:r>
      <w:r w:rsidR="006D2AA4">
        <w:t>ar size and scope</w:t>
      </w:r>
      <w:r>
        <w:t>. As a result, the vendor</w:t>
      </w:r>
      <w:r w:rsidR="00493101">
        <w:t xml:space="preserve"> provide</w:t>
      </w:r>
      <w:r>
        <w:t xml:space="preserve">s </w:t>
      </w:r>
      <w:r w:rsidR="00493101">
        <w:t>easy to use interfaces for respondents. Upon OMB request, we can submit screen shots prior to study launch.</w:t>
      </w:r>
    </w:p>
    <w:p w14:paraId="70254614" w14:textId="77777777" w:rsidR="00493101" w:rsidRPr="00EF52AE" w:rsidRDefault="00493101" w:rsidP="00493101">
      <w:pPr>
        <w:tabs>
          <w:tab w:val="left" w:pos="540"/>
        </w:tabs>
      </w:pPr>
    </w:p>
    <w:p w14:paraId="2C3BFC60" w14:textId="77777777" w:rsidR="00A67DE5" w:rsidRPr="00EF52AE" w:rsidRDefault="0002172E" w:rsidP="0058481E">
      <w:pPr>
        <w:pStyle w:val="Heading2"/>
        <w:rPr>
          <w:rFonts w:ascii="Times New Roman" w:hAnsi="Times New Roman"/>
        </w:rPr>
      </w:pPr>
      <w:bookmarkStart w:id="8" w:name="_Toc208372550"/>
      <w:bookmarkStart w:id="9" w:name="_Toc422159588"/>
      <w:r>
        <w:rPr>
          <w:rFonts w:ascii="Times New Roman" w:hAnsi="Times New Roman"/>
        </w:rPr>
        <w:t xml:space="preserve">4. </w:t>
      </w:r>
      <w:bookmarkEnd w:id="8"/>
      <w:bookmarkEnd w:id="9"/>
      <w:r w:rsidR="006D0E0C">
        <w:rPr>
          <w:rFonts w:ascii="Times New Roman" w:hAnsi="Times New Roman"/>
        </w:rPr>
        <w:t>Efforts to Identify Duplication and Use of Similar Information</w:t>
      </w:r>
    </w:p>
    <w:p w14:paraId="54979B82" w14:textId="77777777" w:rsidR="00E86AA9" w:rsidRDefault="00E86AA9" w:rsidP="0058481E">
      <w:pPr>
        <w:pStyle w:val="HTMLPreformatted"/>
        <w:rPr>
          <w:rFonts w:ascii="Times New Roman" w:hAnsi="Times New Roman" w:cs="Times New Roman"/>
          <w:sz w:val="24"/>
          <w:szCs w:val="24"/>
        </w:rPr>
      </w:pPr>
    </w:p>
    <w:p w14:paraId="57359CB9" w14:textId="13BBB339" w:rsidR="00106398" w:rsidRPr="005E211C" w:rsidRDefault="00DC68CE" w:rsidP="0058481E">
      <w:pPr>
        <w:pStyle w:val="HTMLPreformatted"/>
        <w:rPr>
          <w:rFonts w:ascii="Times New Roman" w:hAnsi="Times New Roman" w:cs="Times New Roman"/>
          <w:sz w:val="24"/>
          <w:szCs w:val="24"/>
        </w:rPr>
      </w:pPr>
      <w:r>
        <w:rPr>
          <w:rFonts w:ascii="Times New Roman" w:hAnsi="Times New Roman" w:cs="Times New Roman"/>
          <w:sz w:val="24"/>
          <w:szCs w:val="24"/>
        </w:rPr>
        <w:t>The most analo</w:t>
      </w:r>
      <w:r w:rsidR="00765532">
        <w:rPr>
          <w:rFonts w:ascii="Times New Roman" w:hAnsi="Times New Roman" w:cs="Times New Roman"/>
          <w:sz w:val="24"/>
          <w:szCs w:val="24"/>
        </w:rPr>
        <w:t>gous instruments include the</w:t>
      </w:r>
      <w:r>
        <w:rPr>
          <w:rFonts w:ascii="Times New Roman" w:hAnsi="Times New Roman" w:cs="Times New Roman"/>
          <w:sz w:val="24"/>
          <w:szCs w:val="24"/>
        </w:rPr>
        <w:t xml:space="preserve"> Quality of Worklife Quest</w:t>
      </w:r>
      <w:r w:rsidR="006B6B88">
        <w:rPr>
          <w:rFonts w:ascii="Times New Roman" w:hAnsi="Times New Roman" w:cs="Times New Roman"/>
          <w:sz w:val="24"/>
          <w:szCs w:val="24"/>
        </w:rPr>
        <w:t>ionnaire</w:t>
      </w:r>
      <w:r w:rsidRPr="00003517">
        <w:rPr>
          <w:rFonts w:ascii="Times New Roman" w:hAnsi="Times New Roman" w:cs="Times New Roman"/>
          <w:sz w:val="24"/>
          <w:szCs w:val="24"/>
        </w:rPr>
        <w:t>, the Copenha</w:t>
      </w:r>
      <w:r w:rsidR="006B6B88">
        <w:rPr>
          <w:rFonts w:ascii="Times New Roman" w:hAnsi="Times New Roman" w:cs="Times New Roman"/>
          <w:sz w:val="24"/>
          <w:szCs w:val="24"/>
        </w:rPr>
        <w:t>gen Psychosocial Questionnaire</w:t>
      </w:r>
      <w:r w:rsidRPr="00003517">
        <w:rPr>
          <w:rFonts w:ascii="Times New Roman" w:hAnsi="Times New Roman" w:cs="Times New Roman"/>
          <w:sz w:val="24"/>
          <w:szCs w:val="24"/>
        </w:rPr>
        <w:t>, the Leiden</w:t>
      </w:r>
      <w:r w:rsidR="006B6B88">
        <w:rPr>
          <w:rFonts w:ascii="Times New Roman" w:hAnsi="Times New Roman" w:cs="Times New Roman"/>
          <w:sz w:val="24"/>
          <w:szCs w:val="24"/>
        </w:rPr>
        <w:t xml:space="preserve"> Quality of Work Questionnaire</w:t>
      </w:r>
      <w:r w:rsidRPr="00003517">
        <w:rPr>
          <w:rFonts w:ascii="Times New Roman" w:hAnsi="Times New Roman" w:cs="Times New Roman"/>
          <w:sz w:val="24"/>
          <w:szCs w:val="24"/>
        </w:rPr>
        <w:t xml:space="preserve">, and the Minnesota Satisfaction </w:t>
      </w:r>
      <w:r w:rsidR="006B6B88">
        <w:rPr>
          <w:rFonts w:ascii="Times New Roman" w:hAnsi="Times New Roman" w:cs="Times New Roman"/>
          <w:sz w:val="24"/>
          <w:szCs w:val="24"/>
        </w:rPr>
        <w:t>Questionnaire</w:t>
      </w:r>
      <w:r w:rsidRPr="00003517">
        <w:rPr>
          <w:rFonts w:ascii="Times New Roman" w:hAnsi="Times New Roman" w:cs="Times New Roman"/>
          <w:sz w:val="24"/>
          <w:szCs w:val="24"/>
        </w:rPr>
        <w:t>.</w:t>
      </w:r>
      <w:r w:rsidR="006B6B88">
        <w:rPr>
          <w:rStyle w:val="FootnoteReference"/>
          <w:rFonts w:ascii="Times New Roman" w:hAnsi="Times New Roman" w:cs="Times New Roman"/>
          <w:sz w:val="24"/>
          <w:szCs w:val="24"/>
        </w:rPr>
        <w:footnoteReference w:id="37"/>
      </w:r>
      <w:r w:rsidR="00857477" w:rsidRPr="00857477">
        <w:rPr>
          <w:rFonts w:ascii="Times New Roman" w:hAnsi="Times New Roman" w:cs="Times New Roman"/>
          <w:sz w:val="24"/>
          <w:szCs w:val="24"/>
          <w:vertAlign w:val="superscript"/>
        </w:rPr>
        <w:t>,</w:t>
      </w:r>
      <w:r w:rsidR="006B6B88">
        <w:rPr>
          <w:rStyle w:val="FootnoteReference"/>
          <w:rFonts w:ascii="Times New Roman" w:hAnsi="Times New Roman" w:cs="Times New Roman"/>
          <w:sz w:val="24"/>
          <w:szCs w:val="24"/>
        </w:rPr>
        <w:footnoteReference w:id="38"/>
      </w:r>
      <w:r w:rsidR="00857477" w:rsidRPr="00857477">
        <w:rPr>
          <w:rFonts w:ascii="Times New Roman" w:hAnsi="Times New Roman" w:cs="Times New Roman"/>
          <w:sz w:val="24"/>
          <w:szCs w:val="24"/>
          <w:vertAlign w:val="superscript"/>
        </w:rPr>
        <w:t>,</w:t>
      </w:r>
      <w:r w:rsidR="006B6B88">
        <w:rPr>
          <w:rStyle w:val="FootnoteReference"/>
          <w:rFonts w:ascii="Times New Roman" w:hAnsi="Times New Roman" w:cs="Times New Roman"/>
          <w:sz w:val="24"/>
          <w:szCs w:val="24"/>
        </w:rPr>
        <w:footnoteReference w:id="39"/>
      </w:r>
      <w:r w:rsidR="00857477" w:rsidRPr="00857477">
        <w:rPr>
          <w:rFonts w:ascii="Times New Roman" w:hAnsi="Times New Roman" w:cs="Times New Roman"/>
          <w:sz w:val="24"/>
          <w:szCs w:val="24"/>
          <w:vertAlign w:val="superscript"/>
        </w:rPr>
        <w:t>,</w:t>
      </w:r>
      <w:r w:rsidR="006B6B88">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These instruments provided items across a number of different domains but were not developed specifically to measure worker w</w:t>
      </w:r>
      <w:r w:rsidR="005E211C">
        <w:rPr>
          <w:rFonts w:ascii="Times New Roman" w:hAnsi="Times New Roman" w:cs="Times New Roman"/>
          <w:sz w:val="24"/>
          <w:szCs w:val="24"/>
        </w:rPr>
        <w:t>ell-being an</w:t>
      </w:r>
      <w:r w:rsidR="005E211C" w:rsidRPr="00C30D54">
        <w:rPr>
          <w:rFonts w:ascii="Times New Roman" w:hAnsi="Times New Roman" w:cs="Times New Roman"/>
          <w:sz w:val="24"/>
          <w:szCs w:val="24"/>
        </w:rPr>
        <w:t>d none on their own covered the five domains</w:t>
      </w:r>
      <w:r w:rsidR="005E211C">
        <w:rPr>
          <w:rFonts w:ascii="Times New Roman" w:hAnsi="Times New Roman" w:cs="Times New Roman"/>
          <w:sz w:val="24"/>
          <w:szCs w:val="24"/>
        </w:rPr>
        <w:t xml:space="preserve"> included in the worker well-being survey instrument. Overall,</w:t>
      </w:r>
      <w:r w:rsidR="00106398" w:rsidRPr="00547A07">
        <w:rPr>
          <w:rFonts w:ascii="Times New Roman" w:hAnsi="Times New Roman" w:cs="Times New Roman"/>
          <w:sz w:val="24"/>
          <w:szCs w:val="24"/>
        </w:rPr>
        <w:t xml:space="preserve"> there is no standardized instrument that currently exists</w:t>
      </w:r>
      <w:r w:rsidR="005E211C">
        <w:rPr>
          <w:rFonts w:ascii="Times New Roman" w:hAnsi="Times New Roman" w:cs="Times New Roman"/>
          <w:sz w:val="24"/>
          <w:szCs w:val="24"/>
        </w:rPr>
        <w:t xml:space="preserve"> for measuring the concept of worker well-being</w:t>
      </w:r>
      <w:r w:rsidR="00106398" w:rsidRPr="00547A07">
        <w:rPr>
          <w:rFonts w:ascii="Times New Roman" w:hAnsi="Times New Roman" w:cs="Times New Roman"/>
          <w:sz w:val="24"/>
          <w:szCs w:val="24"/>
        </w:rPr>
        <w:t>.</w:t>
      </w:r>
      <w:r w:rsidR="001A694D">
        <w:rPr>
          <w:rFonts w:ascii="Times New Roman" w:hAnsi="Times New Roman" w:cs="Times New Roman"/>
          <w:sz w:val="24"/>
          <w:szCs w:val="24"/>
        </w:rPr>
        <w:t xml:space="preserve"> </w:t>
      </w:r>
    </w:p>
    <w:p w14:paraId="3ECA3E86" w14:textId="77777777" w:rsidR="00CA53C6" w:rsidRPr="0085024A" w:rsidRDefault="00CA53C6" w:rsidP="0058481E"/>
    <w:p w14:paraId="6FCD61EF" w14:textId="77777777" w:rsidR="00A67DE5" w:rsidRPr="00EF52AE" w:rsidRDefault="0002172E" w:rsidP="0058481E">
      <w:pPr>
        <w:pStyle w:val="Heading2"/>
        <w:rPr>
          <w:rFonts w:ascii="Times New Roman" w:hAnsi="Times New Roman"/>
        </w:rPr>
      </w:pPr>
      <w:bookmarkStart w:id="10" w:name="_Toc422159589"/>
      <w:r>
        <w:rPr>
          <w:rFonts w:ascii="Times New Roman" w:hAnsi="Times New Roman"/>
        </w:rPr>
        <w:t xml:space="preserve">5. </w:t>
      </w:r>
      <w:r w:rsidR="00A67DE5" w:rsidRPr="00EF52AE">
        <w:rPr>
          <w:rFonts w:ascii="Times New Roman" w:hAnsi="Times New Roman"/>
        </w:rPr>
        <w:t>Impact on Small Businesses</w:t>
      </w:r>
      <w:bookmarkEnd w:id="10"/>
      <w:r w:rsidR="006D0E0C">
        <w:rPr>
          <w:rFonts w:ascii="Times New Roman" w:hAnsi="Times New Roman"/>
        </w:rPr>
        <w:t xml:space="preserve"> or Small Entities</w:t>
      </w:r>
    </w:p>
    <w:p w14:paraId="35330410" w14:textId="77777777" w:rsidR="00A67DE5" w:rsidRPr="00EF52AE" w:rsidRDefault="00A67DE5" w:rsidP="0058481E">
      <w:pPr>
        <w:tabs>
          <w:tab w:val="left" w:pos="540"/>
        </w:tabs>
      </w:pPr>
    </w:p>
    <w:p w14:paraId="012FA592" w14:textId="77777777" w:rsidR="00A67DE5" w:rsidRDefault="009666CA" w:rsidP="0058481E">
      <w:pPr>
        <w:tabs>
          <w:tab w:val="left" w:pos="540"/>
        </w:tabs>
      </w:pPr>
      <w:r w:rsidRPr="009666CA">
        <w:t>No small businesses will be involved in this data collection.</w:t>
      </w:r>
    </w:p>
    <w:p w14:paraId="1BEF77A8" w14:textId="77777777" w:rsidR="00FA1175" w:rsidRPr="00EF52AE" w:rsidRDefault="00FA1175" w:rsidP="0058481E">
      <w:pPr>
        <w:tabs>
          <w:tab w:val="left" w:pos="540"/>
        </w:tabs>
      </w:pPr>
    </w:p>
    <w:p w14:paraId="4CCE228D" w14:textId="77777777" w:rsidR="00A67DE5" w:rsidRPr="00EF52AE" w:rsidRDefault="0002172E" w:rsidP="0058481E">
      <w:pPr>
        <w:pStyle w:val="Heading2"/>
        <w:rPr>
          <w:rFonts w:ascii="Times New Roman" w:hAnsi="Times New Roman"/>
        </w:rPr>
      </w:pPr>
      <w:bookmarkStart w:id="11" w:name="_Toc422159590"/>
      <w:r>
        <w:rPr>
          <w:rFonts w:ascii="Times New Roman" w:hAnsi="Times New Roman"/>
        </w:rPr>
        <w:t xml:space="preserve">6. </w:t>
      </w:r>
      <w:r w:rsidR="00A67DE5" w:rsidRPr="00EF52AE">
        <w:rPr>
          <w:rFonts w:ascii="Times New Roman" w:hAnsi="Times New Roman"/>
        </w:rPr>
        <w:t xml:space="preserve">Consequences of </w:t>
      </w:r>
      <w:bookmarkEnd w:id="11"/>
      <w:r w:rsidR="006D0E0C">
        <w:rPr>
          <w:rFonts w:ascii="Times New Roman" w:hAnsi="Times New Roman"/>
        </w:rPr>
        <w:t>Collecting the Information Less Frequently</w:t>
      </w:r>
    </w:p>
    <w:p w14:paraId="1B105B3F" w14:textId="77777777" w:rsidR="00A67DE5" w:rsidRPr="00EF52AE" w:rsidRDefault="00A67DE5" w:rsidP="0058481E">
      <w:pPr>
        <w:tabs>
          <w:tab w:val="left" w:pos="540"/>
        </w:tabs>
      </w:pPr>
    </w:p>
    <w:p w14:paraId="5D893DC7" w14:textId="77777777" w:rsidR="00A67DE5" w:rsidRPr="00EF52AE" w:rsidRDefault="004136F6" w:rsidP="0058481E">
      <w:pPr>
        <w:tabs>
          <w:tab w:val="left" w:pos="540"/>
        </w:tabs>
      </w:pPr>
      <w:r>
        <w:t>This request is for a one-</w:t>
      </w:r>
      <w:r w:rsidR="009666CA" w:rsidRPr="009666CA">
        <w:t xml:space="preserve">time data collection.  </w:t>
      </w:r>
    </w:p>
    <w:p w14:paraId="7513D67A" w14:textId="77777777" w:rsidR="00AD2342" w:rsidRPr="0047714B" w:rsidRDefault="00AD2342" w:rsidP="0058481E">
      <w:bookmarkStart w:id="12" w:name="_Toc208372553"/>
    </w:p>
    <w:p w14:paraId="151808B3" w14:textId="77777777" w:rsidR="00A67DE5" w:rsidRPr="00EF52AE" w:rsidRDefault="00A67DE5" w:rsidP="0058481E">
      <w:pPr>
        <w:pStyle w:val="Heading2"/>
        <w:rPr>
          <w:rFonts w:ascii="Times New Roman" w:hAnsi="Times New Roman"/>
        </w:rPr>
      </w:pPr>
      <w:bookmarkStart w:id="13" w:name="_Toc422159591"/>
      <w:r w:rsidRPr="00EF52AE">
        <w:rPr>
          <w:rFonts w:ascii="Times New Roman" w:hAnsi="Times New Roman"/>
        </w:rPr>
        <w:t>7.</w:t>
      </w:r>
      <w:r w:rsidR="0002172E">
        <w:rPr>
          <w:rFonts w:ascii="Times New Roman" w:hAnsi="Times New Roman"/>
        </w:rPr>
        <w:t xml:space="preserve"> </w:t>
      </w:r>
      <w:r w:rsidR="009666CA" w:rsidRPr="009666CA">
        <w:rPr>
          <w:rFonts w:ascii="Times New Roman" w:hAnsi="Times New Roman"/>
        </w:rPr>
        <w:t>Special Circumstances Relating to the Guidelines of 5 CFR 1320.5</w:t>
      </w:r>
      <w:bookmarkEnd w:id="12"/>
      <w:bookmarkEnd w:id="13"/>
    </w:p>
    <w:p w14:paraId="5612709A" w14:textId="77777777" w:rsidR="00A67DE5" w:rsidRPr="00EF52AE" w:rsidRDefault="00A67DE5" w:rsidP="0058481E">
      <w:pPr>
        <w:tabs>
          <w:tab w:val="left" w:pos="540"/>
        </w:tabs>
      </w:pPr>
    </w:p>
    <w:p w14:paraId="1C7698EB" w14:textId="77777777" w:rsidR="00A67DE5" w:rsidRPr="00EF52AE" w:rsidRDefault="00107082" w:rsidP="0058481E">
      <w:pPr>
        <w:tabs>
          <w:tab w:val="left" w:pos="540"/>
        </w:tabs>
      </w:pPr>
      <w:r>
        <w:t>There are no special circumstances associated with this information collection request.</w:t>
      </w:r>
      <w:r w:rsidR="009666CA" w:rsidRPr="009666CA">
        <w:rPr>
          <w:rFonts w:asciiTheme="majorHAnsi" w:eastAsiaTheme="minorEastAsia" w:hAnsiTheme="majorHAnsi" w:cstheme="minorBidi"/>
          <w:sz w:val="22"/>
          <w:szCs w:val="22"/>
        </w:rPr>
        <w:t xml:space="preserve"> </w:t>
      </w:r>
      <w:r w:rsidR="009666CA" w:rsidRPr="009666CA">
        <w:t>This request fully complies with the regulation 5 CFR 1320.5 and will be voluntary.</w:t>
      </w:r>
    </w:p>
    <w:p w14:paraId="0CD5221A" w14:textId="77777777" w:rsidR="00A67DE5" w:rsidRPr="00EF52AE" w:rsidRDefault="00A67DE5" w:rsidP="0058481E">
      <w:pPr>
        <w:tabs>
          <w:tab w:val="left" w:pos="540"/>
        </w:tabs>
      </w:pPr>
    </w:p>
    <w:p w14:paraId="6789F1CC" w14:textId="77777777" w:rsidR="00A67DE5" w:rsidRPr="00EF52AE" w:rsidRDefault="00A67DE5" w:rsidP="0058481E">
      <w:pPr>
        <w:pStyle w:val="Heading2"/>
        <w:tabs>
          <w:tab w:val="clear" w:pos="1195"/>
        </w:tabs>
        <w:ind w:left="0" w:firstLine="0"/>
        <w:rPr>
          <w:rFonts w:ascii="Times New Roman" w:hAnsi="Times New Roman"/>
        </w:rPr>
      </w:pPr>
      <w:bookmarkStart w:id="14" w:name="_Toc208372554"/>
      <w:bookmarkStart w:id="15" w:name="_Toc422159592"/>
      <w:r w:rsidRPr="00EF52AE">
        <w:rPr>
          <w:rFonts w:ascii="Times New Roman" w:hAnsi="Times New Roman"/>
        </w:rPr>
        <w:t>8.</w:t>
      </w:r>
      <w:r w:rsidR="0002172E">
        <w:rPr>
          <w:rFonts w:ascii="Times New Roman" w:hAnsi="Times New Roman"/>
        </w:rPr>
        <w:t xml:space="preserve"> </w:t>
      </w:r>
      <w:r w:rsidR="009666CA" w:rsidRPr="009666CA">
        <w:rPr>
          <w:rFonts w:ascii="Times New Roman" w:hAnsi="Times New Roman"/>
        </w:rPr>
        <w:t>Comments in Response to the Federal Register Notice and Efforts to Consult Outside the Agency</w:t>
      </w:r>
      <w:bookmarkEnd w:id="14"/>
      <w:bookmarkEnd w:id="15"/>
    </w:p>
    <w:p w14:paraId="320DFB59" w14:textId="77777777" w:rsidR="00A67DE5" w:rsidRPr="00EF52AE" w:rsidRDefault="00A67DE5" w:rsidP="0058481E">
      <w:pPr>
        <w:tabs>
          <w:tab w:val="left" w:pos="540"/>
        </w:tabs>
      </w:pPr>
    </w:p>
    <w:p w14:paraId="5D704FCF" w14:textId="77777777" w:rsidR="006919CA" w:rsidRDefault="0055067F" w:rsidP="0058481E">
      <w:pPr>
        <w:tabs>
          <w:tab w:val="left" w:pos="540"/>
        </w:tabs>
      </w:pPr>
      <w:r w:rsidRPr="006C6EAA">
        <w:rPr>
          <w:bCs/>
        </w:rPr>
        <w:t xml:space="preserve">In accordance with the Paperwork Reduction Act of 1995 (Pub. L. 104-13) and Office of Management and Budget (OMB) regulations at 5 CFR Park 1320 (60 FR 44978, August 29, 1995), </w:t>
      </w:r>
      <w:r>
        <w:rPr>
          <w:bCs/>
        </w:rPr>
        <w:t xml:space="preserve">CDC </w:t>
      </w:r>
      <w:r w:rsidRPr="006C6EAA">
        <w:rPr>
          <w:bCs/>
        </w:rPr>
        <w:t xml:space="preserve">published a notice in the Federal Register announcing the agency’s intention to request an OMB review of this information collection activity. </w:t>
      </w:r>
      <w:r w:rsidR="00A67DE5" w:rsidRPr="0051608B">
        <w:t xml:space="preserve">The </w:t>
      </w:r>
      <w:r w:rsidR="00107082" w:rsidRPr="0051608B">
        <w:t xml:space="preserve">60-day </w:t>
      </w:r>
      <w:r w:rsidR="00A67DE5" w:rsidRPr="0051608B">
        <w:t xml:space="preserve">Federal Register notice </w:t>
      </w:r>
      <w:r w:rsidR="0002172E">
        <w:t xml:space="preserve">was </w:t>
      </w:r>
      <w:r w:rsidR="00A67DE5" w:rsidRPr="0051608B">
        <w:t>published on</w:t>
      </w:r>
      <w:r w:rsidR="00FA1175">
        <w:t xml:space="preserve"> </w:t>
      </w:r>
      <w:r w:rsidR="00051DFC">
        <w:t>November 1</w:t>
      </w:r>
      <w:r w:rsidR="008D54BF">
        <w:t>4</w:t>
      </w:r>
      <w:r w:rsidR="00051DFC">
        <w:t>, 2016,</w:t>
      </w:r>
      <w:r w:rsidR="00FA1175">
        <w:t xml:space="preserve"> Volume </w:t>
      </w:r>
      <w:r w:rsidR="00051DFC">
        <w:t>81</w:t>
      </w:r>
      <w:r w:rsidR="00FA1175">
        <w:t xml:space="preserve">, Number </w:t>
      </w:r>
      <w:r w:rsidR="00051DFC">
        <w:t xml:space="preserve">219 </w:t>
      </w:r>
      <w:r w:rsidR="005463FE" w:rsidRPr="0051608B">
        <w:t>(</w:t>
      </w:r>
      <w:r w:rsidR="007C09AF">
        <w:t>Attachment B</w:t>
      </w:r>
      <w:r w:rsidR="003A79CC" w:rsidRPr="0051608B">
        <w:t xml:space="preserve">). </w:t>
      </w:r>
      <w:r w:rsidR="00FA1175">
        <w:t xml:space="preserve"> </w:t>
      </w:r>
      <w:r w:rsidR="0002725B">
        <w:t>Three comments were received.</w:t>
      </w:r>
    </w:p>
    <w:p w14:paraId="38B2A72B" w14:textId="77777777" w:rsidR="0055067F" w:rsidRDefault="0055067F" w:rsidP="0058481E">
      <w:pPr>
        <w:tabs>
          <w:tab w:val="left" w:pos="540"/>
        </w:tabs>
      </w:pPr>
    </w:p>
    <w:p w14:paraId="50E13DE4" w14:textId="517A3FC8" w:rsidR="0055067F" w:rsidRDefault="0055067F" w:rsidP="006B6B88">
      <w:pPr>
        <w:rPr>
          <w:bCs/>
        </w:rPr>
      </w:pPr>
      <w:r w:rsidRPr="006C6EAA">
        <w:rPr>
          <w:bCs/>
        </w:rPr>
        <w:t xml:space="preserve">During the notice and comment period, the government received </w:t>
      </w:r>
      <w:r>
        <w:rPr>
          <w:bCs/>
        </w:rPr>
        <w:t xml:space="preserve">no requests for a copy of the instruments. </w:t>
      </w:r>
      <w:r w:rsidRPr="006C6EAA">
        <w:rPr>
          <w:bCs/>
        </w:rPr>
        <w:t xml:space="preserve">The government also received </w:t>
      </w:r>
      <w:r w:rsidR="00514901">
        <w:rPr>
          <w:bCs/>
        </w:rPr>
        <w:t>three</w:t>
      </w:r>
      <w:r w:rsidRPr="006C6EAA">
        <w:rPr>
          <w:bCs/>
        </w:rPr>
        <w:t xml:space="preserve"> public comments, which are attached with responses in </w:t>
      </w:r>
      <w:r w:rsidR="00506376">
        <w:rPr>
          <w:bCs/>
        </w:rPr>
        <w:t>Attachment</w:t>
      </w:r>
      <w:r w:rsidRPr="006C6EAA">
        <w:rPr>
          <w:bCs/>
        </w:rPr>
        <w:t xml:space="preserve"> </w:t>
      </w:r>
      <w:r w:rsidR="007C09AF">
        <w:rPr>
          <w:bCs/>
        </w:rPr>
        <w:t>H</w:t>
      </w:r>
      <w:r w:rsidRPr="006C6EAA">
        <w:rPr>
          <w:bCs/>
        </w:rPr>
        <w:t xml:space="preserve">. </w:t>
      </w:r>
      <w:r w:rsidR="004412B6">
        <w:rPr>
          <w:bCs/>
        </w:rPr>
        <w:t xml:space="preserve">We did not respond to any of the comments. One comment was a supportive letter and did not require a response. The other </w:t>
      </w:r>
      <w:r w:rsidR="00514901">
        <w:rPr>
          <w:bCs/>
        </w:rPr>
        <w:t xml:space="preserve">two </w:t>
      </w:r>
      <w:r w:rsidR="004412B6">
        <w:rPr>
          <w:bCs/>
        </w:rPr>
        <w:t xml:space="preserve">comments </w:t>
      </w:r>
      <w:r w:rsidR="007174CC">
        <w:rPr>
          <w:bCs/>
        </w:rPr>
        <w:t xml:space="preserve">did not refer directly to the project or the survey instrument itself </w:t>
      </w:r>
      <w:r w:rsidR="009C303F">
        <w:rPr>
          <w:bCs/>
        </w:rPr>
        <w:t xml:space="preserve">and were </w:t>
      </w:r>
      <w:r w:rsidR="009C303F" w:rsidRPr="00C30D54">
        <w:rPr>
          <w:bCs/>
        </w:rPr>
        <w:t>more general in nature</w:t>
      </w:r>
      <w:r w:rsidR="007174CC" w:rsidRPr="00C30D54">
        <w:rPr>
          <w:bCs/>
        </w:rPr>
        <w:t xml:space="preserve">. </w:t>
      </w:r>
      <w:r w:rsidR="00665A82" w:rsidRPr="00C30D54">
        <w:rPr>
          <w:bCs/>
        </w:rPr>
        <w:t>Therefore</w:t>
      </w:r>
      <w:r w:rsidR="00665A82">
        <w:rPr>
          <w:bCs/>
        </w:rPr>
        <w:t>,</w:t>
      </w:r>
      <w:r w:rsidR="007174CC">
        <w:rPr>
          <w:bCs/>
        </w:rPr>
        <w:t xml:space="preserve"> we considered these comments</w:t>
      </w:r>
      <w:r w:rsidR="001F180B">
        <w:rPr>
          <w:bCs/>
        </w:rPr>
        <w:t xml:space="preserve"> </w:t>
      </w:r>
      <w:r w:rsidR="004412B6">
        <w:rPr>
          <w:bCs/>
        </w:rPr>
        <w:t>out of scope, and we did not provide a response.</w:t>
      </w:r>
    </w:p>
    <w:p w14:paraId="1007D9EB" w14:textId="77777777" w:rsidR="00514901" w:rsidRPr="006B6B88" w:rsidRDefault="00514901" w:rsidP="006B6B88">
      <w:pPr>
        <w:rPr>
          <w:bCs/>
        </w:rPr>
      </w:pPr>
    </w:p>
    <w:p w14:paraId="6C103EF9" w14:textId="2AEDDD53" w:rsidR="00A67DE5" w:rsidRPr="006919CA" w:rsidRDefault="00B84251" w:rsidP="0058481E">
      <w:pPr>
        <w:tabs>
          <w:tab w:val="left" w:pos="540"/>
        </w:tabs>
      </w:pPr>
      <w:r w:rsidRPr="00551EBC">
        <w:rPr>
          <w:bCs/>
        </w:rPr>
        <w:t xml:space="preserve">During the planning year, the study team convened an expert panel to develop and critique the instrument. </w:t>
      </w:r>
      <w:r>
        <w:rPr>
          <w:bCs/>
        </w:rPr>
        <w:t xml:space="preserve">A full draft instrument was </w:t>
      </w:r>
      <w:r w:rsidRPr="00765532">
        <w:rPr>
          <w:bCs/>
        </w:rPr>
        <w:t xml:space="preserve">also </w:t>
      </w:r>
      <w:r w:rsidR="004C5C59" w:rsidRPr="00765532">
        <w:rPr>
          <w:bCs/>
        </w:rPr>
        <w:t>pretested</w:t>
      </w:r>
      <w:r w:rsidRPr="00765532">
        <w:rPr>
          <w:bCs/>
        </w:rPr>
        <w:t xml:space="preserve"> with </w:t>
      </w:r>
      <w:r w:rsidR="00514901" w:rsidRPr="00765532">
        <w:rPr>
          <w:bCs/>
        </w:rPr>
        <w:t>nine</w:t>
      </w:r>
      <w:r w:rsidRPr="00765532">
        <w:rPr>
          <w:bCs/>
        </w:rPr>
        <w:t xml:space="preserve"> respondents</w:t>
      </w:r>
      <w:r>
        <w:rPr>
          <w:bCs/>
        </w:rPr>
        <w:t xml:space="preserve"> </w:t>
      </w:r>
      <w:r w:rsidRPr="006C6EAA">
        <w:rPr>
          <w:bCs/>
        </w:rPr>
        <w:t>to obtain their input on the clarity</w:t>
      </w:r>
      <w:r>
        <w:rPr>
          <w:bCs/>
        </w:rPr>
        <w:t xml:space="preserve">, flow, and ease of completing the questionnaire. </w:t>
      </w:r>
      <w:r w:rsidRPr="00497131">
        <w:rPr>
          <w:bCs/>
        </w:rPr>
        <w:t xml:space="preserve">The </w:t>
      </w:r>
      <w:r>
        <w:rPr>
          <w:bCs/>
        </w:rPr>
        <w:t xml:space="preserve">instrument </w:t>
      </w:r>
      <w:r w:rsidRPr="00497131">
        <w:rPr>
          <w:bCs/>
        </w:rPr>
        <w:t xml:space="preserve">and </w:t>
      </w:r>
      <w:r>
        <w:rPr>
          <w:bCs/>
        </w:rPr>
        <w:t>instructional</w:t>
      </w:r>
      <w:r w:rsidRPr="00497131">
        <w:rPr>
          <w:bCs/>
        </w:rPr>
        <w:t xml:space="preserve"> protocols were revised to reflect this feedback.</w:t>
      </w:r>
    </w:p>
    <w:p w14:paraId="464CCCEB" w14:textId="77777777" w:rsidR="004412B6" w:rsidRPr="00E14C3D" w:rsidRDefault="004412B6" w:rsidP="00E14C3D">
      <w:bookmarkStart w:id="16" w:name="_Toc208372555"/>
      <w:bookmarkStart w:id="17" w:name="_Toc422159593"/>
    </w:p>
    <w:p w14:paraId="0B5E33F5" w14:textId="77777777" w:rsidR="00A67DE5" w:rsidRPr="00EF52AE" w:rsidRDefault="0002172E" w:rsidP="0058481E">
      <w:pPr>
        <w:pStyle w:val="Heading2"/>
        <w:rPr>
          <w:rFonts w:ascii="Times New Roman" w:hAnsi="Times New Roman"/>
        </w:rPr>
      </w:pPr>
      <w:r>
        <w:rPr>
          <w:rFonts w:ascii="Times New Roman" w:hAnsi="Times New Roman"/>
        </w:rPr>
        <w:t xml:space="preserve">9. </w:t>
      </w:r>
      <w:r w:rsidR="009666CA" w:rsidRPr="009666CA">
        <w:rPr>
          <w:rFonts w:ascii="Times New Roman" w:hAnsi="Times New Roman"/>
        </w:rPr>
        <w:t>Explanation of Any Payment or Gift to Respondents</w:t>
      </w:r>
      <w:bookmarkEnd w:id="16"/>
      <w:bookmarkEnd w:id="17"/>
    </w:p>
    <w:p w14:paraId="37FBF6A7" w14:textId="77777777" w:rsidR="00DD6CAE" w:rsidRDefault="00DD6CAE" w:rsidP="00DD6CAE"/>
    <w:p w14:paraId="5832246E" w14:textId="2206B420" w:rsidR="00DD6CAE" w:rsidRDefault="00DD6CAE" w:rsidP="00DD6CAE">
      <w:r>
        <w:t xml:space="preserve">The survey vendor, GfK, </w:t>
      </w:r>
      <w:r w:rsidR="005E211C">
        <w:t xml:space="preserve">offers an incentive program for KnowledgePanel </w:t>
      </w:r>
      <w:r w:rsidR="00804E56">
        <w:t>members</w:t>
      </w:r>
      <w:r>
        <w:t>.</w:t>
      </w:r>
      <w:r w:rsidR="005E211C">
        <w:t xml:space="preserve"> </w:t>
      </w:r>
      <w:r w:rsidRPr="006C6EAA">
        <w:t xml:space="preserve">Respondents to the </w:t>
      </w:r>
      <w:r>
        <w:t xml:space="preserve">GfK’s </w:t>
      </w:r>
      <w:r w:rsidRPr="006C6EAA">
        <w:t>survey</w:t>
      </w:r>
      <w:r>
        <w:t>s</w:t>
      </w:r>
      <w:r w:rsidRPr="006C6EAA">
        <w:t xml:space="preserve"> receive</w:t>
      </w:r>
      <w:r w:rsidRPr="00497131">
        <w:rPr>
          <w:bCs/>
        </w:rPr>
        <w:t xml:space="preserve"> points for each survey they complete. Points can be redeemed for </w:t>
      </w:r>
      <w:r>
        <w:rPr>
          <w:bCs/>
        </w:rPr>
        <w:t>cash, merchandis</w:t>
      </w:r>
      <w:r w:rsidRPr="006C6EAA">
        <w:rPr>
          <w:bCs/>
        </w:rPr>
        <w:t xml:space="preserve">e, gift cards, or game entries. Additionally, </w:t>
      </w:r>
      <w:r w:rsidR="00BA3B53">
        <w:rPr>
          <w:bCs/>
        </w:rPr>
        <w:t xml:space="preserve">panel </w:t>
      </w:r>
      <w:r w:rsidRPr="006C6EAA">
        <w:rPr>
          <w:bCs/>
        </w:rPr>
        <w:t>members may also be entered into special sweepstakes with both cash rewards and other prizes.</w:t>
      </w:r>
    </w:p>
    <w:p w14:paraId="16AC7FE8" w14:textId="77777777" w:rsidR="00DD6CAE" w:rsidRDefault="00DD6CAE" w:rsidP="00DD6CAE"/>
    <w:p w14:paraId="72B3A8FE" w14:textId="76390591" w:rsidR="00DD6CAE" w:rsidRDefault="005E211C" w:rsidP="00DD6CAE">
      <w:r>
        <w:t xml:space="preserve">For a </w:t>
      </w:r>
      <w:r w:rsidR="00665A82">
        <w:t>15-20-minute</w:t>
      </w:r>
      <w:r>
        <w:t xml:space="preserve"> survey, </w:t>
      </w:r>
      <w:r w:rsidR="00804E56">
        <w:t xml:space="preserve">respondents </w:t>
      </w:r>
      <w:r w:rsidRPr="005E211C">
        <w:t xml:space="preserve">are </w:t>
      </w:r>
      <w:r>
        <w:t xml:space="preserve">typically </w:t>
      </w:r>
      <w:r w:rsidRPr="005E211C">
        <w:t>credited with 5,000 to 10,000 points, which roughly equates to $5 to $10 depending on the type of award selected</w:t>
      </w:r>
      <w:r>
        <w:t xml:space="preserve"> by respondents when redeeming</w:t>
      </w:r>
      <w:r w:rsidR="00DD6CAE">
        <w:t>.</w:t>
      </w:r>
      <w:r w:rsidR="00DD6CAE" w:rsidRPr="00DD6CAE">
        <w:t xml:space="preserve"> </w:t>
      </w:r>
      <w:r w:rsidR="00DD6CAE">
        <w:t xml:space="preserve">Further, steps are taken to ensure that panel members are not overburdened with many survey requests. The primary sampling rule is to assign only one survey per week to </w:t>
      </w:r>
      <w:r w:rsidR="00BA3B53">
        <w:t xml:space="preserve">panel </w:t>
      </w:r>
      <w:r w:rsidR="00DD6CAE">
        <w:t>members. This level of survey frequency helps keep panelists engaged. On average, most GfK panelists participate in about two surveys a month.</w:t>
      </w:r>
    </w:p>
    <w:p w14:paraId="7166FD93" w14:textId="77777777" w:rsidR="00DD6CAE" w:rsidRDefault="00DD6CAE" w:rsidP="00DD6CAE"/>
    <w:p w14:paraId="171AE06C" w14:textId="77777777" w:rsidR="00A67DE5" w:rsidRPr="00EF52AE" w:rsidRDefault="00DD6CAE" w:rsidP="00DD6CAE">
      <w:r>
        <w:t>GfK has completed projects with multiple federal agencies, including</w:t>
      </w:r>
      <w:r w:rsidR="00E86AA9">
        <w:t xml:space="preserve"> CDC</w:t>
      </w:r>
      <w:r>
        <w:t xml:space="preserve">. </w:t>
      </w:r>
      <w:r w:rsidR="00FF5E4A">
        <w:t>A list of previous projects, organizations, funding agencies, and OMB</w:t>
      </w:r>
      <w:r w:rsidR="00E86AA9">
        <w:t xml:space="preserve"> number</w:t>
      </w:r>
      <w:r w:rsidR="00FF5E4A">
        <w:t>s are available on GfK’s website.</w:t>
      </w:r>
      <w:r w:rsidR="00FF5E4A">
        <w:rPr>
          <w:rStyle w:val="FootnoteReference"/>
        </w:rPr>
        <w:footnoteReference w:id="41"/>
      </w:r>
      <w:r>
        <w:t xml:space="preserve"> </w:t>
      </w:r>
    </w:p>
    <w:p w14:paraId="0A6BE591" w14:textId="007F836B" w:rsidR="00262CA5" w:rsidRPr="00EF52AE" w:rsidRDefault="00262CA5" w:rsidP="0058481E">
      <w:pPr>
        <w:tabs>
          <w:tab w:val="left" w:pos="540"/>
        </w:tabs>
      </w:pPr>
    </w:p>
    <w:p w14:paraId="5CDC6D0F" w14:textId="6B711CEC" w:rsidR="00A67DE5" w:rsidRPr="00EF52AE" w:rsidRDefault="00A67DE5" w:rsidP="00E95BBD">
      <w:pPr>
        <w:pStyle w:val="Heading2"/>
        <w:ind w:left="0" w:firstLine="0"/>
      </w:pPr>
      <w:bookmarkStart w:id="18" w:name="_Toc208372556"/>
      <w:bookmarkStart w:id="19" w:name="_Toc422159594"/>
      <w:r w:rsidRPr="00EF52AE">
        <w:rPr>
          <w:rFonts w:ascii="Times New Roman" w:hAnsi="Times New Roman"/>
        </w:rPr>
        <w:t>10.</w:t>
      </w:r>
      <w:r w:rsidR="00127FC5">
        <w:rPr>
          <w:rFonts w:ascii="Times New Roman" w:hAnsi="Times New Roman"/>
        </w:rPr>
        <w:t xml:space="preserve"> </w:t>
      </w:r>
      <w:bookmarkEnd w:id="18"/>
      <w:bookmarkEnd w:id="19"/>
      <w:r w:rsidR="00626E28">
        <w:rPr>
          <w:rFonts w:ascii="Times New Roman" w:hAnsi="Times New Roman"/>
        </w:rPr>
        <w:t>Protection of the Privacy and Confidentia</w:t>
      </w:r>
      <w:r w:rsidR="00E95BBD">
        <w:rPr>
          <w:rFonts w:ascii="Times New Roman" w:hAnsi="Times New Roman"/>
        </w:rPr>
        <w:t xml:space="preserve">lity of Information Provided by </w:t>
      </w:r>
      <w:r w:rsidR="00626E28">
        <w:rPr>
          <w:rFonts w:ascii="Times New Roman" w:hAnsi="Times New Roman"/>
        </w:rPr>
        <w:t>Respondents</w:t>
      </w:r>
    </w:p>
    <w:p w14:paraId="0F50C4E0" w14:textId="77777777" w:rsidR="000953AB" w:rsidRDefault="000953AB" w:rsidP="005E211C"/>
    <w:p w14:paraId="289D727C" w14:textId="2AD22572" w:rsidR="00FF5E4A" w:rsidRDefault="00506376" w:rsidP="005E211C">
      <w:r>
        <w:t>NIOSH’s Information Systems Security Officer reviewed this submission and determined that the Privacy Act does not apply.</w:t>
      </w:r>
      <w:r w:rsidR="0061637A">
        <w:t xml:space="preserve"> </w:t>
      </w:r>
      <w:r w:rsidR="00C010E1">
        <w:t>The</w:t>
      </w:r>
      <w:r w:rsidR="000953AB">
        <w:t xml:space="preserve"> study staff will not receive the identifiers and will only receive data with the assigned study ID.  </w:t>
      </w:r>
    </w:p>
    <w:p w14:paraId="3B3DBFDC" w14:textId="77777777" w:rsidR="00FF5E4A" w:rsidRDefault="00FF5E4A" w:rsidP="005E211C">
      <w:pPr>
        <w:rPr>
          <w:color w:val="1F497D"/>
        </w:rPr>
      </w:pPr>
    </w:p>
    <w:p w14:paraId="4AF63955" w14:textId="5AF34B92" w:rsidR="00B84251" w:rsidRPr="00931FBE" w:rsidRDefault="00B84251" w:rsidP="00B84251">
      <w:r w:rsidRPr="00931FBE">
        <w:t xml:space="preserve">After the survey has been fielded, Knowledge Networks will send RAND the data that has been stripped of any information that would identify the respondent, per their standard protocols. Personally identifying information is never revealed to GfK’s clients (i.e. the RAND Corporation) or other external parties without explicit respondent approval and a client-signed nondisclosure agreement. RAND will not have access to any identifying information, thus </w:t>
      </w:r>
      <w:r w:rsidR="00FA5F20">
        <w:t>respondent</w:t>
      </w:r>
      <w:r w:rsidRPr="00931FBE">
        <w:t xml:space="preserve"> </w:t>
      </w:r>
      <w:r w:rsidR="00647F37">
        <w:t>privacy</w:t>
      </w:r>
      <w:r w:rsidRPr="00931FBE">
        <w:t xml:space="preserve"> will be maintained.</w:t>
      </w:r>
    </w:p>
    <w:p w14:paraId="6302469F" w14:textId="77777777" w:rsidR="000953AB" w:rsidRPr="00931FBE" w:rsidRDefault="000953AB" w:rsidP="005E211C"/>
    <w:p w14:paraId="695C2C4F" w14:textId="1E8FF317" w:rsidR="005E211C" w:rsidRDefault="00523A94" w:rsidP="005E211C">
      <w:r w:rsidRPr="005E211C">
        <w:t>The KnowledgePanel recruitment and empanelment process is designed to comply with CAN-SPAM</w:t>
      </w:r>
      <w:r>
        <w:rPr>
          <w:rStyle w:val="FootnoteReference"/>
        </w:rPr>
        <w:footnoteReference w:id="42"/>
      </w:r>
      <w:r>
        <w:t xml:space="preserve"> </w:t>
      </w:r>
      <w:r w:rsidRPr="005E211C">
        <w:t xml:space="preserve">and </w:t>
      </w:r>
      <w:r w:rsidR="006B6B88" w:rsidRPr="006B6B88">
        <w:rPr>
          <w:rStyle w:val="Strong"/>
          <w:b w:val="0"/>
          <w:color w:val="000000" w:themeColor="text1"/>
          <w:lang w:val="en"/>
        </w:rPr>
        <w:t>Council of American Survey Research Organization</w:t>
      </w:r>
      <w:r w:rsidR="006B6B88">
        <w:rPr>
          <w:rStyle w:val="Strong"/>
          <w:b w:val="0"/>
          <w:color w:val="000000" w:themeColor="text1"/>
          <w:lang w:val="en"/>
        </w:rPr>
        <w:t>s</w:t>
      </w:r>
      <w:r>
        <w:t xml:space="preserve"> guidelines</w:t>
      </w:r>
      <w:r w:rsidR="005E211C">
        <w:t xml:space="preserve">. </w:t>
      </w:r>
      <w:r w:rsidR="002E3A77">
        <w:t>Additional information about KnowledgePanel can be accessed online.</w:t>
      </w:r>
      <w:r w:rsidR="002E3A77">
        <w:rPr>
          <w:rStyle w:val="FootnoteReference"/>
        </w:rPr>
        <w:footnoteReference w:id="43"/>
      </w:r>
      <w:r w:rsidR="002E3A77">
        <w:t xml:space="preserve"> </w:t>
      </w:r>
      <w:r w:rsidR="005E211C">
        <w:t>Further, these</w:t>
      </w:r>
      <w:r w:rsidR="005E211C" w:rsidRPr="005E211C">
        <w:t xml:space="preserve"> policies conform to </w:t>
      </w:r>
      <w:r w:rsidR="00FA5F20">
        <w:t>respondent</w:t>
      </w:r>
      <w:r w:rsidR="00FA5F20" w:rsidRPr="005E211C">
        <w:t xml:space="preserve"> </w:t>
      </w:r>
      <w:r w:rsidR="005E211C" w:rsidRPr="005E211C">
        <w:t xml:space="preserve">treatment protocols outlined by the federal Office </w:t>
      </w:r>
      <w:r w:rsidR="005E211C">
        <w:t xml:space="preserve">of </w:t>
      </w:r>
      <w:r w:rsidR="005E211C" w:rsidRPr="005E211C">
        <w:t xml:space="preserve">Management and Budget, following guidelines from the Belmont Report. Survey responses are </w:t>
      </w:r>
      <w:r w:rsidR="002E3A77">
        <w:t>secure</w:t>
      </w:r>
      <w:r w:rsidR="005E211C" w:rsidRPr="005E211C">
        <w:t xml:space="preserve">; personally identifying information is never revealed to clients or other external parties without explicit respondent approval and a client-signed nondisclosure agreement. When surveys are assigned to KnowledgePanel panel members, they are notified in their password- protected email account that a survey is available for completion. Surveys are self-administered and accessible any time of day for a designated period. </w:t>
      </w:r>
      <w:r w:rsidR="00804E56">
        <w:t>Respondent</w:t>
      </w:r>
      <w:r w:rsidR="00804E56" w:rsidRPr="005E211C">
        <w:t xml:space="preserve">s </w:t>
      </w:r>
      <w:r w:rsidR="005E211C" w:rsidRPr="005E211C">
        <w:t xml:space="preserve">can complete a password-protected survey only once. Members may withdraw from the panel at any time, and continued provision of the web-enabled device (e.g., laptop or netbook) and Internet service is not contingent on completion of any particular survey. All KnowledgePanel panelists are given a link to access the privacy terms electronically at all times via the Panel Member website and also are able to review it at any time on the Members Page and in links contained in survey invitations. The Privacy and Terms of Use Policy is posted at </w:t>
      </w:r>
      <w:r w:rsidR="005E211C" w:rsidRPr="0034781B">
        <w:t>http://www.knpanel.com/participate/privacy2.html</w:t>
      </w:r>
      <w:r w:rsidR="005E211C">
        <w:t xml:space="preserve">. </w:t>
      </w:r>
    </w:p>
    <w:p w14:paraId="101CB7C8" w14:textId="77777777" w:rsidR="005B7D73" w:rsidRDefault="005B7D73" w:rsidP="005E211C"/>
    <w:p w14:paraId="38C32868" w14:textId="0607B11E" w:rsidR="00B84251" w:rsidRDefault="00B84251" w:rsidP="00B84251">
      <w:pPr>
        <w:rPr>
          <w:color w:val="1F497D"/>
        </w:rPr>
      </w:pPr>
      <w:r w:rsidRPr="0059766F">
        <w:t xml:space="preserve">This survey does not </w:t>
      </w:r>
      <w:r w:rsidR="00647F37">
        <w:t>collect</w:t>
      </w:r>
      <w:r w:rsidRPr="0059766F">
        <w:t xml:space="preserve"> personally identifiable data. </w:t>
      </w:r>
      <w:r w:rsidR="00DE7B87">
        <w:t xml:space="preserve">Personally identifying information is never revealed to clients or other external parties without explicit respondent approval and a client-signed nondisclosure agreement. </w:t>
      </w:r>
      <w:r w:rsidR="00375AB5">
        <w:t xml:space="preserve">All personally identifying information are kept in a separate office from survey-specific data records. Staff members who have access to the personally identifying information, which is limited to the panel management staff members, do not have access to the survey response data.  Further, all data transfers pass through a firewall for data protection. </w:t>
      </w:r>
      <w:r w:rsidRPr="0059766F">
        <w:t>Some identifiable information about the respondents is on file with the survey vendor because this project will use members of their existing survey panel. However, the researchers will not obtain these identifiers and ask for any additional identifiers during the survey</w:t>
      </w:r>
      <w:r w:rsidRPr="00CD513E">
        <w:rPr>
          <w:color w:val="1F497D"/>
        </w:rPr>
        <w:t>.</w:t>
      </w:r>
      <w:r w:rsidRPr="00730271">
        <w:t xml:space="preserve"> </w:t>
      </w:r>
      <w:r w:rsidRPr="00B8019E">
        <w:t>Knowledge Networks collects demographic and other data from its panel members; we will leverage these data for this study to minimize respondent burden</w:t>
      </w:r>
      <w:r>
        <w:t>.</w:t>
      </w:r>
      <w:r w:rsidRPr="00730271">
        <w:t xml:space="preserve"> </w:t>
      </w:r>
      <w:r>
        <w:t xml:space="preserve">Participants are </w:t>
      </w:r>
      <w:r w:rsidRPr="00E37725">
        <w:t xml:space="preserve">required to complete their demographic profile </w:t>
      </w:r>
      <w:r>
        <w:t xml:space="preserve">only </w:t>
      </w:r>
      <w:r w:rsidRPr="00E37725">
        <w:t>one time</w:t>
      </w:r>
      <w:r>
        <w:t>,</w:t>
      </w:r>
      <w:r w:rsidRPr="00E37725">
        <w:t xml:space="preserve"> when they join the panel</w:t>
      </w:r>
      <w:r>
        <w:t xml:space="preserve">, and complete annual updates as necessary, </w:t>
      </w:r>
    </w:p>
    <w:p w14:paraId="31F1F2D3" w14:textId="77777777" w:rsidR="00A67DE5" w:rsidRPr="00EF52AE" w:rsidRDefault="00A67DE5" w:rsidP="0058481E">
      <w:pPr>
        <w:tabs>
          <w:tab w:val="left" w:pos="540"/>
        </w:tabs>
      </w:pPr>
    </w:p>
    <w:p w14:paraId="29FD68B6" w14:textId="77777777" w:rsidR="00A67DE5" w:rsidRPr="00EF52AE" w:rsidRDefault="00A67DE5" w:rsidP="0058481E">
      <w:pPr>
        <w:pStyle w:val="Heading2"/>
        <w:rPr>
          <w:rFonts w:ascii="Times New Roman" w:hAnsi="Times New Roman"/>
        </w:rPr>
      </w:pPr>
      <w:bookmarkStart w:id="20" w:name="_Toc208372557"/>
      <w:bookmarkStart w:id="21" w:name="_Toc422159595"/>
      <w:r w:rsidRPr="00EF52AE">
        <w:rPr>
          <w:rFonts w:ascii="Times New Roman" w:hAnsi="Times New Roman"/>
        </w:rPr>
        <w:t>11.</w:t>
      </w:r>
      <w:r w:rsidR="00127FC5">
        <w:rPr>
          <w:rFonts w:ascii="Times New Roman" w:hAnsi="Times New Roman"/>
        </w:rPr>
        <w:t xml:space="preserve"> </w:t>
      </w:r>
      <w:bookmarkEnd w:id="20"/>
      <w:bookmarkEnd w:id="21"/>
      <w:r w:rsidR="00626E28">
        <w:rPr>
          <w:rFonts w:ascii="Times New Roman" w:hAnsi="Times New Roman"/>
        </w:rPr>
        <w:t>Institutional Review Board (IRB) and justification for Sensitive Questions</w:t>
      </w:r>
    </w:p>
    <w:p w14:paraId="79A6E2B5" w14:textId="77777777" w:rsidR="00A67DE5" w:rsidRPr="00492BDB" w:rsidRDefault="00A67DE5" w:rsidP="0058481E">
      <w:pPr>
        <w:tabs>
          <w:tab w:val="left" w:pos="540"/>
        </w:tabs>
        <w:rPr>
          <w:sz w:val="22"/>
          <w:szCs w:val="22"/>
        </w:rPr>
      </w:pPr>
    </w:p>
    <w:p w14:paraId="12543CBB" w14:textId="1DB07AAC" w:rsidR="000953AB" w:rsidRPr="00492BDB" w:rsidRDefault="00B348BB" w:rsidP="0058481E">
      <w:pPr>
        <w:tabs>
          <w:tab w:val="left" w:pos="540"/>
        </w:tabs>
      </w:pPr>
      <w:r>
        <w:t>The</w:t>
      </w:r>
      <w:r w:rsidRPr="00B348BB">
        <w:t xml:space="preserve"> NIOSH IRB has determined that NIOSH is not engaged in human sub</w:t>
      </w:r>
      <w:r>
        <w:t>jects research in this project</w:t>
      </w:r>
      <w:r w:rsidR="002F24D4">
        <w:t xml:space="preserve"> (Attachment F)</w:t>
      </w:r>
      <w:r>
        <w:t>. RAND’s IRB (FWA#00003425) d</w:t>
      </w:r>
      <w:r w:rsidRPr="00B348BB">
        <w:t>etermined the project is exempt under 45 CFR 46.101(b)(2)</w:t>
      </w:r>
      <w:r>
        <w:t>.</w:t>
      </w:r>
    </w:p>
    <w:p w14:paraId="44AA98E4" w14:textId="77777777" w:rsidR="000953AB" w:rsidRDefault="000953AB" w:rsidP="0058481E">
      <w:pPr>
        <w:tabs>
          <w:tab w:val="left" w:pos="540"/>
        </w:tabs>
      </w:pPr>
    </w:p>
    <w:p w14:paraId="5FB83D31" w14:textId="423C7687" w:rsidR="00EC569D" w:rsidRPr="00EC569D" w:rsidRDefault="00647F37" w:rsidP="0058481E">
      <w:pPr>
        <w:tabs>
          <w:tab w:val="left" w:pos="540"/>
        </w:tabs>
      </w:pPr>
      <w:r w:rsidRPr="00EC569D">
        <w:t xml:space="preserve">The survey includes questions that could be considered of a sensitive nature. </w:t>
      </w:r>
      <w:r w:rsidR="00EC569D" w:rsidRPr="00EC569D">
        <w:t xml:space="preserve">Questions broadly cover assessments of the workplace overall and in terms of specific programs, policies, cultures, workplace relationships (e.g., supervisors, coworkers), and salaries/benefits. Other question types considered sensitive include: existence of physical and mental health conditions, health-related behaviors (e.g., alcohol use, smoking), and experiences with different types of harassment or discrimination in the workplace. </w:t>
      </w:r>
      <w:r w:rsidR="00665A82" w:rsidRPr="00EC569D">
        <w:t>Therefore,</w:t>
      </w:r>
      <w:r w:rsidR="00EC569D" w:rsidRPr="00EC569D">
        <w:t xml:space="preserve"> </w:t>
      </w:r>
      <w:r w:rsidR="00900BE2">
        <w:t>GfK</w:t>
      </w:r>
      <w:r w:rsidR="00EC569D" w:rsidRPr="00EC569D">
        <w:t xml:space="preserve"> has strong privac</w:t>
      </w:r>
      <w:r>
        <w:t xml:space="preserve">y </w:t>
      </w:r>
      <w:r w:rsidR="00EC569D" w:rsidRPr="00EC569D">
        <w:t>and data safeguarding and management procedures in place to prevent release of identifiable information. Analytical teams at RAND Corporation will only receive survey results and aggregated information about respondents from GfK and will not receive any information about individual panel members that could lead to identification.</w:t>
      </w:r>
    </w:p>
    <w:p w14:paraId="3A105CE3" w14:textId="77777777" w:rsidR="00A67DE5" w:rsidRPr="00EC569D" w:rsidRDefault="00A67DE5" w:rsidP="0058481E">
      <w:pPr>
        <w:tabs>
          <w:tab w:val="left" w:pos="540"/>
        </w:tabs>
      </w:pPr>
    </w:p>
    <w:p w14:paraId="20C8535F" w14:textId="77777777" w:rsidR="00A67DE5" w:rsidRPr="002A392C" w:rsidRDefault="00A67DE5" w:rsidP="0058481E">
      <w:pPr>
        <w:pStyle w:val="Heading2"/>
        <w:rPr>
          <w:rFonts w:ascii="Times New Roman" w:hAnsi="Times New Roman"/>
        </w:rPr>
      </w:pPr>
      <w:bookmarkStart w:id="22" w:name="_Toc422159596"/>
      <w:r w:rsidRPr="00EC569D">
        <w:rPr>
          <w:rFonts w:ascii="Times New Roman" w:hAnsi="Times New Roman"/>
        </w:rPr>
        <w:t>12.</w:t>
      </w:r>
      <w:r w:rsidR="00626E28">
        <w:rPr>
          <w:rFonts w:ascii="Times New Roman" w:hAnsi="Times New Roman"/>
        </w:rPr>
        <w:t xml:space="preserve"> Estimates of Annualized</w:t>
      </w:r>
      <w:r w:rsidR="00127FC5" w:rsidRPr="00EC569D">
        <w:rPr>
          <w:rFonts w:ascii="Times New Roman" w:hAnsi="Times New Roman"/>
        </w:rPr>
        <w:t xml:space="preserve"> </w:t>
      </w:r>
      <w:r w:rsidRPr="00EC569D">
        <w:rPr>
          <w:rFonts w:ascii="Times New Roman" w:hAnsi="Times New Roman"/>
        </w:rPr>
        <w:t xml:space="preserve">Burden </w:t>
      </w:r>
      <w:bookmarkEnd w:id="22"/>
      <w:r w:rsidR="00626E28">
        <w:rPr>
          <w:rFonts w:ascii="Times New Roman" w:hAnsi="Times New Roman"/>
        </w:rPr>
        <w:t>Hours and Cost</w:t>
      </w:r>
    </w:p>
    <w:p w14:paraId="4033345C" w14:textId="77777777" w:rsidR="00A67DE5" w:rsidRPr="002A392C" w:rsidRDefault="00A67DE5" w:rsidP="0058481E">
      <w:pPr>
        <w:tabs>
          <w:tab w:val="left" w:pos="540"/>
        </w:tabs>
      </w:pPr>
    </w:p>
    <w:p w14:paraId="076C86E4" w14:textId="77777777" w:rsidR="00FB3289" w:rsidRDefault="00547A07" w:rsidP="0058481E">
      <w:pPr>
        <w:keepLines/>
      </w:pPr>
      <w:r>
        <w:rPr>
          <w:color w:val="000000"/>
        </w:rPr>
        <w:t xml:space="preserve">Based on survey testing, this survey will take approximately </w:t>
      </w:r>
      <w:r w:rsidR="0002172E">
        <w:rPr>
          <w:color w:val="000000"/>
        </w:rPr>
        <w:t>20</w:t>
      </w:r>
      <w:r>
        <w:rPr>
          <w:color w:val="000000"/>
        </w:rPr>
        <w:t xml:space="preserve"> minutes to complete per respondent. </w:t>
      </w:r>
      <w:r w:rsidR="00D64514">
        <w:rPr>
          <w:color w:val="000000"/>
        </w:rPr>
        <w:t xml:space="preserve">A total of 1,025 individuals participating as GfK </w:t>
      </w:r>
      <w:r w:rsidR="004136F6">
        <w:rPr>
          <w:color w:val="000000"/>
        </w:rPr>
        <w:t xml:space="preserve">panel members will </w:t>
      </w:r>
      <w:r w:rsidR="004136F6" w:rsidRPr="004136F6">
        <w:rPr>
          <w:color w:val="000000"/>
        </w:rPr>
        <w:t>be surveyed in 2017</w:t>
      </w:r>
      <w:r w:rsidR="00C010E1">
        <w:rPr>
          <w:color w:val="000000"/>
        </w:rPr>
        <w:t>.</w:t>
      </w:r>
    </w:p>
    <w:p w14:paraId="697F87A8" w14:textId="77777777" w:rsidR="00FB3289" w:rsidRDefault="00FB3289" w:rsidP="0058481E">
      <w:pPr>
        <w:keepLines/>
      </w:pPr>
    </w:p>
    <w:p w14:paraId="5C842606" w14:textId="136D6CE9" w:rsidR="004C1676" w:rsidRPr="00E14C3D" w:rsidRDefault="004136F6" w:rsidP="00E14C3D">
      <w:pPr>
        <w:keepLines/>
      </w:pPr>
      <w:r>
        <w:rPr>
          <w:color w:val="000000"/>
        </w:rPr>
        <w:t>B</w:t>
      </w:r>
      <w:r w:rsidR="0003445F" w:rsidRPr="004C1676">
        <w:rPr>
          <w:color w:val="000000"/>
        </w:rPr>
        <w:t xml:space="preserve">urden and pace estimates are based on </w:t>
      </w:r>
      <w:r w:rsidR="00B84251">
        <w:rPr>
          <w:color w:val="000000"/>
        </w:rPr>
        <w:t xml:space="preserve">the </w:t>
      </w:r>
      <w:r w:rsidR="00781F00">
        <w:rPr>
          <w:color w:val="000000"/>
        </w:rPr>
        <w:t xml:space="preserve">cognitive </w:t>
      </w:r>
      <w:r w:rsidR="00547A07">
        <w:rPr>
          <w:color w:val="000000"/>
        </w:rPr>
        <w:t>testing</w:t>
      </w:r>
      <w:r w:rsidR="00055265">
        <w:rPr>
          <w:color w:val="000000"/>
        </w:rPr>
        <w:t xml:space="preserve"> mentioned in Section A8</w:t>
      </w:r>
      <w:r w:rsidR="0003445F" w:rsidRPr="004C1676">
        <w:rPr>
          <w:color w:val="000000"/>
        </w:rPr>
        <w:t>.</w:t>
      </w:r>
      <w:r w:rsidR="0003445F" w:rsidRPr="004C1676">
        <w:rPr>
          <w:bCs/>
        </w:rPr>
        <w:t xml:space="preserve"> </w:t>
      </w:r>
      <w:r w:rsidR="00547A07">
        <w:rPr>
          <w:bCs/>
        </w:rPr>
        <w:t>T</w:t>
      </w:r>
      <w:r w:rsidR="0003445F" w:rsidRPr="004C1676">
        <w:rPr>
          <w:bCs/>
        </w:rPr>
        <w:t xml:space="preserve">he annual total </w:t>
      </w:r>
      <w:r w:rsidR="0003445F" w:rsidRPr="004136F6">
        <w:rPr>
          <w:bCs/>
        </w:rPr>
        <w:t xml:space="preserve">burden hours are estimated to be </w:t>
      </w:r>
      <w:r w:rsidR="00272F11">
        <w:rPr>
          <w:bCs/>
        </w:rPr>
        <w:t>342</w:t>
      </w:r>
      <w:r w:rsidR="00806B71" w:rsidRPr="004136F6">
        <w:rPr>
          <w:bCs/>
        </w:rPr>
        <w:t xml:space="preserve"> </w:t>
      </w:r>
      <w:r w:rsidR="0003445F" w:rsidRPr="004136F6">
        <w:rPr>
          <w:bCs/>
        </w:rPr>
        <w:t>hours.</w:t>
      </w:r>
      <w:r w:rsidR="004C1676" w:rsidRPr="004136F6">
        <w:rPr>
          <w:bCs/>
          <w:color w:val="000000" w:themeColor="text1"/>
        </w:rPr>
        <w:t xml:space="preserve"> The annual total cost burden </w:t>
      </w:r>
      <w:r w:rsidR="004C1676" w:rsidRPr="00272F11">
        <w:rPr>
          <w:bCs/>
          <w:color w:val="000000" w:themeColor="text1"/>
        </w:rPr>
        <w:t xml:space="preserve">is estimated to be </w:t>
      </w:r>
      <w:r w:rsidR="00272F11" w:rsidRPr="00272F11">
        <w:t>$7</w:t>
      </w:r>
      <w:r w:rsidR="00E14C3D">
        <w:t>944.66</w:t>
      </w:r>
      <w:r w:rsidR="00A119E2" w:rsidRPr="00272F11">
        <w:rPr>
          <w:bCs/>
          <w:color w:val="000000" w:themeColor="text1"/>
        </w:rPr>
        <w:t xml:space="preserve">, </w:t>
      </w:r>
      <w:r w:rsidR="00A119E2" w:rsidRPr="00272F11">
        <w:t>based upon mean hourly wages from the</w:t>
      </w:r>
      <w:r w:rsidR="004C1676" w:rsidRPr="00272F11">
        <w:t xml:space="preserve"> “</w:t>
      </w:r>
      <w:r w:rsidR="00E14C3D">
        <w:t>May 2015 National Occupational Employment and Wage Estimates United States</w:t>
      </w:r>
      <w:r w:rsidR="004C1676" w:rsidRPr="00272F11">
        <w:t>,” U.S. Department of Labor, Bureau of Labor</w:t>
      </w:r>
      <w:r w:rsidR="004C1676" w:rsidRPr="00A119E2">
        <w:t xml:space="preserve"> Statistics.</w:t>
      </w:r>
      <w:r w:rsidR="004C1676">
        <w:rPr>
          <w:color w:val="000000" w:themeColor="text1"/>
          <w:sz w:val="20"/>
          <w:szCs w:val="20"/>
        </w:rPr>
        <w:t xml:space="preserve"> </w:t>
      </w:r>
    </w:p>
    <w:p w14:paraId="54B3A6E5" w14:textId="77777777" w:rsidR="00127FC5" w:rsidRPr="0051608B" w:rsidRDefault="00127FC5" w:rsidP="0058481E">
      <w:pPr>
        <w:keepLines/>
        <w:rPr>
          <w:color w:val="000000" w:themeColor="text1"/>
        </w:rPr>
      </w:pPr>
    </w:p>
    <w:p w14:paraId="0B167C8E" w14:textId="77777777" w:rsidR="00523A94" w:rsidRPr="0002172E" w:rsidRDefault="00523A94" w:rsidP="00523A94">
      <w:pPr>
        <w:keepLines/>
        <w:rPr>
          <w:color w:val="000000" w:themeColor="text1"/>
        </w:rPr>
      </w:pPr>
      <w:r w:rsidRPr="0051608B">
        <w:rPr>
          <w:color w:val="000000" w:themeColor="text1"/>
        </w:rPr>
        <w:t>Table A-12: Estimated Annualized Burden</w:t>
      </w:r>
      <w:r>
        <w:rPr>
          <w:color w:val="000000" w:themeColor="text1"/>
        </w:rPr>
        <w:t xml:space="preserve"> Hours and Costs to Respondents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523A94" w:rsidRPr="006F6856" w14:paraId="6221D2F4" w14:textId="77777777" w:rsidTr="00856E5F">
        <w:trPr>
          <w:trHeight w:val="1493"/>
        </w:trPr>
        <w:tc>
          <w:tcPr>
            <w:tcW w:w="1620" w:type="dxa"/>
            <w:tcBorders>
              <w:bottom w:val="single" w:sz="12" w:space="0" w:color="000000"/>
            </w:tcBorders>
            <w:shd w:val="clear" w:color="auto" w:fill="D9D9D9" w:themeFill="background1" w:themeFillShade="D9"/>
            <w:vAlign w:val="center"/>
          </w:tcPr>
          <w:p w14:paraId="78B5137F" w14:textId="77777777" w:rsidR="00523A94" w:rsidRPr="0051608B" w:rsidRDefault="00523A94" w:rsidP="00856E5F">
            <w:pPr>
              <w:jc w:val="center"/>
              <w:rPr>
                <w:b/>
                <w:sz w:val="20"/>
              </w:rPr>
            </w:pPr>
            <w:r w:rsidRPr="0051608B">
              <w:rPr>
                <w:b/>
                <w:sz w:val="20"/>
              </w:rPr>
              <w:t>Type of Respondent</w:t>
            </w:r>
          </w:p>
        </w:tc>
        <w:tc>
          <w:tcPr>
            <w:tcW w:w="1440" w:type="dxa"/>
            <w:tcBorders>
              <w:bottom w:val="single" w:sz="12" w:space="0" w:color="000000"/>
            </w:tcBorders>
            <w:shd w:val="clear" w:color="auto" w:fill="D9D9D9" w:themeFill="background1" w:themeFillShade="D9"/>
            <w:vAlign w:val="center"/>
          </w:tcPr>
          <w:p w14:paraId="55B9ED04" w14:textId="77777777" w:rsidR="00523A94" w:rsidRPr="0051608B" w:rsidRDefault="00523A94" w:rsidP="00856E5F">
            <w:pPr>
              <w:jc w:val="center"/>
              <w:rPr>
                <w:b/>
                <w:sz w:val="20"/>
              </w:rPr>
            </w:pPr>
            <w:r w:rsidRPr="0051608B">
              <w:rPr>
                <w:b/>
                <w:sz w:val="20"/>
              </w:rPr>
              <w:t>No. of Respondents</w:t>
            </w:r>
          </w:p>
        </w:tc>
        <w:tc>
          <w:tcPr>
            <w:tcW w:w="1800" w:type="dxa"/>
            <w:tcBorders>
              <w:bottom w:val="single" w:sz="12" w:space="0" w:color="000000"/>
            </w:tcBorders>
            <w:shd w:val="clear" w:color="auto" w:fill="D9D9D9" w:themeFill="background1" w:themeFillShade="D9"/>
            <w:vAlign w:val="center"/>
          </w:tcPr>
          <w:p w14:paraId="58C69249" w14:textId="77777777" w:rsidR="00523A94" w:rsidRPr="0051608B" w:rsidRDefault="00523A94" w:rsidP="00856E5F">
            <w:pPr>
              <w:jc w:val="center"/>
              <w:rPr>
                <w:b/>
                <w:sz w:val="20"/>
              </w:rPr>
            </w:pPr>
            <w:r w:rsidRPr="0051608B">
              <w:rPr>
                <w:b/>
                <w:sz w:val="20"/>
              </w:rPr>
              <w:t>No. of Responses per Respondent</w:t>
            </w:r>
          </w:p>
        </w:tc>
        <w:tc>
          <w:tcPr>
            <w:tcW w:w="1260" w:type="dxa"/>
            <w:tcBorders>
              <w:bottom w:val="single" w:sz="12" w:space="0" w:color="000000"/>
            </w:tcBorders>
            <w:shd w:val="clear" w:color="auto" w:fill="D9D9D9" w:themeFill="background1" w:themeFillShade="D9"/>
            <w:vAlign w:val="center"/>
          </w:tcPr>
          <w:p w14:paraId="54E6E092" w14:textId="77777777" w:rsidR="00523A94" w:rsidRPr="0051608B" w:rsidRDefault="00523A94" w:rsidP="00856E5F">
            <w:pPr>
              <w:jc w:val="center"/>
              <w:rPr>
                <w:b/>
                <w:sz w:val="20"/>
              </w:rPr>
            </w:pPr>
            <w:r w:rsidRPr="0051608B">
              <w:rPr>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38422A04" w14:textId="77777777" w:rsidR="00523A94" w:rsidRPr="0051608B" w:rsidRDefault="00523A94" w:rsidP="00856E5F">
            <w:pPr>
              <w:jc w:val="center"/>
              <w:rPr>
                <w:b/>
                <w:sz w:val="20"/>
              </w:rPr>
            </w:pPr>
            <w:r w:rsidRPr="0051608B">
              <w:rPr>
                <w:b/>
                <w:sz w:val="20"/>
              </w:rPr>
              <w:t>Total Burden Hours</w:t>
            </w:r>
          </w:p>
        </w:tc>
        <w:tc>
          <w:tcPr>
            <w:tcW w:w="990" w:type="dxa"/>
            <w:tcBorders>
              <w:bottom w:val="single" w:sz="12" w:space="0" w:color="000000"/>
            </w:tcBorders>
            <w:shd w:val="clear" w:color="auto" w:fill="D9D9D9" w:themeFill="background1" w:themeFillShade="D9"/>
            <w:vAlign w:val="center"/>
          </w:tcPr>
          <w:p w14:paraId="5D52A149" w14:textId="77777777" w:rsidR="00523A94" w:rsidRPr="0051608B" w:rsidRDefault="00523A94" w:rsidP="00856E5F">
            <w:pPr>
              <w:jc w:val="center"/>
              <w:rPr>
                <w:b/>
                <w:sz w:val="20"/>
              </w:rPr>
            </w:pPr>
            <w:r w:rsidRPr="0051608B">
              <w:rPr>
                <w:b/>
                <w:sz w:val="20"/>
              </w:rPr>
              <w:t>Hourly Wage Rate</w:t>
            </w:r>
          </w:p>
        </w:tc>
        <w:tc>
          <w:tcPr>
            <w:tcW w:w="1368" w:type="dxa"/>
            <w:tcBorders>
              <w:bottom w:val="single" w:sz="12" w:space="0" w:color="000000"/>
            </w:tcBorders>
            <w:shd w:val="clear" w:color="auto" w:fill="D9D9D9" w:themeFill="background1" w:themeFillShade="D9"/>
            <w:vAlign w:val="center"/>
          </w:tcPr>
          <w:p w14:paraId="46025273" w14:textId="77777777" w:rsidR="00523A94" w:rsidRPr="0051608B" w:rsidRDefault="00523A94" w:rsidP="00856E5F">
            <w:pPr>
              <w:jc w:val="center"/>
              <w:rPr>
                <w:b/>
                <w:sz w:val="20"/>
              </w:rPr>
            </w:pPr>
            <w:r w:rsidRPr="0051608B">
              <w:rPr>
                <w:b/>
                <w:sz w:val="20"/>
              </w:rPr>
              <w:t>Total Respondent Costs</w:t>
            </w:r>
          </w:p>
        </w:tc>
      </w:tr>
      <w:tr w:rsidR="00523A94" w:rsidRPr="006F6856" w14:paraId="04A002F6" w14:textId="77777777" w:rsidTr="00856E5F">
        <w:tc>
          <w:tcPr>
            <w:tcW w:w="1620" w:type="dxa"/>
            <w:tcBorders>
              <w:top w:val="single" w:sz="12" w:space="0" w:color="000000"/>
            </w:tcBorders>
            <w:vAlign w:val="center"/>
          </w:tcPr>
          <w:p w14:paraId="46A6B7ED" w14:textId="77777777" w:rsidR="00523A94" w:rsidRPr="0051608B" w:rsidRDefault="00523A94" w:rsidP="00856E5F">
            <w:pPr>
              <w:jc w:val="center"/>
              <w:rPr>
                <w:sz w:val="20"/>
              </w:rPr>
            </w:pPr>
            <w:r>
              <w:rPr>
                <w:sz w:val="20"/>
              </w:rPr>
              <w:t>Survey of GfK</w:t>
            </w:r>
            <w:r w:rsidRPr="0051608B">
              <w:rPr>
                <w:sz w:val="20"/>
              </w:rPr>
              <w:t xml:space="preserve"> Panel Members</w:t>
            </w:r>
          </w:p>
        </w:tc>
        <w:tc>
          <w:tcPr>
            <w:tcW w:w="1440" w:type="dxa"/>
            <w:tcBorders>
              <w:top w:val="single" w:sz="12" w:space="0" w:color="000000"/>
            </w:tcBorders>
            <w:vAlign w:val="center"/>
          </w:tcPr>
          <w:p w14:paraId="04EADE69" w14:textId="77777777" w:rsidR="00523A94" w:rsidRPr="0051608B" w:rsidRDefault="00523A94" w:rsidP="00C010E1">
            <w:pPr>
              <w:jc w:val="center"/>
              <w:rPr>
                <w:sz w:val="20"/>
              </w:rPr>
            </w:pPr>
            <w:r>
              <w:rPr>
                <w:sz w:val="20"/>
              </w:rPr>
              <w:t>1,0</w:t>
            </w:r>
            <w:r w:rsidR="00C010E1">
              <w:rPr>
                <w:sz w:val="20"/>
              </w:rPr>
              <w:t>25</w:t>
            </w:r>
          </w:p>
        </w:tc>
        <w:tc>
          <w:tcPr>
            <w:tcW w:w="1800" w:type="dxa"/>
            <w:tcBorders>
              <w:top w:val="single" w:sz="12" w:space="0" w:color="000000"/>
            </w:tcBorders>
            <w:vAlign w:val="center"/>
          </w:tcPr>
          <w:p w14:paraId="4163176B" w14:textId="77777777" w:rsidR="00523A94" w:rsidRPr="0051608B" w:rsidRDefault="00523A94" w:rsidP="00856E5F">
            <w:pPr>
              <w:jc w:val="center"/>
              <w:rPr>
                <w:sz w:val="20"/>
              </w:rPr>
            </w:pPr>
            <w:r w:rsidRPr="0051608B">
              <w:rPr>
                <w:sz w:val="20"/>
              </w:rPr>
              <w:t>1</w:t>
            </w:r>
          </w:p>
        </w:tc>
        <w:tc>
          <w:tcPr>
            <w:tcW w:w="1260" w:type="dxa"/>
            <w:tcBorders>
              <w:top w:val="single" w:sz="12" w:space="0" w:color="000000"/>
            </w:tcBorders>
            <w:vAlign w:val="center"/>
          </w:tcPr>
          <w:p w14:paraId="11864355" w14:textId="77777777" w:rsidR="00523A94" w:rsidRPr="0051608B" w:rsidRDefault="00B16B4B" w:rsidP="00856E5F">
            <w:pPr>
              <w:jc w:val="center"/>
              <w:rPr>
                <w:sz w:val="20"/>
              </w:rPr>
            </w:pPr>
            <w:r>
              <w:rPr>
                <w:sz w:val="20"/>
              </w:rPr>
              <w:t>20/60</w:t>
            </w:r>
          </w:p>
        </w:tc>
        <w:tc>
          <w:tcPr>
            <w:tcW w:w="1080" w:type="dxa"/>
            <w:tcBorders>
              <w:top w:val="single" w:sz="12" w:space="0" w:color="000000"/>
            </w:tcBorders>
            <w:vAlign w:val="center"/>
          </w:tcPr>
          <w:p w14:paraId="66D1D716" w14:textId="77777777" w:rsidR="00523A94" w:rsidRPr="0051608B" w:rsidRDefault="00856665" w:rsidP="00B16B4B">
            <w:pPr>
              <w:jc w:val="center"/>
              <w:rPr>
                <w:sz w:val="20"/>
              </w:rPr>
            </w:pPr>
            <w:r>
              <w:rPr>
                <w:sz w:val="20"/>
              </w:rPr>
              <w:t>342</w:t>
            </w:r>
          </w:p>
        </w:tc>
        <w:tc>
          <w:tcPr>
            <w:tcW w:w="990" w:type="dxa"/>
            <w:tcBorders>
              <w:top w:val="single" w:sz="12" w:space="0" w:color="000000"/>
            </w:tcBorders>
            <w:vAlign w:val="center"/>
          </w:tcPr>
          <w:p w14:paraId="1B356493" w14:textId="77777777" w:rsidR="00523A94" w:rsidRPr="0051608B" w:rsidRDefault="00523A94" w:rsidP="00E14C3D">
            <w:pPr>
              <w:jc w:val="center"/>
              <w:rPr>
                <w:sz w:val="20"/>
              </w:rPr>
            </w:pPr>
            <w:r w:rsidRPr="0051608B">
              <w:rPr>
                <w:sz w:val="20"/>
              </w:rPr>
              <w:t>2</w:t>
            </w:r>
            <w:r w:rsidR="00E14C3D">
              <w:rPr>
                <w:sz w:val="20"/>
              </w:rPr>
              <w:t>3.23</w:t>
            </w:r>
          </w:p>
        </w:tc>
        <w:tc>
          <w:tcPr>
            <w:tcW w:w="1368" w:type="dxa"/>
            <w:tcBorders>
              <w:top w:val="single" w:sz="12" w:space="0" w:color="000000"/>
            </w:tcBorders>
            <w:vAlign w:val="center"/>
          </w:tcPr>
          <w:p w14:paraId="6A601F5C" w14:textId="77777777" w:rsidR="00523A94" w:rsidRPr="0051608B" w:rsidRDefault="00523A94" w:rsidP="00E14C3D">
            <w:pPr>
              <w:jc w:val="center"/>
              <w:rPr>
                <w:sz w:val="20"/>
              </w:rPr>
            </w:pPr>
            <w:r>
              <w:rPr>
                <w:sz w:val="20"/>
              </w:rPr>
              <w:t>$</w:t>
            </w:r>
            <w:r w:rsidR="00C010E1">
              <w:rPr>
                <w:sz w:val="20"/>
              </w:rPr>
              <w:t>7</w:t>
            </w:r>
            <w:r w:rsidR="00E14C3D">
              <w:rPr>
                <w:sz w:val="20"/>
              </w:rPr>
              <w:t>944.66</w:t>
            </w:r>
          </w:p>
        </w:tc>
      </w:tr>
    </w:tbl>
    <w:p w14:paraId="0C351102" w14:textId="7ADD4ACF" w:rsidR="00262CA5" w:rsidRPr="0047714B" w:rsidRDefault="00262CA5" w:rsidP="0058481E">
      <w:bookmarkStart w:id="23" w:name="_Toc208372559"/>
    </w:p>
    <w:p w14:paraId="35961092" w14:textId="77777777" w:rsidR="00A67DE5" w:rsidRPr="00CF2F05" w:rsidRDefault="0002172E" w:rsidP="0058481E">
      <w:pPr>
        <w:pStyle w:val="Heading2"/>
        <w:rPr>
          <w:color w:val="000000" w:themeColor="text1"/>
        </w:rPr>
      </w:pPr>
      <w:bookmarkStart w:id="24" w:name="_Toc422159597"/>
      <w:r>
        <w:rPr>
          <w:rFonts w:ascii="Times New Roman" w:hAnsi="Times New Roman"/>
          <w:color w:val="000000" w:themeColor="text1"/>
        </w:rPr>
        <w:t xml:space="preserve">13. </w:t>
      </w:r>
      <w:r w:rsidR="008963A4" w:rsidRPr="008963A4">
        <w:rPr>
          <w:rFonts w:ascii="Times New Roman" w:hAnsi="Times New Roman"/>
          <w:color w:val="000000" w:themeColor="text1"/>
        </w:rPr>
        <w:t>Estimates of Other Total Annual Cost Burden to Respondents or Record Keepers</w:t>
      </w:r>
      <w:r w:rsidR="008963A4" w:rsidRPr="008963A4" w:rsidDel="008963A4">
        <w:rPr>
          <w:rFonts w:ascii="Times New Roman" w:hAnsi="Times New Roman"/>
          <w:color w:val="000000" w:themeColor="text1"/>
        </w:rPr>
        <w:t xml:space="preserve"> </w:t>
      </w:r>
      <w:bookmarkEnd w:id="23"/>
      <w:bookmarkEnd w:id="24"/>
    </w:p>
    <w:p w14:paraId="590676B9" w14:textId="77777777" w:rsidR="0002172E" w:rsidRDefault="0002172E" w:rsidP="0058481E">
      <w:pPr>
        <w:tabs>
          <w:tab w:val="left" w:pos="540"/>
        </w:tabs>
        <w:rPr>
          <w:color w:val="000000" w:themeColor="text1"/>
        </w:rPr>
      </w:pPr>
    </w:p>
    <w:p w14:paraId="68056E32" w14:textId="1C6D19F4" w:rsidR="00A67DE5" w:rsidRDefault="008963A4" w:rsidP="0058481E">
      <w:pPr>
        <w:tabs>
          <w:tab w:val="left" w:pos="540"/>
        </w:tabs>
        <w:rPr>
          <w:color w:val="000000" w:themeColor="text1"/>
        </w:rPr>
      </w:pPr>
      <w:r w:rsidRPr="008963A4">
        <w:rPr>
          <w:color w:val="000000" w:themeColor="text1"/>
        </w:rPr>
        <w:t>T</w:t>
      </w:r>
      <w:r w:rsidR="0034781B">
        <w:rPr>
          <w:color w:val="000000" w:themeColor="text1"/>
        </w:rPr>
        <w:t xml:space="preserve">here will be no direct costs to </w:t>
      </w:r>
      <w:r w:rsidRPr="008963A4">
        <w:rPr>
          <w:color w:val="000000" w:themeColor="text1"/>
        </w:rPr>
        <w:t>respondents</w:t>
      </w:r>
      <w:r w:rsidR="0034781B">
        <w:rPr>
          <w:color w:val="000000" w:themeColor="text1"/>
        </w:rPr>
        <w:t>,</w:t>
      </w:r>
      <w:r w:rsidRPr="008963A4">
        <w:rPr>
          <w:color w:val="000000" w:themeColor="text1"/>
        </w:rPr>
        <w:t xml:space="preserve"> other than their time to participate in the data collection.</w:t>
      </w:r>
    </w:p>
    <w:p w14:paraId="33616FF2" w14:textId="77777777" w:rsidR="0051608B" w:rsidRPr="00CF2F05" w:rsidRDefault="0051608B" w:rsidP="0058481E">
      <w:pPr>
        <w:tabs>
          <w:tab w:val="left" w:pos="540"/>
        </w:tabs>
        <w:rPr>
          <w:b/>
          <w:color w:val="000000" w:themeColor="text1"/>
        </w:rPr>
      </w:pPr>
    </w:p>
    <w:p w14:paraId="3C107373" w14:textId="77777777" w:rsidR="00A67DE5" w:rsidRPr="00CF2F05" w:rsidRDefault="0002172E" w:rsidP="0058481E">
      <w:pPr>
        <w:pStyle w:val="Heading2"/>
        <w:rPr>
          <w:rFonts w:ascii="Times New Roman" w:hAnsi="Times New Roman"/>
          <w:color w:val="000000" w:themeColor="text1"/>
        </w:rPr>
      </w:pPr>
      <w:bookmarkStart w:id="25" w:name="_Toc208372560"/>
      <w:bookmarkStart w:id="26" w:name="_Toc422159598"/>
      <w:r>
        <w:rPr>
          <w:rFonts w:ascii="Times New Roman" w:hAnsi="Times New Roman"/>
          <w:color w:val="000000" w:themeColor="text1"/>
        </w:rPr>
        <w:t xml:space="preserve">14. </w:t>
      </w:r>
      <w:r w:rsidR="008963A4">
        <w:rPr>
          <w:rFonts w:ascii="Times New Roman" w:hAnsi="Times New Roman"/>
          <w:color w:val="000000" w:themeColor="text1"/>
        </w:rPr>
        <w:t xml:space="preserve">Annualized </w:t>
      </w:r>
      <w:r w:rsidR="00A67DE5" w:rsidRPr="00CF2F05">
        <w:rPr>
          <w:rFonts w:ascii="Times New Roman" w:hAnsi="Times New Roman"/>
          <w:color w:val="000000" w:themeColor="text1"/>
        </w:rPr>
        <w:t>Cost to the Government</w:t>
      </w:r>
      <w:bookmarkEnd w:id="25"/>
      <w:bookmarkEnd w:id="26"/>
    </w:p>
    <w:p w14:paraId="5E29E921" w14:textId="77777777" w:rsidR="00A67DE5" w:rsidRPr="00CF2F05" w:rsidRDefault="00A67DE5" w:rsidP="0058481E">
      <w:pPr>
        <w:tabs>
          <w:tab w:val="left" w:pos="540"/>
        </w:tabs>
        <w:rPr>
          <w:color w:val="000000" w:themeColor="text1"/>
        </w:rPr>
      </w:pPr>
    </w:p>
    <w:p w14:paraId="08E1757A" w14:textId="77777777" w:rsidR="00A67DE5" w:rsidRPr="000638DB" w:rsidRDefault="00A67DE5" w:rsidP="0058481E">
      <w:pPr>
        <w:tabs>
          <w:tab w:val="left" w:pos="540"/>
        </w:tabs>
        <w:rPr>
          <w:color w:val="000000" w:themeColor="text1"/>
        </w:rPr>
      </w:pPr>
      <w:r w:rsidRPr="000638DB">
        <w:rPr>
          <w:color w:val="000000" w:themeColor="text1"/>
        </w:rPr>
        <w:t xml:space="preserve">The </w:t>
      </w:r>
      <w:r w:rsidR="00191F3A" w:rsidRPr="000638DB">
        <w:rPr>
          <w:color w:val="000000" w:themeColor="text1"/>
        </w:rPr>
        <w:t>total</w:t>
      </w:r>
      <w:r w:rsidRPr="000638DB">
        <w:rPr>
          <w:color w:val="000000" w:themeColor="text1"/>
        </w:rPr>
        <w:t xml:space="preserve"> cost </w:t>
      </w:r>
      <w:r w:rsidR="00B13589" w:rsidRPr="000638DB">
        <w:rPr>
          <w:color w:val="000000" w:themeColor="text1"/>
        </w:rPr>
        <w:t>to the Federal Government</w:t>
      </w:r>
      <w:r w:rsidRPr="000638DB">
        <w:rPr>
          <w:color w:val="000000" w:themeColor="text1"/>
        </w:rPr>
        <w:t xml:space="preserve"> is </w:t>
      </w:r>
      <w:r w:rsidR="00053C3C" w:rsidRPr="000638DB">
        <w:rPr>
          <w:color w:val="000000"/>
        </w:rPr>
        <w:t>$</w:t>
      </w:r>
      <w:r w:rsidR="00980D9A" w:rsidRPr="000638DB">
        <w:rPr>
          <w:color w:val="000000"/>
        </w:rPr>
        <w:t>52,815</w:t>
      </w:r>
      <w:r w:rsidR="00053C3C" w:rsidRPr="000638DB">
        <w:rPr>
          <w:color w:val="000000"/>
        </w:rPr>
        <w:t>.</w:t>
      </w:r>
    </w:p>
    <w:tbl>
      <w:tblPr>
        <w:tblStyle w:val="TableGrid1"/>
        <w:tblW w:w="0" w:type="auto"/>
        <w:tblLook w:val="04A0" w:firstRow="1" w:lastRow="0" w:firstColumn="1" w:lastColumn="0" w:noHBand="0" w:noVBand="1"/>
      </w:tblPr>
      <w:tblGrid>
        <w:gridCol w:w="4030"/>
        <w:gridCol w:w="1862"/>
        <w:gridCol w:w="1559"/>
        <w:gridCol w:w="1405"/>
      </w:tblGrid>
      <w:tr w:rsidR="008963A4" w:rsidRPr="000638DB" w14:paraId="31C94D79" w14:textId="77777777" w:rsidTr="00AE28C3">
        <w:trPr>
          <w:trHeight w:val="593"/>
        </w:trPr>
        <w:tc>
          <w:tcPr>
            <w:tcW w:w="4030" w:type="dxa"/>
            <w:tcBorders>
              <w:bottom w:val="single" w:sz="12" w:space="0" w:color="auto"/>
            </w:tcBorders>
            <w:shd w:val="clear" w:color="auto" w:fill="D9D9D9" w:themeFill="background1" w:themeFillShade="D9"/>
            <w:vAlign w:val="center"/>
          </w:tcPr>
          <w:p w14:paraId="4C647EAB"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 xml:space="preserve">Staff (FTE) </w:t>
            </w:r>
          </w:p>
        </w:tc>
        <w:tc>
          <w:tcPr>
            <w:tcW w:w="1862" w:type="dxa"/>
            <w:tcBorders>
              <w:bottom w:val="single" w:sz="12" w:space="0" w:color="auto"/>
            </w:tcBorders>
            <w:shd w:val="clear" w:color="auto" w:fill="D9D9D9" w:themeFill="background1" w:themeFillShade="D9"/>
            <w:vAlign w:val="center"/>
          </w:tcPr>
          <w:p w14:paraId="465C4C8C"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Average Hours per Collection</w:t>
            </w:r>
          </w:p>
        </w:tc>
        <w:tc>
          <w:tcPr>
            <w:tcW w:w="1559" w:type="dxa"/>
            <w:tcBorders>
              <w:bottom w:val="single" w:sz="12" w:space="0" w:color="auto"/>
            </w:tcBorders>
            <w:shd w:val="clear" w:color="auto" w:fill="D9D9D9" w:themeFill="background1" w:themeFillShade="D9"/>
            <w:vAlign w:val="center"/>
          </w:tcPr>
          <w:p w14:paraId="5DF17C50"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Average Hourly Rate</w:t>
            </w:r>
          </w:p>
        </w:tc>
        <w:tc>
          <w:tcPr>
            <w:tcW w:w="1405" w:type="dxa"/>
            <w:tcBorders>
              <w:bottom w:val="single" w:sz="12" w:space="0" w:color="auto"/>
            </w:tcBorders>
            <w:shd w:val="clear" w:color="auto" w:fill="D9D9D9" w:themeFill="background1" w:themeFillShade="D9"/>
            <w:vAlign w:val="center"/>
          </w:tcPr>
          <w:p w14:paraId="143AE0A8" w14:textId="77777777" w:rsidR="008963A4" w:rsidRPr="000638DB" w:rsidRDefault="008963A4" w:rsidP="0058481E">
            <w:pPr>
              <w:jc w:val="center"/>
              <w:rPr>
                <w:rFonts w:ascii="Times New Roman" w:hAnsi="Times New Roman"/>
                <w:b/>
                <w:sz w:val="20"/>
              </w:rPr>
            </w:pPr>
            <w:r w:rsidRPr="000638DB">
              <w:rPr>
                <w:rFonts w:ascii="Times New Roman" w:hAnsi="Times New Roman"/>
                <w:b/>
                <w:sz w:val="20"/>
              </w:rPr>
              <w:t>Average Cost</w:t>
            </w:r>
          </w:p>
        </w:tc>
      </w:tr>
      <w:tr w:rsidR="008963A4" w:rsidRPr="000638DB" w14:paraId="07835C2D" w14:textId="77777777" w:rsidTr="00AE28C3">
        <w:tc>
          <w:tcPr>
            <w:tcW w:w="4030" w:type="dxa"/>
          </w:tcPr>
          <w:p w14:paraId="12ADD687" w14:textId="77777777" w:rsidR="008963A4" w:rsidRPr="000638DB" w:rsidRDefault="00AE28C3" w:rsidP="0058481E">
            <w:pPr>
              <w:jc w:val="center"/>
              <w:rPr>
                <w:rFonts w:ascii="Times New Roman" w:hAnsi="Times New Roman"/>
                <w:sz w:val="20"/>
              </w:rPr>
            </w:pPr>
            <w:r w:rsidRPr="000638DB">
              <w:rPr>
                <w:rFonts w:ascii="Times New Roman" w:hAnsi="Times New Roman"/>
                <w:sz w:val="20"/>
              </w:rPr>
              <w:t xml:space="preserve">Data collection costs </w:t>
            </w:r>
          </w:p>
        </w:tc>
        <w:tc>
          <w:tcPr>
            <w:tcW w:w="1862" w:type="dxa"/>
          </w:tcPr>
          <w:p w14:paraId="320BBC08" w14:textId="77777777" w:rsidR="008963A4" w:rsidRPr="000638DB" w:rsidRDefault="00980D9A" w:rsidP="0058481E">
            <w:pPr>
              <w:jc w:val="center"/>
              <w:rPr>
                <w:rFonts w:ascii="Times New Roman" w:hAnsi="Times New Roman"/>
                <w:sz w:val="20"/>
              </w:rPr>
            </w:pPr>
            <w:r w:rsidRPr="000638DB">
              <w:rPr>
                <w:rFonts w:ascii="Times New Roman" w:hAnsi="Times New Roman"/>
                <w:sz w:val="20"/>
              </w:rPr>
              <w:t>NA</w:t>
            </w:r>
          </w:p>
        </w:tc>
        <w:tc>
          <w:tcPr>
            <w:tcW w:w="1559" w:type="dxa"/>
          </w:tcPr>
          <w:p w14:paraId="07394139" w14:textId="77777777" w:rsidR="008963A4" w:rsidRPr="000638DB" w:rsidRDefault="00980D9A" w:rsidP="0058481E">
            <w:pPr>
              <w:jc w:val="center"/>
              <w:rPr>
                <w:rFonts w:ascii="Times New Roman" w:hAnsi="Times New Roman"/>
                <w:sz w:val="20"/>
              </w:rPr>
            </w:pPr>
            <w:r w:rsidRPr="000638DB">
              <w:rPr>
                <w:rFonts w:ascii="Times New Roman" w:hAnsi="Times New Roman"/>
                <w:sz w:val="20"/>
              </w:rPr>
              <w:t>NA</w:t>
            </w:r>
          </w:p>
        </w:tc>
        <w:tc>
          <w:tcPr>
            <w:tcW w:w="1405" w:type="dxa"/>
          </w:tcPr>
          <w:p w14:paraId="3A87D1AB" w14:textId="77777777" w:rsidR="008963A4" w:rsidRPr="000638DB" w:rsidRDefault="00AE28C3" w:rsidP="0058481E">
            <w:pPr>
              <w:jc w:val="center"/>
              <w:rPr>
                <w:rFonts w:ascii="Times New Roman" w:hAnsi="Times New Roman"/>
                <w:sz w:val="20"/>
              </w:rPr>
            </w:pPr>
            <w:r w:rsidRPr="000638DB">
              <w:rPr>
                <w:rFonts w:ascii="Times New Roman" w:hAnsi="Times New Roman"/>
                <w:sz w:val="20"/>
              </w:rPr>
              <w:t>$</w:t>
            </w:r>
            <w:r w:rsidR="00980D9A" w:rsidRPr="000638DB">
              <w:rPr>
                <w:rFonts w:ascii="Times New Roman" w:hAnsi="Times New Roman"/>
                <w:sz w:val="20"/>
              </w:rPr>
              <w:t>28,600</w:t>
            </w:r>
          </w:p>
        </w:tc>
      </w:tr>
      <w:tr w:rsidR="008963A4" w:rsidRPr="000638DB" w14:paraId="094D4C39" w14:textId="77777777" w:rsidTr="000638DB">
        <w:tc>
          <w:tcPr>
            <w:tcW w:w="4030" w:type="dxa"/>
          </w:tcPr>
          <w:p w14:paraId="5573CFA9" w14:textId="77777777" w:rsidR="008963A4" w:rsidRPr="000638DB" w:rsidRDefault="002264EC" w:rsidP="0058481E">
            <w:pPr>
              <w:jc w:val="center"/>
              <w:rPr>
                <w:rFonts w:ascii="Times New Roman" w:hAnsi="Times New Roman"/>
                <w:sz w:val="20"/>
              </w:rPr>
            </w:pPr>
            <w:r w:rsidRPr="000638DB">
              <w:rPr>
                <w:rFonts w:ascii="Times New Roman" w:hAnsi="Times New Roman"/>
                <w:sz w:val="20"/>
              </w:rPr>
              <w:t>Social Science Analyst, GS 15</w:t>
            </w:r>
            <w:r w:rsidR="00AE28C3" w:rsidRPr="000638DB">
              <w:rPr>
                <w:rFonts w:ascii="Times New Roman" w:hAnsi="Times New Roman"/>
                <w:sz w:val="20"/>
              </w:rPr>
              <w:t xml:space="preserve"> (Analysis </w:t>
            </w:r>
            <w:r w:rsidR="0002721B" w:rsidRPr="000638DB">
              <w:rPr>
                <w:rFonts w:ascii="Times New Roman" w:hAnsi="Times New Roman"/>
                <w:sz w:val="20"/>
              </w:rPr>
              <w:t xml:space="preserve">and project management </w:t>
            </w:r>
            <w:r w:rsidR="00AE28C3" w:rsidRPr="000638DB">
              <w:rPr>
                <w:rFonts w:ascii="Times New Roman" w:hAnsi="Times New Roman"/>
                <w:sz w:val="20"/>
              </w:rPr>
              <w:t>costs)</w:t>
            </w:r>
          </w:p>
        </w:tc>
        <w:tc>
          <w:tcPr>
            <w:tcW w:w="1862" w:type="dxa"/>
            <w:vAlign w:val="center"/>
          </w:tcPr>
          <w:p w14:paraId="56F271C4" w14:textId="77777777" w:rsidR="008963A4" w:rsidRPr="000638DB" w:rsidRDefault="00980D9A" w:rsidP="000638DB">
            <w:pPr>
              <w:jc w:val="center"/>
              <w:rPr>
                <w:rFonts w:ascii="Times New Roman" w:hAnsi="Times New Roman"/>
                <w:sz w:val="20"/>
              </w:rPr>
            </w:pPr>
            <w:r w:rsidRPr="000638DB">
              <w:rPr>
                <w:rFonts w:ascii="Times New Roman" w:hAnsi="Times New Roman"/>
                <w:sz w:val="20"/>
              </w:rPr>
              <w:t>382</w:t>
            </w:r>
          </w:p>
        </w:tc>
        <w:tc>
          <w:tcPr>
            <w:tcW w:w="1559" w:type="dxa"/>
            <w:vAlign w:val="center"/>
          </w:tcPr>
          <w:p w14:paraId="2E035135" w14:textId="77777777" w:rsidR="008963A4" w:rsidRPr="000638DB" w:rsidRDefault="006B0C1A" w:rsidP="000638DB">
            <w:pPr>
              <w:jc w:val="center"/>
              <w:rPr>
                <w:rFonts w:ascii="Times New Roman" w:hAnsi="Times New Roman"/>
                <w:sz w:val="20"/>
              </w:rPr>
            </w:pPr>
            <w:r w:rsidRPr="000638DB">
              <w:rPr>
                <w:rFonts w:ascii="Times New Roman" w:hAnsi="Times New Roman"/>
                <w:sz w:val="20"/>
              </w:rPr>
              <w:t>63.31</w:t>
            </w:r>
          </w:p>
        </w:tc>
        <w:tc>
          <w:tcPr>
            <w:tcW w:w="1405" w:type="dxa"/>
            <w:vAlign w:val="center"/>
          </w:tcPr>
          <w:p w14:paraId="504F3266" w14:textId="77777777" w:rsidR="008963A4" w:rsidRPr="000638DB" w:rsidRDefault="00980D9A" w:rsidP="000638DB">
            <w:pPr>
              <w:jc w:val="center"/>
              <w:rPr>
                <w:rFonts w:ascii="Times New Roman" w:hAnsi="Times New Roman"/>
                <w:sz w:val="20"/>
              </w:rPr>
            </w:pPr>
            <w:r w:rsidRPr="000638DB">
              <w:rPr>
                <w:rFonts w:ascii="Times New Roman" w:hAnsi="Times New Roman"/>
                <w:sz w:val="20"/>
              </w:rPr>
              <w:t>$24,215</w:t>
            </w:r>
          </w:p>
        </w:tc>
      </w:tr>
      <w:tr w:rsidR="008963A4" w:rsidRPr="0002172E" w14:paraId="67D2D23F" w14:textId="77777777" w:rsidTr="00AE28C3">
        <w:trPr>
          <w:trHeight w:val="332"/>
        </w:trPr>
        <w:tc>
          <w:tcPr>
            <w:tcW w:w="7451" w:type="dxa"/>
            <w:gridSpan w:val="3"/>
            <w:vAlign w:val="center"/>
          </w:tcPr>
          <w:p w14:paraId="7571E006" w14:textId="77777777" w:rsidR="008963A4" w:rsidRPr="000638DB" w:rsidRDefault="008963A4" w:rsidP="0058481E">
            <w:pPr>
              <w:jc w:val="right"/>
              <w:rPr>
                <w:rFonts w:ascii="Times New Roman" w:hAnsi="Times New Roman"/>
                <w:b/>
                <w:sz w:val="20"/>
              </w:rPr>
            </w:pPr>
            <w:r w:rsidRPr="000638DB">
              <w:rPr>
                <w:rFonts w:ascii="Times New Roman" w:hAnsi="Times New Roman"/>
                <w:b/>
                <w:sz w:val="20"/>
              </w:rPr>
              <w:t>Estimated Total Cost of Information Collection</w:t>
            </w:r>
          </w:p>
        </w:tc>
        <w:tc>
          <w:tcPr>
            <w:tcW w:w="1405" w:type="dxa"/>
            <w:vAlign w:val="center"/>
          </w:tcPr>
          <w:p w14:paraId="2CAC44A9" w14:textId="77777777" w:rsidR="008963A4" w:rsidRPr="000638DB" w:rsidRDefault="00980D9A" w:rsidP="0058481E">
            <w:pPr>
              <w:jc w:val="center"/>
              <w:rPr>
                <w:rFonts w:ascii="Times New Roman" w:hAnsi="Times New Roman"/>
                <w:b/>
                <w:sz w:val="20"/>
              </w:rPr>
            </w:pPr>
            <w:r w:rsidRPr="000638DB">
              <w:rPr>
                <w:rFonts w:ascii="Times New Roman" w:hAnsi="Times New Roman"/>
                <w:b/>
                <w:sz w:val="20"/>
              </w:rPr>
              <w:t>$52,815</w:t>
            </w:r>
          </w:p>
        </w:tc>
      </w:tr>
    </w:tbl>
    <w:p w14:paraId="1DD8A656" w14:textId="77777777" w:rsidR="00A67DE5" w:rsidRPr="00EF52AE" w:rsidRDefault="00A67DE5" w:rsidP="0058481E">
      <w:pPr>
        <w:tabs>
          <w:tab w:val="left" w:pos="540"/>
        </w:tabs>
      </w:pPr>
    </w:p>
    <w:p w14:paraId="1B71F6DA" w14:textId="77777777" w:rsidR="00A67DE5" w:rsidRDefault="0002172E" w:rsidP="0058481E">
      <w:pPr>
        <w:pStyle w:val="Heading2"/>
      </w:pPr>
      <w:bookmarkStart w:id="27" w:name="_Toc208372561"/>
      <w:bookmarkStart w:id="28" w:name="_Toc422159599"/>
      <w:r>
        <w:rPr>
          <w:rFonts w:ascii="Times New Roman" w:hAnsi="Times New Roman"/>
        </w:rPr>
        <w:t xml:space="preserve">15. </w:t>
      </w:r>
      <w:r w:rsidR="008963A4">
        <w:rPr>
          <w:rFonts w:ascii="Times New Roman" w:hAnsi="Times New Roman"/>
        </w:rPr>
        <w:t xml:space="preserve">Explanation for </w:t>
      </w:r>
      <w:r w:rsidR="00A67DE5" w:rsidRPr="00EF52AE">
        <w:rPr>
          <w:rFonts w:ascii="Times New Roman" w:hAnsi="Times New Roman"/>
        </w:rPr>
        <w:t xml:space="preserve">Program Changes or Adjustments </w:t>
      </w:r>
      <w:bookmarkEnd w:id="27"/>
      <w:bookmarkEnd w:id="28"/>
    </w:p>
    <w:p w14:paraId="7E17D937" w14:textId="77777777" w:rsidR="00A67DE5" w:rsidRPr="00EF52AE" w:rsidRDefault="00A67DE5" w:rsidP="0058481E"/>
    <w:p w14:paraId="73F512E1" w14:textId="77777777" w:rsidR="00A67DE5" w:rsidRDefault="00CE5AAB" w:rsidP="0058481E">
      <w:pPr>
        <w:tabs>
          <w:tab w:val="left" w:pos="540"/>
        </w:tabs>
      </w:pPr>
      <w:r w:rsidRPr="00D56530">
        <w:t xml:space="preserve">This is a new information collection request. </w:t>
      </w:r>
    </w:p>
    <w:p w14:paraId="1BE24457" w14:textId="77777777" w:rsidR="00DD3715" w:rsidRPr="0047714B" w:rsidRDefault="00DD3715" w:rsidP="0058481E">
      <w:bookmarkStart w:id="29" w:name="_Toc208372562"/>
    </w:p>
    <w:p w14:paraId="52648829" w14:textId="77777777" w:rsidR="00A67DE5" w:rsidRDefault="0002172E" w:rsidP="0058481E">
      <w:pPr>
        <w:pStyle w:val="Heading2"/>
        <w:rPr>
          <w:rFonts w:ascii="Times New Roman" w:hAnsi="Times New Roman"/>
        </w:rPr>
      </w:pPr>
      <w:bookmarkStart w:id="30" w:name="_Toc422159600"/>
      <w:r>
        <w:rPr>
          <w:rFonts w:ascii="Times New Roman" w:hAnsi="Times New Roman"/>
        </w:rPr>
        <w:t xml:space="preserve">16. </w:t>
      </w:r>
      <w:r w:rsidR="008963A4">
        <w:rPr>
          <w:rFonts w:ascii="Times New Roman" w:hAnsi="Times New Roman"/>
        </w:rPr>
        <w:t xml:space="preserve">Plans for </w:t>
      </w:r>
      <w:r w:rsidR="00A67DE5" w:rsidRPr="00EF52AE">
        <w:rPr>
          <w:rFonts w:ascii="Times New Roman" w:hAnsi="Times New Roman"/>
        </w:rPr>
        <w:t xml:space="preserve">Tabulation and Publication </w:t>
      </w:r>
      <w:r w:rsidR="008963A4">
        <w:rPr>
          <w:rFonts w:ascii="Times New Roman" w:hAnsi="Times New Roman"/>
        </w:rPr>
        <w:t>and Project Time Schedule</w:t>
      </w:r>
      <w:bookmarkEnd w:id="29"/>
      <w:bookmarkEnd w:id="30"/>
    </w:p>
    <w:p w14:paraId="75C85C77" w14:textId="77777777" w:rsidR="00A21069" w:rsidRDefault="00A21069" w:rsidP="00A21069"/>
    <w:p w14:paraId="22903DB0" w14:textId="0E937056" w:rsidR="00A21069" w:rsidRDefault="00A21069" w:rsidP="00A21069">
      <w:pPr>
        <w:tabs>
          <w:tab w:val="left" w:pos="540"/>
        </w:tabs>
      </w:pPr>
      <w:r w:rsidRPr="00F02C86">
        <w:rPr>
          <w:b/>
          <w:i/>
        </w:rPr>
        <w:t>Publication of Results:</w:t>
      </w:r>
      <w:r w:rsidRPr="00F02C86">
        <w:t xml:space="preserve">  </w:t>
      </w:r>
      <w:r w:rsidR="00900BE2">
        <w:t>RAND will provide a</w:t>
      </w:r>
      <w:r>
        <w:t xml:space="preserve"> report to NIOSH on the findings of this analysis. Additionally, </w:t>
      </w:r>
      <w:r w:rsidR="00900BE2">
        <w:t xml:space="preserve">RAND and NIOSH will submit </w:t>
      </w:r>
      <w:r>
        <w:t xml:space="preserve">project results to a peer-reviewed journal. The following table overviews the publication and project schedule. </w:t>
      </w:r>
    </w:p>
    <w:p w14:paraId="5812B2AF" w14:textId="77777777" w:rsidR="00A21069" w:rsidRDefault="00A21069" w:rsidP="0058481E">
      <w:pPr>
        <w:autoSpaceDE w:val="0"/>
        <w:autoSpaceDN w:val="0"/>
        <w:adjustRightInd w:val="0"/>
      </w:pPr>
    </w:p>
    <w:tbl>
      <w:tblPr>
        <w:tblStyle w:val="TableGrid1"/>
        <w:tblW w:w="5000" w:type="pct"/>
        <w:tblLook w:val="04A0" w:firstRow="1" w:lastRow="0" w:firstColumn="1" w:lastColumn="0" w:noHBand="0" w:noVBand="1"/>
      </w:tblPr>
      <w:tblGrid>
        <w:gridCol w:w="3266"/>
        <w:gridCol w:w="1052"/>
        <w:gridCol w:w="1052"/>
        <w:gridCol w:w="1052"/>
        <w:gridCol w:w="1052"/>
        <w:gridCol w:w="1051"/>
        <w:gridCol w:w="1051"/>
      </w:tblGrid>
      <w:tr w:rsidR="006E194F" w:rsidRPr="006E194F" w14:paraId="07243343" w14:textId="77777777" w:rsidTr="006E194F">
        <w:tc>
          <w:tcPr>
            <w:tcW w:w="1705" w:type="pct"/>
          </w:tcPr>
          <w:p w14:paraId="605DC128" w14:textId="77777777" w:rsidR="006E194F" w:rsidRPr="006E194F" w:rsidRDefault="006E194F" w:rsidP="0058481E">
            <w:pPr>
              <w:autoSpaceDE w:val="0"/>
              <w:autoSpaceDN w:val="0"/>
              <w:adjustRightInd w:val="0"/>
              <w:rPr>
                <w:rFonts w:ascii="Times New Roman" w:hAnsi="Times New Roman"/>
                <w:b/>
              </w:rPr>
            </w:pPr>
            <w:r w:rsidRPr="006E194F">
              <w:rPr>
                <w:rFonts w:ascii="Times New Roman" w:hAnsi="Times New Roman"/>
                <w:b/>
              </w:rPr>
              <w:t xml:space="preserve">Tasks </w:t>
            </w:r>
          </w:p>
        </w:tc>
        <w:tc>
          <w:tcPr>
            <w:tcW w:w="549" w:type="pct"/>
          </w:tcPr>
          <w:p w14:paraId="07C816B8" w14:textId="49494C56" w:rsidR="006E194F" w:rsidRPr="006E194F" w:rsidRDefault="006E194F" w:rsidP="0058481E">
            <w:pPr>
              <w:autoSpaceDE w:val="0"/>
              <w:autoSpaceDN w:val="0"/>
              <w:adjustRightInd w:val="0"/>
              <w:rPr>
                <w:rFonts w:ascii="Times New Roman" w:hAnsi="Times New Roman"/>
                <w:b/>
              </w:rPr>
            </w:pPr>
          </w:p>
        </w:tc>
        <w:tc>
          <w:tcPr>
            <w:tcW w:w="549" w:type="pct"/>
          </w:tcPr>
          <w:p w14:paraId="221C35A3" w14:textId="1C0268D2" w:rsidR="006E194F" w:rsidRPr="006E194F" w:rsidRDefault="006E194F" w:rsidP="0058481E">
            <w:pPr>
              <w:autoSpaceDE w:val="0"/>
              <w:autoSpaceDN w:val="0"/>
              <w:adjustRightInd w:val="0"/>
              <w:rPr>
                <w:rFonts w:ascii="Times New Roman" w:hAnsi="Times New Roman"/>
                <w:b/>
              </w:rPr>
            </w:pPr>
            <w:r w:rsidRPr="006E194F">
              <w:rPr>
                <w:rFonts w:ascii="Times New Roman" w:hAnsi="Times New Roman"/>
                <w:b/>
              </w:rPr>
              <w:t xml:space="preserve">Month </w:t>
            </w:r>
            <w:r w:rsidR="00900BE2">
              <w:rPr>
                <w:rFonts w:ascii="Times New Roman" w:hAnsi="Times New Roman"/>
                <w:b/>
              </w:rPr>
              <w:t>1</w:t>
            </w:r>
          </w:p>
        </w:tc>
        <w:tc>
          <w:tcPr>
            <w:tcW w:w="549" w:type="pct"/>
          </w:tcPr>
          <w:p w14:paraId="2F4268CF" w14:textId="64DEDC66" w:rsidR="006E194F" w:rsidRPr="006E194F" w:rsidRDefault="006E194F" w:rsidP="0058481E">
            <w:pPr>
              <w:autoSpaceDE w:val="0"/>
              <w:autoSpaceDN w:val="0"/>
              <w:adjustRightInd w:val="0"/>
              <w:rPr>
                <w:rFonts w:ascii="Times New Roman" w:hAnsi="Times New Roman"/>
                <w:b/>
              </w:rPr>
            </w:pPr>
            <w:r w:rsidRPr="006E194F">
              <w:rPr>
                <w:rFonts w:ascii="Times New Roman" w:hAnsi="Times New Roman"/>
                <w:b/>
              </w:rPr>
              <w:t xml:space="preserve">Month </w:t>
            </w:r>
            <w:r w:rsidR="00900BE2">
              <w:rPr>
                <w:rFonts w:ascii="Times New Roman" w:hAnsi="Times New Roman"/>
                <w:b/>
              </w:rPr>
              <w:t>2</w:t>
            </w:r>
          </w:p>
        </w:tc>
        <w:tc>
          <w:tcPr>
            <w:tcW w:w="549" w:type="pct"/>
          </w:tcPr>
          <w:p w14:paraId="21BBA8B0" w14:textId="237BF125" w:rsidR="006E194F" w:rsidRPr="006E194F" w:rsidRDefault="006E194F" w:rsidP="0058481E">
            <w:pPr>
              <w:autoSpaceDE w:val="0"/>
              <w:autoSpaceDN w:val="0"/>
              <w:adjustRightInd w:val="0"/>
              <w:rPr>
                <w:rFonts w:ascii="Times New Roman" w:hAnsi="Times New Roman"/>
                <w:b/>
              </w:rPr>
            </w:pPr>
            <w:r w:rsidRPr="006E194F">
              <w:rPr>
                <w:rFonts w:ascii="Times New Roman" w:hAnsi="Times New Roman"/>
                <w:b/>
              </w:rPr>
              <w:t xml:space="preserve">Month </w:t>
            </w:r>
            <w:r w:rsidR="00900BE2">
              <w:rPr>
                <w:rFonts w:ascii="Times New Roman" w:hAnsi="Times New Roman"/>
                <w:b/>
              </w:rPr>
              <w:t>3</w:t>
            </w:r>
            <w:r w:rsidRPr="006E194F">
              <w:rPr>
                <w:rFonts w:ascii="Times New Roman" w:hAnsi="Times New Roman"/>
                <w:b/>
              </w:rPr>
              <w:t xml:space="preserve"> </w:t>
            </w:r>
          </w:p>
        </w:tc>
        <w:tc>
          <w:tcPr>
            <w:tcW w:w="549" w:type="pct"/>
          </w:tcPr>
          <w:p w14:paraId="37433976" w14:textId="54BA2B97" w:rsidR="006E194F" w:rsidRPr="006E194F" w:rsidRDefault="006E194F" w:rsidP="0058481E">
            <w:pPr>
              <w:autoSpaceDE w:val="0"/>
              <w:autoSpaceDN w:val="0"/>
              <w:adjustRightInd w:val="0"/>
              <w:rPr>
                <w:rFonts w:ascii="Times New Roman" w:hAnsi="Times New Roman"/>
                <w:b/>
              </w:rPr>
            </w:pPr>
            <w:r w:rsidRPr="006E194F">
              <w:rPr>
                <w:rFonts w:ascii="Times New Roman" w:hAnsi="Times New Roman"/>
                <w:b/>
              </w:rPr>
              <w:t xml:space="preserve">Month </w:t>
            </w:r>
            <w:r w:rsidR="00900BE2">
              <w:rPr>
                <w:rFonts w:ascii="Times New Roman" w:hAnsi="Times New Roman"/>
                <w:b/>
              </w:rPr>
              <w:t>4</w:t>
            </w:r>
            <w:r w:rsidRPr="006E194F">
              <w:rPr>
                <w:rFonts w:ascii="Times New Roman" w:hAnsi="Times New Roman"/>
                <w:b/>
              </w:rPr>
              <w:t xml:space="preserve"> </w:t>
            </w:r>
          </w:p>
        </w:tc>
        <w:tc>
          <w:tcPr>
            <w:tcW w:w="549" w:type="pct"/>
          </w:tcPr>
          <w:p w14:paraId="29002F52" w14:textId="05272756" w:rsidR="006E194F" w:rsidRPr="006E194F" w:rsidRDefault="006E194F" w:rsidP="0058481E">
            <w:pPr>
              <w:autoSpaceDE w:val="0"/>
              <w:autoSpaceDN w:val="0"/>
              <w:adjustRightInd w:val="0"/>
              <w:rPr>
                <w:rFonts w:ascii="Times New Roman" w:hAnsi="Times New Roman"/>
                <w:b/>
              </w:rPr>
            </w:pPr>
            <w:r w:rsidRPr="006E194F">
              <w:rPr>
                <w:rFonts w:ascii="Times New Roman" w:hAnsi="Times New Roman"/>
                <w:b/>
              </w:rPr>
              <w:t xml:space="preserve">Month </w:t>
            </w:r>
            <w:r w:rsidR="00900BE2">
              <w:rPr>
                <w:rFonts w:ascii="Times New Roman" w:hAnsi="Times New Roman"/>
                <w:b/>
              </w:rPr>
              <w:t>5</w:t>
            </w:r>
          </w:p>
        </w:tc>
      </w:tr>
      <w:tr w:rsidR="006E194F" w:rsidRPr="006E194F" w14:paraId="2E8D92C7" w14:textId="77777777" w:rsidTr="006E194F">
        <w:tc>
          <w:tcPr>
            <w:tcW w:w="1705" w:type="pct"/>
          </w:tcPr>
          <w:p w14:paraId="12CF35FC" w14:textId="77777777" w:rsidR="006E194F" w:rsidRPr="006E194F" w:rsidRDefault="006E194F" w:rsidP="0058481E">
            <w:pPr>
              <w:autoSpaceDE w:val="0"/>
              <w:autoSpaceDN w:val="0"/>
              <w:adjustRightInd w:val="0"/>
              <w:rPr>
                <w:rFonts w:ascii="Times New Roman" w:hAnsi="Times New Roman"/>
              </w:rPr>
            </w:pPr>
            <w:r w:rsidRPr="006E194F">
              <w:rPr>
                <w:rFonts w:ascii="Times New Roman" w:hAnsi="Times New Roman"/>
              </w:rPr>
              <w:t>OMB Approval</w:t>
            </w:r>
          </w:p>
        </w:tc>
        <w:tc>
          <w:tcPr>
            <w:tcW w:w="549" w:type="pct"/>
            <w:shd w:val="clear" w:color="auto" w:fill="D9D9D9" w:themeFill="background1" w:themeFillShade="D9"/>
          </w:tcPr>
          <w:p w14:paraId="3256B135" w14:textId="77777777" w:rsidR="006E194F" w:rsidRPr="006E194F" w:rsidRDefault="00F14C63" w:rsidP="00F14C63">
            <w:pPr>
              <w:autoSpaceDE w:val="0"/>
              <w:autoSpaceDN w:val="0"/>
              <w:adjustRightInd w:val="0"/>
              <w:jc w:val="center"/>
              <w:rPr>
                <w:rFonts w:ascii="Times New Roman" w:hAnsi="Times New Roman"/>
              </w:rPr>
            </w:pPr>
            <w:r>
              <w:rPr>
                <w:rFonts w:ascii="Times New Roman" w:hAnsi="Times New Roman"/>
              </w:rPr>
              <w:t>x</w:t>
            </w:r>
          </w:p>
        </w:tc>
        <w:tc>
          <w:tcPr>
            <w:tcW w:w="549" w:type="pct"/>
          </w:tcPr>
          <w:p w14:paraId="42D8FB9F" w14:textId="77777777" w:rsidR="006E194F" w:rsidRPr="006E194F" w:rsidRDefault="006E194F" w:rsidP="00F14C63">
            <w:pPr>
              <w:autoSpaceDE w:val="0"/>
              <w:autoSpaceDN w:val="0"/>
              <w:adjustRightInd w:val="0"/>
              <w:jc w:val="center"/>
              <w:rPr>
                <w:rFonts w:ascii="Times New Roman" w:hAnsi="Times New Roman"/>
              </w:rPr>
            </w:pPr>
          </w:p>
        </w:tc>
        <w:tc>
          <w:tcPr>
            <w:tcW w:w="549" w:type="pct"/>
          </w:tcPr>
          <w:p w14:paraId="1939D38A" w14:textId="77777777" w:rsidR="006E194F" w:rsidRPr="006E194F" w:rsidRDefault="006E194F" w:rsidP="00F14C63">
            <w:pPr>
              <w:autoSpaceDE w:val="0"/>
              <w:autoSpaceDN w:val="0"/>
              <w:adjustRightInd w:val="0"/>
              <w:jc w:val="center"/>
              <w:rPr>
                <w:rFonts w:ascii="Times New Roman" w:hAnsi="Times New Roman"/>
              </w:rPr>
            </w:pPr>
          </w:p>
        </w:tc>
        <w:tc>
          <w:tcPr>
            <w:tcW w:w="549" w:type="pct"/>
          </w:tcPr>
          <w:p w14:paraId="5A750144" w14:textId="77777777" w:rsidR="006E194F" w:rsidRPr="006E194F" w:rsidRDefault="006E194F" w:rsidP="00F14C63">
            <w:pPr>
              <w:autoSpaceDE w:val="0"/>
              <w:autoSpaceDN w:val="0"/>
              <w:adjustRightInd w:val="0"/>
              <w:jc w:val="center"/>
              <w:rPr>
                <w:rFonts w:ascii="Times New Roman" w:hAnsi="Times New Roman"/>
              </w:rPr>
            </w:pPr>
          </w:p>
        </w:tc>
        <w:tc>
          <w:tcPr>
            <w:tcW w:w="549" w:type="pct"/>
          </w:tcPr>
          <w:p w14:paraId="55BE6704" w14:textId="77777777" w:rsidR="006E194F" w:rsidRPr="006E194F" w:rsidRDefault="006E194F" w:rsidP="00F14C63">
            <w:pPr>
              <w:autoSpaceDE w:val="0"/>
              <w:autoSpaceDN w:val="0"/>
              <w:adjustRightInd w:val="0"/>
              <w:jc w:val="center"/>
              <w:rPr>
                <w:rFonts w:ascii="Times New Roman" w:hAnsi="Times New Roman"/>
              </w:rPr>
            </w:pPr>
          </w:p>
        </w:tc>
        <w:tc>
          <w:tcPr>
            <w:tcW w:w="549" w:type="pct"/>
          </w:tcPr>
          <w:p w14:paraId="0482F214" w14:textId="77777777" w:rsidR="006E194F" w:rsidRPr="006E194F" w:rsidRDefault="006E194F" w:rsidP="00F14C63">
            <w:pPr>
              <w:autoSpaceDE w:val="0"/>
              <w:autoSpaceDN w:val="0"/>
              <w:adjustRightInd w:val="0"/>
              <w:jc w:val="center"/>
              <w:rPr>
                <w:rFonts w:ascii="Times New Roman" w:hAnsi="Times New Roman"/>
              </w:rPr>
            </w:pPr>
          </w:p>
        </w:tc>
      </w:tr>
      <w:tr w:rsidR="006E194F" w:rsidRPr="006E194F" w14:paraId="776BAEB1" w14:textId="77777777" w:rsidTr="006E194F">
        <w:tc>
          <w:tcPr>
            <w:tcW w:w="1705" w:type="pct"/>
          </w:tcPr>
          <w:p w14:paraId="0844A7E6" w14:textId="77777777" w:rsidR="006E194F" w:rsidRPr="006E194F" w:rsidRDefault="006E194F" w:rsidP="0058481E">
            <w:pPr>
              <w:autoSpaceDE w:val="0"/>
              <w:autoSpaceDN w:val="0"/>
              <w:adjustRightInd w:val="0"/>
              <w:rPr>
                <w:rFonts w:ascii="Times New Roman" w:hAnsi="Times New Roman"/>
              </w:rPr>
            </w:pPr>
            <w:r w:rsidRPr="006E194F">
              <w:rPr>
                <w:rFonts w:ascii="Times New Roman" w:hAnsi="Times New Roman"/>
              </w:rPr>
              <w:t>Prepare Online Survey</w:t>
            </w:r>
          </w:p>
        </w:tc>
        <w:tc>
          <w:tcPr>
            <w:tcW w:w="549" w:type="pct"/>
          </w:tcPr>
          <w:p w14:paraId="4CE9E098" w14:textId="77777777" w:rsidR="006E194F" w:rsidRPr="006E194F" w:rsidRDefault="006E194F" w:rsidP="00F14C63">
            <w:pPr>
              <w:autoSpaceDE w:val="0"/>
              <w:autoSpaceDN w:val="0"/>
              <w:adjustRightInd w:val="0"/>
              <w:jc w:val="center"/>
              <w:rPr>
                <w:rFonts w:ascii="Times New Roman" w:hAnsi="Times New Roman"/>
              </w:rPr>
            </w:pPr>
          </w:p>
        </w:tc>
        <w:tc>
          <w:tcPr>
            <w:tcW w:w="549" w:type="pct"/>
            <w:shd w:val="clear" w:color="auto" w:fill="D9D9D9" w:themeFill="background1" w:themeFillShade="D9"/>
          </w:tcPr>
          <w:p w14:paraId="435A1058" w14:textId="77777777" w:rsidR="006E194F" w:rsidRPr="006E194F" w:rsidRDefault="00F14C63" w:rsidP="00F14C63">
            <w:pPr>
              <w:autoSpaceDE w:val="0"/>
              <w:autoSpaceDN w:val="0"/>
              <w:adjustRightInd w:val="0"/>
              <w:jc w:val="center"/>
              <w:rPr>
                <w:rFonts w:ascii="Times New Roman" w:hAnsi="Times New Roman"/>
              </w:rPr>
            </w:pPr>
            <w:r>
              <w:rPr>
                <w:rFonts w:ascii="Times New Roman" w:hAnsi="Times New Roman"/>
              </w:rPr>
              <w:t>x</w:t>
            </w:r>
          </w:p>
        </w:tc>
        <w:tc>
          <w:tcPr>
            <w:tcW w:w="549" w:type="pct"/>
          </w:tcPr>
          <w:p w14:paraId="7131D3BC" w14:textId="77777777" w:rsidR="006E194F" w:rsidRPr="006E194F" w:rsidRDefault="006E194F" w:rsidP="00F14C63">
            <w:pPr>
              <w:autoSpaceDE w:val="0"/>
              <w:autoSpaceDN w:val="0"/>
              <w:adjustRightInd w:val="0"/>
              <w:jc w:val="center"/>
              <w:rPr>
                <w:rFonts w:ascii="Times New Roman" w:hAnsi="Times New Roman"/>
              </w:rPr>
            </w:pPr>
          </w:p>
        </w:tc>
        <w:tc>
          <w:tcPr>
            <w:tcW w:w="549" w:type="pct"/>
          </w:tcPr>
          <w:p w14:paraId="1F94D659" w14:textId="77777777" w:rsidR="006E194F" w:rsidRPr="006E194F" w:rsidRDefault="006E194F" w:rsidP="00F14C63">
            <w:pPr>
              <w:autoSpaceDE w:val="0"/>
              <w:autoSpaceDN w:val="0"/>
              <w:adjustRightInd w:val="0"/>
              <w:jc w:val="center"/>
              <w:rPr>
                <w:rFonts w:ascii="Times New Roman" w:hAnsi="Times New Roman"/>
              </w:rPr>
            </w:pPr>
          </w:p>
        </w:tc>
        <w:tc>
          <w:tcPr>
            <w:tcW w:w="549" w:type="pct"/>
          </w:tcPr>
          <w:p w14:paraId="2BEFE255" w14:textId="77777777" w:rsidR="006E194F" w:rsidRPr="006E194F" w:rsidRDefault="006E194F" w:rsidP="00F14C63">
            <w:pPr>
              <w:autoSpaceDE w:val="0"/>
              <w:autoSpaceDN w:val="0"/>
              <w:adjustRightInd w:val="0"/>
              <w:jc w:val="center"/>
              <w:rPr>
                <w:rFonts w:ascii="Times New Roman" w:hAnsi="Times New Roman"/>
              </w:rPr>
            </w:pPr>
          </w:p>
        </w:tc>
        <w:tc>
          <w:tcPr>
            <w:tcW w:w="549" w:type="pct"/>
          </w:tcPr>
          <w:p w14:paraId="2CCAB417" w14:textId="77777777" w:rsidR="006E194F" w:rsidRPr="006E194F" w:rsidRDefault="006E194F" w:rsidP="00F14C63">
            <w:pPr>
              <w:autoSpaceDE w:val="0"/>
              <w:autoSpaceDN w:val="0"/>
              <w:adjustRightInd w:val="0"/>
              <w:jc w:val="center"/>
              <w:rPr>
                <w:rFonts w:ascii="Times New Roman" w:hAnsi="Times New Roman"/>
              </w:rPr>
            </w:pPr>
          </w:p>
        </w:tc>
      </w:tr>
      <w:tr w:rsidR="00F14C63" w:rsidRPr="006E194F" w14:paraId="12BF6A80" w14:textId="77777777" w:rsidTr="006E194F">
        <w:tc>
          <w:tcPr>
            <w:tcW w:w="1705" w:type="pct"/>
          </w:tcPr>
          <w:p w14:paraId="7919C26B" w14:textId="77777777" w:rsidR="00F14C63" w:rsidRPr="006E194F" w:rsidRDefault="00F14C63" w:rsidP="00F14C63">
            <w:pPr>
              <w:autoSpaceDE w:val="0"/>
              <w:autoSpaceDN w:val="0"/>
              <w:adjustRightInd w:val="0"/>
              <w:rPr>
                <w:rFonts w:ascii="Times New Roman" w:hAnsi="Times New Roman"/>
              </w:rPr>
            </w:pPr>
            <w:r w:rsidRPr="006E194F">
              <w:rPr>
                <w:rFonts w:ascii="Times New Roman" w:hAnsi="Times New Roman"/>
              </w:rPr>
              <w:t>Field Survey</w:t>
            </w:r>
          </w:p>
        </w:tc>
        <w:tc>
          <w:tcPr>
            <w:tcW w:w="549" w:type="pct"/>
          </w:tcPr>
          <w:p w14:paraId="6C448877" w14:textId="77777777" w:rsidR="00F14C63" w:rsidRPr="006E194F" w:rsidRDefault="00F14C63" w:rsidP="00F14C63">
            <w:pPr>
              <w:autoSpaceDE w:val="0"/>
              <w:autoSpaceDN w:val="0"/>
              <w:adjustRightInd w:val="0"/>
              <w:jc w:val="center"/>
              <w:rPr>
                <w:rFonts w:ascii="Times New Roman" w:hAnsi="Times New Roman"/>
              </w:rPr>
            </w:pPr>
          </w:p>
        </w:tc>
        <w:tc>
          <w:tcPr>
            <w:tcW w:w="549" w:type="pct"/>
            <w:shd w:val="clear" w:color="auto" w:fill="D9D9D9" w:themeFill="background1" w:themeFillShade="D9"/>
          </w:tcPr>
          <w:p w14:paraId="1C343857" w14:textId="77777777" w:rsidR="00F14C63" w:rsidRPr="006E194F" w:rsidRDefault="00F14C63" w:rsidP="00F14C63">
            <w:pPr>
              <w:autoSpaceDE w:val="0"/>
              <w:autoSpaceDN w:val="0"/>
              <w:adjustRightInd w:val="0"/>
              <w:jc w:val="center"/>
              <w:rPr>
                <w:rFonts w:ascii="Times New Roman" w:hAnsi="Times New Roman"/>
              </w:rPr>
            </w:pPr>
            <w:r>
              <w:rPr>
                <w:rFonts w:ascii="Times New Roman" w:hAnsi="Times New Roman"/>
              </w:rPr>
              <w:t>x</w:t>
            </w:r>
          </w:p>
        </w:tc>
        <w:tc>
          <w:tcPr>
            <w:tcW w:w="549" w:type="pct"/>
            <w:shd w:val="clear" w:color="auto" w:fill="D9D9D9" w:themeFill="background1" w:themeFillShade="D9"/>
          </w:tcPr>
          <w:p w14:paraId="1A6225DE" w14:textId="77777777" w:rsidR="00F14C63" w:rsidRPr="006E194F" w:rsidRDefault="00F14C63" w:rsidP="00F14C63">
            <w:pPr>
              <w:autoSpaceDE w:val="0"/>
              <w:autoSpaceDN w:val="0"/>
              <w:adjustRightInd w:val="0"/>
              <w:jc w:val="center"/>
              <w:rPr>
                <w:rFonts w:ascii="Times New Roman" w:hAnsi="Times New Roman"/>
              </w:rPr>
            </w:pPr>
            <w:r>
              <w:rPr>
                <w:rFonts w:ascii="Times New Roman" w:hAnsi="Times New Roman"/>
              </w:rPr>
              <w:t>x</w:t>
            </w:r>
          </w:p>
        </w:tc>
        <w:tc>
          <w:tcPr>
            <w:tcW w:w="549" w:type="pct"/>
          </w:tcPr>
          <w:p w14:paraId="42537B55" w14:textId="77777777" w:rsidR="00F14C63" w:rsidRPr="006E194F" w:rsidRDefault="00F14C63" w:rsidP="00F14C63">
            <w:pPr>
              <w:autoSpaceDE w:val="0"/>
              <w:autoSpaceDN w:val="0"/>
              <w:adjustRightInd w:val="0"/>
              <w:jc w:val="center"/>
              <w:rPr>
                <w:rFonts w:ascii="Times New Roman" w:hAnsi="Times New Roman"/>
              </w:rPr>
            </w:pPr>
          </w:p>
        </w:tc>
        <w:tc>
          <w:tcPr>
            <w:tcW w:w="549" w:type="pct"/>
          </w:tcPr>
          <w:p w14:paraId="17AF42E0" w14:textId="77777777" w:rsidR="00F14C63" w:rsidRPr="006E194F" w:rsidRDefault="00F14C63" w:rsidP="00F14C63">
            <w:pPr>
              <w:autoSpaceDE w:val="0"/>
              <w:autoSpaceDN w:val="0"/>
              <w:adjustRightInd w:val="0"/>
              <w:jc w:val="center"/>
              <w:rPr>
                <w:rFonts w:ascii="Times New Roman" w:hAnsi="Times New Roman"/>
              </w:rPr>
            </w:pPr>
          </w:p>
        </w:tc>
        <w:tc>
          <w:tcPr>
            <w:tcW w:w="549" w:type="pct"/>
          </w:tcPr>
          <w:p w14:paraId="39A53A6E" w14:textId="77777777" w:rsidR="00F14C63" w:rsidRPr="006E194F" w:rsidRDefault="00F14C63" w:rsidP="00F14C63">
            <w:pPr>
              <w:autoSpaceDE w:val="0"/>
              <w:autoSpaceDN w:val="0"/>
              <w:adjustRightInd w:val="0"/>
              <w:jc w:val="center"/>
              <w:rPr>
                <w:rFonts w:ascii="Times New Roman" w:hAnsi="Times New Roman"/>
              </w:rPr>
            </w:pPr>
          </w:p>
        </w:tc>
      </w:tr>
      <w:tr w:rsidR="00F14C63" w:rsidRPr="006E194F" w14:paraId="6AE228DA" w14:textId="77777777" w:rsidTr="006E194F">
        <w:tc>
          <w:tcPr>
            <w:tcW w:w="1705" w:type="pct"/>
          </w:tcPr>
          <w:p w14:paraId="5465707D" w14:textId="77777777" w:rsidR="00F14C63" w:rsidRPr="006E194F" w:rsidRDefault="00F14C63" w:rsidP="00F14C63">
            <w:pPr>
              <w:autoSpaceDE w:val="0"/>
              <w:autoSpaceDN w:val="0"/>
              <w:adjustRightInd w:val="0"/>
              <w:rPr>
                <w:rFonts w:ascii="Times New Roman" w:hAnsi="Times New Roman"/>
              </w:rPr>
            </w:pPr>
            <w:r w:rsidRPr="006E194F">
              <w:rPr>
                <w:rFonts w:ascii="Times New Roman" w:hAnsi="Times New Roman"/>
              </w:rPr>
              <w:t>Data Analysis</w:t>
            </w:r>
          </w:p>
        </w:tc>
        <w:tc>
          <w:tcPr>
            <w:tcW w:w="549" w:type="pct"/>
          </w:tcPr>
          <w:p w14:paraId="529949E5" w14:textId="77777777" w:rsidR="00F14C63" w:rsidRPr="006E194F" w:rsidRDefault="00F14C63" w:rsidP="00F14C63">
            <w:pPr>
              <w:autoSpaceDE w:val="0"/>
              <w:autoSpaceDN w:val="0"/>
              <w:adjustRightInd w:val="0"/>
              <w:jc w:val="center"/>
              <w:rPr>
                <w:rFonts w:ascii="Times New Roman" w:hAnsi="Times New Roman"/>
              </w:rPr>
            </w:pPr>
          </w:p>
        </w:tc>
        <w:tc>
          <w:tcPr>
            <w:tcW w:w="549" w:type="pct"/>
          </w:tcPr>
          <w:p w14:paraId="5DB4B1E7" w14:textId="77777777" w:rsidR="00F14C63" w:rsidRPr="006E194F" w:rsidRDefault="00F14C63" w:rsidP="00F14C63">
            <w:pPr>
              <w:autoSpaceDE w:val="0"/>
              <w:autoSpaceDN w:val="0"/>
              <w:adjustRightInd w:val="0"/>
              <w:jc w:val="center"/>
              <w:rPr>
                <w:rFonts w:ascii="Times New Roman" w:hAnsi="Times New Roman"/>
              </w:rPr>
            </w:pPr>
          </w:p>
        </w:tc>
        <w:tc>
          <w:tcPr>
            <w:tcW w:w="549" w:type="pct"/>
            <w:shd w:val="clear" w:color="auto" w:fill="D9D9D9" w:themeFill="background1" w:themeFillShade="D9"/>
          </w:tcPr>
          <w:p w14:paraId="7819D158" w14:textId="77777777" w:rsidR="00F14C63" w:rsidRPr="006E194F" w:rsidRDefault="00F14C63" w:rsidP="00F14C63">
            <w:pPr>
              <w:autoSpaceDE w:val="0"/>
              <w:autoSpaceDN w:val="0"/>
              <w:adjustRightInd w:val="0"/>
              <w:jc w:val="center"/>
              <w:rPr>
                <w:rFonts w:ascii="Times New Roman" w:hAnsi="Times New Roman"/>
              </w:rPr>
            </w:pPr>
            <w:r>
              <w:rPr>
                <w:rFonts w:ascii="Times New Roman" w:hAnsi="Times New Roman"/>
              </w:rPr>
              <w:t>x</w:t>
            </w:r>
          </w:p>
        </w:tc>
        <w:tc>
          <w:tcPr>
            <w:tcW w:w="549" w:type="pct"/>
            <w:shd w:val="clear" w:color="auto" w:fill="D9D9D9" w:themeFill="background1" w:themeFillShade="D9"/>
          </w:tcPr>
          <w:p w14:paraId="1181026D" w14:textId="77777777" w:rsidR="00F14C63" w:rsidRPr="006E194F" w:rsidRDefault="00F14C63" w:rsidP="00F14C63">
            <w:pPr>
              <w:autoSpaceDE w:val="0"/>
              <w:autoSpaceDN w:val="0"/>
              <w:adjustRightInd w:val="0"/>
              <w:jc w:val="center"/>
              <w:rPr>
                <w:rFonts w:ascii="Times New Roman" w:hAnsi="Times New Roman"/>
              </w:rPr>
            </w:pPr>
            <w:r>
              <w:rPr>
                <w:rFonts w:ascii="Times New Roman" w:hAnsi="Times New Roman"/>
              </w:rPr>
              <w:t>x</w:t>
            </w:r>
          </w:p>
        </w:tc>
        <w:tc>
          <w:tcPr>
            <w:tcW w:w="549" w:type="pct"/>
          </w:tcPr>
          <w:p w14:paraId="1D46C0FA" w14:textId="77777777" w:rsidR="00F14C63" w:rsidRPr="006E194F" w:rsidRDefault="00F14C63" w:rsidP="00F14C63">
            <w:pPr>
              <w:autoSpaceDE w:val="0"/>
              <w:autoSpaceDN w:val="0"/>
              <w:adjustRightInd w:val="0"/>
              <w:jc w:val="center"/>
              <w:rPr>
                <w:rFonts w:ascii="Times New Roman" w:hAnsi="Times New Roman"/>
              </w:rPr>
            </w:pPr>
          </w:p>
        </w:tc>
        <w:tc>
          <w:tcPr>
            <w:tcW w:w="549" w:type="pct"/>
          </w:tcPr>
          <w:p w14:paraId="3E660532" w14:textId="77777777" w:rsidR="00F14C63" w:rsidRPr="006E194F" w:rsidRDefault="00F14C63" w:rsidP="00F14C63">
            <w:pPr>
              <w:autoSpaceDE w:val="0"/>
              <w:autoSpaceDN w:val="0"/>
              <w:adjustRightInd w:val="0"/>
              <w:jc w:val="center"/>
              <w:rPr>
                <w:rFonts w:ascii="Times New Roman" w:hAnsi="Times New Roman"/>
              </w:rPr>
            </w:pPr>
          </w:p>
        </w:tc>
      </w:tr>
      <w:tr w:rsidR="00F14C63" w:rsidRPr="006E194F" w14:paraId="2892393B" w14:textId="77777777" w:rsidTr="006E194F">
        <w:tc>
          <w:tcPr>
            <w:tcW w:w="1705" w:type="pct"/>
          </w:tcPr>
          <w:p w14:paraId="01461D4C" w14:textId="77777777" w:rsidR="00F14C63" w:rsidRPr="006E194F" w:rsidRDefault="00F14C63" w:rsidP="00F14C63">
            <w:pPr>
              <w:autoSpaceDE w:val="0"/>
              <w:autoSpaceDN w:val="0"/>
              <w:adjustRightInd w:val="0"/>
              <w:rPr>
                <w:rFonts w:ascii="Times New Roman" w:hAnsi="Times New Roman"/>
              </w:rPr>
            </w:pPr>
            <w:r w:rsidRPr="006E194F">
              <w:rPr>
                <w:rFonts w:ascii="Times New Roman" w:hAnsi="Times New Roman"/>
              </w:rPr>
              <w:t>Results Completed</w:t>
            </w:r>
          </w:p>
        </w:tc>
        <w:tc>
          <w:tcPr>
            <w:tcW w:w="549" w:type="pct"/>
          </w:tcPr>
          <w:p w14:paraId="79DEA7E0" w14:textId="77777777" w:rsidR="00F14C63" w:rsidRPr="006E194F" w:rsidRDefault="00F14C63" w:rsidP="00F14C63">
            <w:pPr>
              <w:autoSpaceDE w:val="0"/>
              <w:autoSpaceDN w:val="0"/>
              <w:adjustRightInd w:val="0"/>
              <w:jc w:val="center"/>
              <w:rPr>
                <w:rFonts w:ascii="Times New Roman" w:hAnsi="Times New Roman"/>
              </w:rPr>
            </w:pPr>
          </w:p>
        </w:tc>
        <w:tc>
          <w:tcPr>
            <w:tcW w:w="549" w:type="pct"/>
          </w:tcPr>
          <w:p w14:paraId="6DDB3036" w14:textId="77777777" w:rsidR="00F14C63" w:rsidRPr="006E194F" w:rsidRDefault="00F14C63" w:rsidP="00F14C63">
            <w:pPr>
              <w:autoSpaceDE w:val="0"/>
              <w:autoSpaceDN w:val="0"/>
              <w:adjustRightInd w:val="0"/>
              <w:jc w:val="center"/>
              <w:rPr>
                <w:rFonts w:ascii="Times New Roman" w:hAnsi="Times New Roman"/>
              </w:rPr>
            </w:pPr>
          </w:p>
        </w:tc>
        <w:tc>
          <w:tcPr>
            <w:tcW w:w="549" w:type="pct"/>
          </w:tcPr>
          <w:p w14:paraId="0CD58C52" w14:textId="77777777" w:rsidR="00F14C63" w:rsidRPr="006E194F" w:rsidRDefault="00F14C63" w:rsidP="00F14C63">
            <w:pPr>
              <w:autoSpaceDE w:val="0"/>
              <w:autoSpaceDN w:val="0"/>
              <w:adjustRightInd w:val="0"/>
              <w:jc w:val="center"/>
              <w:rPr>
                <w:rFonts w:ascii="Times New Roman" w:hAnsi="Times New Roman"/>
              </w:rPr>
            </w:pPr>
          </w:p>
        </w:tc>
        <w:tc>
          <w:tcPr>
            <w:tcW w:w="549" w:type="pct"/>
            <w:shd w:val="clear" w:color="auto" w:fill="D9D9D9" w:themeFill="background1" w:themeFillShade="D9"/>
          </w:tcPr>
          <w:p w14:paraId="7774CD46" w14:textId="77777777" w:rsidR="00F14C63" w:rsidRPr="006E194F" w:rsidRDefault="00F14C63" w:rsidP="00F14C63">
            <w:pPr>
              <w:autoSpaceDE w:val="0"/>
              <w:autoSpaceDN w:val="0"/>
              <w:adjustRightInd w:val="0"/>
              <w:jc w:val="center"/>
              <w:rPr>
                <w:rFonts w:ascii="Times New Roman" w:hAnsi="Times New Roman"/>
              </w:rPr>
            </w:pPr>
            <w:r>
              <w:rPr>
                <w:rFonts w:ascii="Times New Roman" w:hAnsi="Times New Roman"/>
              </w:rPr>
              <w:t>x</w:t>
            </w:r>
          </w:p>
        </w:tc>
        <w:tc>
          <w:tcPr>
            <w:tcW w:w="549" w:type="pct"/>
            <w:shd w:val="clear" w:color="auto" w:fill="D9D9D9" w:themeFill="background1" w:themeFillShade="D9"/>
          </w:tcPr>
          <w:p w14:paraId="56F3EC11" w14:textId="77777777" w:rsidR="00F14C63" w:rsidRPr="006E194F" w:rsidRDefault="00F14C63" w:rsidP="00F14C63">
            <w:pPr>
              <w:autoSpaceDE w:val="0"/>
              <w:autoSpaceDN w:val="0"/>
              <w:adjustRightInd w:val="0"/>
              <w:jc w:val="center"/>
              <w:rPr>
                <w:rFonts w:ascii="Times New Roman" w:hAnsi="Times New Roman"/>
              </w:rPr>
            </w:pPr>
            <w:r>
              <w:rPr>
                <w:rFonts w:ascii="Times New Roman" w:hAnsi="Times New Roman"/>
              </w:rPr>
              <w:t>x</w:t>
            </w:r>
          </w:p>
        </w:tc>
        <w:tc>
          <w:tcPr>
            <w:tcW w:w="549" w:type="pct"/>
            <w:shd w:val="clear" w:color="auto" w:fill="D9D9D9" w:themeFill="background1" w:themeFillShade="D9"/>
          </w:tcPr>
          <w:p w14:paraId="66B428E8" w14:textId="77777777" w:rsidR="00F14C63" w:rsidRPr="006E194F" w:rsidRDefault="00F14C63" w:rsidP="00F14C63">
            <w:pPr>
              <w:autoSpaceDE w:val="0"/>
              <w:autoSpaceDN w:val="0"/>
              <w:adjustRightInd w:val="0"/>
              <w:jc w:val="center"/>
              <w:rPr>
                <w:rFonts w:ascii="Times New Roman" w:hAnsi="Times New Roman"/>
              </w:rPr>
            </w:pPr>
            <w:r>
              <w:rPr>
                <w:rFonts w:ascii="Times New Roman" w:hAnsi="Times New Roman"/>
              </w:rPr>
              <w:t>x</w:t>
            </w:r>
          </w:p>
        </w:tc>
      </w:tr>
    </w:tbl>
    <w:p w14:paraId="0CAA43F5" w14:textId="77777777" w:rsidR="00DD3715" w:rsidRPr="0047714B" w:rsidRDefault="00DD3715" w:rsidP="0058481E">
      <w:bookmarkStart w:id="31" w:name="_Toc208372563"/>
    </w:p>
    <w:p w14:paraId="7AFDD854" w14:textId="77777777" w:rsidR="00A67DE5" w:rsidRDefault="008963A4" w:rsidP="0058481E">
      <w:pPr>
        <w:pStyle w:val="Heading2"/>
      </w:pPr>
      <w:bookmarkStart w:id="32" w:name="_Toc422159601"/>
      <w:r w:rsidRPr="008963A4">
        <w:rPr>
          <w:rFonts w:ascii="Times New Roman" w:hAnsi="Times New Roman"/>
        </w:rPr>
        <w:t>17.</w:t>
      </w:r>
      <w:r>
        <w:rPr>
          <w:rFonts w:ascii="Times New Roman" w:hAnsi="Times New Roman"/>
        </w:rPr>
        <w:t xml:space="preserve"> </w:t>
      </w:r>
      <w:r w:rsidR="0002172E">
        <w:rPr>
          <w:rFonts w:ascii="Times New Roman" w:hAnsi="Times New Roman"/>
        </w:rPr>
        <w:t xml:space="preserve"> </w:t>
      </w:r>
      <w:r w:rsidRPr="008963A4">
        <w:rPr>
          <w:rFonts w:ascii="Times New Roman" w:hAnsi="Times New Roman"/>
        </w:rPr>
        <w:t>Reason(s) Display of OMB Expiration Date is Inappropriate</w:t>
      </w:r>
      <w:bookmarkEnd w:id="31"/>
      <w:bookmarkEnd w:id="32"/>
    </w:p>
    <w:p w14:paraId="776115E8" w14:textId="77777777" w:rsidR="0002172E" w:rsidRDefault="0002172E" w:rsidP="0058481E">
      <w:pPr>
        <w:tabs>
          <w:tab w:val="left" w:pos="540"/>
        </w:tabs>
      </w:pPr>
    </w:p>
    <w:p w14:paraId="62926E2C" w14:textId="77777777" w:rsidR="00A67DE5" w:rsidRDefault="008963A4" w:rsidP="0058481E">
      <w:pPr>
        <w:tabs>
          <w:tab w:val="left" w:pos="540"/>
        </w:tabs>
      </w:pPr>
      <w:r>
        <w:t>We are not requesting an exemption.</w:t>
      </w:r>
    </w:p>
    <w:p w14:paraId="269988CB" w14:textId="77777777" w:rsidR="00A67DE5" w:rsidRDefault="00A67DE5" w:rsidP="0058481E">
      <w:pPr>
        <w:tabs>
          <w:tab w:val="left" w:pos="540"/>
        </w:tabs>
      </w:pPr>
    </w:p>
    <w:p w14:paraId="6B21A26B" w14:textId="77777777" w:rsidR="00A67DE5" w:rsidRPr="00EF52AE" w:rsidRDefault="0002172E" w:rsidP="0058481E">
      <w:pPr>
        <w:pStyle w:val="Heading2"/>
        <w:rPr>
          <w:rFonts w:ascii="Times New Roman" w:hAnsi="Times New Roman"/>
        </w:rPr>
      </w:pPr>
      <w:bookmarkStart w:id="33" w:name="_Toc208372564"/>
      <w:bookmarkStart w:id="34" w:name="_Toc422159602"/>
      <w:r>
        <w:rPr>
          <w:rFonts w:ascii="Times New Roman" w:hAnsi="Times New Roman"/>
        </w:rPr>
        <w:t xml:space="preserve">18. </w:t>
      </w:r>
      <w:r w:rsidR="00A67DE5" w:rsidRPr="00EF52AE">
        <w:rPr>
          <w:rFonts w:ascii="Times New Roman" w:hAnsi="Times New Roman"/>
        </w:rPr>
        <w:t>Exceptions to the Certification Statement</w:t>
      </w:r>
      <w:bookmarkEnd w:id="33"/>
      <w:bookmarkEnd w:id="34"/>
    </w:p>
    <w:p w14:paraId="0460D870" w14:textId="77777777" w:rsidR="00A67DE5" w:rsidRDefault="00A67DE5" w:rsidP="0058481E">
      <w:pPr>
        <w:tabs>
          <w:tab w:val="left" w:pos="540"/>
        </w:tabs>
      </w:pPr>
    </w:p>
    <w:p w14:paraId="2E970D58" w14:textId="7D12349E" w:rsidR="004412B6" w:rsidRPr="00A14172" w:rsidRDefault="008963A4" w:rsidP="000E2517">
      <w:pPr>
        <w:tabs>
          <w:tab w:val="left" w:pos="540"/>
        </w:tabs>
      </w:pPr>
      <w:r w:rsidRPr="008963A4">
        <w:t>There are no exceptions t</w:t>
      </w:r>
      <w:r w:rsidR="004136F6">
        <w:t xml:space="preserve">o the certification. </w:t>
      </w:r>
      <w:r w:rsidRPr="008963A4">
        <w:t>T</w:t>
      </w:r>
      <w:r w:rsidR="0051608B">
        <w:t xml:space="preserve">hese activities comply with the </w:t>
      </w:r>
      <w:r w:rsidRPr="008963A4">
        <w:t>requirements in 5 CFR 1320.9.</w:t>
      </w:r>
    </w:p>
    <w:sectPr w:rsidR="004412B6" w:rsidRPr="00A14172" w:rsidSect="0002172E">
      <w:footerReference w:type="firs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DED491" w16cid:durableId="1E230081"/>
  <w16cid:commentId w16cid:paraId="14B9CB70" w16cid:durableId="1E368910"/>
  <w16cid:commentId w16cid:paraId="5408EBD6" w16cid:durableId="1E394B1B"/>
  <w16cid:commentId w16cid:paraId="211514F0" w16cid:durableId="1E394B1C"/>
  <w16cid:commentId w16cid:paraId="52D3756C" w16cid:durableId="1E394B1D"/>
  <w16cid:commentId w16cid:paraId="45B1F475" w16cid:durableId="1E394B1E"/>
  <w16cid:commentId w16cid:paraId="06ECF31A" w16cid:durableId="1E315A3D"/>
  <w16cid:commentId w16cid:paraId="383A9BF4" w16cid:durableId="1E368F82"/>
  <w16cid:commentId w16cid:paraId="14028AAA" w16cid:durableId="1E230084"/>
  <w16cid:commentId w16cid:paraId="7B613CF6" w16cid:durableId="1E2301D8"/>
  <w16cid:commentId w16cid:paraId="1910DE54" w16cid:durableId="1E230085"/>
  <w16cid:commentId w16cid:paraId="364C8EC2" w16cid:durableId="1E385546"/>
  <w16cid:commentId w16cid:paraId="2363845C" w16cid:durableId="1E230086"/>
  <w16cid:commentId w16cid:paraId="6944942C" w16cid:durableId="1E3698BF"/>
  <w16cid:commentId w16cid:paraId="1CD66AC9" w16cid:durableId="1E230087"/>
  <w16cid:commentId w16cid:paraId="0ECB51FF" w16cid:durableId="1E353217"/>
  <w16cid:commentId w16cid:paraId="43688487" w16cid:durableId="1E230088"/>
  <w16cid:commentId w16cid:paraId="66CBE545" w16cid:durableId="1E353219"/>
  <w16cid:commentId w16cid:paraId="082093D5" w16cid:durableId="1E230089"/>
  <w16cid:commentId w16cid:paraId="6459D317" w16cid:durableId="1E230262"/>
  <w16cid:commentId w16cid:paraId="67EF072A" w16cid:durableId="1E23008A"/>
  <w16cid:commentId w16cid:paraId="393BE4B4" w16cid:durableId="1E35321D"/>
  <w16cid:commentId w16cid:paraId="77578B1A" w16cid:durableId="1E23008B"/>
  <w16cid:commentId w16cid:paraId="021B4092" w16cid:durableId="1E2302DE"/>
  <w16cid:commentId w16cid:paraId="054BE1F0" w16cid:durableId="1E23008C"/>
  <w16cid:commentId w16cid:paraId="54939D7B" w16cid:durableId="1E23031F"/>
  <w16cid:commentId w16cid:paraId="65DD9516" w16cid:durableId="1E23008D"/>
  <w16cid:commentId w16cid:paraId="2B598EBE" w16cid:durableId="1E230443"/>
  <w16cid:commentId w16cid:paraId="3493D4F8" w16cid:durableId="1E2310BA"/>
  <w16cid:commentId w16cid:paraId="27BD2D7D" w16cid:durableId="1E23008E"/>
  <w16cid:commentId w16cid:paraId="3DC9AF0D" w16cid:durableId="1E23110A"/>
  <w16cid:commentId w16cid:paraId="0D873F04" w16cid:durableId="1E23008F"/>
  <w16cid:commentId w16cid:paraId="3FE24B50" w16cid:durableId="1E23111A"/>
  <w16cid:commentId w16cid:paraId="22295095" w16cid:durableId="1E230090"/>
  <w16cid:commentId w16cid:paraId="75DD6D89" w16cid:durableId="1E230091"/>
  <w16cid:commentId w16cid:paraId="0E02CA40" w16cid:durableId="1E2313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4596C" w14:textId="77777777" w:rsidR="003825B6" w:rsidRDefault="003825B6">
      <w:r>
        <w:separator/>
      </w:r>
    </w:p>
  </w:endnote>
  <w:endnote w:type="continuationSeparator" w:id="0">
    <w:p w14:paraId="190A49BD" w14:textId="77777777" w:rsidR="003825B6" w:rsidRDefault="003825B6">
      <w:r>
        <w:continuationSeparator/>
      </w:r>
    </w:p>
  </w:endnote>
  <w:endnote w:type="continuationNotice" w:id="1">
    <w:p w14:paraId="4A877059" w14:textId="77777777" w:rsidR="003825B6" w:rsidRDefault="00382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altName w:val="Futur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Lucida Grande">
    <w:altName w:val="Arial"/>
    <w:charset w:val="00"/>
    <w:family w:val="auto"/>
    <w:pitch w:val="variable"/>
    <w:sig w:usb0="E1000AEF" w:usb1="5000A1FF" w:usb2="00000000" w:usb3="00000000" w:csb0="000001BF" w:csb1="00000000"/>
  </w:font>
  <w:font w:name="Futura Condensed">
    <w:charset w:val="00"/>
    <w:family w:val="auto"/>
    <w:pitch w:val="variable"/>
    <w:sig w:usb0="80000067"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92968" w14:textId="77777777" w:rsidR="003825B6" w:rsidRDefault="003825B6">
    <w:pPr>
      <w:pStyle w:val="Footer"/>
      <w:jc w:val="center"/>
    </w:pPr>
    <w:r>
      <w:fldChar w:fldCharType="begin"/>
    </w:r>
    <w:r>
      <w:instrText xml:space="preserve"> PAGE   \* MERGEFORMAT </w:instrText>
    </w:r>
    <w:r>
      <w:fldChar w:fldCharType="separate"/>
    </w:r>
    <w:r>
      <w:rPr>
        <w:noProof/>
      </w:rPr>
      <w:t>iii</w:t>
    </w:r>
    <w:r>
      <w:rPr>
        <w:noProof/>
      </w:rPr>
      <w:fldChar w:fldCharType="end"/>
    </w:r>
  </w:p>
  <w:p w14:paraId="24564231" w14:textId="77777777" w:rsidR="003825B6" w:rsidRDefault="0038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EBEFD" w14:textId="77777777" w:rsidR="003825B6" w:rsidRDefault="003825B6">
      <w:r>
        <w:separator/>
      </w:r>
    </w:p>
  </w:footnote>
  <w:footnote w:type="continuationSeparator" w:id="0">
    <w:p w14:paraId="5F4BDEB1" w14:textId="77777777" w:rsidR="003825B6" w:rsidRDefault="003825B6">
      <w:r>
        <w:continuationSeparator/>
      </w:r>
    </w:p>
  </w:footnote>
  <w:footnote w:type="continuationNotice" w:id="1">
    <w:p w14:paraId="4AB5269E" w14:textId="77777777" w:rsidR="003825B6" w:rsidRDefault="003825B6"/>
  </w:footnote>
  <w:footnote w:id="2">
    <w:p w14:paraId="26968B14" w14:textId="5C412321" w:rsidR="003825B6" w:rsidRPr="00E95BBD" w:rsidRDefault="003825B6" w:rsidP="00BA77B5">
      <w:pPr>
        <w:pStyle w:val="FootnoteText"/>
        <w:rPr>
          <w:rFonts w:ascii="Times" w:hAnsi="Times"/>
        </w:rPr>
      </w:pPr>
      <w:r w:rsidRPr="00E95BBD">
        <w:rPr>
          <w:rStyle w:val="FootnoteReference"/>
          <w:rFonts w:ascii="Times" w:hAnsi="Times"/>
        </w:rPr>
        <w:footnoteRef/>
      </w:r>
      <w:r w:rsidRPr="00E95BBD">
        <w:rPr>
          <w:rFonts w:ascii="Times" w:hAnsi="Times"/>
        </w:rPr>
        <w:t xml:space="preserve"> National Institute for Occupational Safety and Health (NIOSH). (2016). The National Institute for Occupational Safety and Health. Available at: http://www.cdc.gov/niosh/. Accessed March 18, 2016.</w:t>
      </w:r>
    </w:p>
  </w:footnote>
  <w:footnote w:id="3">
    <w:p w14:paraId="6C64CFCF" w14:textId="77777777" w:rsidR="003825B6" w:rsidRPr="00E95BBD" w:rsidRDefault="003825B6" w:rsidP="009363E6">
      <w:pPr>
        <w:pStyle w:val="FootnoteText"/>
        <w:rPr>
          <w:rFonts w:ascii="Times" w:hAnsi="Times"/>
        </w:rPr>
      </w:pPr>
      <w:r w:rsidRPr="00E95BBD">
        <w:rPr>
          <w:rStyle w:val="FootnoteReference"/>
          <w:rFonts w:ascii="Times" w:hAnsi="Times"/>
        </w:rPr>
        <w:footnoteRef/>
      </w:r>
      <w:r w:rsidRPr="00E95BBD">
        <w:rPr>
          <w:rFonts w:ascii="Times" w:hAnsi="Times"/>
        </w:rPr>
        <w:t xml:space="preserve"> Saad, L. (2014). The “40-hour” workweek is actually longer – by seven hours. </w:t>
      </w:r>
      <w:r w:rsidRPr="00E95BBD">
        <w:rPr>
          <w:rFonts w:ascii="Times" w:hAnsi="Times"/>
          <w:i/>
        </w:rPr>
        <w:t>Gallup Economy</w:t>
      </w:r>
      <w:r w:rsidRPr="00E95BBD">
        <w:rPr>
          <w:rFonts w:ascii="Times" w:hAnsi="Times"/>
        </w:rPr>
        <w:t>. Available at: http://www.gallup.com/poll/175286/hour-workweek-actually-longer-seven-hours.aspx. Accessed March 18, 2016.</w:t>
      </w:r>
    </w:p>
  </w:footnote>
  <w:footnote w:id="4">
    <w:p w14:paraId="7285199A" w14:textId="77777777" w:rsidR="003825B6" w:rsidRPr="00E95BBD" w:rsidRDefault="003825B6" w:rsidP="009363E6">
      <w:pPr>
        <w:pStyle w:val="FootnoteText"/>
        <w:rPr>
          <w:rFonts w:ascii="Times" w:hAnsi="Times"/>
        </w:rPr>
      </w:pPr>
      <w:r w:rsidRPr="00E95BBD">
        <w:rPr>
          <w:rStyle w:val="FootnoteReference"/>
          <w:rFonts w:ascii="Times" w:hAnsi="Times"/>
        </w:rPr>
        <w:footnoteRef/>
      </w:r>
      <w:r w:rsidRPr="00E95BBD">
        <w:rPr>
          <w:rFonts w:ascii="Times" w:hAnsi="Times"/>
        </w:rPr>
        <w:t xml:space="preserve"> The Conference Board. (2015). Job satisfaction: 2015 edition: A lot more jobs – a little more satisfaction. Report Number: TCB-1588-Job-Satisfaction-Report-2015.</w:t>
      </w:r>
    </w:p>
  </w:footnote>
  <w:footnote w:id="5">
    <w:p w14:paraId="233ECD0D" w14:textId="77777777" w:rsidR="003825B6" w:rsidRPr="009021E8" w:rsidRDefault="003825B6" w:rsidP="00B41C4C">
      <w:pPr>
        <w:pStyle w:val="FootnoteText"/>
        <w:rPr>
          <w:rFonts w:ascii="Times" w:hAnsi="Times"/>
        </w:rPr>
      </w:pPr>
      <w:r w:rsidRPr="00E95BBD">
        <w:rPr>
          <w:rStyle w:val="FootnoteReference"/>
          <w:rFonts w:ascii="Times" w:hAnsi="Times"/>
        </w:rPr>
        <w:footnoteRef/>
      </w:r>
      <w:r w:rsidRPr="00E95BBD">
        <w:rPr>
          <w:rFonts w:ascii="Times" w:hAnsi="Times"/>
        </w:rPr>
        <w:t>National Institute for Occupational Sa</w:t>
      </w:r>
      <w:r>
        <w:rPr>
          <w:rFonts w:ascii="Times" w:hAnsi="Times"/>
        </w:rPr>
        <w:t>fety and Health (NIOSH). (2016)</w:t>
      </w:r>
      <w:r w:rsidRPr="00E95BBD">
        <w:rPr>
          <w:rFonts w:ascii="Times" w:hAnsi="Times"/>
        </w:rPr>
        <w:t>. National occupational research agenda (NORA)/national Total Worker Health</w:t>
      </w:r>
      <w:r w:rsidRPr="00E95BBD">
        <w:rPr>
          <w:rFonts w:ascii="Times" w:hAnsi="Times"/>
          <w:vertAlign w:val="superscript"/>
        </w:rPr>
        <w:t>®</w:t>
      </w:r>
      <w:r w:rsidRPr="00E95BBD">
        <w:rPr>
          <w:rFonts w:ascii="Times" w:hAnsi="Times"/>
        </w:rPr>
        <w:t> agenda (2016–2026): A national agenda to advance Total Worker Health</w:t>
      </w:r>
      <w:r w:rsidRPr="00E95BBD">
        <w:rPr>
          <w:rFonts w:ascii="Times" w:hAnsi="Times"/>
          <w:vertAlign w:val="superscript"/>
        </w:rPr>
        <w:t>®</w:t>
      </w:r>
      <w:r w:rsidRPr="00E95BBD">
        <w:rPr>
          <w:rFonts w:ascii="Times" w:hAnsi="Times"/>
        </w:rPr>
        <w:t> research, practice, policy, and capacity, April 2016. Cincinnati, OH: U.S. Department of Health and Human Services, Centers for Disease Control and</w:t>
      </w:r>
      <w:r w:rsidRPr="00E95BBD">
        <w:t xml:space="preserve"> </w:t>
      </w:r>
      <w:r w:rsidRPr="00E95BBD">
        <w:rPr>
          <w:rFonts w:ascii="Times" w:hAnsi="Times"/>
        </w:rPr>
        <w:t>Prevention, National Institute for Occupational Safety and Health, DHHS (NIOSH) Publication 2016–114 Available at: https://www.cdc.gov/niosh/docs/2016-114/default.html.</w:t>
      </w:r>
    </w:p>
  </w:footnote>
  <w:footnote w:id="6">
    <w:p w14:paraId="1EB42B18" w14:textId="77777777" w:rsidR="003825B6" w:rsidRPr="009021E8" w:rsidRDefault="003825B6" w:rsidP="00E4249A">
      <w:pPr>
        <w:pStyle w:val="FootnoteText"/>
        <w:rPr>
          <w:rFonts w:ascii="Times" w:hAnsi="Times"/>
        </w:rPr>
      </w:pPr>
      <w:r w:rsidRPr="009021E8">
        <w:rPr>
          <w:rStyle w:val="FootnoteReference"/>
          <w:rFonts w:ascii="Times" w:hAnsi="Times"/>
        </w:rPr>
        <w:footnoteRef/>
      </w:r>
      <w:r w:rsidRPr="009021E8">
        <w:rPr>
          <w:rFonts w:ascii="Times" w:hAnsi="Times"/>
        </w:rPr>
        <w:t xml:space="preserve"> Kubo, J., Goldstein, B. A., Cantley, L. F., Tessier-Sherman, B., Galusha, D., Slade, M. D., ... &amp; Cullen, M. R. (2014). Contribution of health status and prevalent chronic disease to individual risk for workplace injury in the manufacturing environment. </w:t>
      </w:r>
      <w:r w:rsidRPr="009021E8">
        <w:rPr>
          <w:rFonts w:ascii="Times" w:hAnsi="Times"/>
          <w:i/>
        </w:rPr>
        <w:t>Occupational &amp; Environmental Medicine, 71</w:t>
      </w:r>
      <w:r w:rsidRPr="009021E8">
        <w:rPr>
          <w:rFonts w:ascii="Times" w:hAnsi="Times"/>
        </w:rPr>
        <w:t>(3), 159-166. doi: http://dx.doi.org/10.1136/oemed-2013-101653</w:t>
      </w:r>
    </w:p>
  </w:footnote>
  <w:footnote w:id="7">
    <w:p w14:paraId="00E5EF65" w14:textId="77777777" w:rsidR="003825B6" w:rsidRPr="009021E8" w:rsidRDefault="003825B6" w:rsidP="00E4249A">
      <w:pPr>
        <w:pStyle w:val="FootnoteText"/>
        <w:rPr>
          <w:rFonts w:ascii="Times" w:hAnsi="Times"/>
        </w:rPr>
      </w:pPr>
      <w:r w:rsidRPr="009021E8">
        <w:rPr>
          <w:rStyle w:val="FootnoteReference"/>
          <w:rFonts w:ascii="Times" w:hAnsi="Times"/>
        </w:rPr>
        <w:footnoteRef/>
      </w:r>
      <w:r w:rsidRPr="009021E8">
        <w:rPr>
          <w:rFonts w:ascii="Times" w:hAnsi="Times"/>
        </w:rPr>
        <w:t xml:space="preserve"> Asfaw, A., Pana-Cryan, R., &amp; Rosa, R. (2012). Paid sick leave and nonfatal occupational injuries. </w:t>
      </w:r>
      <w:r w:rsidRPr="009021E8">
        <w:rPr>
          <w:rFonts w:ascii="Times" w:hAnsi="Times"/>
          <w:i/>
        </w:rPr>
        <w:t>American Journal of Public Health, 102</w:t>
      </w:r>
      <w:r w:rsidRPr="009021E8">
        <w:rPr>
          <w:rFonts w:ascii="Times" w:hAnsi="Times"/>
        </w:rPr>
        <w:t>(9), e59-e64. doi: 10.2105/AJPH.2011.300482</w:t>
      </w:r>
    </w:p>
  </w:footnote>
  <w:footnote w:id="8">
    <w:p w14:paraId="101DA799" w14:textId="77777777" w:rsidR="003825B6" w:rsidRPr="009021E8" w:rsidRDefault="003825B6" w:rsidP="00E4249A">
      <w:pPr>
        <w:pStyle w:val="FootnoteText"/>
        <w:rPr>
          <w:rFonts w:ascii="Times" w:hAnsi="Times"/>
        </w:rPr>
      </w:pPr>
      <w:r w:rsidRPr="009021E8">
        <w:rPr>
          <w:rStyle w:val="FootnoteReference"/>
          <w:rFonts w:ascii="Times" w:hAnsi="Times"/>
        </w:rPr>
        <w:footnoteRef/>
      </w:r>
      <w:r w:rsidRPr="009021E8">
        <w:rPr>
          <w:rFonts w:ascii="Times" w:hAnsi="Times"/>
        </w:rPr>
        <w:t xml:space="preserve"> Schulte, P. A., Pandalai, S., Wulsin, V., &amp; Chun, H. (2012). Interaction of occupational and personal risk factors in workforce health and safety. </w:t>
      </w:r>
      <w:r w:rsidRPr="009021E8">
        <w:rPr>
          <w:rFonts w:ascii="Times" w:hAnsi="Times"/>
          <w:i/>
          <w:iCs/>
        </w:rPr>
        <w:t>American Journal of Public Health</w:t>
      </w:r>
      <w:r w:rsidRPr="009021E8">
        <w:rPr>
          <w:rFonts w:ascii="Times" w:hAnsi="Times"/>
        </w:rPr>
        <w:t xml:space="preserve">, </w:t>
      </w:r>
      <w:r w:rsidRPr="009021E8">
        <w:rPr>
          <w:rFonts w:ascii="Times" w:hAnsi="Times"/>
          <w:i/>
          <w:iCs/>
        </w:rPr>
        <w:t>102</w:t>
      </w:r>
      <w:r w:rsidRPr="009021E8">
        <w:rPr>
          <w:rFonts w:ascii="Times" w:hAnsi="Times"/>
        </w:rPr>
        <w:t>(3), 434-448. doi: 10.2105/AJPH.2011.300249</w:t>
      </w:r>
    </w:p>
  </w:footnote>
  <w:footnote w:id="9">
    <w:p w14:paraId="5CB34B02" w14:textId="77777777" w:rsidR="003825B6" w:rsidRPr="009021E8" w:rsidRDefault="003825B6" w:rsidP="00E4249A">
      <w:pPr>
        <w:pStyle w:val="FootnoteText"/>
        <w:rPr>
          <w:rFonts w:ascii="Times" w:hAnsi="Times"/>
        </w:rPr>
      </w:pPr>
      <w:r w:rsidRPr="009021E8">
        <w:rPr>
          <w:rStyle w:val="FootnoteReference"/>
          <w:rFonts w:ascii="Times" w:hAnsi="Times"/>
        </w:rPr>
        <w:footnoteRef/>
      </w:r>
      <w:r w:rsidRPr="009021E8">
        <w:rPr>
          <w:rFonts w:ascii="Times" w:hAnsi="Times"/>
        </w:rPr>
        <w:t xml:space="preserve"> Marcum, J. L., Chin, B., Anderson, N. J., &amp; Bonauto, D. K. (2017). Self-reported work-related injury or illness—Washington, 2011–2014. </w:t>
      </w:r>
      <w:r w:rsidRPr="009021E8">
        <w:rPr>
          <w:rFonts w:ascii="Times" w:hAnsi="Times"/>
          <w:i/>
          <w:iCs/>
        </w:rPr>
        <w:t>MMWR. Morbidity and Mortality Weekly Report</w:t>
      </w:r>
      <w:r w:rsidRPr="009021E8">
        <w:rPr>
          <w:rFonts w:ascii="Times" w:hAnsi="Times"/>
        </w:rPr>
        <w:t xml:space="preserve">, </w:t>
      </w:r>
      <w:r w:rsidRPr="009021E8">
        <w:rPr>
          <w:rFonts w:ascii="Times" w:hAnsi="Times"/>
          <w:i/>
          <w:iCs/>
        </w:rPr>
        <w:t>66</w:t>
      </w:r>
      <w:r w:rsidRPr="009021E8">
        <w:rPr>
          <w:rFonts w:ascii="Times" w:hAnsi="Times"/>
        </w:rPr>
        <w:t>(11), 302. doi:  10.15585/mmwr.mm6611a6</w:t>
      </w:r>
    </w:p>
  </w:footnote>
  <w:footnote w:id="10">
    <w:p w14:paraId="65517A6E" w14:textId="77777777" w:rsidR="003825B6" w:rsidRPr="009021E8" w:rsidRDefault="003825B6" w:rsidP="00E4249A">
      <w:pPr>
        <w:pStyle w:val="CommentText"/>
        <w:rPr>
          <w:rFonts w:ascii="Times" w:hAnsi="Times"/>
        </w:rPr>
      </w:pPr>
      <w:r w:rsidRPr="009021E8">
        <w:rPr>
          <w:rStyle w:val="FootnoteReference"/>
          <w:rFonts w:ascii="Times" w:hAnsi="Times"/>
        </w:rPr>
        <w:footnoteRef/>
      </w:r>
      <w:r w:rsidRPr="009021E8">
        <w:rPr>
          <w:rFonts w:ascii="Times" w:hAnsi="Times"/>
        </w:rPr>
        <w:t xml:space="preserve"> Schwatka, N. V., Atherly, A., Dally, M. J., Fang, H., vS Brockbank, C., Tenney, L., ... &amp; McMillen, J. (2017). Health risk factors as predictors of workers' compensation claim occurrence and cost. </w:t>
      </w:r>
      <w:r w:rsidRPr="009021E8">
        <w:rPr>
          <w:rFonts w:ascii="Times" w:hAnsi="Times"/>
          <w:i/>
        </w:rPr>
        <w:t>Occupational &amp; Environmental Medicine</w:t>
      </w:r>
      <w:r w:rsidRPr="009021E8">
        <w:rPr>
          <w:rFonts w:ascii="Times" w:hAnsi="Times"/>
        </w:rPr>
        <w:t xml:space="preserve">, </w:t>
      </w:r>
      <w:r w:rsidRPr="009021E8">
        <w:rPr>
          <w:rFonts w:ascii="Times" w:hAnsi="Times"/>
          <w:i/>
          <w:iCs/>
        </w:rPr>
        <w:t>74</w:t>
      </w:r>
      <w:r w:rsidRPr="009021E8">
        <w:rPr>
          <w:rFonts w:ascii="Times" w:hAnsi="Times"/>
        </w:rPr>
        <w:t>(1), 14-23. doi: http://dx.doi.org/10.1136/oemed-2015-103334</w:t>
      </w:r>
    </w:p>
  </w:footnote>
  <w:footnote w:id="11">
    <w:p w14:paraId="01D2C94C" w14:textId="77777777" w:rsidR="003825B6" w:rsidRPr="009021E8" w:rsidRDefault="003825B6" w:rsidP="00E4249A">
      <w:pPr>
        <w:pStyle w:val="FootnoteText"/>
        <w:rPr>
          <w:rFonts w:ascii="Times" w:hAnsi="Times"/>
        </w:rPr>
      </w:pPr>
      <w:r w:rsidRPr="009021E8">
        <w:rPr>
          <w:rStyle w:val="FootnoteReference"/>
          <w:rFonts w:ascii="Times" w:hAnsi="Times"/>
        </w:rPr>
        <w:footnoteRef/>
      </w:r>
      <w:r w:rsidRPr="009021E8">
        <w:rPr>
          <w:rFonts w:ascii="Times" w:hAnsi="Times"/>
        </w:rPr>
        <w:t xml:space="preserve"> Li, A. K., &amp; Nowr</w:t>
      </w:r>
      <w:r>
        <w:rPr>
          <w:rFonts w:ascii="Times" w:hAnsi="Times"/>
        </w:rPr>
        <w:t>ouzi-Kia, B. (2017). Impact of diabetes mellitus on o</w:t>
      </w:r>
      <w:r w:rsidRPr="009021E8">
        <w:rPr>
          <w:rFonts w:ascii="Times" w:hAnsi="Times"/>
        </w:rPr>
        <w:t xml:space="preserve">ccupational </w:t>
      </w:r>
      <w:r>
        <w:rPr>
          <w:rFonts w:ascii="Times" w:hAnsi="Times"/>
        </w:rPr>
        <w:t>health o</w:t>
      </w:r>
      <w:r w:rsidRPr="009021E8">
        <w:rPr>
          <w:rFonts w:ascii="Times" w:hAnsi="Times"/>
        </w:rPr>
        <w:t xml:space="preserve">utcomes in Canada. </w:t>
      </w:r>
      <w:r w:rsidRPr="009021E8">
        <w:rPr>
          <w:rFonts w:ascii="Times" w:hAnsi="Times"/>
          <w:i/>
        </w:rPr>
        <w:t>The International Journal of Occupational and Environmental Medicine, 8</w:t>
      </w:r>
      <w:r w:rsidRPr="009021E8">
        <w:rPr>
          <w:rFonts w:ascii="Times" w:hAnsi="Times"/>
        </w:rPr>
        <w:t>(2 April), 992-96. doi: 10.15171/ijoem.2017.992</w:t>
      </w:r>
    </w:p>
  </w:footnote>
  <w:footnote w:id="12">
    <w:p w14:paraId="0E811B57" w14:textId="77777777" w:rsidR="003825B6" w:rsidRPr="0045518B" w:rsidRDefault="003825B6" w:rsidP="00E4249A">
      <w:pPr>
        <w:rPr>
          <w:rFonts w:ascii="Times" w:hAnsi="Times" w:cs="Arial"/>
          <w:color w:val="222222"/>
          <w:sz w:val="20"/>
          <w:szCs w:val="20"/>
          <w:shd w:val="clear" w:color="auto" w:fill="FFFFFF"/>
        </w:rPr>
      </w:pPr>
      <w:r w:rsidRPr="009021E8">
        <w:rPr>
          <w:rStyle w:val="FootnoteReference"/>
          <w:rFonts w:ascii="Times" w:hAnsi="Times"/>
          <w:sz w:val="20"/>
          <w:szCs w:val="20"/>
        </w:rPr>
        <w:footnoteRef/>
      </w:r>
      <w:r w:rsidRPr="009021E8">
        <w:rPr>
          <w:rFonts w:ascii="Times" w:hAnsi="Times"/>
          <w:sz w:val="20"/>
          <w:szCs w:val="20"/>
        </w:rPr>
        <w:t xml:space="preserve"> </w:t>
      </w:r>
      <w:r w:rsidRPr="009021E8">
        <w:rPr>
          <w:rFonts w:ascii="Times" w:hAnsi="Times" w:cs="Arial"/>
          <w:color w:val="222222"/>
          <w:sz w:val="20"/>
          <w:szCs w:val="20"/>
          <w:shd w:val="clear" w:color="auto" w:fill="FFFFFF"/>
        </w:rPr>
        <w:t>Hymel, P. A., Loeppke, R. R., Baase, C. M., Burton, W. N., Hartenbaum, N. P., Hudson, T. W., ... &amp; Konicki, D. L. (2011). Workplace he</w:t>
      </w:r>
      <w:r>
        <w:rPr>
          <w:rFonts w:ascii="Times" w:hAnsi="Times" w:cs="Arial"/>
          <w:color w:val="222222"/>
          <w:sz w:val="20"/>
          <w:szCs w:val="20"/>
          <w:shd w:val="clear" w:color="auto" w:fill="FFFFFF"/>
        </w:rPr>
        <w:t>alth protection and promotion: A</w:t>
      </w:r>
      <w:r w:rsidRPr="009021E8">
        <w:rPr>
          <w:rFonts w:ascii="Times" w:hAnsi="Times" w:cs="Arial"/>
          <w:color w:val="222222"/>
          <w:sz w:val="20"/>
          <w:szCs w:val="20"/>
          <w:shd w:val="clear" w:color="auto" w:fill="FFFFFF"/>
        </w:rPr>
        <w:t xml:space="preserve"> new pathway for a healthier—and safer—workforce. </w:t>
      </w:r>
      <w:r w:rsidRPr="009021E8">
        <w:rPr>
          <w:rFonts w:ascii="Times" w:hAnsi="Times" w:cs="Arial"/>
          <w:i/>
          <w:iCs/>
          <w:color w:val="222222"/>
          <w:sz w:val="20"/>
          <w:szCs w:val="20"/>
          <w:shd w:val="clear" w:color="auto" w:fill="FFFFFF"/>
        </w:rPr>
        <w:t>Journal of occupational and environmental medicine</w:t>
      </w:r>
      <w:r w:rsidRPr="009021E8">
        <w:rPr>
          <w:rFonts w:ascii="Times" w:hAnsi="Times" w:cs="Arial"/>
          <w:color w:val="222222"/>
          <w:sz w:val="20"/>
          <w:szCs w:val="20"/>
          <w:shd w:val="clear" w:color="auto" w:fill="FFFFFF"/>
        </w:rPr>
        <w:t>, </w:t>
      </w:r>
      <w:r w:rsidRPr="009021E8">
        <w:rPr>
          <w:rFonts w:ascii="Times" w:hAnsi="Times" w:cs="Arial"/>
          <w:i/>
          <w:iCs/>
          <w:color w:val="222222"/>
          <w:sz w:val="20"/>
          <w:szCs w:val="20"/>
          <w:shd w:val="clear" w:color="auto" w:fill="FFFFFF"/>
        </w:rPr>
        <w:t>53</w:t>
      </w:r>
      <w:r w:rsidRPr="009021E8">
        <w:rPr>
          <w:rFonts w:ascii="Times" w:hAnsi="Times" w:cs="Arial"/>
          <w:color w:val="222222"/>
          <w:sz w:val="20"/>
          <w:szCs w:val="20"/>
          <w:shd w:val="clear" w:color="auto" w:fill="FFFFFF"/>
        </w:rPr>
        <w:t>(6), 695-702.</w:t>
      </w:r>
      <w:r>
        <w:rPr>
          <w:rFonts w:ascii="Times" w:hAnsi="Times" w:cs="Arial"/>
          <w:color w:val="222222"/>
          <w:sz w:val="20"/>
          <w:szCs w:val="20"/>
          <w:shd w:val="clear" w:color="auto" w:fill="FFFFFF"/>
        </w:rPr>
        <w:t xml:space="preserve"> doi: </w:t>
      </w:r>
      <w:r w:rsidRPr="0045518B">
        <w:rPr>
          <w:rFonts w:ascii="Times" w:hAnsi="Times" w:cs="Arial"/>
          <w:color w:val="222222"/>
          <w:sz w:val="20"/>
          <w:szCs w:val="20"/>
          <w:shd w:val="clear" w:color="auto" w:fill="FFFFFF"/>
        </w:rPr>
        <w:t>10.1097/JOM.0b013e31822005d0</w:t>
      </w:r>
    </w:p>
  </w:footnote>
  <w:footnote w:id="13">
    <w:p w14:paraId="0A028AF7" w14:textId="77777777" w:rsidR="003825B6" w:rsidRPr="009021E8" w:rsidRDefault="003825B6" w:rsidP="00E4249A">
      <w:pPr>
        <w:pStyle w:val="FootnoteText"/>
        <w:rPr>
          <w:rFonts w:ascii="Times" w:hAnsi="Times"/>
        </w:rPr>
      </w:pPr>
      <w:r w:rsidRPr="009021E8">
        <w:rPr>
          <w:rStyle w:val="FootnoteReference"/>
          <w:rFonts w:ascii="Times" w:hAnsi="Times"/>
        </w:rPr>
        <w:footnoteRef/>
      </w:r>
      <w:r w:rsidRPr="009021E8">
        <w:rPr>
          <w:rFonts w:ascii="Times" w:hAnsi="Times"/>
        </w:rPr>
        <w:t xml:space="preserve"> Bullock, W. H. (n.d.). Guideline for implementing an integrated health, safety, and wellness program for small business. Falls Church, VA: American Industrial Hygiene Association. </w:t>
      </w:r>
    </w:p>
  </w:footnote>
  <w:footnote w:id="14">
    <w:p w14:paraId="1E99CC3F" w14:textId="77777777" w:rsidR="003825B6" w:rsidRPr="009021E8" w:rsidRDefault="003825B6" w:rsidP="00E4249A">
      <w:pPr>
        <w:pStyle w:val="FootnoteText"/>
        <w:rPr>
          <w:rFonts w:ascii="Times" w:hAnsi="Times"/>
        </w:rPr>
      </w:pPr>
      <w:r w:rsidRPr="009021E8">
        <w:rPr>
          <w:rStyle w:val="FootnoteReference"/>
          <w:rFonts w:ascii="Times" w:hAnsi="Times"/>
        </w:rPr>
        <w:footnoteRef/>
      </w:r>
      <w:r w:rsidRPr="009021E8">
        <w:rPr>
          <w:rFonts w:ascii="Times" w:hAnsi="Times"/>
        </w:rPr>
        <w:t xml:space="preserve"> Occupational Safety and Health Administration (OSHA). (2016). Sustainability in the workplace: A new approach for advancing worker safety and health. Available at: </w:t>
      </w:r>
      <w:r w:rsidRPr="0045518B">
        <w:rPr>
          <w:rFonts w:ascii="Times" w:hAnsi="Times"/>
        </w:rPr>
        <w:t>https://www.osha.gov/sustainability/docs/OSHA_sustainability_paper.pdf</w:t>
      </w:r>
      <w:r>
        <w:rPr>
          <w:rFonts w:ascii="Times" w:hAnsi="Times"/>
        </w:rPr>
        <w:t>. Accessed February 21, 2018.</w:t>
      </w:r>
    </w:p>
  </w:footnote>
  <w:footnote w:id="15">
    <w:p w14:paraId="0D3D4E4D" w14:textId="77777777" w:rsidR="003825B6" w:rsidRPr="009021E8" w:rsidRDefault="003825B6" w:rsidP="00E4249A">
      <w:pPr>
        <w:pStyle w:val="FootnoteText"/>
        <w:rPr>
          <w:rFonts w:ascii="Times" w:hAnsi="Times"/>
        </w:rPr>
      </w:pPr>
      <w:r w:rsidRPr="009021E8">
        <w:rPr>
          <w:rStyle w:val="FootnoteReference"/>
          <w:rFonts w:ascii="Times" w:hAnsi="Times"/>
        </w:rPr>
        <w:footnoteRef/>
      </w:r>
      <w:r w:rsidRPr="009021E8">
        <w:rPr>
          <w:rFonts w:ascii="Times" w:hAnsi="Times"/>
        </w:rPr>
        <w:t xml:space="preserve"> Institute of Medicine of the National Academies. (2005). Integrating employee health: A model program for NASA. Washington, D.C.: The National Academies Press. </w:t>
      </w:r>
    </w:p>
  </w:footnote>
  <w:footnote w:id="16">
    <w:p w14:paraId="184D4E10" w14:textId="77777777" w:rsidR="003825B6" w:rsidRPr="009021E8" w:rsidRDefault="003825B6" w:rsidP="00E4249A">
      <w:pPr>
        <w:pStyle w:val="FootnoteText"/>
        <w:rPr>
          <w:rFonts w:ascii="Times" w:hAnsi="Times"/>
        </w:rPr>
      </w:pPr>
      <w:r w:rsidRPr="009021E8">
        <w:rPr>
          <w:rStyle w:val="FootnoteReference"/>
          <w:rFonts w:ascii="Times" w:hAnsi="Times"/>
        </w:rPr>
        <w:footnoteRef/>
      </w:r>
      <w:r w:rsidRPr="009021E8">
        <w:rPr>
          <w:rFonts w:ascii="Times" w:hAnsi="Times"/>
        </w:rPr>
        <w:t xml:space="preserve"> World Health Organization. 2010. Healthy workplaces: a model for action. Available at: </w:t>
      </w:r>
      <w:r>
        <w:rPr>
          <w:rFonts w:ascii="Times" w:hAnsi="Times"/>
        </w:rPr>
        <w:t>http://www.who.int/occupational_health/publications/healthy_workplaces_model.pdf. Accessed February 21, 2018.</w:t>
      </w:r>
    </w:p>
  </w:footnote>
  <w:footnote w:id="17">
    <w:p w14:paraId="68B889A9" w14:textId="77777777" w:rsidR="003825B6" w:rsidRDefault="003825B6" w:rsidP="00E4249A">
      <w:pPr>
        <w:pStyle w:val="FootnoteText"/>
      </w:pPr>
      <w:r w:rsidRPr="009021E8">
        <w:rPr>
          <w:rStyle w:val="FootnoteReference"/>
          <w:rFonts w:ascii="Times" w:hAnsi="Times"/>
        </w:rPr>
        <w:footnoteRef/>
      </w:r>
      <w:r w:rsidRPr="009021E8">
        <w:rPr>
          <w:rFonts w:ascii="Times" w:hAnsi="Times"/>
        </w:rPr>
        <w:t xml:space="preserve"> International Labour Organization. </w:t>
      </w:r>
      <w:r>
        <w:rPr>
          <w:rFonts w:ascii="Times" w:hAnsi="Times"/>
        </w:rPr>
        <w:t>(</w:t>
      </w:r>
      <w:r w:rsidRPr="009021E8">
        <w:rPr>
          <w:rFonts w:ascii="Times" w:hAnsi="Times"/>
        </w:rPr>
        <w:t>2014</w:t>
      </w:r>
      <w:r>
        <w:rPr>
          <w:rFonts w:ascii="Times" w:hAnsi="Times"/>
        </w:rPr>
        <w:t>)</w:t>
      </w:r>
      <w:r w:rsidRPr="009021E8">
        <w:rPr>
          <w:rFonts w:ascii="Times" w:hAnsi="Times"/>
        </w:rPr>
        <w:t xml:space="preserve">. Improving health in the workplace: ILO’s framework for action. Available at: </w:t>
      </w:r>
      <w:r w:rsidRPr="0045518B">
        <w:rPr>
          <w:rFonts w:ascii="Times" w:hAnsi="Times"/>
        </w:rPr>
        <w:t>http://www.ilo.org/safework/info/publications/WCMS_329350/lang--en/index.htm</w:t>
      </w:r>
      <w:r>
        <w:rPr>
          <w:rFonts w:ascii="Times" w:hAnsi="Times"/>
        </w:rPr>
        <w:t>. Accessed February 21, 2018.</w:t>
      </w:r>
    </w:p>
  </w:footnote>
  <w:footnote w:id="18">
    <w:p w14:paraId="48F2ABC3" w14:textId="77777777" w:rsidR="003825B6" w:rsidRPr="00541FF7" w:rsidRDefault="003825B6" w:rsidP="009363E6">
      <w:pPr>
        <w:widowControl w:val="0"/>
        <w:autoSpaceDE w:val="0"/>
        <w:autoSpaceDN w:val="0"/>
        <w:adjustRightInd w:val="0"/>
        <w:rPr>
          <w:rFonts w:ascii="Times" w:hAnsi="Times"/>
          <w:sz w:val="20"/>
          <w:szCs w:val="20"/>
        </w:rPr>
      </w:pPr>
      <w:r w:rsidRPr="00541FF7">
        <w:rPr>
          <w:rStyle w:val="FootnoteReference"/>
          <w:rFonts w:ascii="Times" w:hAnsi="Times"/>
          <w:sz w:val="20"/>
          <w:szCs w:val="20"/>
        </w:rPr>
        <w:footnoteRef/>
      </w:r>
      <w:r w:rsidRPr="00541FF7">
        <w:rPr>
          <w:rFonts w:ascii="Times" w:hAnsi="Times"/>
          <w:sz w:val="20"/>
          <w:szCs w:val="20"/>
        </w:rPr>
        <w:t xml:space="preserve"> European Agency for Safety and Health at Work (EASHW). (2013). Well-being at work: Creating a positive work environment. A report prepared for the European Agency for Safety and Health at Work, EU-OSHA, by the Topic Centre Occupational Safety and Health.</w:t>
      </w:r>
    </w:p>
  </w:footnote>
  <w:footnote w:id="19">
    <w:p w14:paraId="20B43607" w14:textId="77777777" w:rsidR="003825B6" w:rsidRPr="00541FF7" w:rsidRDefault="003825B6" w:rsidP="009363E6">
      <w:pPr>
        <w:pStyle w:val="FootnoteText"/>
        <w:rPr>
          <w:rFonts w:ascii="Times" w:hAnsi="Times"/>
        </w:rPr>
      </w:pPr>
      <w:r w:rsidRPr="00541FF7">
        <w:rPr>
          <w:rStyle w:val="FootnoteReference"/>
          <w:rFonts w:ascii="Times" w:hAnsi="Times"/>
        </w:rPr>
        <w:footnoteRef/>
      </w:r>
      <w:r w:rsidRPr="00541FF7">
        <w:rPr>
          <w:rFonts w:ascii="Times" w:hAnsi="Times"/>
        </w:rPr>
        <w:t xml:space="preserve"> Organization for Economic Co-operation and Development (OECD). (2016). </w:t>
      </w:r>
      <w:r w:rsidRPr="00541FF7">
        <w:rPr>
          <w:rFonts w:ascii="Times" w:hAnsi="Times"/>
          <w:bCs/>
        </w:rPr>
        <w:t>Measuring well-being and progress: Well-being research. Available at: http://www.oecd.org/statistics/measuring-well-being-and-progress.htm. Accessed March 18, 2016.</w:t>
      </w:r>
    </w:p>
  </w:footnote>
  <w:footnote w:id="20">
    <w:p w14:paraId="760BDA75" w14:textId="77777777" w:rsidR="003825B6" w:rsidRPr="00541FF7" w:rsidRDefault="003825B6" w:rsidP="00C511EF">
      <w:pPr>
        <w:pStyle w:val="FootnoteText"/>
        <w:rPr>
          <w:rFonts w:ascii="Times" w:hAnsi="Times"/>
        </w:rPr>
      </w:pPr>
      <w:r w:rsidRPr="00541FF7">
        <w:rPr>
          <w:rStyle w:val="FootnoteReference"/>
          <w:rFonts w:ascii="Times" w:hAnsi="Times"/>
        </w:rPr>
        <w:footnoteRef/>
      </w:r>
      <w:r w:rsidRPr="00541FF7">
        <w:rPr>
          <w:rFonts w:ascii="Times" w:hAnsi="Times"/>
        </w:rPr>
        <w:t xml:space="preserve"> Safe work Australia. Australian Work Health and Safety Strategy 2012–2022. Available at: https://www.safeworkaustralia.gov.au/system/files/documents/1702/australian-whs-strategy-2012-2022.pdf. Accessed February 21, 2018.</w:t>
      </w:r>
    </w:p>
  </w:footnote>
  <w:footnote w:id="21">
    <w:p w14:paraId="3FC8AD38" w14:textId="77777777" w:rsidR="003825B6" w:rsidRPr="00541FF7" w:rsidRDefault="003825B6" w:rsidP="00C511EF">
      <w:pPr>
        <w:pStyle w:val="FootnoteText"/>
        <w:rPr>
          <w:rFonts w:ascii="Times" w:hAnsi="Times"/>
        </w:rPr>
      </w:pPr>
      <w:r w:rsidRPr="00541FF7">
        <w:rPr>
          <w:rStyle w:val="FootnoteReference"/>
          <w:rFonts w:ascii="Times" w:hAnsi="Times"/>
        </w:rPr>
        <w:footnoteRef/>
      </w:r>
      <w:r w:rsidRPr="00541FF7">
        <w:rPr>
          <w:rFonts w:ascii="Times" w:hAnsi="Times"/>
        </w:rPr>
        <w:t xml:space="preserve"> Watanabe, K, Kawakami, N. (2017). The workplace PERMA-profiler: Validation of the new measure for well-being at work in the Japanese culture. International Commission of Occupational Health, Work, Organisation and Psychosocial Factors Symposium.</w:t>
      </w:r>
    </w:p>
  </w:footnote>
  <w:footnote w:id="22">
    <w:p w14:paraId="10AA1AC8" w14:textId="77777777" w:rsidR="003825B6" w:rsidRPr="00541FF7" w:rsidRDefault="003825B6" w:rsidP="00C511EF">
      <w:pPr>
        <w:pStyle w:val="FootnoteText"/>
        <w:rPr>
          <w:rFonts w:ascii="Times" w:hAnsi="Times"/>
        </w:rPr>
      </w:pPr>
      <w:r w:rsidRPr="00541FF7">
        <w:rPr>
          <w:rStyle w:val="FootnoteReference"/>
          <w:rFonts w:ascii="Times" w:hAnsi="Times"/>
        </w:rPr>
        <w:footnoteRef/>
      </w:r>
      <w:r w:rsidRPr="00541FF7">
        <w:rPr>
          <w:rFonts w:ascii="Times" w:hAnsi="Times"/>
        </w:rPr>
        <w:t xml:space="preserve"> International Conference on Wellbeing at Work (n.d.). Fourth international conference. Available at: http://www.wellbeingatwork.nl. Accessed February 21, 2018.</w:t>
      </w:r>
    </w:p>
  </w:footnote>
  <w:footnote w:id="23">
    <w:p w14:paraId="6BFD723B" w14:textId="77777777" w:rsidR="003825B6" w:rsidRPr="00541FF7" w:rsidRDefault="003825B6" w:rsidP="00C511EF">
      <w:pPr>
        <w:pStyle w:val="FootnoteText"/>
        <w:rPr>
          <w:rFonts w:ascii="Times" w:hAnsi="Times"/>
        </w:rPr>
      </w:pPr>
      <w:r w:rsidRPr="00541FF7">
        <w:rPr>
          <w:rStyle w:val="FootnoteReference"/>
          <w:rFonts w:ascii="Times" w:hAnsi="Times"/>
        </w:rPr>
        <w:footnoteRef/>
      </w:r>
      <w:r w:rsidRPr="00541FF7">
        <w:rPr>
          <w:rFonts w:ascii="Times" w:hAnsi="Times"/>
        </w:rPr>
        <w:t xml:space="preserve"> National Institute for Occupational Safety and Health (NIOSH). (2016). Small business. Available at: https://www.cdc.gov/niosh/topics/smbus/default.html. Accessed February 21, 2018.</w:t>
      </w:r>
    </w:p>
  </w:footnote>
  <w:footnote w:id="24">
    <w:p w14:paraId="3E495B7C" w14:textId="77777777" w:rsidR="003825B6" w:rsidRPr="00541FF7" w:rsidRDefault="003825B6" w:rsidP="00C511EF">
      <w:pPr>
        <w:pStyle w:val="FootnoteText"/>
        <w:rPr>
          <w:rFonts w:ascii="Times" w:hAnsi="Times"/>
        </w:rPr>
      </w:pPr>
      <w:r w:rsidRPr="00541FF7">
        <w:rPr>
          <w:rStyle w:val="FootnoteReference"/>
          <w:rFonts w:ascii="Times" w:hAnsi="Times"/>
        </w:rPr>
        <w:footnoteRef/>
      </w:r>
      <w:r w:rsidRPr="00541FF7">
        <w:rPr>
          <w:rFonts w:ascii="Times" w:hAnsi="Times"/>
        </w:rPr>
        <w:t xml:space="preserve"> Leigh, J. (2011). Economic burden of occupational injury and illness in the United States. </w:t>
      </w:r>
      <w:r w:rsidRPr="00541FF7">
        <w:rPr>
          <w:rFonts w:ascii="Times" w:hAnsi="Times"/>
          <w:i/>
        </w:rPr>
        <w:t>The Milbank Quarterly, 89</w:t>
      </w:r>
      <w:r w:rsidRPr="00541FF7">
        <w:rPr>
          <w:rFonts w:ascii="Times" w:hAnsi="Times"/>
        </w:rPr>
        <w:t>(4), 728-772. doi: 10.1111/j.1468-0009.2011.00648.x</w:t>
      </w:r>
    </w:p>
  </w:footnote>
  <w:footnote w:id="25">
    <w:p w14:paraId="5F0790B8" w14:textId="77777777" w:rsidR="003825B6" w:rsidRDefault="003825B6" w:rsidP="00C511EF">
      <w:pPr>
        <w:pStyle w:val="FootnoteText"/>
      </w:pPr>
      <w:r>
        <w:rPr>
          <w:rStyle w:val="FootnoteReference"/>
        </w:rPr>
        <w:footnoteRef/>
      </w:r>
      <w:r>
        <w:t xml:space="preserve"> </w:t>
      </w:r>
      <w:r w:rsidRPr="008E19CC">
        <w:t xml:space="preserve">World Economic Forum. (2010). The wellness imperative: Creating more effective organizations. Available at https://www.right.com/wps/wcm/connect/a2bd7426-4b2a-4af9-81ac-5211e83c72bb/the-wellness-imperative-creating-more-effective-organizations-world-economic-forum-in-partnership-with-right-management.pdf?MOD=AJPERES. Accessed February 22, 2018. </w:t>
      </w:r>
    </w:p>
  </w:footnote>
  <w:footnote w:id="26">
    <w:p w14:paraId="4047BACF" w14:textId="77777777" w:rsidR="003825B6" w:rsidRDefault="003825B6" w:rsidP="00C511EF">
      <w:pPr>
        <w:pStyle w:val="FootnoteText"/>
      </w:pPr>
      <w:r>
        <w:rPr>
          <w:rStyle w:val="FootnoteReference"/>
        </w:rPr>
        <w:footnoteRef/>
      </w:r>
      <w:r>
        <w:t xml:space="preserve"> </w:t>
      </w:r>
      <w:r w:rsidRPr="008E19CC">
        <w:t xml:space="preserve">Fabius, R., Thayer, R. D., Konicki, D. L., Yarborough, C. M., Peterson, K. W., Isaac, F., ... &amp; Dreger, M. (2013). The link between workforce health and safety and the health of the bottom line: Tracking market performance of companies that nurture a “culture of health.” </w:t>
      </w:r>
      <w:r w:rsidRPr="008E19CC">
        <w:rPr>
          <w:i/>
          <w:iCs/>
        </w:rPr>
        <w:t>Journal of Occupational and Environmental Medicine</w:t>
      </w:r>
      <w:r w:rsidRPr="008E19CC">
        <w:t xml:space="preserve">, </w:t>
      </w:r>
      <w:r w:rsidRPr="008E19CC">
        <w:rPr>
          <w:i/>
          <w:iCs/>
        </w:rPr>
        <w:t>55</w:t>
      </w:r>
      <w:r w:rsidRPr="008E19CC">
        <w:t>(9), 993-1000. doi: 10.1097/JOM.0b013e3182a6bb75</w:t>
      </w:r>
    </w:p>
  </w:footnote>
  <w:footnote w:id="27">
    <w:p w14:paraId="1AD67A7B" w14:textId="77777777" w:rsidR="003825B6" w:rsidRDefault="003825B6" w:rsidP="00C511EF">
      <w:pPr>
        <w:pStyle w:val="FootnoteText"/>
      </w:pPr>
      <w:r>
        <w:rPr>
          <w:rStyle w:val="FootnoteReference"/>
        </w:rPr>
        <w:footnoteRef/>
      </w:r>
      <w:r>
        <w:t xml:space="preserve"> </w:t>
      </w:r>
      <w:r w:rsidRPr="008E19CC">
        <w:t xml:space="preserve">Grossmeier, J., Fabius, R., Flynn, J. P., Noeldner, S. P., Fabius, D., Goetzel, R. Z., &amp; Anderson, D. R. (2016). Linking workplace health promotion best practices and organizational financial performance: Tracking market performance of companies with highest scores on the HERO scorecard. </w:t>
      </w:r>
      <w:r w:rsidRPr="008E19CC">
        <w:rPr>
          <w:i/>
          <w:iCs/>
        </w:rPr>
        <w:t>Journal of Occupational and Environmental Medicine, 58</w:t>
      </w:r>
      <w:r w:rsidRPr="008E19CC">
        <w:t>(1), 16-23. doi: 10.1097/JOM.0000000000000631</w:t>
      </w:r>
    </w:p>
  </w:footnote>
  <w:footnote w:id="28">
    <w:p w14:paraId="31258E03" w14:textId="77777777" w:rsidR="003825B6" w:rsidRDefault="003825B6" w:rsidP="00C511EF">
      <w:pPr>
        <w:pStyle w:val="FootnoteText"/>
      </w:pPr>
      <w:r>
        <w:rPr>
          <w:rStyle w:val="FootnoteReference"/>
        </w:rPr>
        <w:footnoteRef/>
      </w:r>
      <w:r>
        <w:t xml:space="preserve"> </w:t>
      </w:r>
      <w:r w:rsidRPr="008E19CC">
        <w:t xml:space="preserve">Harter, J. K., Schmidt, F. L., &amp; Keyes, C. L. (2002). Well-being in the workplace and its relationship to business outcomes: A review of the Gallup studies. In C. L. Keyes &amp; J. Haidt (Eds.), </w:t>
      </w:r>
      <w:r w:rsidRPr="008E19CC">
        <w:rPr>
          <w:i/>
          <w:iCs/>
        </w:rPr>
        <w:t>Flourishing: The Positive Person and the Good Life</w:t>
      </w:r>
      <w:r w:rsidRPr="008E19CC">
        <w:t xml:space="preserve"> (pp. 205-224). Washington, D.C.: American Psychological Association. </w:t>
      </w:r>
    </w:p>
  </w:footnote>
  <w:footnote w:id="29">
    <w:p w14:paraId="4BEFA8EF" w14:textId="2C0C97B6" w:rsidR="003825B6" w:rsidRDefault="003825B6">
      <w:pPr>
        <w:pStyle w:val="FootnoteText"/>
      </w:pPr>
      <w:r w:rsidRPr="00541FF7">
        <w:rPr>
          <w:rStyle w:val="FootnoteReference"/>
          <w:rFonts w:ascii="Times" w:hAnsi="Times"/>
        </w:rPr>
        <w:footnoteRef/>
      </w:r>
      <w:r w:rsidRPr="00541FF7">
        <w:rPr>
          <w:rFonts w:ascii="Times" w:hAnsi="Times"/>
        </w:rPr>
        <w:t xml:space="preserve"> Schill, A. L., &amp; Chosewood, L. C. (2013). The NIOSH Total Worker Health™ Program: An overview. </w:t>
      </w:r>
      <w:r w:rsidRPr="00541FF7">
        <w:rPr>
          <w:rFonts w:ascii="Times" w:hAnsi="Times"/>
          <w:i/>
        </w:rPr>
        <w:t>Journal of Occupational and Environmental Medicine, 55</w:t>
      </w:r>
      <w:r w:rsidRPr="00541FF7">
        <w:rPr>
          <w:rFonts w:ascii="Times" w:hAnsi="Times"/>
        </w:rPr>
        <w:t>, S8-11. doi: 10.1097/JOM.0000000000000037.</w:t>
      </w:r>
    </w:p>
  </w:footnote>
  <w:footnote w:id="30">
    <w:p w14:paraId="08A26DB4" w14:textId="62C17535" w:rsidR="003825B6" w:rsidRPr="00541FF7" w:rsidRDefault="003825B6" w:rsidP="00660223">
      <w:pPr>
        <w:pStyle w:val="FootnoteText"/>
        <w:rPr>
          <w:rFonts w:ascii="Times" w:hAnsi="Times"/>
        </w:rPr>
      </w:pPr>
      <w:r w:rsidRPr="00541FF7">
        <w:rPr>
          <w:rStyle w:val="FootnoteReference"/>
          <w:rFonts w:ascii="Times" w:hAnsi="Times"/>
        </w:rPr>
        <w:footnoteRef/>
      </w:r>
      <w:r w:rsidRPr="00541FF7">
        <w:rPr>
          <w:rFonts w:ascii="Times" w:hAnsi="Times"/>
        </w:rPr>
        <w:t xml:space="preserve"> NIOSH. (2010). Quality of worklife questionnaire. Available at: http://www.cdc.gov/niosh/topics/stress/qwlquest.html. Accessed October 18, 2017.</w:t>
      </w:r>
    </w:p>
  </w:footnote>
  <w:footnote w:id="31">
    <w:p w14:paraId="63970598" w14:textId="33D18E46" w:rsidR="003825B6" w:rsidRPr="00541FF7" w:rsidRDefault="003825B6">
      <w:pPr>
        <w:pStyle w:val="FootnoteText"/>
        <w:rPr>
          <w:rFonts w:ascii="Times" w:hAnsi="Times"/>
        </w:rPr>
      </w:pPr>
      <w:r w:rsidRPr="00541FF7">
        <w:rPr>
          <w:rStyle w:val="FootnoteReference"/>
          <w:rFonts w:ascii="Times" w:hAnsi="Times"/>
        </w:rPr>
        <w:footnoteRef/>
      </w:r>
      <w:r w:rsidRPr="00541FF7">
        <w:rPr>
          <w:rFonts w:ascii="Times" w:hAnsi="Times"/>
        </w:rPr>
        <w:t xml:space="preserve"> Babbie, E. (2013). The practice of social research (13th ed.). Belmont, CA: Wadsworth CENGAGE Learning. </w:t>
      </w:r>
    </w:p>
  </w:footnote>
  <w:footnote w:id="32">
    <w:p w14:paraId="018D6361" w14:textId="6B9D2B37" w:rsidR="003825B6" w:rsidRPr="00541FF7" w:rsidRDefault="003825B6">
      <w:pPr>
        <w:pStyle w:val="FootnoteText"/>
        <w:rPr>
          <w:rFonts w:ascii="Times" w:hAnsi="Times"/>
        </w:rPr>
      </w:pPr>
      <w:r w:rsidRPr="00541FF7">
        <w:rPr>
          <w:rStyle w:val="FootnoteReference"/>
          <w:rFonts w:ascii="Times" w:hAnsi="Times"/>
        </w:rPr>
        <w:footnoteRef/>
      </w:r>
      <w:r w:rsidRPr="00541FF7">
        <w:rPr>
          <w:rFonts w:ascii="Times" w:hAnsi="Times"/>
        </w:rPr>
        <w:t xml:space="preserve"> U.S. Government Accountability Office (GAO). (2015). Contingent workforce: Size, characteristics, earnings, and benefits. Available at: https://www.gao.gov/assets/670/669899.pdf</w:t>
      </w:r>
    </w:p>
  </w:footnote>
  <w:footnote w:id="33">
    <w:p w14:paraId="141ED0C9" w14:textId="30FEB27F" w:rsidR="003825B6" w:rsidRPr="00541FF7" w:rsidRDefault="003825B6" w:rsidP="00457D6D">
      <w:pPr>
        <w:pStyle w:val="FootnoteText"/>
        <w:rPr>
          <w:rFonts w:ascii="Times" w:hAnsi="Times"/>
        </w:rPr>
      </w:pPr>
      <w:r w:rsidRPr="00541FF7">
        <w:rPr>
          <w:rStyle w:val="FootnoteReference"/>
          <w:rFonts w:ascii="Times" w:hAnsi="Times"/>
        </w:rPr>
        <w:footnoteRef/>
      </w:r>
      <w:r w:rsidRPr="00541FF7">
        <w:rPr>
          <w:rFonts w:ascii="Times" w:hAnsi="Times"/>
        </w:rPr>
        <w:t xml:space="preserve"> Wilkin, C. L. (2013). </w:t>
      </w:r>
      <w:bookmarkStart w:id="6" w:name="citation"/>
      <w:r w:rsidRPr="00541FF7">
        <w:rPr>
          <w:rFonts w:ascii="Times" w:hAnsi="Times"/>
        </w:rPr>
        <w:t>I can't get no job satisfaction: Meta-analysis comparing permanent and contingent workers</w:t>
      </w:r>
      <w:bookmarkEnd w:id="6"/>
      <w:r w:rsidRPr="00541FF7">
        <w:rPr>
          <w:rFonts w:ascii="Times" w:hAnsi="Times"/>
        </w:rPr>
        <w:t xml:space="preserve">. </w:t>
      </w:r>
      <w:r w:rsidRPr="00541FF7">
        <w:rPr>
          <w:rFonts w:ascii="Times" w:hAnsi="Times"/>
          <w:i/>
        </w:rPr>
        <w:t>Journal of organizational behavior, 34</w:t>
      </w:r>
      <w:r w:rsidRPr="00541FF7">
        <w:rPr>
          <w:rFonts w:ascii="Times" w:hAnsi="Times"/>
        </w:rPr>
        <w:t>(1), 47-64. doi: 10.1002/job.1790</w:t>
      </w:r>
    </w:p>
  </w:footnote>
  <w:footnote w:id="34">
    <w:p w14:paraId="5BF1C580" w14:textId="3D1C8591" w:rsidR="003825B6" w:rsidRDefault="003825B6">
      <w:pPr>
        <w:pStyle w:val="FootnoteText"/>
      </w:pPr>
      <w:r w:rsidRPr="00541FF7">
        <w:rPr>
          <w:rStyle w:val="FootnoteReference"/>
          <w:rFonts w:ascii="Times" w:hAnsi="Times"/>
        </w:rPr>
        <w:footnoteRef/>
      </w:r>
      <w:r w:rsidRPr="00541FF7">
        <w:rPr>
          <w:rFonts w:ascii="Times" w:hAnsi="Times"/>
        </w:rPr>
        <w:t xml:space="preserve"> Koene, B., &amp; van Riemsdijk, M. (2005). Managing temporary workers: Work identity, diversity and operational HR choices. </w:t>
      </w:r>
      <w:r w:rsidRPr="00541FF7">
        <w:rPr>
          <w:rFonts w:ascii="Times" w:hAnsi="Times"/>
          <w:i/>
        </w:rPr>
        <w:t>Human resource management journal, 15</w:t>
      </w:r>
      <w:r w:rsidRPr="00541FF7">
        <w:rPr>
          <w:rFonts w:ascii="Times" w:hAnsi="Times"/>
        </w:rPr>
        <w:t>(1), 76-92. doi: 10.1111/j.1748-8583.2005.tb00141.x</w:t>
      </w:r>
    </w:p>
  </w:footnote>
  <w:footnote w:id="35">
    <w:p w14:paraId="6373C90D" w14:textId="00F67CE4" w:rsidR="003825B6" w:rsidRPr="00541FF7" w:rsidRDefault="003825B6">
      <w:pPr>
        <w:pStyle w:val="FootnoteText"/>
        <w:rPr>
          <w:rFonts w:ascii="Times" w:hAnsi="Times"/>
        </w:rPr>
      </w:pPr>
      <w:r w:rsidRPr="00541FF7">
        <w:rPr>
          <w:rStyle w:val="FootnoteReference"/>
          <w:rFonts w:ascii="Times" w:hAnsi="Times"/>
        </w:rPr>
        <w:footnoteRef/>
      </w:r>
      <w:r w:rsidRPr="00541FF7">
        <w:rPr>
          <w:rFonts w:ascii="Times" w:hAnsi="Times"/>
        </w:rPr>
        <w:t xml:space="preserve"> U.S. Department of Labor. (2015). Employer-reported workplace injuries and illnesses – 2015. Available at: https://www.bls.gov/news.release/archives/osh_10272016.pdf. Accessed February 21, 2018. </w:t>
      </w:r>
    </w:p>
  </w:footnote>
  <w:footnote w:id="36">
    <w:p w14:paraId="1E92045E" w14:textId="28940897" w:rsidR="003825B6" w:rsidRDefault="003825B6">
      <w:pPr>
        <w:pStyle w:val="FootnoteText"/>
      </w:pPr>
      <w:r w:rsidRPr="00541FF7">
        <w:rPr>
          <w:rStyle w:val="FootnoteReference"/>
          <w:rFonts w:ascii="Times" w:hAnsi="Times"/>
        </w:rPr>
        <w:footnoteRef/>
      </w:r>
      <w:r w:rsidRPr="00541FF7">
        <w:rPr>
          <w:rFonts w:ascii="Times" w:hAnsi="Times"/>
        </w:rPr>
        <w:t xml:space="preserve"> Knowledge Networks. (n.d.). KnowledgePanel design summary. Available at: http://www.knowledgenetworks.com/knpanel/docs/KnowledgePanel%28R%29-Design-Summary-Description.pdf. Accessed October 18, 2017.</w:t>
      </w:r>
    </w:p>
  </w:footnote>
  <w:footnote w:id="37">
    <w:p w14:paraId="3671498D" w14:textId="276DFB91" w:rsidR="003825B6" w:rsidRPr="00541FF7" w:rsidRDefault="003825B6" w:rsidP="006B6B88">
      <w:pPr>
        <w:pStyle w:val="FootnoteText"/>
        <w:rPr>
          <w:rFonts w:ascii="Times" w:hAnsi="Times"/>
        </w:rPr>
      </w:pPr>
      <w:r w:rsidRPr="00541FF7">
        <w:rPr>
          <w:rStyle w:val="FootnoteReference"/>
          <w:rFonts w:ascii="Times" w:hAnsi="Times"/>
        </w:rPr>
        <w:footnoteRef/>
      </w:r>
      <w:r w:rsidRPr="00541FF7">
        <w:rPr>
          <w:rFonts w:ascii="Times" w:hAnsi="Times"/>
        </w:rPr>
        <w:t xml:space="preserve"> NIOSH. (2010). Quality of worklife questionnaire. Available at: http://www.cdc.gov/niosh/topics/stress/qwlquest.html. Accessed October 18, 2017.</w:t>
      </w:r>
    </w:p>
  </w:footnote>
  <w:footnote w:id="38">
    <w:p w14:paraId="002A0BFD" w14:textId="399FB810" w:rsidR="003825B6" w:rsidRPr="00541FF7" w:rsidRDefault="003825B6" w:rsidP="006B6B88">
      <w:pPr>
        <w:pStyle w:val="FootnoteText"/>
        <w:rPr>
          <w:rFonts w:ascii="Times" w:hAnsi="Times"/>
        </w:rPr>
      </w:pPr>
      <w:r w:rsidRPr="00541FF7">
        <w:rPr>
          <w:rStyle w:val="FootnoteReference"/>
          <w:rFonts w:ascii="Times" w:hAnsi="Times"/>
        </w:rPr>
        <w:footnoteRef/>
      </w:r>
      <w:r w:rsidRPr="00541FF7">
        <w:rPr>
          <w:rFonts w:ascii="Times" w:hAnsi="Times"/>
        </w:rPr>
        <w:t xml:space="preserve"> National Research Centre for the Working Environment (NRCWE). (2005). Copenhagen psychosocial questionnaire – COPSOQ II. Available at: http://www.arbejdsmiljoforskning.dk/en/publikationer/spoergeskemaer/psykisk-arbejdsmiljoe. Accessed October 18, 2017.</w:t>
      </w:r>
    </w:p>
  </w:footnote>
  <w:footnote w:id="39">
    <w:p w14:paraId="31C7686E" w14:textId="23CEC656" w:rsidR="003825B6" w:rsidRPr="00541FF7" w:rsidRDefault="003825B6" w:rsidP="00DC4B5A">
      <w:pPr>
        <w:pStyle w:val="FootnoteText"/>
        <w:rPr>
          <w:rFonts w:ascii="Times" w:hAnsi="Times"/>
        </w:rPr>
      </w:pPr>
      <w:r w:rsidRPr="00541FF7">
        <w:rPr>
          <w:rStyle w:val="FootnoteReference"/>
          <w:rFonts w:ascii="Times" w:hAnsi="Times"/>
        </w:rPr>
        <w:footnoteRef/>
      </w:r>
      <w:r w:rsidRPr="00541FF7">
        <w:rPr>
          <w:rFonts w:ascii="Times" w:hAnsi="Times"/>
        </w:rPr>
        <w:t xml:space="preserve"> van der Doef, M., &amp; Maes, S. (1999). The Leiden Quality of Work Questionnaire: Its construction, factor structure, and psychometric qualities. </w:t>
      </w:r>
      <w:r w:rsidRPr="00541FF7">
        <w:rPr>
          <w:rFonts w:ascii="Times" w:hAnsi="Times"/>
          <w:i/>
        </w:rPr>
        <w:t>Psychological reports, 85</w:t>
      </w:r>
      <w:r w:rsidRPr="00541FF7">
        <w:rPr>
          <w:rFonts w:ascii="Times" w:hAnsi="Times"/>
        </w:rPr>
        <w:t>(3), 954-962. doi: 10.2466/pr0.1999.85.3.954</w:t>
      </w:r>
    </w:p>
  </w:footnote>
  <w:footnote w:id="40">
    <w:p w14:paraId="759DC300" w14:textId="763E2CAB" w:rsidR="003825B6" w:rsidRPr="00541FF7" w:rsidRDefault="003825B6" w:rsidP="006B6B88">
      <w:pPr>
        <w:pStyle w:val="FootnoteText"/>
        <w:rPr>
          <w:rFonts w:ascii="Times" w:hAnsi="Times"/>
        </w:rPr>
      </w:pPr>
      <w:r w:rsidRPr="00541FF7">
        <w:rPr>
          <w:rStyle w:val="FootnoteReference"/>
          <w:rFonts w:ascii="Times" w:hAnsi="Times"/>
        </w:rPr>
        <w:footnoteRef/>
      </w:r>
      <w:r w:rsidRPr="00541FF7">
        <w:rPr>
          <w:rFonts w:ascii="Times" w:hAnsi="Times"/>
        </w:rPr>
        <w:t xml:space="preserve"> Minnesota Satisfaction Questionnaire. (1977). Manual for the Minnesota Satisfaction Questionnaire.</w:t>
      </w:r>
      <w:r w:rsidRPr="00541FF7">
        <w:rPr>
          <w:rFonts w:ascii="Times" w:hAnsi="Times"/>
          <w:i/>
        </w:rPr>
        <w:t xml:space="preserve"> </w:t>
      </w:r>
      <w:r w:rsidRPr="00541FF7">
        <w:rPr>
          <w:rFonts w:ascii="Times" w:hAnsi="Times"/>
        </w:rPr>
        <w:t>Available at: http://vpr.psych.umn.edu/instruments/msq-minnesota-satisfaction-questionnaire. Accessed October 18, 2017.</w:t>
      </w:r>
    </w:p>
    <w:p w14:paraId="10E355D9" w14:textId="36BDFEB9" w:rsidR="003825B6" w:rsidRDefault="003825B6">
      <w:pPr>
        <w:pStyle w:val="FootnoteText"/>
      </w:pPr>
    </w:p>
  </w:footnote>
  <w:footnote w:id="41">
    <w:p w14:paraId="726F658A" w14:textId="201E695A" w:rsidR="003825B6" w:rsidRPr="00541FF7" w:rsidRDefault="003825B6">
      <w:pPr>
        <w:pStyle w:val="FootnoteText"/>
        <w:rPr>
          <w:rFonts w:ascii="Times" w:hAnsi="Times"/>
          <w:color w:val="000000" w:themeColor="text1"/>
        </w:rPr>
      </w:pPr>
      <w:r w:rsidRPr="00541FF7">
        <w:rPr>
          <w:rStyle w:val="FootnoteReference"/>
          <w:rFonts w:ascii="Times" w:hAnsi="Times"/>
        </w:rPr>
        <w:footnoteRef/>
      </w:r>
      <w:r w:rsidRPr="00541FF7">
        <w:rPr>
          <w:rFonts w:ascii="Times" w:hAnsi="Times"/>
        </w:rPr>
        <w:t xml:space="preserve"> Knowledge Networks. (n.d.). List of selected OMB-reviewed surveys conducted on KnowledgePanel. Available </w:t>
      </w:r>
      <w:r w:rsidRPr="00541FF7">
        <w:rPr>
          <w:rFonts w:ascii="Times" w:hAnsi="Times"/>
          <w:color w:val="000000" w:themeColor="text1"/>
        </w:rPr>
        <w:t>at: http://www.knowledgenetworks.com/GANP/docs/OMB-Reviewed-Projects-List.pdf. Accessed October 18, 2017.</w:t>
      </w:r>
    </w:p>
  </w:footnote>
  <w:footnote w:id="42">
    <w:p w14:paraId="36974749" w14:textId="77777777" w:rsidR="003825B6" w:rsidRPr="00541FF7" w:rsidRDefault="003825B6" w:rsidP="00523A94">
      <w:pPr>
        <w:pStyle w:val="FootnoteText"/>
        <w:rPr>
          <w:rFonts w:ascii="Times" w:hAnsi="Times"/>
          <w:color w:val="000000" w:themeColor="text1"/>
        </w:rPr>
      </w:pPr>
      <w:r w:rsidRPr="00541FF7">
        <w:rPr>
          <w:rStyle w:val="FootnoteReference"/>
          <w:rFonts w:ascii="Times" w:hAnsi="Times"/>
          <w:color w:val="000000" w:themeColor="text1"/>
        </w:rPr>
        <w:footnoteRef/>
      </w:r>
      <w:r w:rsidRPr="00541FF7">
        <w:rPr>
          <w:rFonts w:ascii="Times" w:hAnsi="Times"/>
          <w:color w:val="000000" w:themeColor="text1"/>
        </w:rPr>
        <w:t xml:space="preserve"> The CAN-SPAM Act is a law that sets the rules for commercial email.</w:t>
      </w:r>
    </w:p>
  </w:footnote>
  <w:footnote w:id="43">
    <w:p w14:paraId="7CF5DE3B" w14:textId="75266E00" w:rsidR="003825B6" w:rsidRDefault="003825B6">
      <w:pPr>
        <w:pStyle w:val="FootnoteText"/>
      </w:pPr>
      <w:r w:rsidRPr="00541FF7">
        <w:rPr>
          <w:rStyle w:val="FootnoteReference"/>
          <w:rFonts w:ascii="Times" w:hAnsi="Times"/>
        </w:rPr>
        <w:footnoteRef/>
      </w:r>
      <w:r w:rsidRPr="00541FF7">
        <w:rPr>
          <w:rFonts w:ascii="Times" w:hAnsi="Times"/>
        </w:rPr>
        <w:t xml:space="preserve"> See: http://www.knowledgenetworks.com/knpanel/docs/KnowledgePanel%28R%29-Design-Summary-Description.pdf for a summary of the panel’s history and design.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2">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11393"/>
    <w:multiLevelType w:val="hybridMultilevel"/>
    <w:tmpl w:val="087CE4CE"/>
    <w:lvl w:ilvl="0" w:tplc="A3186F72">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546112"/>
    <w:multiLevelType w:val="hybridMultilevel"/>
    <w:tmpl w:val="88F2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F3879"/>
    <w:multiLevelType w:val="hybridMultilevel"/>
    <w:tmpl w:val="53ECF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04E65C0"/>
    <w:multiLevelType w:val="hybridMultilevel"/>
    <w:tmpl w:val="DF6E18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035A1C"/>
    <w:multiLevelType w:val="hybridMultilevel"/>
    <w:tmpl w:val="3DB4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670F2C"/>
    <w:multiLevelType w:val="hybridMultilevel"/>
    <w:tmpl w:val="976A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8405D4"/>
    <w:multiLevelType w:val="hybridMultilevel"/>
    <w:tmpl w:val="50ECC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C1301"/>
    <w:multiLevelType w:val="hybridMultilevel"/>
    <w:tmpl w:val="7E0E44C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255CE"/>
    <w:multiLevelType w:val="hybridMultilevel"/>
    <w:tmpl w:val="F040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946FB"/>
    <w:multiLevelType w:val="hybridMultilevel"/>
    <w:tmpl w:val="E1842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867247"/>
    <w:multiLevelType w:val="hybridMultilevel"/>
    <w:tmpl w:val="C776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E33CA4"/>
    <w:multiLevelType w:val="hybridMultilevel"/>
    <w:tmpl w:val="FBEAD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FC5691"/>
    <w:multiLevelType w:val="hybridMultilevel"/>
    <w:tmpl w:val="6D468430"/>
    <w:lvl w:ilvl="0" w:tplc="DFBCB7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EF64596"/>
    <w:multiLevelType w:val="hybridMultilevel"/>
    <w:tmpl w:val="82929C4A"/>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8">
    <w:nsid w:val="640A25B5"/>
    <w:multiLevelType w:val="hybridMultilevel"/>
    <w:tmpl w:val="B6CC577A"/>
    <w:lvl w:ilvl="0" w:tplc="0409000F">
      <w:start w:val="1"/>
      <w:numFmt w:val="decimal"/>
      <w:lvlText w:val="%1."/>
      <w:lvlJc w:val="left"/>
      <w:pPr>
        <w:ind w:left="1263" w:hanging="360"/>
      </w:pPr>
      <w:rPr>
        <w:rFonts w:hint="default"/>
      </w:rPr>
    </w:lvl>
    <w:lvl w:ilvl="1" w:tplc="04090003">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9">
    <w:nsid w:val="68C348A4"/>
    <w:multiLevelType w:val="hybridMultilevel"/>
    <w:tmpl w:val="F732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EF3B8B"/>
    <w:multiLevelType w:val="hybridMultilevel"/>
    <w:tmpl w:val="0FAEE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A2D01"/>
    <w:multiLevelType w:val="hybridMultilevel"/>
    <w:tmpl w:val="9BA44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5173C2F"/>
    <w:multiLevelType w:val="hybridMultilevel"/>
    <w:tmpl w:val="1D8E58E6"/>
    <w:lvl w:ilvl="0" w:tplc="EC96E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790E40"/>
    <w:multiLevelType w:val="hybridMultilevel"/>
    <w:tmpl w:val="B86A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
  </w:num>
  <w:num w:numId="4">
    <w:abstractNumId w:val="11"/>
  </w:num>
  <w:num w:numId="5">
    <w:abstractNumId w:val="0"/>
  </w:num>
  <w:num w:numId="6">
    <w:abstractNumId w:val="1"/>
  </w:num>
  <w:num w:numId="7">
    <w:abstractNumId w:val="3"/>
  </w:num>
  <w:num w:numId="8">
    <w:abstractNumId w:val="17"/>
  </w:num>
  <w:num w:numId="9">
    <w:abstractNumId w:val="18"/>
  </w:num>
  <w:num w:numId="10">
    <w:abstractNumId w:val="21"/>
  </w:num>
  <w:num w:numId="11">
    <w:abstractNumId w:val="13"/>
  </w:num>
  <w:num w:numId="12">
    <w:abstractNumId w:val="6"/>
  </w:num>
  <w:num w:numId="13">
    <w:abstractNumId w:val="10"/>
  </w:num>
  <w:num w:numId="14">
    <w:abstractNumId w:val="23"/>
  </w:num>
  <w:num w:numId="15">
    <w:abstractNumId w:val="14"/>
  </w:num>
  <w:num w:numId="16">
    <w:abstractNumId w:val="6"/>
  </w:num>
  <w:num w:numId="17">
    <w:abstractNumId w:val="19"/>
  </w:num>
  <w:num w:numId="18">
    <w:abstractNumId w:val="12"/>
  </w:num>
  <w:num w:numId="19">
    <w:abstractNumId w:val="7"/>
  </w:num>
  <w:num w:numId="20">
    <w:abstractNumId w:val="5"/>
  </w:num>
  <w:num w:numId="21">
    <w:abstractNumId w:val="15"/>
  </w:num>
  <w:num w:numId="22">
    <w:abstractNumId w:val="16"/>
  </w:num>
  <w:num w:numId="23">
    <w:abstractNumId w:val="24"/>
  </w:num>
  <w:num w:numId="24">
    <w:abstractNumId w:val="9"/>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3517"/>
    <w:rsid w:val="00003FA0"/>
    <w:rsid w:val="00006B4E"/>
    <w:rsid w:val="000070AE"/>
    <w:rsid w:val="000113F8"/>
    <w:rsid w:val="00012A34"/>
    <w:rsid w:val="0001543B"/>
    <w:rsid w:val="0001553C"/>
    <w:rsid w:val="00015879"/>
    <w:rsid w:val="00021698"/>
    <w:rsid w:val="0002172E"/>
    <w:rsid w:val="0002182D"/>
    <w:rsid w:val="00023B17"/>
    <w:rsid w:val="0002702C"/>
    <w:rsid w:val="0002721B"/>
    <w:rsid w:val="0002725B"/>
    <w:rsid w:val="0003084E"/>
    <w:rsid w:val="00032151"/>
    <w:rsid w:val="0003445F"/>
    <w:rsid w:val="000375B0"/>
    <w:rsid w:val="00040C8A"/>
    <w:rsid w:val="000421F7"/>
    <w:rsid w:val="0004251F"/>
    <w:rsid w:val="00045414"/>
    <w:rsid w:val="0004679C"/>
    <w:rsid w:val="00047BAA"/>
    <w:rsid w:val="00051DFC"/>
    <w:rsid w:val="00053C3C"/>
    <w:rsid w:val="00053E5B"/>
    <w:rsid w:val="00055265"/>
    <w:rsid w:val="00057977"/>
    <w:rsid w:val="000614A8"/>
    <w:rsid w:val="000633CB"/>
    <w:rsid w:val="000638DB"/>
    <w:rsid w:val="00064B2B"/>
    <w:rsid w:val="00065C4F"/>
    <w:rsid w:val="000672AA"/>
    <w:rsid w:val="00070B49"/>
    <w:rsid w:val="000718CA"/>
    <w:rsid w:val="0007288F"/>
    <w:rsid w:val="00072FC4"/>
    <w:rsid w:val="00080216"/>
    <w:rsid w:val="00080B9D"/>
    <w:rsid w:val="00080CD9"/>
    <w:rsid w:val="00083909"/>
    <w:rsid w:val="0008528A"/>
    <w:rsid w:val="00093133"/>
    <w:rsid w:val="000953AB"/>
    <w:rsid w:val="00097010"/>
    <w:rsid w:val="000A074D"/>
    <w:rsid w:val="000A1E31"/>
    <w:rsid w:val="000A7593"/>
    <w:rsid w:val="000B1B23"/>
    <w:rsid w:val="000B2AFD"/>
    <w:rsid w:val="000B6EAE"/>
    <w:rsid w:val="000B71D2"/>
    <w:rsid w:val="000C0984"/>
    <w:rsid w:val="000C5B60"/>
    <w:rsid w:val="000C6EE6"/>
    <w:rsid w:val="000C7FC6"/>
    <w:rsid w:val="000D6327"/>
    <w:rsid w:val="000D6602"/>
    <w:rsid w:val="000E21D2"/>
    <w:rsid w:val="000E2517"/>
    <w:rsid w:val="000E38BB"/>
    <w:rsid w:val="000E43F5"/>
    <w:rsid w:val="000E5910"/>
    <w:rsid w:val="000E705A"/>
    <w:rsid w:val="000E709C"/>
    <w:rsid w:val="000F1444"/>
    <w:rsid w:val="000F19F3"/>
    <w:rsid w:val="000F5522"/>
    <w:rsid w:val="00101DB8"/>
    <w:rsid w:val="001029B4"/>
    <w:rsid w:val="001031D5"/>
    <w:rsid w:val="001057E7"/>
    <w:rsid w:val="00106278"/>
    <w:rsid w:val="00106398"/>
    <w:rsid w:val="00107082"/>
    <w:rsid w:val="001102B4"/>
    <w:rsid w:val="001115CE"/>
    <w:rsid w:val="00114EC5"/>
    <w:rsid w:val="001156E1"/>
    <w:rsid w:val="00115D0C"/>
    <w:rsid w:val="00117071"/>
    <w:rsid w:val="00120954"/>
    <w:rsid w:val="00120FD4"/>
    <w:rsid w:val="00124BE4"/>
    <w:rsid w:val="00124D6A"/>
    <w:rsid w:val="00127FC5"/>
    <w:rsid w:val="001364F5"/>
    <w:rsid w:val="00136DA5"/>
    <w:rsid w:val="00137E9B"/>
    <w:rsid w:val="001414E9"/>
    <w:rsid w:val="00142C9E"/>
    <w:rsid w:val="00147A0E"/>
    <w:rsid w:val="001508BB"/>
    <w:rsid w:val="00153791"/>
    <w:rsid w:val="001545EF"/>
    <w:rsid w:val="00154B87"/>
    <w:rsid w:val="00156552"/>
    <w:rsid w:val="0016072E"/>
    <w:rsid w:val="00161D67"/>
    <w:rsid w:val="0017351B"/>
    <w:rsid w:val="0017686F"/>
    <w:rsid w:val="00184D31"/>
    <w:rsid w:val="00185978"/>
    <w:rsid w:val="00191F3A"/>
    <w:rsid w:val="0019662C"/>
    <w:rsid w:val="001A694D"/>
    <w:rsid w:val="001A7959"/>
    <w:rsid w:val="001B0036"/>
    <w:rsid w:val="001B0BFC"/>
    <w:rsid w:val="001B14B3"/>
    <w:rsid w:val="001B3AE9"/>
    <w:rsid w:val="001B5C73"/>
    <w:rsid w:val="001C00BA"/>
    <w:rsid w:val="001C23BF"/>
    <w:rsid w:val="001C5834"/>
    <w:rsid w:val="001C79D3"/>
    <w:rsid w:val="001D0305"/>
    <w:rsid w:val="001D1327"/>
    <w:rsid w:val="001E21E3"/>
    <w:rsid w:val="001E4A64"/>
    <w:rsid w:val="001E6EFD"/>
    <w:rsid w:val="001E6F62"/>
    <w:rsid w:val="001F180B"/>
    <w:rsid w:val="001F1C2C"/>
    <w:rsid w:val="001F7953"/>
    <w:rsid w:val="002015FF"/>
    <w:rsid w:val="00203160"/>
    <w:rsid w:val="0020437C"/>
    <w:rsid w:val="00211C1D"/>
    <w:rsid w:val="00215FA8"/>
    <w:rsid w:val="00216395"/>
    <w:rsid w:val="00216D3D"/>
    <w:rsid w:val="00217834"/>
    <w:rsid w:val="0022231D"/>
    <w:rsid w:val="00224D0E"/>
    <w:rsid w:val="002264EC"/>
    <w:rsid w:val="0023134F"/>
    <w:rsid w:val="0023239C"/>
    <w:rsid w:val="002355AE"/>
    <w:rsid w:val="00235854"/>
    <w:rsid w:val="0023757B"/>
    <w:rsid w:val="00237C24"/>
    <w:rsid w:val="00246910"/>
    <w:rsid w:val="00246D5B"/>
    <w:rsid w:val="00253239"/>
    <w:rsid w:val="002548D7"/>
    <w:rsid w:val="00260065"/>
    <w:rsid w:val="002607A7"/>
    <w:rsid w:val="00260E84"/>
    <w:rsid w:val="0026290F"/>
    <w:rsid w:val="00262CA5"/>
    <w:rsid w:val="00266928"/>
    <w:rsid w:val="00272F11"/>
    <w:rsid w:val="00274898"/>
    <w:rsid w:val="00274E8B"/>
    <w:rsid w:val="00280ED1"/>
    <w:rsid w:val="00283ADB"/>
    <w:rsid w:val="00284ED1"/>
    <w:rsid w:val="00287E6A"/>
    <w:rsid w:val="00294E24"/>
    <w:rsid w:val="00295B1F"/>
    <w:rsid w:val="002A128E"/>
    <w:rsid w:val="002A392C"/>
    <w:rsid w:val="002A73F3"/>
    <w:rsid w:val="002A7A19"/>
    <w:rsid w:val="002B101C"/>
    <w:rsid w:val="002B24F5"/>
    <w:rsid w:val="002B56DE"/>
    <w:rsid w:val="002B676C"/>
    <w:rsid w:val="002B7233"/>
    <w:rsid w:val="002C0C27"/>
    <w:rsid w:val="002C21CE"/>
    <w:rsid w:val="002C2BBB"/>
    <w:rsid w:val="002C3E47"/>
    <w:rsid w:val="002C5820"/>
    <w:rsid w:val="002C5875"/>
    <w:rsid w:val="002C6791"/>
    <w:rsid w:val="002C7E7D"/>
    <w:rsid w:val="002D40AD"/>
    <w:rsid w:val="002D4992"/>
    <w:rsid w:val="002D4DE0"/>
    <w:rsid w:val="002D6140"/>
    <w:rsid w:val="002D6639"/>
    <w:rsid w:val="002D7DAB"/>
    <w:rsid w:val="002E1322"/>
    <w:rsid w:val="002E2B87"/>
    <w:rsid w:val="002E2F93"/>
    <w:rsid w:val="002E35AD"/>
    <w:rsid w:val="002E3A77"/>
    <w:rsid w:val="002F109C"/>
    <w:rsid w:val="002F24D4"/>
    <w:rsid w:val="002F2FE2"/>
    <w:rsid w:val="002F42EA"/>
    <w:rsid w:val="002F53C9"/>
    <w:rsid w:val="002F6160"/>
    <w:rsid w:val="002F7727"/>
    <w:rsid w:val="00311341"/>
    <w:rsid w:val="00314A85"/>
    <w:rsid w:val="003165CC"/>
    <w:rsid w:val="003172C9"/>
    <w:rsid w:val="003213E6"/>
    <w:rsid w:val="00321443"/>
    <w:rsid w:val="0032796F"/>
    <w:rsid w:val="00330255"/>
    <w:rsid w:val="0033321D"/>
    <w:rsid w:val="00335415"/>
    <w:rsid w:val="00336293"/>
    <w:rsid w:val="003366A6"/>
    <w:rsid w:val="00337A8F"/>
    <w:rsid w:val="003453FD"/>
    <w:rsid w:val="00345C91"/>
    <w:rsid w:val="003462D1"/>
    <w:rsid w:val="0034781B"/>
    <w:rsid w:val="00347C51"/>
    <w:rsid w:val="00347FC7"/>
    <w:rsid w:val="003535FE"/>
    <w:rsid w:val="003604B6"/>
    <w:rsid w:val="0036267D"/>
    <w:rsid w:val="00364BED"/>
    <w:rsid w:val="00365220"/>
    <w:rsid w:val="003736A1"/>
    <w:rsid w:val="00373A27"/>
    <w:rsid w:val="00374E13"/>
    <w:rsid w:val="00375AB5"/>
    <w:rsid w:val="00377AE2"/>
    <w:rsid w:val="00380384"/>
    <w:rsid w:val="003825B6"/>
    <w:rsid w:val="003826A9"/>
    <w:rsid w:val="00386793"/>
    <w:rsid w:val="00392772"/>
    <w:rsid w:val="00394BB0"/>
    <w:rsid w:val="00395E82"/>
    <w:rsid w:val="003A048F"/>
    <w:rsid w:val="003A2294"/>
    <w:rsid w:val="003A344C"/>
    <w:rsid w:val="003A4626"/>
    <w:rsid w:val="003A55BD"/>
    <w:rsid w:val="003A79CC"/>
    <w:rsid w:val="003B2CBD"/>
    <w:rsid w:val="003C5519"/>
    <w:rsid w:val="003C7BF1"/>
    <w:rsid w:val="003D00BC"/>
    <w:rsid w:val="003D0AA8"/>
    <w:rsid w:val="003D18FD"/>
    <w:rsid w:val="003E1FD8"/>
    <w:rsid w:val="003E5B4E"/>
    <w:rsid w:val="003E69AF"/>
    <w:rsid w:val="003F4CFA"/>
    <w:rsid w:val="003F65D1"/>
    <w:rsid w:val="0040708D"/>
    <w:rsid w:val="004114BE"/>
    <w:rsid w:val="00411563"/>
    <w:rsid w:val="004131EF"/>
    <w:rsid w:val="004136F6"/>
    <w:rsid w:val="00414952"/>
    <w:rsid w:val="00415D6C"/>
    <w:rsid w:val="00421689"/>
    <w:rsid w:val="0042390D"/>
    <w:rsid w:val="00435225"/>
    <w:rsid w:val="00435DEC"/>
    <w:rsid w:val="00440EB2"/>
    <w:rsid w:val="004412B6"/>
    <w:rsid w:val="00443A53"/>
    <w:rsid w:val="00446C9F"/>
    <w:rsid w:val="00447191"/>
    <w:rsid w:val="0044722A"/>
    <w:rsid w:val="0044733C"/>
    <w:rsid w:val="00447560"/>
    <w:rsid w:val="0044766F"/>
    <w:rsid w:val="00452E6A"/>
    <w:rsid w:val="0045462B"/>
    <w:rsid w:val="0045518B"/>
    <w:rsid w:val="004557A4"/>
    <w:rsid w:val="00457D6D"/>
    <w:rsid w:val="0046659C"/>
    <w:rsid w:val="00475D93"/>
    <w:rsid w:val="00476B5E"/>
    <w:rsid w:val="0047714B"/>
    <w:rsid w:val="00477A56"/>
    <w:rsid w:val="00477E25"/>
    <w:rsid w:val="00481689"/>
    <w:rsid w:val="004836F8"/>
    <w:rsid w:val="00484F47"/>
    <w:rsid w:val="00491A36"/>
    <w:rsid w:val="00492BDB"/>
    <w:rsid w:val="00493065"/>
    <w:rsid w:val="00493101"/>
    <w:rsid w:val="00497BD6"/>
    <w:rsid w:val="004A6481"/>
    <w:rsid w:val="004A6B99"/>
    <w:rsid w:val="004B2EFE"/>
    <w:rsid w:val="004B5C37"/>
    <w:rsid w:val="004B5E8A"/>
    <w:rsid w:val="004C1676"/>
    <w:rsid w:val="004C3780"/>
    <w:rsid w:val="004C4432"/>
    <w:rsid w:val="004C504D"/>
    <w:rsid w:val="004C5C59"/>
    <w:rsid w:val="004C6792"/>
    <w:rsid w:val="004C6AF5"/>
    <w:rsid w:val="004C7994"/>
    <w:rsid w:val="004D0AFA"/>
    <w:rsid w:val="004D74D7"/>
    <w:rsid w:val="004E47DB"/>
    <w:rsid w:val="004E7D70"/>
    <w:rsid w:val="004E7F64"/>
    <w:rsid w:val="004F08B8"/>
    <w:rsid w:val="004F278C"/>
    <w:rsid w:val="004F2FE2"/>
    <w:rsid w:val="004F3FAE"/>
    <w:rsid w:val="004F6724"/>
    <w:rsid w:val="005028DF"/>
    <w:rsid w:val="00504FFC"/>
    <w:rsid w:val="0050508C"/>
    <w:rsid w:val="005052E9"/>
    <w:rsid w:val="005062E5"/>
    <w:rsid w:val="00506376"/>
    <w:rsid w:val="00510B52"/>
    <w:rsid w:val="005128F4"/>
    <w:rsid w:val="00512B5F"/>
    <w:rsid w:val="005144F4"/>
    <w:rsid w:val="00514901"/>
    <w:rsid w:val="00515A46"/>
    <w:rsid w:val="0051608B"/>
    <w:rsid w:val="00521A45"/>
    <w:rsid w:val="00523A94"/>
    <w:rsid w:val="00524C15"/>
    <w:rsid w:val="00525963"/>
    <w:rsid w:val="00533A11"/>
    <w:rsid w:val="005377B9"/>
    <w:rsid w:val="00540611"/>
    <w:rsid w:val="005406F3"/>
    <w:rsid w:val="00541FF7"/>
    <w:rsid w:val="00542854"/>
    <w:rsid w:val="00543972"/>
    <w:rsid w:val="00544534"/>
    <w:rsid w:val="00546127"/>
    <w:rsid w:val="005463FE"/>
    <w:rsid w:val="00546D06"/>
    <w:rsid w:val="00547A07"/>
    <w:rsid w:val="0055067F"/>
    <w:rsid w:val="00551EBC"/>
    <w:rsid w:val="00552786"/>
    <w:rsid w:val="00552C62"/>
    <w:rsid w:val="005534A0"/>
    <w:rsid w:val="00555DAF"/>
    <w:rsid w:val="005565BC"/>
    <w:rsid w:val="00556A92"/>
    <w:rsid w:val="00556E00"/>
    <w:rsid w:val="005572DC"/>
    <w:rsid w:val="00560FE1"/>
    <w:rsid w:val="0056258F"/>
    <w:rsid w:val="005628A6"/>
    <w:rsid w:val="005640A9"/>
    <w:rsid w:val="0056573A"/>
    <w:rsid w:val="00565870"/>
    <w:rsid w:val="005664BC"/>
    <w:rsid w:val="00570B71"/>
    <w:rsid w:val="00573097"/>
    <w:rsid w:val="00575798"/>
    <w:rsid w:val="00576CCB"/>
    <w:rsid w:val="005838A3"/>
    <w:rsid w:val="0058429D"/>
    <w:rsid w:val="005844B6"/>
    <w:rsid w:val="0058481E"/>
    <w:rsid w:val="00585877"/>
    <w:rsid w:val="00586A75"/>
    <w:rsid w:val="00590177"/>
    <w:rsid w:val="00592714"/>
    <w:rsid w:val="00593001"/>
    <w:rsid w:val="00594D46"/>
    <w:rsid w:val="00595658"/>
    <w:rsid w:val="0059766F"/>
    <w:rsid w:val="005A2144"/>
    <w:rsid w:val="005A22A8"/>
    <w:rsid w:val="005A36AE"/>
    <w:rsid w:val="005A3746"/>
    <w:rsid w:val="005A4965"/>
    <w:rsid w:val="005A63B6"/>
    <w:rsid w:val="005B1773"/>
    <w:rsid w:val="005B4D11"/>
    <w:rsid w:val="005B7D73"/>
    <w:rsid w:val="005C2803"/>
    <w:rsid w:val="005C5A3B"/>
    <w:rsid w:val="005C60AB"/>
    <w:rsid w:val="005C6FAA"/>
    <w:rsid w:val="005D274D"/>
    <w:rsid w:val="005D3156"/>
    <w:rsid w:val="005D352F"/>
    <w:rsid w:val="005E20CB"/>
    <w:rsid w:val="005E211C"/>
    <w:rsid w:val="005F17E2"/>
    <w:rsid w:val="005F306E"/>
    <w:rsid w:val="005F4237"/>
    <w:rsid w:val="005F4B55"/>
    <w:rsid w:val="005F6001"/>
    <w:rsid w:val="00601D28"/>
    <w:rsid w:val="00606DF0"/>
    <w:rsid w:val="00611B13"/>
    <w:rsid w:val="00612003"/>
    <w:rsid w:val="006125E3"/>
    <w:rsid w:val="00612705"/>
    <w:rsid w:val="00612DD3"/>
    <w:rsid w:val="00613793"/>
    <w:rsid w:val="0061637A"/>
    <w:rsid w:val="00620523"/>
    <w:rsid w:val="0062073F"/>
    <w:rsid w:val="0062633F"/>
    <w:rsid w:val="00626E28"/>
    <w:rsid w:val="00627E02"/>
    <w:rsid w:val="00631720"/>
    <w:rsid w:val="00633295"/>
    <w:rsid w:val="006369B0"/>
    <w:rsid w:val="00647F37"/>
    <w:rsid w:val="00650F5C"/>
    <w:rsid w:val="00652568"/>
    <w:rsid w:val="0065382F"/>
    <w:rsid w:val="006554F5"/>
    <w:rsid w:val="00660223"/>
    <w:rsid w:val="00661698"/>
    <w:rsid w:val="006620B6"/>
    <w:rsid w:val="00665A82"/>
    <w:rsid w:val="00670F8B"/>
    <w:rsid w:val="00671C6B"/>
    <w:rsid w:val="006742D1"/>
    <w:rsid w:val="00674871"/>
    <w:rsid w:val="006804F1"/>
    <w:rsid w:val="00680B6E"/>
    <w:rsid w:val="0068325D"/>
    <w:rsid w:val="006876C3"/>
    <w:rsid w:val="0069032F"/>
    <w:rsid w:val="006919CA"/>
    <w:rsid w:val="00691DB1"/>
    <w:rsid w:val="00692A97"/>
    <w:rsid w:val="00695F8E"/>
    <w:rsid w:val="00696DA9"/>
    <w:rsid w:val="006A3C7D"/>
    <w:rsid w:val="006B073D"/>
    <w:rsid w:val="006B0C1A"/>
    <w:rsid w:val="006B57DB"/>
    <w:rsid w:val="006B6B7D"/>
    <w:rsid w:val="006B6B88"/>
    <w:rsid w:val="006C1C4E"/>
    <w:rsid w:val="006C3DCA"/>
    <w:rsid w:val="006C4517"/>
    <w:rsid w:val="006C698A"/>
    <w:rsid w:val="006C6E69"/>
    <w:rsid w:val="006C7CBB"/>
    <w:rsid w:val="006C7D28"/>
    <w:rsid w:val="006D0E0C"/>
    <w:rsid w:val="006D2AA4"/>
    <w:rsid w:val="006D5D30"/>
    <w:rsid w:val="006D7411"/>
    <w:rsid w:val="006D77E8"/>
    <w:rsid w:val="006E1902"/>
    <w:rsid w:val="006E194F"/>
    <w:rsid w:val="006E3CCD"/>
    <w:rsid w:val="006E5E4B"/>
    <w:rsid w:val="006E6804"/>
    <w:rsid w:val="006E7164"/>
    <w:rsid w:val="006E7F53"/>
    <w:rsid w:val="006F0A13"/>
    <w:rsid w:val="006F0B3D"/>
    <w:rsid w:val="006F1325"/>
    <w:rsid w:val="006F3F3F"/>
    <w:rsid w:val="006F4286"/>
    <w:rsid w:val="006F68D2"/>
    <w:rsid w:val="00702344"/>
    <w:rsid w:val="00703EC1"/>
    <w:rsid w:val="007102DB"/>
    <w:rsid w:val="00710FA9"/>
    <w:rsid w:val="00711038"/>
    <w:rsid w:val="00711249"/>
    <w:rsid w:val="00714B91"/>
    <w:rsid w:val="00714C6C"/>
    <w:rsid w:val="00715582"/>
    <w:rsid w:val="00717046"/>
    <w:rsid w:val="007174CC"/>
    <w:rsid w:val="00720055"/>
    <w:rsid w:val="00720B71"/>
    <w:rsid w:val="00721598"/>
    <w:rsid w:val="0072243A"/>
    <w:rsid w:val="00724B60"/>
    <w:rsid w:val="00724FF8"/>
    <w:rsid w:val="007269FB"/>
    <w:rsid w:val="0072790E"/>
    <w:rsid w:val="00730271"/>
    <w:rsid w:val="00730DB1"/>
    <w:rsid w:val="00732D45"/>
    <w:rsid w:val="007340C9"/>
    <w:rsid w:val="00754DB9"/>
    <w:rsid w:val="00755331"/>
    <w:rsid w:val="00757941"/>
    <w:rsid w:val="0075799C"/>
    <w:rsid w:val="00762B91"/>
    <w:rsid w:val="007634E0"/>
    <w:rsid w:val="0076495D"/>
    <w:rsid w:val="00765532"/>
    <w:rsid w:val="0077320D"/>
    <w:rsid w:val="00774130"/>
    <w:rsid w:val="00776D81"/>
    <w:rsid w:val="00780235"/>
    <w:rsid w:val="00780939"/>
    <w:rsid w:val="00781F00"/>
    <w:rsid w:val="00782F53"/>
    <w:rsid w:val="00784CBA"/>
    <w:rsid w:val="00784D81"/>
    <w:rsid w:val="00787C63"/>
    <w:rsid w:val="00790B02"/>
    <w:rsid w:val="00790B6C"/>
    <w:rsid w:val="00791050"/>
    <w:rsid w:val="00792001"/>
    <w:rsid w:val="00792B5D"/>
    <w:rsid w:val="007940BF"/>
    <w:rsid w:val="00795AFD"/>
    <w:rsid w:val="007A2A8E"/>
    <w:rsid w:val="007A355C"/>
    <w:rsid w:val="007A72ED"/>
    <w:rsid w:val="007A7D7E"/>
    <w:rsid w:val="007B0817"/>
    <w:rsid w:val="007B5CBA"/>
    <w:rsid w:val="007C09AF"/>
    <w:rsid w:val="007C3B86"/>
    <w:rsid w:val="007D2F94"/>
    <w:rsid w:val="007D346A"/>
    <w:rsid w:val="007D752B"/>
    <w:rsid w:val="007D799F"/>
    <w:rsid w:val="007E00DC"/>
    <w:rsid w:val="007E0707"/>
    <w:rsid w:val="007E1F16"/>
    <w:rsid w:val="007E489E"/>
    <w:rsid w:val="007E5785"/>
    <w:rsid w:val="007E659F"/>
    <w:rsid w:val="007E670D"/>
    <w:rsid w:val="007E7DEF"/>
    <w:rsid w:val="007F336E"/>
    <w:rsid w:val="007F4C83"/>
    <w:rsid w:val="007F70BB"/>
    <w:rsid w:val="007F7376"/>
    <w:rsid w:val="00800E72"/>
    <w:rsid w:val="00801874"/>
    <w:rsid w:val="00803511"/>
    <w:rsid w:val="008045A8"/>
    <w:rsid w:val="00804E56"/>
    <w:rsid w:val="008057E5"/>
    <w:rsid w:val="00805A53"/>
    <w:rsid w:val="00806B71"/>
    <w:rsid w:val="00807535"/>
    <w:rsid w:val="00807E99"/>
    <w:rsid w:val="00810634"/>
    <w:rsid w:val="00823703"/>
    <w:rsid w:val="00826DF1"/>
    <w:rsid w:val="008356ED"/>
    <w:rsid w:val="00836F53"/>
    <w:rsid w:val="00837541"/>
    <w:rsid w:val="0084165C"/>
    <w:rsid w:val="00842082"/>
    <w:rsid w:val="00842A44"/>
    <w:rsid w:val="00842C96"/>
    <w:rsid w:val="00842EBA"/>
    <w:rsid w:val="00843C58"/>
    <w:rsid w:val="008448C2"/>
    <w:rsid w:val="008450DA"/>
    <w:rsid w:val="008456D6"/>
    <w:rsid w:val="00845B80"/>
    <w:rsid w:val="00846CF7"/>
    <w:rsid w:val="0085024A"/>
    <w:rsid w:val="00851DFD"/>
    <w:rsid w:val="00852418"/>
    <w:rsid w:val="00856665"/>
    <w:rsid w:val="00856E5F"/>
    <w:rsid w:val="00857477"/>
    <w:rsid w:val="00857536"/>
    <w:rsid w:val="00860711"/>
    <w:rsid w:val="00863334"/>
    <w:rsid w:val="008635F0"/>
    <w:rsid w:val="008649C8"/>
    <w:rsid w:val="0087003F"/>
    <w:rsid w:val="00870F7A"/>
    <w:rsid w:val="008757EB"/>
    <w:rsid w:val="008877C0"/>
    <w:rsid w:val="008963A4"/>
    <w:rsid w:val="008A0074"/>
    <w:rsid w:val="008A4EF5"/>
    <w:rsid w:val="008A55B7"/>
    <w:rsid w:val="008A7D73"/>
    <w:rsid w:val="008B304C"/>
    <w:rsid w:val="008C3643"/>
    <w:rsid w:val="008C67F7"/>
    <w:rsid w:val="008D257F"/>
    <w:rsid w:val="008D54BF"/>
    <w:rsid w:val="008D660D"/>
    <w:rsid w:val="008E0BA9"/>
    <w:rsid w:val="008E19CC"/>
    <w:rsid w:val="008E1DEA"/>
    <w:rsid w:val="008F4F92"/>
    <w:rsid w:val="008F5E2B"/>
    <w:rsid w:val="00900BE2"/>
    <w:rsid w:val="009012CF"/>
    <w:rsid w:val="00901690"/>
    <w:rsid w:val="00901751"/>
    <w:rsid w:val="00901D53"/>
    <w:rsid w:val="009021E8"/>
    <w:rsid w:val="00910886"/>
    <w:rsid w:val="00910A72"/>
    <w:rsid w:val="00912C4C"/>
    <w:rsid w:val="0091422D"/>
    <w:rsid w:val="00915767"/>
    <w:rsid w:val="009171BE"/>
    <w:rsid w:val="0091738F"/>
    <w:rsid w:val="00917657"/>
    <w:rsid w:val="009218A7"/>
    <w:rsid w:val="00931FBE"/>
    <w:rsid w:val="00935096"/>
    <w:rsid w:val="009363E6"/>
    <w:rsid w:val="009400D2"/>
    <w:rsid w:val="009529CE"/>
    <w:rsid w:val="00954C70"/>
    <w:rsid w:val="00962DF1"/>
    <w:rsid w:val="009632D5"/>
    <w:rsid w:val="0096602E"/>
    <w:rsid w:val="009666CA"/>
    <w:rsid w:val="00967552"/>
    <w:rsid w:val="009722AA"/>
    <w:rsid w:val="009726DB"/>
    <w:rsid w:val="009739B8"/>
    <w:rsid w:val="00974CA1"/>
    <w:rsid w:val="009753B2"/>
    <w:rsid w:val="009758D1"/>
    <w:rsid w:val="00980278"/>
    <w:rsid w:val="00980D9A"/>
    <w:rsid w:val="00984A24"/>
    <w:rsid w:val="00984CF8"/>
    <w:rsid w:val="0099128F"/>
    <w:rsid w:val="00991653"/>
    <w:rsid w:val="00997C4D"/>
    <w:rsid w:val="009A28DB"/>
    <w:rsid w:val="009A29CB"/>
    <w:rsid w:val="009A3551"/>
    <w:rsid w:val="009A5ED1"/>
    <w:rsid w:val="009A76A7"/>
    <w:rsid w:val="009A77DB"/>
    <w:rsid w:val="009B134A"/>
    <w:rsid w:val="009B19C1"/>
    <w:rsid w:val="009B2C27"/>
    <w:rsid w:val="009B2CF1"/>
    <w:rsid w:val="009B3A4C"/>
    <w:rsid w:val="009B3B72"/>
    <w:rsid w:val="009B4DA6"/>
    <w:rsid w:val="009B5F0E"/>
    <w:rsid w:val="009B63E1"/>
    <w:rsid w:val="009B710C"/>
    <w:rsid w:val="009C2A11"/>
    <w:rsid w:val="009C303F"/>
    <w:rsid w:val="009C34AD"/>
    <w:rsid w:val="009C3F9D"/>
    <w:rsid w:val="009C6F6D"/>
    <w:rsid w:val="009D2C9F"/>
    <w:rsid w:val="009D761A"/>
    <w:rsid w:val="009E4506"/>
    <w:rsid w:val="009E5C60"/>
    <w:rsid w:val="009E6448"/>
    <w:rsid w:val="009E666E"/>
    <w:rsid w:val="009E6A2F"/>
    <w:rsid w:val="009F0F87"/>
    <w:rsid w:val="009F1218"/>
    <w:rsid w:val="009F516D"/>
    <w:rsid w:val="009F5DC0"/>
    <w:rsid w:val="009F658A"/>
    <w:rsid w:val="009F6960"/>
    <w:rsid w:val="00A01812"/>
    <w:rsid w:val="00A04C51"/>
    <w:rsid w:val="00A05895"/>
    <w:rsid w:val="00A0648B"/>
    <w:rsid w:val="00A1054A"/>
    <w:rsid w:val="00A10ECC"/>
    <w:rsid w:val="00A119E2"/>
    <w:rsid w:val="00A124A4"/>
    <w:rsid w:val="00A12FDC"/>
    <w:rsid w:val="00A14172"/>
    <w:rsid w:val="00A21069"/>
    <w:rsid w:val="00A221C2"/>
    <w:rsid w:val="00A24E88"/>
    <w:rsid w:val="00A26566"/>
    <w:rsid w:val="00A31147"/>
    <w:rsid w:val="00A3793D"/>
    <w:rsid w:val="00A40912"/>
    <w:rsid w:val="00A40E81"/>
    <w:rsid w:val="00A4202A"/>
    <w:rsid w:val="00A421B3"/>
    <w:rsid w:val="00A461F0"/>
    <w:rsid w:val="00A4661E"/>
    <w:rsid w:val="00A4698E"/>
    <w:rsid w:val="00A47768"/>
    <w:rsid w:val="00A50B60"/>
    <w:rsid w:val="00A56E6D"/>
    <w:rsid w:val="00A571D3"/>
    <w:rsid w:val="00A60422"/>
    <w:rsid w:val="00A604A3"/>
    <w:rsid w:val="00A617CA"/>
    <w:rsid w:val="00A63920"/>
    <w:rsid w:val="00A65B4D"/>
    <w:rsid w:val="00A66375"/>
    <w:rsid w:val="00A67DE5"/>
    <w:rsid w:val="00A70518"/>
    <w:rsid w:val="00A70CDB"/>
    <w:rsid w:val="00A71A43"/>
    <w:rsid w:val="00A76445"/>
    <w:rsid w:val="00A77530"/>
    <w:rsid w:val="00A81632"/>
    <w:rsid w:val="00A8186C"/>
    <w:rsid w:val="00A82710"/>
    <w:rsid w:val="00A84EA1"/>
    <w:rsid w:val="00A84F03"/>
    <w:rsid w:val="00A853F0"/>
    <w:rsid w:val="00A875DC"/>
    <w:rsid w:val="00A91940"/>
    <w:rsid w:val="00A91F20"/>
    <w:rsid w:val="00A92B2D"/>
    <w:rsid w:val="00AA1E9B"/>
    <w:rsid w:val="00AA2EA4"/>
    <w:rsid w:val="00AA3987"/>
    <w:rsid w:val="00AA3BC5"/>
    <w:rsid w:val="00AA6FFE"/>
    <w:rsid w:val="00AA703E"/>
    <w:rsid w:val="00AB22F7"/>
    <w:rsid w:val="00AC101B"/>
    <w:rsid w:val="00AC2D9E"/>
    <w:rsid w:val="00AC5338"/>
    <w:rsid w:val="00AC7665"/>
    <w:rsid w:val="00AD09F8"/>
    <w:rsid w:val="00AD2342"/>
    <w:rsid w:val="00AD2E26"/>
    <w:rsid w:val="00AE28C3"/>
    <w:rsid w:val="00AE345E"/>
    <w:rsid w:val="00AE5B81"/>
    <w:rsid w:val="00AE682D"/>
    <w:rsid w:val="00AE7D67"/>
    <w:rsid w:val="00AE7DF8"/>
    <w:rsid w:val="00AF03F2"/>
    <w:rsid w:val="00AF0D15"/>
    <w:rsid w:val="00AF26BD"/>
    <w:rsid w:val="00AF3871"/>
    <w:rsid w:val="00B0545F"/>
    <w:rsid w:val="00B05631"/>
    <w:rsid w:val="00B05D85"/>
    <w:rsid w:val="00B123C4"/>
    <w:rsid w:val="00B1246A"/>
    <w:rsid w:val="00B13589"/>
    <w:rsid w:val="00B16B4B"/>
    <w:rsid w:val="00B209F0"/>
    <w:rsid w:val="00B239B4"/>
    <w:rsid w:val="00B2401A"/>
    <w:rsid w:val="00B30A76"/>
    <w:rsid w:val="00B31580"/>
    <w:rsid w:val="00B32B10"/>
    <w:rsid w:val="00B348BB"/>
    <w:rsid w:val="00B35458"/>
    <w:rsid w:val="00B3607E"/>
    <w:rsid w:val="00B3681D"/>
    <w:rsid w:val="00B36EA2"/>
    <w:rsid w:val="00B41C4C"/>
    <w:rsid w:val="00B569F3"/>
    <w:rsid w:val="00B56EB6"/>
    <w:rsid w:val="00B57166"/>
    <w:rsid w:val="00B579A6"/>
    <w:rsid w:val="00B57E59"/>
    <w:rsid w:val="00B635AD"/>
    <w:rsid w:val="00B638FB"/>
    <w:rsid w:val="00B63EE7"/>
    <w:rsid w:val="00B64C12"/>
    <w:rsid w:val="00B65F2D"/>
    <w:rsid w:val="00B7131E"/>
    <w:rsid w:val="00B73591"/>
    <w:rsid w:val="00B8369C"/>
    <w:rsid w:val="00B84251"/>
    <w:rsid w:val="00B85C5F"/>
    <w:rsid w:val="00B96CF7"/>
    <w:rsid w:val="00B96F9B"/>
    <w:rsid w:val="00BA3B53"/>
    <w:rsid w:val="00BA3D4C"/>
    <w:rsid w:val="00BA570C"/>
    <w:rsid w:val="00BA5F80"/>
    <w:rsid w:val="00BA6235"/>
    <w:rsid w:val="00BA77B5"/>
    <w:rsid w:val="00BB19BD"/>
    <w:rsid w:val="00BB2A67"/>
    <w:rsid w:val="00BB3608"/>
    <w:rsid w:val="00BB7CA8"/>
    <w:rsid w:val="00BC026D"/>
    <w:rsid w:val="00BC259C"/>
    <w:rsid w:val="00BC4F7A"/>
    <w:rsid w:val="00BC6B62"/>
    <w:rsid w:val="00BC72B7"/>
    <w:rsid w:val="00BD1CFD"/>
    <w:rsid w:val="00BD3C5B"/>
    <w:rsid w:val="00BE4CC6"/>
    <w:rsid w:val="00BE5531"/>
    <w:rsid w:val="00BE557D"/>
    <w:rsid w:val="00BE5EE6"/>
    <w:rsid w:val="00BF07D9"/>
    <w:rsid w:val="00BF28A6"/>
    <w:rsid w:val="00BF2B12"/>
    <w:rsid w:val="00BF3C72"/>
    <w:rsid w:val="00BF5FC0"/>
    <w:rsid w:val="00C010E1"/>
    <w:rsid w:val="00C02D4F"/>
    <w:rsid w:val="00C11E2E"/>
    <w:rsid w:val="00C13C92"/>
    <w:rsid w:val="00C200DB"/>
    <w:rsid w:val="00C21B5E"/>
    <w:rsid w:val="00C30D54"/>
    <w:rsid w:val="00C34405"/>
    <w:rsid w:val="00C3559D"/>
    <w:rsid w:val="00C35769"/>
    <w:rsid w:val="00C41DCE"/>
    <w:rsid w:val="00C429F1"/>
    <w:rsid w:val="00C449E7"/>
    <w:rsid w:val="00C460F6"/>
    <w:rsid w:val="00C511EF"/>
    <w:rsid w:val="00C54873"/>
    <w:rsid w:val="00C60951"/>
    <w:rsid w:val="00C65641"/>
    <w:rsid w:val="00C720C2"/>
    <w:rsid w:val="00C72C85"/>
    <w:rsid w:val="00C80AE6"/>
    <w:rsid w:val="00C8610F"/>
    <w:rsid w:val="00C87852"/>
    <w:rsid w:val="00C90056"/>
    <w:rsid w:val="00C90E08"/>
    <w:rsid w:val="00C90F16"/>
    <w:rsid w:val="00C93FA9"/>
    <w:rsid w:val="00C94FD3"/>
    <w:rsid w:val="00C9758C"/>
    <w:rsid w:val="00CA164C"/>
    <w:rsid w:val="00CA3731"/>
    <w:rsid w:val="00CA53C6"/>
    <w:rsid w:val="00CA7031"/>
    <w:rsid w:val="00CA7EB9"/>
    <w:rsid w:val="00CB3259"/>
    <w:rsid w:val="00CB691E"/>
    <w:rsid w:val="00CC4CA2"/>
    <w:rsid w:val="00CC5E1C"/>
    <w:rsid w:val="00CC5F22"/>
    <w:rsid w:val="00CC7C3B"/>
    <w:rsid w:val="00CD1551"/>
    <w:rsid w:val="00CD2A52"/>
    <w:rsid w:val="00CD316D"/>
    <w:rsid w:val="00CD35AB"/>
    <w:rsid w:val="00CD3ED8"/>
    <w:rsid w:val="00CD4E5E"/>
    <w:rsid w:val="00CD513E"/>
    <w:rsid w:val="00CE0F51"/>
    <w:rsid w:val="00CE5AAB"/>
    <w:rsid w:val="00CE7955"/>
    <w:rsid w:val="00CF31D2"/>
    <w:rsid w:val="00CF445A"/>
    <w:rsid w:val="00CF6E31"/>
    <w:rsid w:val="00D045A0"/>
    <w:rsid w:val="00D06A59"/>
    <w:rsid w:val="00D074F8"/>
    <w:rsid w:val="00D139E0"/>
    <w:rsid w:val="00D149EC"/>
    <w:rsid w:val="00D1661A"/>
    <w:rsid w:val="00D20088"/>
    <w:rsid w:val="00D22D4E"/>
    <w:rsid w:val="00D2331B"/>
    <w:rsid w:val="00D3200B"/>
    <w:rsid w:val="00D3306F"/>
    <w:rsid w:val="00D37A48"/>
    <w:rsid w:val="00D41A65"/>
    <w:rsid w:val="00D44C95"/>
    <w:rsid w:val="00D45570"/>
    <w:rsid w:val="00D4581E"/>
    <w:rsid w:val="00D46CD1"/>
    <w:rsid w:val="00D53BAB"/>
    <w:rsid w:val="00D56530"/>
    <w:rsid w:val="00D64514"/>
    <w:rsid w:val="00D711F1"/>
    <w:rsid w:val="00D72CDD"/>
    <w:rsid w:val="00D73282"/>
    <w:rsid w:val="00D772F7"/>
    <w:rsid w:val="00D81ACF"/>
    <w:rsid w:val="00D863DB"/>
    <w:rsid w:val="00D879BC"/>
    <w:rsid w:val="00D91C73"/>
    <w:rsid w:val="00D92265"/>
    <w:rsid w:val="00D97445"/>
    <w:rsid w:val="00DA0308"/>
    <w:rsid w:val="00DA0B9E"/>
    <w:rsid w:val="00DA1D20"/>
    <w:rsid w:val="00DA4E03"/>
    <w:rsid w:val="00DB1398"/>
    <w:rsid w:val="00DB35C6"/>
    <w:rsid w:val="00DB3B63"/>
    <w:rsid w:val="00DC35B7"/>
    <w:rsid w:val="00DC4B5A"/>
    <w:rsid w:val="00DC6506"/>
    <w:rsid w:val="00DC6829"/>
    <w:rsid w:val="00DC68CE"/>
    <w:rsid w:val="00DD2A42"/>
    <w:rsid w:val="00DD3715"/>
    <w:rsid w:val="00DD6CAE"/>
    <w:rsid w:val="00DE1E12"/>
    <w:rsid w:val="00DE2595"/>
    <w:rsid w:val="00DE36D5"/>
    <w:rsid w:val="00DE555B"/>
    <w:rsid w:val="00DE5D1B"/>
    <w:rsid w:val="00DE6914"/>
    <w:rsid w:val="00DE7560"/>
    <w:rsid w:val="00DE7B87"/>
    <w:rsid w:val="00DF0615"/>
    <w:rsid w:val="00DF1A4D"/>
    <w:rsid w:val="00E009F7"/>
    <w:rsid w:val="00E06400"/>
    <w:rsid w:val="00E07762"/>
    <w:rsid w:val="00E13659"/>
    <w:rsid w:val="00E14265"/>
    <w:rsid w:val="00E14C3D"/>
    <w:rsid w:val="00E15620"/>
    <w:rsid w:val="00E16998"/>
    <w:rsid w:val="00E172EE"/>
    <w:rsid w:val="00E2047A"/>
    <w:rsid w:val="00E3032F"/>
    <w:rsid w:val="00E314A2"/>
    <w:rsid w:val="00E336D7"/>
    <w:rsid w:val="00E41CBC"/>
    <w:rsid w:val="00E42001"/>
    <w:rsid w:val="00E4249A"/>
    <w:rsid w:val="00E42618"/>
    <w:rsid w:val="00E45DCB"/>
    <w:rsid w:val="00E50103"/>
    <w:rsid w:val="00E52DA9"/>
    <w:rsid w:val="00E55074"/>
    <w:rsid w:val="00E64963"/>
    <w:rsid w:val="00E6551E"/>
    <w:rsid w:val="00E66CDD"/>
    <w:rsid w:val="00E66F44"/>
    <w:rsid w:val="00E707D2"/>
    <w:rsid w:val="00E70CE9"/>
    <w:rsid w:val="00E717B2"/>
    <w:rsid w:val="00E73330"/>
    <w:rsid w:val="00E73884"/>
    <w:rsid w:val="00E742F5"/>
    <w:rsid w:val="00E743C1"/>
    <w:rsid w:val="00E76DE2"/>
    <w:rsid w:val="00E81909"/>
    <w:rsid w:val="00E827FB"/>
    <w:rsid w:val="00E83A41"/>
    <w:rsid w:val="00E86AA9"/>
    <w:rsid w:val="00E932AB"/>
    <w:rsid w:val="00E942AE"/>
    <w:rsid w:val="00E955B1"/>
    <w:rsid w:val="00E95BBD"/>
    <w:rsid w:val="00E976C7"/>
    <w:rsid w:val="00EA06CE"/>
    <w:rsid w:val="00EA2BD3"/>
    <w:rsid w:val="00EA3CCA"/>
    <w:rsid w:val="00EA6EC6"/>
    <w:rsid w:val="00EB3BF6"/>
    <w:rsid w:val="00EB5387"/>
    <w:rsid w:val="00EB7B52"/>
    <w:rsid w:val="00EC368A"/>
    <w:rsid w:val="00EC3D31"/>
    <w:rsid w:val="00EC407A"/>
    <w:rsid w:val="00EC569D"/>
    <w:rsid w:val="00EC5B2E"/>
    <w:rsid w:val="00ED002D"/>
    <w:rsid w:val="00ED1772"/>
    <w:rsid w:val="00ED6F8A"/>
    <w:rsid w:val="00EE047D"/>
    <w:rsid w:val="00EE1E65"/>
    <w:rsid w:val="00EF3DAD"/>
    <w:rsid w:val="00EF61B3"/>
    <w:rsid w:val="00EF7543"/>
    <w:rsid w:val="00EF7A65"/>
    <w:rsid w:val="00F01A56"/>
    <w:rsid w:val="00F02C86"/>
    <w:rsid w:val="00F04769"/>
    <w:rsid w:val="00F053AB"/>
    <w:rsid w:val="00F05AD7"/>
    <w:rsid w:val="00F05BFA"/>
    <w:rsid w:val="00F12A9B"/>
    <w:rsid w:val="00F14C63"/>
    <w:rsid w:val="00F15918"/>
    <w:rsid w:val="00F16281"/>
    <w:rsid w:val="00F22A09"/>
    <w:rsid w:val="00F2497A"/>
    <w:rsid w:val="00F24AE0"/>
    <w:rsid w:val="00F27632"/>
    <w:rsid w:val="00F3001C"/>
    <w:rsid w:val="00F32DE0"/>
    <w:rsid w:val="00F33953"/>
    <w:rsid w:val="00F403F4"/>
    <w:rsid w:val="00F40787"/>
    <w:rsid w:val="00F438B8"/>
    <w:rsid w:val="00F44134"/>
    <w:rsid w:val="00F462DD"/>
    <w:rsid w:val="00F50427"/>
    <w:rsid w:val="00F54456"/>
    <w:rsid w:val="00F62432"/>
    <w:rsid w:val="00F63407"/>
    <w:rsid w:val="00F659CD"/>
    <w:rsid w:val="00F73C2E"/>
    <w:rsid w:val="00F73EC8"/>
    <w:rsid w:val="00F75EB9"/>
    <w:rsid w:val="00F76410"/>
    <w:rsid w:val="00F80F0A"/>
    <w:rsid w:val="00F817A1"/>
    <w:rsid w:val="00F85D95"/>
    <w:rsid w:val="00F90D2F"/>
    <w:rsid w:val="00F924F9"/>
    <w:rsid w:val="00F93D52"/>
    <w:rsid w:val="00F94B99"/>
    <w:rsid w:val="00F95F08"/>
    <w:rsid w:val="00FA1175"/>
    <w:rsid w:val="00FA4049"/>
    <w:rsid w:val="00FA5F20"/>
    <w:rsid w:val="00FA7BBF"/>
    <w:rsid w:val="00FB0E0A"/>
    <w:rsid w:val="00FB1838"/>
    <w:rsid w:val="00FB2527"/>
    <w:rsid w:val="00FB296C"/>
    <w:rsid w:val="00FB3289"/>
    <w:rsid w:val="00FB424A"/>
    <w:rsid w:val="00FB6ABD"/>
    <w:rsid w:val="00FB6F8B"/>
    <w:rsid w:val="00FC0636"/>
    <w:rsid w:val="00FC13D5"/>
    <w:rsid w:val="00FC203D"/>
    <w:rsid w:val="00FC3203"/>
    <w:rsid w:val="00FC3F5F"/>
    <w:rsid w:val="00FC7A50"/>
    <w:rsid w:val="00FD1C8B"/>
    <w:rsid w:val="00FD3984"/>
    <w:rsid w:val="00FD4B78"/>
    <w:rsid w:val="00FD57D0"/>
    <w:rsid w:val="00FD601A"/>
    <w:rsid w:val="00FE3FDA"/>
    <w:rsid w:val="00FE4367"/>
    <w:rsid w:val="00FE6A41"/>
    <w:rsid w:val="00FE6BB0"/>
    <w:rsid w:val="00FF11E2"/>
    <w:rsid w:val="00FF1E6F"/>
    <w:rsid w:val="00FF238D"/>
    <w:rsid w:val="00FF4054"/>
    <w:rsid w:val="00FF5406"/>
    <w:rsid w:val="00FF5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901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aliases w:val="F1"/>
    <w:basedOn w:val="Normal"/>
    <w:link w:val="FootnoteTextChar"/>
    <w:uiPriority w:val="99"/>
    <w:unhideWhenUsed/>
    <w:rsid w:val="000D6327"/>
    <w:rPr>
      <w:sz w:val="20"/>
      <w:szCs w:val="20"/>
    </w:rPr>
  </w:style>
  <w:style w:type="character" w:customStyle="1" w:styleId="FootnoteTextChar">
    <w:name w:val="Footnote Text Char"/>
    <w:aliases w:val="F1 Char"/>
    <w:basedOn w:val="DefaultParagraphFont"/>
    <w:link w:val="FootnoteText"/>
    <w:uiPriority w:val="99"/>
    <w:rsid w:val="000D6327"/>
    <w:rPr>
      <w:rFonts w:eastAsia="Times New Roman" w:cs="Times New Roman"/>
      <w:sz w:val="20"/>
      <w:szCs w:val="20"/>
    </w:rPr>
  </w:style>
  <w:style w:type="character" w:styleId="FootnoteReference">
    <w:name w:val="footnote reference"/>
    <w:basedOn w:val="DefaultParagraphFont"/>
    <w:uiPriority w:val="99"/>
    <w:unhideWhenUsed/>
    <w:rsid w:val="000D6327"/>
    <w:rPr>
      <w:vertAlign w:val="superscript"/>
    </w:rPr>
  </w:style>
  <w:style w:type="paragraph" w:customStyle="1" w:styleId="Default">
    <w:name w:val="Default"/>
    <w:rsid w:val="00127FC5"/>
    <w:pPr>
      <w:autoSpaceDE w:val="0"/>
      <w:autoSpaceDN w:val="0"/>
      <w:adjustRightInd w:val="0"/>
    </w:pPr>
    <w:rPr>
      <w:rFonts w:ascii="Arial" w:eastAsia="Times New Roman" w:hAnsi="Arial" w:cs="Arial"/>
      <w:color w:val="000000"/>
    </w:rPr>
  </w:style>
  <w:style w:type="character" w:customStyle="1" w:styleId="ListParagraphChar">
    <w:name w:val="List Paragraph Char"/>
    <w:basedOn w:val="DefaultParagraphFont"/>
    <w:link w:val="ListParagraph"/>
    <w:uiPriority w:val="34"/>
    <w:rsid w:val="00127FC5"/>
    <w:rPr>
      <w:rFonts w:eastAsia="Times New Roman" w:cs="Times New Roman"/>
    </w:rPr>
  </w:style>
  <w:style w:type="table" w:customStyle="1" w:styleId="TableGrid1">
    <w:name w:val="Table Grid1"/>
    <w:basedOn w:val="TableNormal"/>
    <w:next w:val="TableGrid"/>
    <w:uiPriority w:val="59"/>
    <w:rsid w:val="008963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Details">
    <w:name w:val="Cover - Document Details"/>
    <w:basedOn w:val="Normal"/>
    <w:rsid w:val="0002172E"/>
    <w:pPr>
      <w:spacing w:before="60" w:after="60"/>
    </w:pPr>
    <w:rPr>
      <w:rFonts w:ascii="Arial" w:hAnsi="Arial" w:cs="Arial"/>
      <w:sz w:val="16"/>
      <w:szCs w:val="16"/>
    </w:rPr>
  </w:style>
  <w:style w:type="paragraph" w:styleId="Revision">
    <w:name w:val="Revision"/>
    <w:hidden/>
    <w:uiPriority w:val="99"/>
    <w:semiHidden/>
    <w:rsid w:val="004B5E8A"/>
    <w:rPr>
      <w:rFonts w:eastAsia="Times New Roman" w:cs="Times New Roman"/>
    </w:rPr>
  </w:style>
  <w:style w:type="character" w:styleId="Strong">
    <w:name w:val="Strong"/>
    <w:uiPriority w:val="22"/>
    <w:qFormat/>
    <w:rsid w:val="00523A94"/>
    <w:rPr>
      <w:b/>
      <w:bCs/>
    </w:rPr>
  </w:style>
  <w:style w:type="character" w:styleId="FollowedHyperlink">
    <w:name w:val="FollowedHyperlink"/>
    <w:basedOn w:val="DefaultParagraphFont"/>
    <w:uiPriority w:val="99"/>
    <w:semiHidden/>
    <w:unhideWhenUsed/>
    <w:rsid w:val="006B6B88"/>
    <w:rPr>
      <w:color w:val="800080" w:themeColor="followedHyperlink"/>
      <w:u w:val="single"/>
    </w:rPr>
  </w:style>
  <w:style w:type="character" w:customStyle="1" w:styleId="UnresolvedMention1">
    <w:name w:val="Unresolved Mention1"/>
    <w:basedOn w:val="DefaultParagraphFont"/>
    <w:uiPriority w:val="99"/>
    <w:semiHidden/>
    <w:unhideWhenUsed/>
    <w:rsid w:val="0045518B"/>
    <w:rPr>
      <w:color w:val="808080"/>
      <w:shd w:val="clear" w:color="auto" w:fill="E6E6E6"/>
    </w:rPr>
  </w:style>
  <w:style w:type="character" w:customStyle="1" w:styleId="UnresolvedMention">
    <w:name w:val="Unresolved Mention"/>
    <w:basedOn w:val="DefaultParagraphFont"/>
    <w:uiPriority w:val="99"/>
    <w:semiHidden/>
    <w:unhideWhenUsed/>
    <w:rsid w:val="008E19C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aliases w:val="F1"/>
    <w:basedOn w:val="Normal"/>
    <w:link w:val="FootnoteTextChar"/>
    <w:uiPriority w:val="99"/>
    <w:unhideWhenUsed/>
    <w:rsid w:val="000D6327"/>
    <w:rPr>
      <w:sz w:val="20"/>
      <w:szCs w:val="20"/>
    </w:rPr>
  </w:style>
  <w:style w:type="character" w:customStyle="1" w:styleId="FootnoteTextChar">
    <w:name w:val="Footnote Text Char"/>
    <w:aliases w:val="F1 Char"/>
    <w:basedOn w:val="DefaultParagraphFont"/>
    <w:link w:val="FootnoteText"/>
    <w:uiPriority w:val="99"/>
    <w:rsid w:val="000D6327"/>
    <w:rPr>
      <w:rFonts w:eastAsia="Times New Roman" w:cs="Times New Roman"/>
      <w:sz w:val="20"/>
      <w:szCs w:val="20"/>
    </w:rPr>
  </w:style>
  <w:style w:type="character" w:styleId="FootnoteReference">
    <w:name w:val="footnote reference"/>
    <w:basedOn w:val="DefaultParagraphFont"/>
    <w:uiPriority w:val="99"/>
    <w:unhideWhenUsed/>
    <w:rsid w:val="000D6327"/>
    <w:rPr>
      <w:vertAlign w:val="superscript"/>
    </w:rPr>
  </w:style>
  <w:style w:type="paragraph" w:customStyle="1" w:styleId="Default">
    <w:name w:val="Default"/>
    <w:rsid w:val="00127FC5"/>
    <w:pPr>
      <w:autoSpaceDE w:val="0"/>
      <w:autoSpaceDN w:val="0"/>
      <w:adjustRightInd w:val="0"/>
    </w:pPr>
    <w:rPr>
      <w:rFonts w:ascii="Arial" w:eastAsia="Times New Roman" w:hAnsi="Arial" w:cs="Arial"/>
      <w:color w:val="000000"/>
    </w:rPr>
  </w:style>
  <w:style w:type="character" w:customStyle="1" w:styleId="ListParagraphChar">
    <w:name w:val="List Paragraph Char"/>
    <w:basedOn w:val="DefaultParagraphFont"/>
    <w:link w:val="ListParagraph"/>
    <w:uiPriority w:val="34"/>
    <w:rsid w:val="00127FC5"/>
    <w:rPr>
      <w:rFonts w:eastAsia="Times New Roman" w:cs="Times New Roman"/>
    </w:rPr>
  </w:style>
  <w:style w:type="table" w:customStyle="1" w:styleId="TableGrid1">
    <w:name w:val="Table Grid1"/>
    <w:basedOn w:val="TableNormal"/>
    <w:next w:val="TableGrid"/>
    <w:uiPriority w:val="59"/>
    <w:rsid w:val="008963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Details">
    <w:name w:val="Cover - Document Details"/>
    <w:basedOn w:val="Normal"/>
    <w:rsid w:val="0002172E"/>
    <w:pPr>
      <w:spacing w:before="60" w:after="60"/>
    </w:pPr>
    <w:rPr>
      <w:rFonts w:ascii="Arial" w:hAnsi="Arial" w:cs="Arial"/>
      <w:sz w:val="16"/>
      <w:szCs w:val="16"/>
    </w:rPr>
  </w:style>
  <w:style w:type="paragraph" w:styleId="Revision">
    <w:name w:val="Revision"/>
    <w:hidden/>
    <w:uiPriority w:val="99"/>
    <w:semiHidden/>
    <w:rsid w:val="004B5E8A"/>
    <w:rPr>
      <w:rFonts w:eastAsia="Times New Roman" w:cs="Times New Roman"/>
    </w:rPr>
  </w:style>
  <w:style w:type="character" w:styleId="Strong">
    <w:name w:val="Strong"/>
    <w:uiPriority w:val="22"/>
    <w:qFormat/>
    <w:rsid w:val="00523A94"/>
    <w:rPr>
      <w:b/>
      <w:bCs/>
    </w:rPr>
  </w:style>
  <w:style w:type="character" w:styleId="FollowedHyperlink">
    <w:name w:val="FollowedHyperlink"/>
    <w:basedOn w:val="DefaultParagraphFont"/>
    <w:uiPriority w:val="99"/>
    <w:semiHidden/>
    <w:unhideWhenUsed/>
    <w:rsid w:val="006B6B88"/>
    <w:rPr>
      <w:color w:val="800080" w:themeColor="followedHyperlink"/>
      <w:u w:val="single"/>
    </w:rPr>
  </w:style>
  <w:style w:type="character" w:customStyle="1" w:styleId="UnresolvedMention1">
    <w:name w:val="Unresolved Mention1"/>
    <w:basedOn w:val="DefaultParagraphFont"/>
    <w:uiPriority w:val="99"/>
    <w:semiHidden/>
    <w:unhideWhenUsed/>
    <w:rsid w:val="0045518B"/>
    <w:rPr>
      <w:color w:val="808080"/>
      <w:shd w:val="clear" w:color="auto" w:fill="E6E6E6"/>
    </w:rPr>
  </w:style>
  <w:style w:type="character" w:customStyle="1" w:styleId="UnresolvedMention">
    <w:name w:val="Unresolved Mention"/>
    <w:basedOn w:val="DefaultParagraphFont"/>
    <w:uiPriority w:val="99"/>
    <w:semiHidden/>
    <w:unhideWhenUsed/>
    <w:rsid w:val="008E19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7944">
      <w:bodyDiv w:val="1"/>
      <w:marLeft w:val="0"/>
      <w:marRight w:val="0"/>
      <w:marTop w:val="0"/>
      <w:marBottom w:val="0"/>
      <w:divBdr>
        <w:top w:val="none" w:sz="0" w:space="0" w:color="auto"/>
        <w:left w:val="none" w:sz="0" w:space="0" w:color="auto"/>
        <w:bottom w:val="none" w:sz="0" w:space="0" w:color="auto"/>
        <w:right w:val="none" w:sz="0" w:space="0" w:color="auto"/>
      </w:divBdr>
    </w:div>
    <w:div w:id="218709604">
      <w:bodyDiv w:val="1"/>
      <w:marLeft w:val="0"/>
      <w:marRight w:val="0"/>
      <w:marTop w:val="0"/>
      <w:marBottom w:val="0"/>
      <w:divBdr>
        <w:top w:val="none" w:sz="0" w:space="0" w:color="auto"/>
        <w:left w:val="none" w:sz="0" w:space="0" w:color="auto"/>
        <w:bottom w:val="none" w:sz="0" w:space="0" w:color="auto"/>
        <w:right w:val="none" w:sz="0" w:space="0" w:color="auto"/>
      </w:divBdr>
    </w:div>
    <w:div w:id="241136904">
      <w:bodyDiv w:val="1"/>
      <w:marLeft w:val="0"/>
      <w:marRight w:val="0"/>
      <w:marTop w:val="0"/>
      <w:marBottom w:val="0"/>
      <w:divBdr>
        <w:top w:val="none" w:sz="0" w:space="0" w:color="auto"/>
        <w:left w:val="none" w:sz="0" w:space="0" w:color="auto"/>
        <w:bottom w:val="none" w:sz="0" w:space="0" w:color="auto"/>
        <w:right w:val="none" w:sz="0" w:space="0" w:color="auto"/>
      </w:divBdr>
    </w:div>
    <w:div w:id="252781545">
      <w:bodyDiv w:val="1"/>
      <w:marLeft w:val="0"/>
      <w:marRight w:val="0"/>
      <w:marTop w:val="0"/>
      <w:marBottom w:val="0"/>
      <w:divBdr>
        <w:top w:val="none" w:sz="0" w:space="0" w:color="auto"/>
        <w:left w:val="none" w:sz="0" w:space="0" w:color="auto"/>
        <w:bottom w:val="none" w:sz="0" w:space="0" w:color="auto"/>
        <w:right w:val="none" w:sz="0" w:space="0" w:color="auto"/>
      </w:divBdr>
    </w:div>
    <w:div w:id="301623118">
      <w:bodyDiv w:val="1"/>
      <w:marLeft w:val="0"/>
      <w:marRight w:val="0"/>
      <w:marTop w:val="0"/>
      <w:marBottom w:val="0"/>
      <w:divBdr>
        <w:top w:val="none" w:sz="0" w:space="0" w:color="auto"/>
        <w:left w:val="none" w:sz="0" w:space="0" w:color="auto"/>
        <w:bottom w:val="none" w:sz="0" w:space="0" w:color="auto"/>
        <w:right w:val="none" w:sz="0" w:space="0" w:color="auto"/>
      </w:divBdr>
    </w:div>
    <w:div w:id="302348376">
      <w:bodyDiv w:val="1"/>
      <w:marLeft w:val="0"/>
      <w:marRight w:val="0"/>
      <w:marTop w:val="0"/>
      <w:marBottom w:val="0"/>
      <w:divBdr>
        <w:top w:val="none" w:sz="0" w:space="0" w:color="auto"/>
        <w:left w:val="none" w:sz="0" w:space="0" w:color="auto"/>
        <w:bottom w:val="none" w:sz="0" w:space="0" w:color="auto"/>
        <w:right w:val="none" w:sz="0" w:space="0" w:color="auto"/>
      </w:divBdr>
    </w:div>
    <w:div w:id="375273997">
      <w:bodyDiv w:val="1"/>
      <w:marLeft w:val="0"/>
      <w:marRight w:val="0"/>
      <w:marTop w:val="0"/>
      <w:marBottom w:val="0"/>
      <w:divBdr>
        <w:top w:val="none" w:sz="0" w:space="0" w:color="auto"/>
        <w:left w:val="none" w:sz="0" w:space="0" w:color="auto"/>
        <w:bottom w:val="none" w:sz="0" w:space="0" w:color="auto"/>
        <w:right w:val="none" w:sz="0" w:space="0" w:color="auto"/>
      </w:divBdr>
    </w:div>
    <w:div w:id="382219831">
      <w:bodyDiv w:val="1"/>
      <w:marLeft w:val="0"/>
      <w:marRight w:val="0"/>
      <w:marTop w:val="0"/>
      <w:marBottom w:val="0"/>
      <w:divBdr>
        <w:top w:val="none" w:sz="0" w:space="0" w:color="auto"/>
        <w:left w:val="none" w:sz="0" w:space="0" w:color="auto"/>
        <w:bottom w:val="none" w:sz="0" w:space="0" w:color="auto"/>
        <w:right w:val="none" w:sz="0" w:space="0" w:color="auto"/>
      </w:divBdr>
    </w:div>
    <w:div w:id="423183538">
      <w:bodyDiv w:val="1"/>
      <w:marLeft w:val="0"/>
      <w:marRight w:val="0"/>
      <w:marTop w:val="0"/>
      <w:marBottom w:val="0"/>
      <w:divBdr>
        <w:top w:val="none" w:sz="0" w:space="0" w:color="auto"/>
        <w:left w:val="none" w:sz="0" w:space="0" w:color="auto"/>
        <w:bottom w:val="none" w:sz="0" w:space="0" w:color="auto"/>
        <w:right w:val="none" w:sz="0" w:space="0" w:color="auto"/>
      </w:divBdr>
    </w:div>
    <w:div w:id="432095442">
      <w:bodyDiv w:val="1"/>
      <w:marLeft w:val="0"/>
      <w:marRight w:val="0"/>
      <w:marTop w:val="0"/>
      <w:marBottom w:val="0"/>
      <w:divBdr>
        <w:top w:val="none" w:sz="0" w:space="0" w:color="auto"/>
        <w:left w:val="none" w:sz="0" w:space="0" w:color="auto"/>
        <w:bottom w:val="none" w:sz="0" w:space="0" w:color="auto"/>
        <w:right w:val="none" w:sz="0" w:space="0" w:color="auto"/>
      </w:divBdr>
    </w:div>
    <w:div w:id="437649447">
      <w:bodyDiv w:val="1"/>
      <w:marLeft w:val="0"/>
      <w:marRight w:val="0"/>
      <w:marTop w:val="0"/>
      <w:marBottom w:val="0"/>
      <w:divBdr>
        <w:top w:val="none" w:sz="0" w:space="0" w:color="auto"/>
        <w:left w:val="none" w:sz="0" w:space="0" w:color="auto"/>
        <w:bottom w:val="none" w:sz="0" w:space="0" w:color="auto"/>
        <w:right w:val="none" w:sz="0" w:space="0" w:color="auto"/>
      </w:divBdr>
    </w:div>
    <w:div w:id="454176502">
      <w:bodyDiv w:val="1"/>
      <w:marLeft w:val="0"/>
      <w:marRight w:val="0"/>
      <w:marTop w:val="0"/>
      <w:marBottom w:val="0"/>
      <w:divBdr>
        <w:top w:val="none" w:sz="0" w:space="0" w:color="auto"/>
        <w:left w:val="none" w:sz="0" w:space="0" w:color="auto"/>
        <w:bottom w:val="none" w:sz="0" w:space="0" w:color="auto"/>
        <w:right w:val="none" w:sz="0" w:space="0" w:color="auto"/>
      </w:divBdr>
    </w:div>
    <w:div w:id="487474667">
      <w:bodyDiv w:val="1"/>
      <w:marLeft w:val="0"/>
      <w:marRight w:val="0"/>
      <w:marTop w:val="0"/>
      <w:marBottom w:val="0"/>
      <w:divBdr>
        <w:top w:val="none" w:sz="0" w:space="0" w:color="auto"/>
        <w:left w:val="none" w:sz="0" w:space="0" w:color="auto"/>
        <w:bottom w:val="none" w:sz="0" w:space="0" w:color="auto"/>
        <w:right w:val="none" w:sz="0" w:space="0" w:color="auto"/>
      </w:divBdr>
    </w:div>
    <w:div w:id="491526866">
      <w:bodyDiv w:val="1"/>
      <w:marLeft w:val="0"/>
      <w:marRight w:val="0"/>
      <w:marTop w:val="0"/>
      <w:marBottom w:val="0"/>
      <w:divBdr>
        <w:top w:val="none" w:sz="0" w:space="0" w:color="auto"/>
        <w:left w:val="none" w:sz="0" w:space="0" w:color="auto"/>
        <w:bottom w:val="none" w:sz="0" w:space="0" w:color="auto"/>
        <w:right w:val="none" w:sz="0" w:space="0" w:color="auto"/>
      </w:divBdr>
    </w:div>
    <w:div w:id="522132396">
      <w:bodyDiv w:val="1"/>
      <w:marLeft w:val="0"/>
      <w:marRight w:val="0"/>
      <w:marTop w:val="0"/>
      <w:marBottom w:val="0"/>
      <w:divBdr>
        <w:top w:val="none" w:sz="0" w:space="0" w:color="auto"/>
        <w:left w:val="none" w:sz="0" w:space="0" w:color="auto"/>
        <w:bottom w:val="none" w:sz="0" w:space="0" w:color="auto"/>
        <w:right w:val="none" w:sz="0" w:space="0" w:color="auto"/>
      </w:divBdr>
    </w:div>
    <w:div w:id="578488671">
      <w:bodyDiv w:val="1"/>
      <w:marLeft w:val="0"/>
      <w:marRight w:val="0"/>
      <w:marTop w:val="0"/>
      <w:marBottom w:val="0"/>
      <w:divBdr>
        <w:top w:val="none" w:sz="0" w:space="0" w:color="auto"/>
        <w:left w:val="none" w:sz="0" w:space="0" w:color="auto"/>
        <w:bottom w:val="none" w:sz="0" w:space="0" w:color="auto"/>
        <w:right w:val="none" w:sz="0" w:space="0" w:color="auto"/>
      </w:divBdr>
    </w:div>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767118945">
      <w:bodyDiv w:val="1"/>
      <w:marLeft w:val="0"/>
      <w:marRight w:val="0"/>
      <w:marTop w:val="0"/>
      <w:marBottom w:val="0"/>
      <w:divBdr>
        <w:top w:val="none" w:sz="0" w:space="0" w:color="auto"/>
        <w:left w:val="none" w:sz="0" w:space="0" w:color="auto"/>
        <w:bottom w:val="none" w:sz="0" w:space="0" w:color="auto"/>
        <w:right w:val="none" w:sz="0" w:space="0" w:color="auto"/>
      </w:divBdr>
    </w:div>
    <w:div w:id="867793021">
      <w:bodyDiv w:val="1"/>
      <w:marLeft w:val="0"/>
      <w:marRight w:val="0"/>
      <w:marTop w:val="0"/>
      <w:marBottom w:val="0"/>
      <w:divBdr>
        <w:top w:val="none" w:sz="0" w:space="0" w:color="auto"/>
        <w:left w:val="none" w:sz="0" w:space="0" w:color="auto"/>
        <w:bottom w:val="none" w:sz="0" w:space="0" w:color="auto"/>
        <w:right w:val="none" w:sz="0" w:space="0" w:color="auto"/>
      </w:divBdr>
      <w:divsChild>
        <w:div w:id="934484338">
          <w:marLeft w:val="0"/>
          <w:marRight w:val="0"/>
          <w:marTop w:val="0"/>
          <w:marBottom w:val="0"/>
          <w:divBdr>
            <w:top w:val="none" w:sz="0" w:space="0" w:color="auto"/>
            <w:left w:val="none" w:sz="0" w:space="0" w:color="auto"/>
            <w:bottom w:val="none" w:sz="0" w:space="0" w:color="auto"/>
            <w:right w:val="none" w:sz="0" w:space="0" w:color="auto"/>
          </w:divBdr>
        </w:div>
      </w:divsChild>
    </w:div>
    <w:div w:id="885530347">
      <w:bodyDiv w:val="1"/>
      <w:marLeft w:val="0"/>
      <w:marRight w:val="0"/>
      <w:marTop w:val="0"/>
      <w:marBottom w:val="0"/>
      <w:divBdr>
        <w:top w:val="none" w:sz="0" w:space="0" w:color="auto"/>
        <w:left w:val="none" w:sz="0" w:space="0" w:color="auto"/>
        <w:bottom w:val="none" w:sz="0" w:space="0" w:color="auto"/>
        <w:right w:val="none" w:sz="0" w:space="0" w:color="auto"/>
      </w:divBdr>
    </w:div>
    <w:div w:id="898248252">
      <w:bodyDiv w:val="1"/>
      <w:marLeft w:val="0"/>
      <w:marRight w:val="0"/>
      <w:marTop w:val="0"/>
      <w:marBottom w:val="0"/>
      <w:divBdr>
        <w:top w:val="none" w:sz="0" w:space="0" w:color="auto"/>
        <w:left w:val="none" w:sz="0" w:space="0" w:color="auto"/>
        <w:bottom w:val="none" w:sz="0" w:space="0" w:color="auto"/>
        <w:right w:val="none" w:sz="0" w:space="0" w:color="auto"/>
      </w:divBdr>
      <w:divsChild>
        <w:div w:id="1318991368">
          <w:marLeft w:val="0"/>
          <w:marRight w:val="0"/>
          <w:marTop w:val="0"/>
          <w:marBottom w:val="0"/>
          <w:divBdr>
            <w:top w:val="none" w:sz="0" w:space="0" w:color="auto"/>
            <w:left w:val="none" w:sz="0" w:space="0" w:color="auto"/>
            <w:bottom w:val="none" w:sz="0" w:space="0" w:color="auto"/>
            <w:right w:val="none" w:sz="0" w:space="0" w:color="auto"/>
          </w:divBdr>
        </w:div>
        <w:div w:id="1879586400">
          <w:marLeft w:val="0"/>
          <w:marRight w:val="0"/>
          <w:marTop w:val="0"/>
          <w:marBottom w:val="0"/>
          <w:divBdr>
            <w:top w:val="none" w:sz="0" w:space="0" w:color="auto"/>
            <w:left w:val="none" w:sz="0" w:space="0" w:color="auto"/>
            <w:bottom w:val="none" w:sz="0" w:space="0" w:color="auto"/>
            <w:right w:val="none" w:sz="0" w:space="0" w:color="auto"/>
          </w:divBdr>
        </w:div>
        <w:div w:id="379329867">
          <w:marLeft w:val="0"/>
          <w:marRight w:val="0"/>
          <w:marTop w:val="0"/>
          <w:marBottom w:val="0"/>
          <w:divBdr>
            <w:top w:val="none" w:sz="0" w:space="0" w:color="auto"/>
            <w:left w:val="none" w:sz="0" w:space="0" w:color="auto"/>
            <w:bottom w:val="none" w:sz="0" w:space="0" w:color="auto"/>
            <w:right w:val="none" w:sz="0" w:space="0" w:color="auto"/>
          </w:divBdr>
        </w:div>
        <w:div w:id="1369842429">
          <w:marLeft w:val="0"/>
          <w:marRight w:val="0"/>
          <w:marTop w:val="0"/>
          <w:marBottom w:val="0"/>
          <w:divBdr>
            <w:top w:val="none" w:sz="0" w:space="0" w:color="auto"/>
            <w:left w:val="none" w:sz="0" w:space="0" w:color="auto"/>
            <w:bottom w:val="none" w:sz="0" w:space="0" w:color="auto"/>
            <w:right w:val="none" w:sz="0" w:space="0" w:color="auto"/>
          </w:divBdr>
        </w:div>
        <w:div w:id="1311401147">
          <w:marLeft w:val="0"/>
          <w:marRight w:val="0"/>
          <w:marTop w:val="0"/>
          <w:marBottom w:val="0"/>
          <w:divBdr>
            <w:top w:val="none" w:sz="0" w:space="0" w:color="auto"/>
            <w:left w:val="none" w:sz="0" w:space="0" w:color="auto"/>
            <w:bottom w:val="none" w:sz="0" w:space="0" w:color="auto"/>
            <w:right w:val="none" w:sz="0" w:space="0" w:color="auto"/>
          </w:divBdr>
        </w:div>
        <w:div w:id="184637762">
          <w:marLeft w:val="0"/>
          <w:marRight w:val="0"/>
          <w:marTop w:val="0"/>
          <w:marBottom w:val="0"/>
          <w:divBdr>
            <w:top w:val="none" w:sz="0" w:space="0" w:color="auto"/>
            <w:left w:val="none" w:sz="0" w:space="0" w:color="auto"/>
            <w:bottom w:val="none" w:sz="0" w:space="0" w:color="auto"/>
            <w:right w:val="none" w:sz="0" w:space="0" w:color="auto"/>
          </w:divBdr>
        </w:div>
        <w:div w:id="1287155643">
          <w:marLeft w:val="0"/>
          <w:marRight w:val="0"/>
          <w:marTop w:val="0"/>
          <w:marBottom w:val="0"/>
          <w:divBdr>
            <w:top w:val="none" w:sz="0" w:space="0" w:color="auto"/>
            <w:left w:val="none" w:sz="0" w:space="0" w:color="auto"/>
            <w:bottom w:val="none" w:sz="0" w:space="0" w:color="auto"/>
            <w:right w:val="none" w:sz="0" w:space="0" w:color="auto"/>
          </w:divBdr>
        </w:div>
        <w:div w:id="279649457">
          <w:marLeft w:val="0"/>
          <w:marRight w:val="0"/>
          <w:marTop w:val="0"/>
          <w:marBottom w:val="0"/>
          <w:divBdr>
            <w:top w:val="none" w:sz="0" w:space="0" w:color="auto"/>
            <w:left w:val="none" w:sz="0" w:space="0" w:color="auto"/>
            <w:bottom w:val="none" w:sz="0" w:space="0" w:color="auto"/>
            <w:right w:val="none" w:sz="0" w:space="0" w:color="auto"/>
          </w:divBdr>
        </w:div>
        <w:div w:id="1356464402">
          <w:marLeft w:val="0"/>
          <w:marRight w:val="0"/>
          <w:marTop w:val="0"/>
          <w:marBottom w:val="0"/>
          <w:divBdr>
            <w:top w:val="none" w:sz="0" w:space="0" w:color="auto"/>
            <w:left w:val="none" w:sz="0" w:space="0" w:color="auto"/>
            <w:bottom w:val="none" w:sz="0" w:space="0" w:color="auto"/>
            <w:right w:val="none" w:sz="0" w:space="0" w:color="auto"/>
          </w:divBdr>
        </w:div>
        <w:div w:id="437411098">
          <w:marLeft w:val="0"/>
          <w:marRight w:val="0"/>
          <w:marTop w:val="0"/>
          <w:marBottom w:val="0"/>
          <w:divBdr>
            <w:top w:val="none" w:sz="0" w:space="0" w:color="auto"/>
            <w:left w:val="none" w:sz="0" w:space="0" w:color="auto"/>
            <w:bottom w:val="none" w:sz="0" w:space="0" w:color="auto"/>
            <w:right w:val="none" w:sz="0" w:space="0" w:color="auto"/>
          </w:divBdr>
        </w:div>
        <w:div w:id="1647659234">
          <w:marLeft w:val="0"/>
          <w:marRight w:val="0"/>
          <w:marTop w:val="0"/>
          <w:marBottom w:val="0"/>
          <w:divBdr>
            <w:top w:val="none" w:sz="0" w:space="0" w:color="auto"/>
            <w:left w:val="none" w:sz="0" w:space="0" w:color="auto"/>
            <w:bottom w:val="none" w:sz="0" w:space="0" w:color="auto"/>
            <w:right w:val="none" w:sz="0" w:space="0" w:color="auto"/>
          </w:divBdr>
        </w:div>
        <w:div w:id="297609947">
          <w:marLeft w:val="0"/>
          <w:marRight w:val="0"/>
          <w:marTop w:val="0"/>
          <w:marBottom w:val="0"/>
          <w:divBdr>
            <w:top w:val="none" w:sz="0" w:space="0" w:color="auto"/>
            <w:left w:val="none" w:sz="0" w:space="0" w:color="auto"/>
            <w:bottom w:val="none" w:sz="0" w:space="0" w:color="auto"/>
            <w:right w:val="none" w:sz="0" w:space="0" w:color="auto"/>
          </w:divBdr>
        </w:div>
        <w:div w:id="404913424">
          <w:marLeft w:val="0"/>
          <w:marRight w:val="0"/>
          <w:marTop w:val="0"/>
          <w:marBottom w:val="0"/>
          <w:divBdr>
            <w:top w:val="none" w:sz="0" w:space="0" w:color="auto"/>
            <w:left w:val="none" w:sz="0" w:space="0" w:color="auto"/>
            <w:bottom w:val="none" w:sz="0" w:space="0" w:color="auto"/>
            <w:right w:val="none" w:sz="0" w:space="0" w:color="auto"/>
          </w:divBdr>
        </w:div>
        <w:div w:id="76096212">
          <w:marLeft w:val="0"/>
          <w:marRight w:val="0"/>
          <w:marTop w:val="0"/>
          <w:marBottom w:val="0"/>
          <w:divBdr>
            <w:top w:val="none" w:sz="0" w:space="0" w:color="auto"/>
            <w:left w:val="none" w:sz="0" w:space="0" w:color="auto"/>
            <w:bottom w:val="none" w:sz="0" w:space="0" w:color="auto"/>
            <w:right w:val="none" w:sz="0" w:space="0" w:color="auto"/>
          </w:divBdr>
        </w:div>
        <w:div w:id="1120150696">
          <w:marLeft w:val="0"/>
          <w:marRight w:val="0"/>
          <w:marTop w:val="0"/>
          <w:marBottom w:val="0"/>
          <w:divBdr>
            <w:top w:val="none" w:sz="0" w:space="0" w:color="auto"/>
            <w:left w:val="none" w:sz="0" w:space="0" w:color="auto"/>
            <w:bottom w:val="none" w:sz="0" w:space="0" w:color="auto"/>
            <w:right w:val="none" w:sz="0" w:space="0" w:color="auto"/>
          </w:divBdr>
        </w:div>
        <w:div w:id="1556816800">
          <w:marLeft w:val="0"/>
          <w:marRight w:val="0"/>
          <w:marTop w:val="0"/>
          <w:marBottom w:val="0"/>
          <w:divBdr>
            <w:top w:val="none" w:sz="0" w:space="0" w:color="auto"/>
            <w:left w:val="none" w:sz="0" w:space="0" w:color="auto"/>
            <w:bottom w:val="none" w:sz="0" w:space="0" w:color="auto"/>
            <w:right w:val="none" w:sz="0" w:space="0" w:color="auto"/>
          </w:divBdr>
        </w:div>
      </w:divsChild>
    </w:div>
    <w:div w:id="1013262713">
      <w:bodyDiv w:val="1"/>
      <w:marLeft w:val="0"/>
      <w:marRight w:val="0"/>
      <w:marTop w:val="0"/>
      <w:marBottom w:val="0"/>
      <w:divBdr>
        <w:top w:val="none" w:sz="0" w:space="0" w:color="auto"/>
        <w:left w:val="none" w:sz="0" w:space="0" w:color="auto"/>
        <w:bottom w:val="none" w:sz="0" w:space="0" w:color="auto"/>
        <w:right w:val="none" w:sz="0" w:space="0" w:color="auto"/>
      </w:divBdr>
    </w:div>
    <w:div w:id="1017079149">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120339747">
      <w:bodyDiv w:val="1"/>
      <w:marLeft w:val="0"/>
      <w:marRight w:val="0"/>
      <w:marTop w:val="0"/>
      <w:marBottom w:val="0"/>
      <w:divBdr>
        <w:top w:val="none" w:sz="0" w:space="0" w:color="auto"/>
        <w:left w:val="none" w:sz="0" w:space="0" w:color="auto"/>
        <w:bottom w:val="none" w:sz="0" w:space="0" w:color="auto"/>
        <w:right w:val="none" w:sz="0" w:space="0" w:color="auto"/>
      </w:divBdr>
      <w:divsChild>
        <w:div w:id="2084719773">
          <w:marLeft w:val="0"/>
          <w:marRight w:val="0"/>
          <w:marTop w:val="0"/>
          <w:marBottom w:val="0"/>
          <w:divBdr>
            <w:top w:val="none" w:sz="0" w:space="0" w:color="auto"/>
            <w:left w:val="none" w:sz="0" w:space="0" w:color="auto"/>
            <w:bottom w:val="none" w:sz="0" w:space="0" w:color="auto"/>
            <w:right w:val="none" w:sz="0" w:space="0" w:color="auto"/>
          </w:divBdr>
        </w:div>
        <w:div w:id="1333753728">
          <w:marLeft w:val="0"/>
          <w:marRight w:val="0"/>
          <w:marTop w:val="0"/>
          <w:marBottom w:val="0"/>
          <w:divBdr>
            <w:top w:val="none" w:sz="0" w:space="0" w:color="auto"/>
            <w:left w:val="none" w:sz="0" w:space="0" w:color="auto"/>
            <w:bottom w:val="none" w:sz="0" w:space="0" w:color="auto"/>
            <w:right w:val="none" w:sz="0" w:space="0" w:color="auto"/>
          </w:divBdr>
        </w:div>
        <w:div w:id="303506554">
          <w:marLeft w:val="0"/>
          <w:marRight w:val="0"/>
          <w:marTop w:val="0"/>
          <w:marBottom w:val="0"/>
          <w:divBdr>
            <w:top w:val="none" w:sz="0" w:space="0" w:color="auto"/>
            <w:left w:val="none" w:sz="0" w:space="0" w:color="auto"/>
            <w:bottom w:val="none" w:sz="0" w:space="0" w:color="auto"/>
            <w:right w:val="none" w:sz="0" w:space="0" w:color="auto"/>
          </w:divBdr>
        </w:div>
        <w:div w:id="1665014142">
          <w:marLeft w:val="0"/>
          <w:marRight w:val="0"/>
          <w:marTop w:val="0"/>
          <w:marBottom w:val="0"/>
          <w:divBdr>
            <w:top w:val="none" w:sz="0" w:space="0" w:color="auto"/>
            <w:left w:val="none" w:sz="0" w:space="0" w:color="auto"/>
            <w:bottom w:val="none" w:sz="0" w:space="0" w:color="auto"/>
            <w:right w:val="none" w:sz="0" w:space="0" w:color="auto"/>
          </w:divBdr>
        </w:div>
        <w:div w:id="170923809">
          <w:marLeft w:val="0"/>
          <w:marRight w:val="0"/>
          <w:marTop w:val="0"/>
          <w:marBottom w:val="0"/>
          <w:divBdr>
            <w:top w:val="none" w:sz="0" w:space="0" w:color="auto"/>
            <w:left w:val="none" w:sz="0" w:space="0" w:color="auto"/>
            <w:bottom w:val="none" w:sz="0" w:space="0" w:color="auto"/>
            <w:right w:val="none" w:sz="0" w:space="0" w:color="auto"/>
          </w:divBdr>
        </w:div>
        <w:div w:id="1571815511">
          <w:marLeft w:val="0"/>
          <w:marRight w:val="0"/>
          <w:marTop w:val="0"/>
          <w:marBottom w:val="0"/>
          <w:divBdr>
            <w:top w:val="none" w:sz="0" w:space="0" w:color="auto"/>
            <w:left w:val="none" w:sz="0" w:space="0" w:color="auto"/>
            <w:bottom w:val="none" w:sz="0" w:space="0" w:color="auto"/>
            <w:right w:val="none" w:sz="0" w:space="0" w:color="auto"/>
          </w:divBdr>
        </w:div>
        <w:div w:id="74523124">
          <w:marLeft w:val="0"/>
          <w:marRight w:val="0"/>
          <w:marTop w:val="0"/>
          <w:marBottom w:val="0"/>
          <w:divBdr>
            <w:top w:val="none" w:sz="0" w:space="0" w:color="auto"/>
            <w:left w:val="none" w:sz="0" w:space="0" w:color="auto"/>
            <w:bottom w:val="none" w:sz="0" w:space="0" w:color="auto"/>
            <w:right w:val="none" w:sz="0" w:space="0" w:color="auto"/>
          </w:divBdr>
        </w:div>
        <w:div w:id="301888843">
          <w:marLeft w:val="0"/>
          <w:marRight w:val="0"/>
          <w:marTop w:val="0"/>
          <w:marBottom w:val="0"/>
          <w:divBdr>
            <w:top w:val="none" w:sz="0" w:space="0" w:color="auto"/>
            <w:left w:val="none" w:sz="0" w:space="0" w:color="auto"/>
            <w:bottom w:val="none" w:sz="0" w:space="0" w:color="auto"/>
            <w:right w:val="none" w:sz="0" w:space="0" w:color="auto"/>
          </w:divBdr>
        </w:div>
        <w:div w:id="1758212958">
          <w:marLeft w:val="0"/>
          <w:marRight w:val="0"/>
          <w:marTop w:val="0"/>
          <w:marBottom w:val="0"/>
          <w:divBdr>
            <w:top w:val="none" w:sz="0" w:space="0" w:color="auto"/>
            <w:left w:val="none" w:sz="0" w:space="0" w:color="auto"/>
            <w:bottom w:val="none" w:sz="0" w:space="0" w:color="auto"/>
            <w:right w:val="none" w:sz="0" w:space="0" w:color="auto"/>
          </w:divBdr>
        </w:div>
        <w:div w:id="703215763">
          <w:marLeft w:val="0"/>
          <w:marRight w:val="0"/>
          <w:marTop w:val="0"/>
          <w:marBottom w:val="0"/>
          <w:divBdr>
            <w:top w:val="none" w:sz="0" w:space="0" w:color="auto"/>
            <w:left w:val="none" w:sz="0" w:space="0" w:color="auto"/>
            <w:bottom w:val="none" w:sz="0" w:space="0" w:color="auto"/>
            <w:right w:val="none" w:sz="0" w:space="0" w:color="auto"/>
          </w:divBdr>
        </w:div>
        <w:div w:id="1845196748">
          <w:marLeft w:val="0"/>
          <w:marRight w:val="0"/>
          <w:marTop w:val="0"/>
          <w:marBottom w:val="0"/>
          <w:divBdr>
            <w:top w:val="none" w:sz="0" w:space="0" w:color="auto"/>
            <w:left w:val="none" w:sz="0" w:space="0" w:color="auto"/>
            <w:bottom w:val="none" w:sz="0" w:space="0" w:color="auto"/>
            <w:right w:val="none" w:sz="0" w:space="0" w:color="auto"/>
          </w:divBdr>
        </w:div>
        <w:div w:id="2137405609">
          <w:marLeft w:val="0"/>
          <w:marRight w:val="0"/>
          <w:marTop w:val="0"/>
          <w:marBottom w:val="0"/>
          <w:divBdr>
            <w:top w:val="none" w:sz="0" w:space="0" w:color="auto"/>
            <w:left w:val="none" w:sz="0" w:space="0" w:color="auto"/>
            <w:bottom w:val="none" w:sz="0" w:space="0" w:color="auto"/>
            <w:right w:val="none" w:sz="0" w:space="0" w:color="auto"/>
          </w:divBdr>
        </w:div>
        <w:div w:id="980769042">
          <w:marLeft w:val="0"/>
          <w:marRight w:val="0"/>
          <w:marTop w:val="0"/>
          <w:marBottom w:val="0"/>
          <w:divBdr>
            <w:top w:val="none" w:sz="0" w:space="0" w:color="auto"/>
            <w:left w:val="none" w:sz="0" w:space="0" w:color="auto"/>
            <w:bottom w:val="none" w:sz="0" w:space="0" w:color="auto"/>
            <w:right w:val="none" w:sz="0" w:space="0" w:color="auto"/>
          </w:divBdr>
        </w:div>
        <w:div w:id="802044100">
          <w:marLeft w:val="0"/>
          <w:marRight w:val="0"/>
          <w:marTop w:val="0"/>
          <w:marBottom w:val="0"/>
          <w:divBdr>
            <w:top w:val="none" w:sz="0" w:space="0" w:color="auto"/>
            <w:left w:val="none" w:sz="0" w:space="0" w:color="auto"/>
            <w:bottom w:val="none" w:sz="0" w:space="0" w:color="auto"/>
            <w:right w:val="none" w:sz="0" w:space="0" w:color="auto"/>
          </w:divBdr>
        </w:div>
      </w:divsChild>
    </w:div>
    <w:div w:id="1201092377">
      <w:bodyDiv w:val="1"/>
      <w:marLeft w:val="0"/>
      <w:marRight w:val="0"/>
      <w:marTop w:val="0"/>
      <w:marBottom w:val="0"/>
      <w:divBdr>
        <w:top w:val="none" w:sz="0" w:space="0" w:color="auto"/>
        <w:left w:val="none" w:sz="0" w:space="0" w:color="auto"/>
        <w:bottom w:val="none" w:sz="0" w:space="0" w:color="auto"/>
        <w:right w:val="none" w:sz="0" w:space="0" w:color="auto"/>
      </w:divBdr>
    </w:div>
    <w:div w:id="1241063572">
      <w:bodyDiv w:val="1"/>
      <w:marLeft w:val="0"/>
      <w:marRight w:val="0"/>
      <w:marTop w:val="0"/>
      <w:marBottom w:val="0"/>
      <w:divBdr>
        <w:top w:val="none" w:sz="0" w:space="0" w:color="auto"/>
        <w:left w:val="none" w:sz="0" w:space="0" w:color="auto"/>
        <w:bottom w:val="none" w:sz="0" w:space="0" w:color="auto"/>
        <w:right w:val="none" w:sz="0" w:space="0" w:color="auto"/>
      </w:divBdr>
      <w:divsChild>
        <w:div w:id="1328367356">
          <w:marLeft w:val="0"/>
          <w:marRight w:val="0"/>
          <w:marTop w:val="0"/>
          <w:marBottom w:val="0"/>
          <w:divBdr>
            <w:top w:val="none" w:sz="0" w:space="0" w:color="auto"/>
            <w:left w:val="none" w:sz="0" w:space="0" w:color="auto"/>
            <w:bottom w:val="none" w:sz="0" w:space="0" w:color="auto"/>
            <w:right w:val="none" w:sz="0" w:space="0" w:color="auto"/>
          </w:divBdr>
          <w:divsChild>
            <w:div w:id="305622556">
              <w:marLeft w:val="0"/>
              <w:marRight w:val="0"/>
              <w:marTop w:val="0"/>
              <w:marBottom w:val="0"/>
              <w:divBdr>
                <w:top w:val="none" w:sz="0" w:space="0" w:color="auto"/>
                <w:left w:val="none" w:sz="0" w:space="0" w:color="auto"/>
                <w:bottom w:val="none" w:sz="0" w:space="0" w:color="auto"/>
                <w:right w:val="none" w:sz="0" w:space="0" w:color="auto"/>
              </w:divBdr>
              <w:divsChild>
                <w:div w:id="1835753886">
                  <w:marLeft w:val="0"/>
                  <w:marRight w:val="0"/>
                  <w:marTop w:val="0"/>
                  <w:marBottom w:val="0"/>
                  <w:divBdr>
                    <w:top w:val="none" w:sz="0" w:space="0" w:color="auto"/>
                    <w:left w:val="none" w:sz="0" w:space="0" w:color="auto"/>
                    <w:bottom w:val="none" w:sz="0" w:space="0" w:color="auto"/>
                    <w:right w:val="none" w:sz="0" w:space="0" w:color="auto"/>
                  </w:divBdr>
                  <w:divsChild>
                    <w:div w:id="166486309">
                      <w:marLeft w:val="0"/>
                      <w:marRight w:val="0"/>
                      <w:marTop w:val="0"/>
                      <w:marBottom w:val="0"/>
                      <w:divBdr>
                        <w:top w:val="none" w:sz="0" w:space="0" w:color="auto"/>
                        <w:left w:val="none" w:sz="0" w:space="0" w:color="auto"/>
                        <w:bottom w:val="none" w:sz="0" w:space="0" w:color="auto"/>
                        <w:right w:val="none" w:sz="0" w:space="0" w:color="auto"/>
                      </w:divBdr>
                      <w:divsChild>
                        <w:div w:id="576209798">
                          <w:marLeft w:val="0"/>
                          <w:marRight w:val="0"/>
                          <w:marTop w:val="0"/>
                          <w:marBottom w:val="0"/>
                          <w:divBdr>
                            <w:top w:val="none" w:sz="0" w:space="0" w:color="auto"/>
                            <w:left w:val="none" w:sz="0" w:space="0" w:color="auto"/>
                            <w:bottom w:val="none" w:sz="0" w:space="0" w:color="auto"/>
                            <w:right w:val="none" w:sz="0" w:space="0" w:color="auto"/>
                          </w:divBdr>
                          <w:divsChild>
                            <w:div w:id="986203318">
                              <w:marLeft w:val="0"/>
                              <w:marRight w:val="0"/>
                              <w:marTop w:val="0"/>
                              <w:marBottom w:val="0"/>
                              <w:divBdr>
                                <w:top w:val="none" w:sz="0" w:space="0" w:color="auto"/>
                                <w:left w:val="none" w:sz="0" w:space="0" w:color="auto"/>
                                <w:bottom w:val="none" w:sz="0" w:space="0" w:color="auto"/>
                                <w:right w:val="none" w:sz="0" w:space="0" w:color="auto"/>
                              </w:divBdr>
                              <w:divsChild>
                                <w:div w:id="1127242660">
                                  <w:marLeft w:val="0"/>
                                  <w:marRight w:val="0"/>
                                  <w:marTop w:val="0"/>
                                  <w:marBottom w:val="0"/>
                                  <w:divBdr>
                                    <w:top w:val="none" w:sz="0" w:space="0" w:color="auto"/>
                                    <w:left w:val="none" w:sz="0" w:space="0" w:color="auto"/>
                                    <w:bottom w:val="none" w:sz="0" w:space="0" w:color="auto"/>
                                    <w:right w:val="none" w:sz="0" w:space="0" w:color="auto"/>
                                  </w:divBdr>
                                  <w:divsChild>
                                    <w:div w:id="1930264096">
                                      <w:marLeft w:val="0"/>
                                      <w:marRight w:val="0"/>
                                      <w:marTop w:val="0"/>
                                      <w:marBottom w:val="0"/>
                                      <w:divBdr>
                                        <w:top w:val="none" w:sz="0" w:space="0" w:color="auto"/>
                                        <w:left w:val="none" w:sz="0" w:space="0" w:color="auto"/>
                                        <w:bottom w:val="none" w:sz="0" w:space="0" w:color="auto"/>
                                        <w:right w:val="none" w:sz="0" w:space="0" w:color="auto"/>
                                      </w:divBdr>
                                      <w:divsChild>
                                        <w:div w:id="1442993174">
                                          <w:marLeft w:val="0"/>
                                          <w:marRight w:val="0"/>
                                          <w:marTop w:val="0"/>
                                          <w:marBottom w:val="0"/>
                                          <w:divBdr>
                                            <w:top w:val="none" w:sz="0" w:space="0" w:color="auto"/>
                                            <w:left w:val="none" w:sz="0" w:space="0" w:color="auto"/>
                                            <w:bottom w:val="none" w:sz="0" w:space="0" w:color="auto"/>
                                            <w:right w:val="none" w:sz="0" w:space="0" w:color="auto"/>
                                          </w:divBdr>
                                          <w:divsChild>
                                            <w:div w:id="1876654124">
                                              <w:marLeft w:val="0"/>
                                              <w:marRight w:val="0"/>
                                              <w:marTop w:val="0"/>
                                              <w:marBottom w:val="0"/>
                                              <w:divBdr>
                                                <w:top w:val="none" w:sz="0" w:space="0" w:color="auto"/>
                                                <w:left w:val="none" w:sz="0" w:space="0" w:color="auto"/>
                                                <w:bottom w:val="none" w:sz="0" w:space="0" w:color="auto"/>
                                                <w:right w:val="none" w:sz="0" w:space="0" w:color="auto"/>
                                              </w:divBdr>
                                              <w:divsChild>
                                                <w:div w:id="1361318252">
                                                  <w:marLeft w:val="0"/>
                                                  <w:marRight w:val="0"/>
                                                  <w:marTop w:val="0"/>
                                                  <w:marBottom w:val="0"/>
                                                  <w:divBdr>
                                                    <w:top w:val="none" w:sz="0" w:space="0" w:color="auto"/>
                                                    <w:left w:val="none" w:sz="0" w:space="0" w:color="auto"/>
                                                    <w:bottom w:val="none" w:sz="0" w:space="0" w:color="auto"/>
                                                    <w:right w:val="none" w:sz="0" w:space="0" w:color="auto"/>
                                                  </w:divBdr>
                                                  <w:divsChild>
                                                    <w:div w:id="1264264523">
                                                      <w:marLeft w:val="0"/>
                                                      <w:marRight w:val="0"/>
                                                      <w:marTop w:val="0"/>
                                                      <w:marBottom w:val="0"/>
                                                      <w:divBdr>
                                                        <w:top w:val="none" w:sz="0" w:space="0" w:color="auto"/>
                                                        <w:left w:val="none" w:sz="0" w:space="0" w:color="auto"/>
                                                        <w:bottom w:val="none" w:sz="0" w:space="0" w:color="auto"/>
                                                        <w:right w:val="none" w:sz="0" w:space="0" w:color="auto"/>
                                                      </w:divBdr>
                                                      <w:divsChild>
                                                        <w:div w:id="127167517">
                                                          <w:marLeft w:val="0"/>
                                                          <w:marRight w:val="0"/>
                                                          <w:marTop w:val="0"/>
                                                          <w:marBottom w:val="0"/>
                                                          <w:divBdr>
                                                            <w:top w:val="none" w:sz="0" w:space="0" w:color="auto"/>
                                                            <w:left w:val="none" w:sz="0" w:space="0" w:color="auto"/>
                                                            <w:bottom w:val="none" w:sz="0" w:space="0" w:color="auto"/>
                                                            <w:right w:val="none" w:sz="0" w:space="0" w:color="auto"/>
                                                          </w:divBdr>
                                                          <w:divsChild>
                                                            <w:div w:id="1495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595987">
      <w:bodyDiv w:val="1"/>
      <w:marLeft w:val="0"/>
      <w:marRight w:val="0"/>
      <w:marTop w:val="0"/>
      <w:marBottom w:val="0"/>
      <w:divBdr>
        <w:top w:val="none" w:sz="0" w:space="0" w:color="auto"/>
        <w:left w:val="none" w:sz="0" w:space="0" w:color="auto"/>
        <w:bottom w:val="none" w:sz="0" w:space="0" w:color="auto"/>
        <w:right w:val="none" w:sz="0" w:space="0" w:color="auto"/>
      </w:divBdr>
      <w:divsChild>
        <w:div w:id="384917992">
          <w:marLeft w:val="0"/>
          <w:marRight w:val="0"/>
          <w:marTop w:val="0"/>
          <w:marBottom w:val="0"/>
          <w:divBdr>
            <w:top w:val="none" w:sz="0" w:space="0" w:color="auto"/>
            <w:left w:val="none" w:sz="0" w:space="0" w:color="auto"/>
            <w:bottom w:val="none" w:sz="0" w:space="0" w:color="auto"/>
            <w:right w:val="none" w:sz="0" w:space="0" w:color="auto"/>
          </w:divBdr>
        </w:div>
        <w:div w:id="707991752">
          <w:marLeft w:val="0"/>
          <w:marRight w:val="0"/>
          <w:marTop w:val="0"/>
          <w:marBottom w:val="0"/>
          <w:divBdr>
            <w:top w:val="none" w:sz="0" w:space="0" w:color="auto"/>
            <w:left w:val="none" w:sz="0" w:space="0" w:color="auto"/>
            <w:bottom w:val="none" w:sz="0" w:space="0" w:color="auto"/>
            <w:right w:val="none" w:sz="0" w:space="0" w:color="auto"/>
          </w:divBdr>
        </w:div>
        <w:div w:id="1212574431">
          <w:marLeft w:val="0"/>
          <w:marRight w:val="0"/>
          <w:marTop w:val="0"/>
          <w:marBottom w:val="0"/>
          <w:divBdr>
            <w:top w:val="none" w:sz="0" w:space="0" w:color="auto"/>
            <w:left w:val="none" w:sz="0" w:space="0" w:color="auto"/>
            <w:bottom w:val="none" w:sz="0" w:space="0" w:color="auto"/>
            <w:right w:val="none" w:sz="0" w:space="0" w:color="auto"/>
          </w:divBdr>
        </w:div>
        <w:div w:id="283654025">
          <w:marLeft w:val="0"/>
          <w:marRight w:val="0"/>
          <w:marTop w:val="0"/>
          <w:marBottom w:val="0"/>
          <w:divBdr>
            <w:top w:val="none" w:sz="0" w:space="0" w:color="auto"/>
            <w:left w:val="none" w:sz="0" w:space="0" w:color="auto"/>
            <w:bottom w:val="none" w:sz="0" w:space="0" w:color="auto"/>
            <w:right w:val="none" w:sz="0" w:space="0" w:color="auto"/>
          </w:divBdr>
        </w:div>
        <w:div w:id="317537490">
          <w:marLeft w:val="0"/>
          <w:marRight w:val="0"/>
          <w:marTop w:val="0"/>
          <w:marBottom w:val="0"/>
          <w:divBdr>
            <w:top w:val="none" w:sz="0" w:space="0" w:color="auto"/>
            <w:left w:val="none" w:sz="0" w:space="0" w:color="auto"/>
            <w:bottom w:val="none" w:sz="0" w:space="0" w:color="auto"/>
            <w:right w:val="none" w:sz="0" w:space="0" w:color="auto"/>
          </w:divBdr>
        </w:div>
        <w:div w:id="1698459555">
          <w:marLeft w:val="0"/>
          <w:marRight w:val="0"/>
          <w:marTop w:val="0"/>
          <w:marBottom w:val="0"/>
          <w:divBdr>
            <w:top w:val="none" w:sz="0" w:space="0" w:color="auto"/>
            <w:left w:val="none" w:sz="0" w:space="0" w:color="auto"/>
            <w:bottom w:val="none" w:sz="0" w:space="0" w:color="auto"/>
            <w:right w:val="none" w:sz="0" w:space="0" w:color="auto"/>
          </w:divBdr>
        </w:div>
        <w:div w:id="2020695158">
          <w:marLeft w:val="0"/>
          <w:marRight w:val="0"/>
          <w:marTop w:val="0"/>
          <w:marBottom w:val="0"/>
          <w:divBdr>
            <w:top w:val="none" w:sz="0" w:space="0" w:color="auto"/>
            <w:left w:val="none" w:sz="0" w:space="0" w:color="auto"/>
            <w:bottom w:val="none" w:sz="0" w:space="0" w:color="auto"/>
            <w:right w:val="none" w:sz="0" w:space="0" w:color="auto"/>
          </w:divBdr>
        </w:div>
        <w:div w:id="1325280280">
          <w:marLeft w:val="0"/>
          <w:marRight w:val="0"/>
          <w:marTop w:val="0"/>
          <w:marBottom w:val="0"/>
          <w:divBdr>
            <w:top w:val="none" w:sz="0" w:space="0" w:color="auto"/>
            <w:left w:val="none" w:sz="0" w:space="0" w:color="auto"/>
            <w:bottom w:val="none" w:sz="0" w:space="0" w:color="auto"/>
            <w:right w:val="none" w:sz="0" w:space="0" w:color="auto"/>
          </w:divBdr>
        </w:div>
        <w:div w:id="817304875">
          <w:marLeft w:val="0"/>
          <w:marRight w:val="0"/>
          <w:marTop w:val="0"/>
          <w:marBottom w:val="0"/>
          <w:divBdr>
            <w:top w:val="none" w:sz="0" w:space="0" w:color="auto"/>
            <w:left w:val="none" w:sz="0" w:space="0" w:color="auto"/>
            <w:bottom w:val="none" w:sz="0" w:space="0" w:color="auto"/>
            <w:right w:val="none" w:sz="0" w:space="0" w:color="auto"/>
          </w:divBdr>
        </w:div>
        <w:div w:id="662392136">
          <w:marLeft w:val="0"/>
          <w:marRight w:val="0"/>
          <w:marTop w:val="0"/>
          <w:marBottom w:val="0"/>
          <w:divBdr>
            <w:top w:val="none" w:sz="0" w:space="0" w:color="auto"/>
            <w:left w:val="none" w:sz="0" w:space="0" w:color="auto"/>
            <w:bottom w:val="none" w:sz="0" w:space="0" w:color="auto"/>
            <w:right w:val="none" w:sz="0" w:space="0" w:color="auto"/>
          </w:divBdr>
        </w:div>
        <w:div w:id="1716276892">
          <w:marLeft w:val="0"/>
          <w:marRight w:val="0"/>
          <w:marTop w:val="0"/>
          <w:marBottom w:val="0"/>
          <w:divBdr>
            <w:top w:val="none" w:sz="0" w:space="0" w:color="auto"/>
            <w:left w:val="none" w:sz="0" w:space="0" w:color="auto"/>
            <w:bottom w:val="none" w:sz="0" w:space="0" w:color="auto"/>
            <w:right w:val="none" w:sz="0" w:space="0" w:color="auto"/>
          </w:divBdr>
        </w:div>
        <w:div w:id="1280605587">
          <w:marLeft w:val="0"/>
          <w:marRight w:val="0"/>
          <w:marTop w:val="0"/>
          <w:marBottom w:val="0"/>
          <w:divBdr>
            <w:top w:val="none" w:sz="0" w:space="0" w:color="auto"/>
            <w:left w:val="none" w:sz="0" w:space="0" w:color="auto"/>
            <w:bottom w:val="none" w:sz="0" w:space="0" w:color="auto"/>
            <w:right w:val="none" w:sz="0" w:space="0" w:color="auto"/>
          </w:divBdr>
        </w:div>
        <w:div w:id="547684500">
          <w:marLeft w:val="0"/>
          <w:marRight w:val="0"/>
          <w:marTop w:val="0"/>
          <w:marBottom w:val="0"/>
          <w:divBdr>
            <w:top w:val="none" w:sz="0" w:space="0" w:color="auto"/>
            <w:left w:val="none" w:sz="0" w:space="0" w:color="auto"/>
            <w:bottom w:val="none" w:sz="0" w:space="0" w:color="auto"/>
            <w:right w:val="none" w:sz="0" w:space="0" w:color="auto"/>
          </w:divBdr>
        </w:div>
        <w:div w:id="1104038829">
          <w:marLeft w:val="0"/>
          <w:marRight w:val="0"/>
          <w:marTop w:val="0"/>
          <w:marBottom w:val="0"/>
          <w:divBdr>
            <w:top w:val="none" w:sz="0" w:space="0" w:color="auto"/>
            <w:left w:val="none" w:sz="0" w:space="0" w:color="auto"/>
            <w:bottom w:val="none" w:sz="0" w:space="0" w:color="auto"/>
            <w:right w:val="none" w:sz="0" w:space="0" w:color="auto"/>
          </w:divBdr>
        </w:div>
        <w:div w:id="1044259598">
          <w:marLeft w:val="0"/>
          <w:marRight w:val="0"/>
          <w:marTop w:val="0"/>
          <w:marBottom w:val="0"/>
          <w:divBdr>
            <w:top w:val="none" w:sz="0" w:space="0" w:color="auto"/>
            <w:left w:val="none" w:sz="0" w:space="0" w:color="auto"/>
            <w:bottom w:val="none" w:sz="0" w:space="0" w:color="auto"/>
            <w:right w:val="none" w:sz="0" w:space="0" w:color="auto"/>
          </w:divBdr>
        </w:div>
        <w:div w:id="1747454531">
          <w:marLeft w:val="0"/>
          <w:marRight w:val="0"/>
          <w:marTop w:val="0"/>
          <w:marBottom w:val="0"/>
          <w:divBdr>
            <w:top w:val="none" w:sz="0" w:space="0" w:color="auto"/>
            <w:left w:val="none" w:sz="0" w:space="0" w:color="auto"/>
            <w:bottom w:val="none" w:sz="0" w:space="0" w:color="auto"/>
            <w:right w:val="none" w:sz="0" w:space="0" w:color="auto"/>
          </w:divBdr>
        </w:div>
        <w:div w:id="854736481">
          <w:marLeft w:val="0"/>
          <w:marRight w:val="0"/>
          <w:marTop w:val="0"/>
          <w:marBottom w:val="0"/>
          <w:divBdr>
            <w:top w:val="none" w:sz="0" w:space="0" w:color="auto"/>
            <w:left w:val="none" w:sz="0" w:space="0" w:color="auto"/>
            <w:bottom w:val="none" w:sz="0" w:space="0" w:color="auto"/>
            <w:right w:val="none" w:sz="0" w:space="0" w:color="auto"/>
          </w:divBdr>
        </w:div>
        <w:div w:id="432281535">
          <w:marLeft w:val="0"/>
          <w:marRight w:val="0"/>
          <w:marTop w:val="0"/>
          <w:marBottom w:val="0"/>
          <w:divBdr>
            <w:top w:val="none" w:sz="0" w:space="0" w:color="auto"/>
            <w:left w:val="none" w:sz="0" w:space="0" w:color="auto"/>
            <w:bottom w:val="none" w:sz="0" w:space="0" w:color="auto"/>
            <w:right w:val="none" w:sz="0" w:space="0" w:color="auto"/>
          </w:divBdr>
        </w:div>
        <w:div w:id="2147383810">
          <w:marLeft w:val="0"/>
          <w:marRight w:val="0"/>
          <w:marTop w:val="0"/>
          <w:marBottom w:val="0"/>
          <w:divBdr>
            <w:top w:val="none" w:sz="0" w:space="0" w:color="auto"/>
            <w:left w:val="none" w:sz="0" w:space="0" w:color="auto"/>
            <w:bottom w:val="none" w:sz="0" w:space="0" w:color="auto"/>
            <w:right w:val="none" w:sz="0" w:space="0" w:color="auto"/>
          </w:divBdr>
        </w:div>
        <w:div w:id="1202129852">
          <w:marLeft w:val="0"/>
          <w:marRight w:val="0"/>
          <w:marTop w:val="0"/>
          <w:marBottom w:val="0"/>
          <w:divBdr>
            <w:top w:val="none" w:sz="0" w:space="0" w:color="auto"/>
            <w:left w:val="none" w:sz="0" w:space="0" w:color="auto"/>
            <w:bottom w:val="none" w:sz="0" w:space="0" w:color="auto"/>
            <w:right w:val="none" w:sz="0" w:space="0" w:color="auto"/>
          </w:divBdr>
        </w:div>
        <w:div w:id="1168866242">
          <w:marLeft w:val="0"/>
          <w:marRight w:val="0"/>
          <w:marTop w:val="0"/>
          <w:marBottom w:val="0"/>
          <w:divBdr>
            <w:top w:val="none" w:sz="0" w:space="0" w:color="auto"/>
            <w:left w:val="none" w:sz="0" w:space="0" w:color="auto"/>
            <w:bottom w:val="none" w:sz="0" w:space="0" w:color="auto"/>
            <w:right w:val="none" w:sz="0" w:space="0" w:color="auto"/>
          </w:divBdr>
        </w:div>
        <w:div w:id="1822621754">
          <w:marLeft w:val="0"/>
          <w:marRight w:val="0"/>
          <w:marTop w:val="0"/>
          <w:marBottom w:val="0"/>
          <w:divBdr>
            <w:top w:val="none" w:sz="0" w:space="0" w:color="auto"/>
            <w:left w:val="none" w:sz="0" w:space="0" w:color="auto"/>
            <w:bottom w:val="none" w:sz="0" w:space="0" w:color="auto"/>
            <w:right w:val="none" w:sz="0" w:space="0" w:color="auto"/>
          </w:divBdr>
        </w:div>
        <w:div w:id="817234876">
          <w:marLeft w:val="0"/>
          <w:marRight w:val="0"/>
          <w:marTop w:val="0"/>
          <w:marBottom w:val="0"/>
          <w:divBdr>
            <w:top w:val="none" w:sz="0" w:space="0" w:color="auto"/>
            <w:left w:val="none" w:sz="0" w:space="0" w:color="auto"/>
            <w:bottom w:val="none" w:sz="0" w:space="0" w:color="auto"/>
            <w:right w:val="none" w:sz="0" w:space="0" w:color="auto"/>
          </w:divBdr>
        </w:div>
        <w:div w:id="1355689006">
          <w:marLeft w:val="0"/>
          <w:marRight w:val="0"/>
          <w:marTop w:val="0"/>
          <w:marBottom w:val="0"/>
          <w:divBdr>
            <w:top w:val="none" w:sz="0" w:space="0" w:color="auto"/>
            <w:left w:val="none" w:sz="0" w:space="0" w:color="auto"/>
            <w:bottom w:val="none" w:sz="0" w:space="0" w:color="auto"/>
            <w:right w:val="none" w:sz="0" w:space="0" w:color="auto"/>
          </w:divBdr>
        </w:div>
        <w:div w:id="1977030388">
          <w:marLeft w:val="0"/>
          <w:marRight w:val="0"/>
          <w:marTop w:val="0"/>
          <w:marBottom w:val="0"/>
          <w:divBdr>
            <w:top w:val="none" w:sz="0" w:space="0" w:color="auto"/>
            <w:left w:val="none" w:sz="0" w:space="0" w:color="auto"/>
            <w:bottom w:val="none" w:sz="0" w:space="0" w:color="auto"/>
            <w:right w:val="none" w:sz="0" w:space="0" w:color="auto"/>
          </w:divBdr>
        </w:div>
        <w:div w:id="517041696">
          <w:marLeft w:val="0"/>
          <w:marRight w:val="0"/>
          <w:marTop w:val="0"/>
          <w:marBottom w:val="0"/>
          <w:divBdr>
            <w:top w:val="none" w:sz="0" w:space="0" w:color="auto"/>
            <w:left w:val="none" w:sz="0" w:space="0" w:color="auto"/>
            <w:bottom w:val="none" w:sz="0" w:space="0" w:color="auto"/>
            <w:right w:val="none" w:sz="0" w:space="0" w:color="auto"/>
          </w:divBdr>
        </w:div>
        <w:div w:id="1916669172">
          <w:marLeft w:val="0"/>
          <w:marRight w:val="0"/>
          <w:marTop w:val="0"/>
          <w:marBottom w:val="0"/>
          <w:divBdr>
            <w:top w:val="none" w:sz="0" w:space="0" w:color="auto"/>
            <w:left w:val="none" w:sz="0" w:space="0" w:color="auto"/>
            <w:bottom w:val="none" w:sz="0" w:space="0" w:color="auto"/>
            <w:right w:val="none" w:sz="0" w:space="0" w:color="auto"/>
          </w:divBdr>
        </w:div>
        <w:div w:id="1878468144">
          <w:marLeft w:val="0"/>
          <w:marRight w:val="0"/>
          <w:marTop w:val="0"/>
          <w:marBottom w:val="0"/>
          <w:divBdr>
            <w:top w:val="none" w:sz="0" w:space="0" w:color="auto"/>
            <w:left w:val="none" w:sz="0" w:space="0" w:color="auto"/>
            <w:bottom w:val="none" w:sz="0" w:space="0" w:color="auto"/>
            <w:right w:val="none" w:sz="0" w:space="0" w:color="auto"/>
          </w:divBdr>
        </w:div>
        <w:div w:id="251742609">
          <w:marLeft w:val="0"/>
          <w:marRight w:val="0"/>
          <w:marTop w:val="0"/>
          <w:marBottom w:val="0"/>
          <w:divBdr>
            <w:top w:val="none" w:sz="0" w:space="0" w:color="auto"/>
            <w:left w:val="none" w:sz="0" w:space="0" w:color="auto"/>
            <w:bottom w:val="none" w:sz="0" w:space="0" w:color="auto"/>
            <w:right w:val="none" w:sz="0" w:space="0" w:color="auto"/>
          </w:divBdr>
        </w:div>
      </w:divsChild>
    </w:div>
    <w:div w:id="1406030157">
      <w:bodyDiv w:val="1"/>
      <w:marLeft w:val="0"/>
      <w:marRight w:val="0"/>
      <w:marTop w:val="0"/>
      <w:marBottom w:val="0"/>
      <w:divBdr>
        <w:top w:val="none" w:sz="0" w:space="0" w:color="auto"/>
        <w:left w:val="none" w:sz="0" w:space="0" w:color="auto"/>
        <w:bottom w:val="none" w:sz="0" w:space="0" w:color="auto"/>
        <w:right w:val="none" w:sz="0" w:space="0" w:color="auto"/>
      </w:divBdr>
    </w:div>
    <w:div w:id="1510875303">
      <w:bodyDiv w:val="1"/>
      <w:marLeft w:val="0"/>
      <w:marRight w:val="0"/>
      <w:marTop w:val="0"/>
      <w:marBottom w:val="0"/>
      <w:divBdr>
        <w:top w:val="none" w:sz="0" w:space="0" w:color="auto"/>
        <w:left w:val="none" w:sz="0" w:space="0" w:color="auto"/>
        <w:bottom w:val="none" w:sz="0" w:space="0" w:color="auto"/>
        <w:right w:val="none" w:sz="0" w:space="0" w:color="auto"/>
      </w:divBdr>
    </w:div>
    <w:div w:id="1522428132">
      <w:bodyDiv w:val="1"/>
      <w:marLeft w:val="0"/>
      <w:marRight w:val="0"/>
      <w:marTop w:val="0"/>
      <w:marBottom w:val="0"/>
      <w:divBdr>
        <w:top w:val="none" w:sz="0" w:space="0" w:color="auto"/>
        <w:left w:val="none" w:sz="0" w:space="0" w:color="auto"/>
        <w:bottom w:val="none" w:sz="0" w:space="0" w:color="auto"/>
        <w:right w:val="none" w:sz="0" w:space="0" w:color="auto"/>
      </w:divBdr>
    </w:div>
    <w:div w:id="1541626431">
      <w:bodyDiv w:val="1"/>
      <w:marLeft w:val="0"/>
      <w:marRight w:val="0"/>
      <w:marTop w:val="0"/>
      <w:marBottom w:val="0"/>
      <w:divBdr>
        <w:top w:val="none" w:sz="0" w:space="0" w:color="auto"/>
        <w:left w:val="none" w:sz="0" w:space="0" w:color="auto"/>
        <w:bottom w:val="none" w:sz="0" w:space="0" w:color="auto"/>
        <w:right w:val="none" w:sz="0" w:space="0" w:color="auto"/>
      </w:divBdr>
    </w:div>
    <w:div w:id="1561592381">
      <w:bodyDiv w:val="1"/>
      <w:marLeft w:val="0"/>
      <w:marRight w:val="0"/>
      <w:marTop w:val="0"/>
      <w:marBottom w:val="0"/>
      <w:divBdr>
        <w:top w:val="none" w:sz="0" w:space="0" w:color="auto"/>
        <w:left w:val="none" w:sz="0" w:space="0" w:color="auto"/>
        <w:bottom w:val="none" w:sz="0" w:space="0" w:color="auto"/>
        <w:right w:val="none" w:sz="0" w:space="0" w:color="auto"/>
      </w:divBdr>
    </w:div>
    <w:div w:id="1616979695">
      <w:bodyDiv w:val="1"/>
      <w:marLeft w:val="0"/>
      <w:marRight w:val="0"/>
      <w:marTop w:val="0"/>
      <w:marBottom w:val="0"/>
      <w:divBdr>
        <w:top w:val="none" w:sz="0" w:space="0" w:color="auto"/>
        <w:left w:val="none" w:sz="0" w:space="0" w:color="auto"/>
        <w:bottom w:val="none" w:sz="0" w:space="0" w:color="auto"/>
        <w:right w:val="none" w:sz="0" w:space="0" w:color="auto"/>
      </w:divBdr>
    </w:div>
    <w:div w:id="1646154240">
      <w:bodyDiv w:val="1"/>
      <w:marLeft w:val="0"/>
      <w:marRight w:val="0"/>
      <w:marTop w:val="0"/>
      <w:marBottom w:val="0"/>
      <w:divBdr>
        <w:top w:val="none" w:sz="0" w:space="0" w:color="auto"/>
        <w:left w:val="none" w:sz="0" w:space="0" w:color="auto"/>
        <w:bottom w:val="none" w:sz="0" w:space="0" w:color="auto"/>
        <w:right w:val="none" w:sz="0" w:space="0" w:color="auto"/>
      </w:divBdr>
    </w:div>
    <w:div w:id="1685984188">
      <w:bodyDiv w:val="1"/>
      <w:marLeft w:val="0"/>
      <w:marRight w:val="0"/>
      <w:marTop w:val="0"/>
      <w:marBottom w:val="0"/>
      <w:divBdr>
        <w:top w:val="none" w:sz="0" w:space="0" w:color="auto"/>
        <w:left w:val="none" w:sz="0" w:space="0" w:color="auto"/>
        <w:bottom w:val="none" w:sz="0" w:space="0" w:color="auto"/>
        <w:right w:val="none" w:sz="0" w:space="0" w:color="auto"/>
      </w:divBdr>
    </w:div>
    <w:div w:id="1776168937">
      <w:bodyDiv w:val="1"/>
      <w:marLeft w:val="0"/>
      <w:marRight w:val="0"/>
      <w:marTop w:val="0"/>
      <w:marBottom w:val="0"/>
      <w:divBdr>
        <w:top w:val="none" w:sz="0" w:space="0" w:color="auto"/>
        <w:left w:val="none" w:sz="0" w:space="0" w:color="auto"/>
        <w:bottom w:val="none" w:sz="0" w:space="0" w:color="auto"/>
        <w:right w:val="none" w:sz="0" w:space="0" w:color="auto"/>
      </w:divBdr>
    </w:div>
    <w:div w:id="1929270144">
      <w:bodyDiv w:val="1"/>
      <w:marLeft w:val="0"/>
      <w:marRight w:val="0"/>
      <w:marTop w:val="0"/>
      <w:marBottom w:val="0"/>
      <w:divBdr>
        <w:top w:val="none" w:sz="0" w:space="0" w:color="auto"/>
        <w:left w:val="none" w:sz="0" w:space="0" w:color="auto"/>
        <w:bottom w:val="none" w:sz="0" w:space="0" w:color="auto"/>
        <w:right w:val="none" w:sz="0" w:space="0" w:color="auto"/>
      </w:divBdr>
    </w:div>
    <w:div w:id="1975601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DF6E-5240-4480-A086-F3CE9D1E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5061</Words>
  <Characters>28850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33844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Brown</dc:creator>
  <cp:lastModifiedBy>SYSTEM</cp:lastModifiedBy>
  <cp:revision>2</cp:revision>
  <cp:lastPrinted>2017-10-27T13:55:00Z</cp:lastPrinted>
  <dcterms:created xsi:type="dcterms:W3CDTF">2018-03-13T15:56:00Z</dcterms:created>
  <dcterms:modified xsi:type="dcterms:W3CDTF">2018-03-13T15:56:00Z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