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9F44DD" w14:textId="77777777" w:rsidR="000E15CB" w:rsidRPr="000E15CB" w:rsidRDefault="000E15CB" w:rsidP="000E15CB">
      <w:pPr>
        <w:jc w:val="center"/>
        <w:rPr>
          <w:rFonts w:ascii="Times New Roman" w:hAnsi="Times New Roman"/>
          <w:b/>
          <w:sz w:val="28"/>
        </w:rPr>
      </w:pPr>
      <w:bookmarkStart w:id="0" w:name="_GoBack"/>
      <w:bookmarkEnd w:id="0"/>
      <w:r w:rsidRPr="000E15CB">
        <w:rPr>
          <w:rFonts w:ascii="Times New Roman" w:hAnsi="Times New Roman"/>
          <w:b/>
          <w:sz w:val="28"/>
        </w:rPr>
        <w:t xml:space="preserve">FDA DOCUMENTATION FOR THE GENERIC CLEARANCE, </w:t>
      </w:r>
    </w:p>
    <w:p w14:paraId="5C3FBAEA" w14:textId="4321B0C5" w:rsidR="009304FE" w:rsidRPr="000E15CB" w:rsidRDefault="000E15CB" w:rsidP="000E15CB">
      <w:pPr>
        <w:jc w:val="center"/>
        <w:rPr>
          <w:rFonts w:ascii="Times New Roman" w:hAnsi="Times New Roman"/>
          <w:b/>
          <w:sz w:val="24"/>
          <w:szCs w:val="28"/>
        </w:rPr>
      </w:pPr>
      <w:r w:rsidRPr="000E15CB">
        <w:rPr>
          <w:rFonts w:ascii="Times New Roman" w:hAnsi="Times New Roman"/>
          <w:b/>
          <w:sz w:val="28"/>
        </w:rPr>
        <w:t>“TESTING COMMUNICATIONS ON DRUGS PRODUCTS”</w:t>
      </w:r>
    </w:p>
    <w:p w14:paraId="13F280E5" w14:textId="77777777" w:rsidR="00090110" w:rsidRPr="00575A24" w:rsidRDefault="00E22D46" w:rsidP="00496388">
      <w:pPr>
        <w:jc w:val="center"/>
        <w:rPr>
          <w:rFonts w:ascii="Times New Roman" w:hAnsi="Times New Roman"/>
          <w:b/>
          <w:sz w:val="24"/>
          <w:szCs w:val="28"/>
        </w:rPr>
      </w:pPr>
      <w:r w:rsidRPr="00575A24">
        <w:rPr>
          <w:rFonts w:ascii="Times New Roman" w:hAnsi="Times New Roman"/>
          <w:b/>
          <w:sz w:val="24"/>
          <w:szCs w:val="28"/>
        </w:rPr>
        <w:t>(</w:t>
      </w:r>
      <w:r w:rsidR="00090110" w:rsidRPr="00575A24">
        <w:rPr>
          <w:rFonts w:ascii="Times New Roman" w:hAnsi="Times New Roman"/>
          <w:b/>
          <w:sz w:val="24"/>
          <w:szCs w:val="28"/>
        </w:rPr>
        <w:t>0910-</w:t>
      </w:r>
      <w:r w:rsidR="00575A24" w:rsidRPr="00575A24">
        <w:rPr>
          <w:rFonts w:ascii="Times New Roman" w:hAnsi="Times New Roman"/>
          <w:b/>
          <w:sz w:val="24"/>
          <w:szCs w:val="28"/>
        </w:rPr>
        <w:t>0695</w:t>
      </w:r>
      <w:r w:rsidRPr="00575A24">
        <w:rPr>
          <w:rFonts w:ascii="Times New Roman" w:hAnsi="Times New Roman"/>
          <w:b/>
          <w:sz w:val="24"/>
          <w:szCs w:val="28"/>
        </w:rPr>
        <w:t>)</w:t>
      </w:r>
    </w:p>
    <w:p w14:paraId="59479B85" w14:textId="77777777" w:rsidR="009304FE" w:rsidRPr="00585058" w:rsidRDefault="006155C0" w:rsidP="00496388">
      <w:pP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7728" behindDoc="0" locked="0" layoutInCell="0" allowOverlap="1" wp14:anchorId="0C2DDE23" wp14:editId="56AFAA19">
                <wp:simplePos x="0" y="0"/>
                <wp:positionH relativeFrom="column">
                  <wp:posOffset>0</wp:posOffset>
                </wp:positionH>
                <wp:positionV relativeFrom="paragraph">
                  <wp:posOffset>0</wp:posOffset>
                </wp:positionV>
                <wp:extent cx="5943600" cy="0"/>
                <wp:effectExtent l="25400" t="25400" r="38100" b="3810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A9C206"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9304FE" w:rsidRPr="00585058">
        <w:rPr>
          <w:rFonts w:ascii="Times New Roman" w:hAnsi="Times New Roman"/>
          <w:sz w:val="24"/>
          <w:szCs w:val="24"/>
        </w:rPr>
        <w:t xml:space="preserve"> </w:t>
      </w:r>
    </w:p>
    <w:p w14:paraId="2B261E5A" w14:textId="77777777" w:rsidR="00D8037D" w:rsidRPr="00585058" w:rsidRDefault="00D8037D" w:rsidP="00496388">
      <w:pPr>
        <w:spacing w:before="120"/>
        <w:rPr>
          <w:rFonts w:ascii="Times New Roman" w:hAnsi="Times New Roman"/>
          <w:sz w:val="24"/>
        </w:rPr>
      </w:pPr>
      <w:r w:rsidRPr="00585058">
        <w:rPr>
          <w:rFonts w:ascii="Times New Roman" w:hAnsi="Times New Roman"/>
          <w:b/>
          <w:sz w:val="24"/>
        </w:rPr>
        <w:t>TITLE OF INFORMATION COLLECTION:</w:t>
      </w:r>
      <w:r w:rsidRPr="00585058">
        <w:rPr>
          <w:rFonts w:ascii="Times New Roman" w:hAnsi="Times New Roman"/>
          <w:sz w:val="24"/>
        </w:rPr>
        <w:t xml:space="preserve">  </w:t>
      </w:r>
      <w:r w:rsidR="00575A24">
        <w:rPr>
          <w:rFonts w:ascii="Times New Roman" w:hAnsi="Times New Roman"/>
          <w:sz w:val="24"/>
        </w:rPr>
        <w:t>Educating Groups Influencing Generic Drug Use (</w:t>
      </w:r>
      <w:r w:rsidR="005B163F">
        <w:rPr>
          <w:rFonts w:ascii="Times New Roman" w:hAnsi="Times New Roman"/>
          <w:sz w:val="24"/>
        </w:rPr>
        <w:t>I</w:t>
      </w:r>
      <w:r w:rsidR="00E1177B">
        <w:rPr>
          <w:rFonts w:ascii="Times New Roman" w:hAnsi="Times New Roman"/>
          <w:sz w:val="24"/>
        </w:rPr>
        <w:t>nterviews</w:t>
      </w:r>
      <w:r w:rsidR="005B163F">
        <w:rPr>
          <w:rFonts w:ascii="Times New Roman" w:hAnsi="Times New Roman"/>
          <w:sz w:val="24"/>
        </w:rPr>
        <w:t xml:space="preserve"> and Surveys</w:t>
      </w:r>
      <w:r w:rsidR="00575A24">
        <w:rPr>
          <w:rFonts w:ascii="Times New Roman" w:hAnsi="Times New Roman"/>
          <w:sz w:val="24"/>
        </w:rPr>
        <w:t>)</w:t>
      </w:r>
    </w:p>
    <w:p w14:paraId="70671EC9" w14:textId="77777777" w:rsidR="00D8037D" w:rsidRPr="00585058" w:rsidRDefault="00D8037D" w:rsidP="00496388">
      <w:pPr>
        <w:rPr>
          <w:rFonts w:ascii="Times New Roman" w:hAnsi="Times New Roman"/>
          <w:sz w:val="24"/>
        </w:rPr>
      </w:pPr>
    </w:p>
    <w:p w14:paraId="3F14F8C9" w14:textId="77777777" w:rsidR="00D8037D" w:rsidRPr="00585058" w:rsidRDefault="00D8037D" w:rsidP="00496388">
      <w:pPr>
        <w:spacing w:after="120"/>
        <w:rPr>
          <w:rFonts w:ascii="Times New Roman" w:hAnsi="Times New Roman"/>
          <w:b/>
          <w:sz w:val="24"/>
        </w:rPr>
      </w:pPr>
      <w:r w:rsidRPr="00585058">
        <w:rPr>
          <w:rFonts w:ascii="Times New Roman" w:hAnsi="Times New Roman"/>
          <w:b/>
          <w:sz w:val="24"/>
        </w:rPr>
        <w:t xml:space="preserve">DESCRIPTION OF THIS SPECIFIC COLLECTION </w:t>
      </w:r>
    </w:p>
    <w:p w14:paraId="229902ED" w14:textId="77777777" w:rsidR="00D8037D" w:rsidRPr="00585058" w:rsidRDefault="00585058" w:rsidP="00D92968">
      <w:pPr>
        <w:numPr>
          <w:ilvl w:val="0"/>
          <w:numId w:val="1"/>
        </w:numPr>
        <w:tabs>
          <w:tab w:val="clear" w:pos="1296"/>
          <w:tab w:val="num" w:pos="360"/>
        </w:tabs>
        <w:autoSpaceDE/>
        <w:autoSpaceDN/>
        <w:adjustRightInd/>
        <w:ind w:left="0" w:firstLine="0"/>
        <w:rPr>
          <w:rFonts w:ascii="Times New Roman" w:hAnsi="Times New Roman"/>
          <w:b/>
          <w:sz w:val="24"/>
        </w:rPr>
      </w:pPr>
      <w:r>
        <w:rPr>
          <w:rFonts w:ascii="Times New Roman" w:hAnsi="Times New Roman"/>
          <w:b/>
          <w:sz w:val="24"/>
        </w:rPr>
        <w:t>Statement of N</w:t>
      </w:r>
      <w:r w:rsidR="00D8037D" w:rsidRPr="00585058">
        <w:rPr>
          <w:rFonts w:ascii="Times New Roman" w:hAnsi="Times New Roman"/>
          <w:b/>
          <w:sz w:val="24"/>
        </w:rPr>
        <w:t xml:space="preserve">eed:  </w:t>
      </w:r>
    </w:p>
    <w:p w14:paraId="6311F1A6" w14:textId="77777777" w:rsidR="00D8037D" w:rsidRDefault="00D8037D" w:rsidP="00D92968">
      <w:pPr>
        <w:tabs>
          <w:tab w:val="num" w:pos="360"/>
        </w:tabs>
        <w:ind w:left="720"/>
        <w:jc w:val="both"/>
        <w:rPr>
          <w:rFonts w:ascii="Times New Roman" w:hAnsi="Times New Roman"/>
          <w:color w:val="000000"/>
          <w:sz w:val="24"/>
        </w:rPr>
      </w:pPr>
    </w:p>
    <w:p w14:paraId="427045F2" w14:textId="77777777" w:rsidR="00575A24" w:rsidRDefault="00575A24" w:rsidP="00D92968">
      <w:pPr>
        <w:tabs>
          <w:tab w:val="num" w:pos="360"/>
        </w:tabs>
        <w:ind w:left="360"/>
        <w:rPr>
          <w:rFonts w:ascii="Times New Roman" w:hAnsi="Times New Roman"/>
          <w:color w:val="000000"/>
          <w:sz w:val="24"/>
        </w:rPr>
      </w:pPr>
      <w:r>
        <w:rPr>
          <w:rFonts w:ascii="Times New Roman" w:hAnsi="Times New Roman"/>
          <w:color w:val="000000"/>
          <w:sz w:val="24"/>
        </w:rPr>
        <w:t>The Food and Drug Administration (FDA), Center for Drug Evaluation and Research (CDER</w:t>
      </w:r>
      <w:r w:rsidR="009369A0">
        <w:rPr>
          <w:rFonts w:ascii="Times New Roman" w:hAnsi="Times New Roman"/>
          <w:color w:val="000000"/>
          <w:sz w:val="24"/>
        </w:rPr>
        <w:t>)</w:t>
      </w:r>
      <w:r>
        <w:rPr>
          <w:rFonts w:ascii="Times New Roman" w:hAnsi="Times New Roman"/>
          <w:color w:val="000000"/>
          <w:sz w:val="24"/>
        </w:rPr>
        <w:t xml:space="preserve">, Office of Generic Drugs (OGD) is seeking OMB approval under the generic clearance 0910-0695 to conduct </w:t>
      </w:r>
      <w:r w:rsidR="006861FA">
        <w:rPr>
          <w:rFonts w:ascii="Times New Roman" w:hAnsi="Times New Roman"/>
          <w:color w:val="000000"/>
          <w:sz w:val="24"/>
        </w:rPr>
        <w:t>key informant interviews</w:t>
      </w:r>
      <w:r w:rsidR="00A60899">
        <w:rPr>
          <w:rFonts w:ascii="Times New Roman" w:hAnsi="Times New Roman"/>
          <w:color w:val="000000"/>
          <w:sz w:val="24"/>
        </w:rPr>
        <w:t xml:space="preserve"> (KII)</w:t>
      </w:r>
      <w:r w:rsidR="005B163F">
        <w:rPr>
          <w:rFonts w:ascii="Times New Roman" w:hAnsi="Times New Roman"/>
          <w:color w:val="000000"/>
          <w:sz w:val="24"/>
        </w:rPr>
        <w:t xml:space="preserve"> and surveys</w:t>
      </w:r>
      <w:r>
        <w:rPr>
          <w:rFonts w:ascii="Times New Roman" w:hAnsi="Times New Roman"/>
          <w:color w:val="000000"/>
          <w:sz w:val="24"/>
        </w:rPr>
        <w:t xml:space="preserve"> for the project “Educating Groups Influencing Generic Drug Use.”</w:t>
      </w:r>
    </w:p>
    <w:p w14:paraId="68382A2E" w14:textId="77777777" w:rsidR="00575A24" w:rsidRDefault="00575A24" w:rsidP="00D92968">
      <w:pPr>
        <w:tabs>
          <w:tab w:val="num" w:pos="360"/>
        </w:tabs>
        <w:ind w:left="360"/>
        <w:rPr>
          <w:rFonts w:ascii="Times New Roman" w:hAnsi="Times New Roman"/>
          <w:color w:val="000000"/>
          <w:sz w:val="24"/>
        </w:rPr>
      </w:pPr>
    </w:p>
    <w:p w14:paraId="4DB71BAC" w14:textId="30077B9A" w:rsidR="00575A24" w:rsidRDefault="00813A39" w:rsidP="00B97183">
      <w:pPr>
        <w:tabs>
          <w:tab w:val="num" w:pos="360"/>
        </w:tabs>
        <w:ind w:left="360"/>
        <w:rPr>
          <w:rFonts w:ascii="Times New Roman" w:hAnsi="Times New Roman"/>
          <w:color w:val="000000"/>
          <w:sz w:val="24"/>
        </w:rPr>
      </w:pPr>
      <w:r>
        <w:rPr>
          <w:rFonts w:ascii="Times New Roman" w:hAnsi="Times New Roman"/>
          <w:color w:val="000000"/>
          <w:sz w:val="24"/>
        </w:rPr>
        <w:t xml:space="preserve">Based on the </w:t>
      </w:r>
      <w:r w:rsidR="00ED7B39">
        <w:rPr>
          <w:rFonts w:ascii="Times New Roman" w:hAnsi="Times New Roman"/>
          <w:color w:val="000000"/>
          <w:sz w:val="24"/>
        </w:rPr>
        <w:t>supporting statement</w:t>
      </w:r>
      <w:r>
        <w:rPr>
          <w:rFonts w:ascii="Times New Roman" w:hAnsi="Times New Roman"/>
          <w:color w:val="000000"/>
          <w:sz w:val="24"/>
        </w:rPr>
        <w:t xml:space="preserve"> for generic clearance</w:t>
      </w:r>
      <w:r w:rsidR="005434C6">
        <w:rPr>
          <w:rFonts w:ascii="Times New Roman" w:hAnsi="Times New Roman"/>
          <w:color w:val="000000"/>
          <w:sz w:val="24"/>
        </w:rPr>
        <w:t xml:space="preserve"> 0910-0695</w:t>
      </w:r>
      <w:r>
        <w:rPr>
          <w:rFonts w:ascii="Times New Roman" w:hAnsi="Times New Roman"/>
          <w:color w:val="000000"/>
          <w:sz w:val="24"/>
        </w:rPr>
        <w:t>,</w:t>
      </w:r>
      <w:r w:rsidR="00231B1C">
        <w:rPr>
          <w:rStyle w:val="FootnoteReference"/>
          <w:rFonts w:ascii="Times New Roman" w:hAnsi="Times New Roman"/>
          <w:color w:val="000000"/>
          <w:sz w:val="24"/>
        </w:rPr>
        <w:footnoteReference w:id="1"/>
      </w:r>
      <w:r w:rsidR="00231B1C">
        <w:rPr>
          <w:rFonts w:ascii="Times New Roman" w:hAnsi="Times New Roman"/>
          <w:color w:val="000000"/>
          <w:sz w:val="24"/>
        </w:rPr>
        <w:t xml:space="preserve"> </w:t>
      </w:r>
      <w:r>
        <w:rPr>
          <w:rFonts w:ascii="Times New Roman" w:hAnsi="Times New Roman"/>
          <w:color w:val="000000"/>
          <w:sz w:val="24"/>
        </w:rPr>
        <w:t xml:space="preserve">the purpose of information collection under this generic clearance is “to provide tools to assess the need for communications on specific topics and to assist in the development and modification of communication messages to promote public health and compliance with regulations.” </w:t>
      </w:r>
      <w:r w:rsidR="002415F9">
        <w:rPr>
          <w:rFonts w:ascii="Times New Roman" w:hAnsi="Times New Roman"/>
          <w:color w:val="000000"/>
          <w:sz w:val="24"/>
        </w:rPr>
        <w:t>The</w:t>
      </w:r>
      <w:r>
        <w:rPr>
          <w:rFonts w:ascii="Times New Roman" w:hAnsi="Times New Roman"/>
          <w:color w:val="000000"/>
          <w:sz w:val="24"/>
        </w:rPr>
        <w:t xml:space="preserve"> specific collection</w:t>
      </w:r>
      <w:r w:rsidR="002415F9">
        <w:rPr>
          <w:rFonts w:ascii="Times New Roman" w:hAnsi="Times New Roman"/>
          <w:color w:val="000000"/>
          <w:sz w:val="24"/>
        </w:rPr>
        <w:t xml:space="preserve"> described </w:t>
      </w:r>
      <w:r w:rsidR="00616854">
        <w:rPr>
          <w:rFonts w:ascii="Times New Roman" w:hAnsi="Times New Roman"/>
          <w:color w:val="000000"/>
          <w:sz w:val="24"/>
        </w:rPr>
        <w:t>in this memo</w:t>
      </w:r>
      <w:r>
        <w:rPr>
          <w:rFonts w:ascii="Times New Roman" w:hAnsi="Times New Roman"/>
          <w:color w:val="000000"/>
          <w:sz w:val="24"/>
        </w:rPr>
        <w:t xml:space="preserve"> </w:t>
      </w:r>
      <w:r w:rsidR="00616854">
        <w:rPr>
          <w:rFonts w:ascii="Times New Roman" w:hAnsi="Times New Roman"/>
          <w:color w:val="000000"/>
          <w:sz w:val="24"/>
        </w:rPr>
        <w:t>aims</w:t>
      </w:r>
      <w:r>
        <w:rPr>
          <w:rFonts w:ascii="Times New Roman" w:hAnsi="Times New Roman"/>
          <w:color w:val="000000"/>
          <w:sz w:val="24"/>
        </w:rPr>
        <w:t xml:space="preserve"> to </w:t>
      </w:r>
      <w:r w:rsidR="00203B18">
        <w:rPr>
          <w:rFonts w:ascii="Times New Roman" w:hAnsi="Times New Roman"/>
          <w:color w:val="000000"/>
          <w:sz w:val="24"/>
        </w:rPr>
        <w:t>determine the informational</w:t>
      </w:r>
      <w:r>
        <w:rPr>
          <w:rFonts w:ascii="Times New Roman" w:hAnsi="Times New Roman"/>
          <w:color w:val="000000"/>
          <w:sz w:val="24"/>
        </w:rPr>
        <w:t xml:space="preserve"> need</w:t>
      </w:r>
      <w:r w:rsidR="00203B18">
        <w:rPr>
          <w:rFonts w:ascii="Times New Roman" w:hAnsi="Times New Roman"/>
          <w:color w:val="000000"/>
          <w:sz w:val="24"/>
        </w:rPr>
        <w:t>s</w:t>
      </w:r>
      <w:r>
        <w:rPr>
          <w:rFonts w:ascii="Times New Roman" w:hAnsi="Times New Roman"/>
          <w:color w:val="000000"/>
          <w:sz w:val="24"/>
        </w:rPr>
        <w:t xml:space="preserve"> </w:t>
      </w:r>
      <w:r w:rsidR="00203B18">
        <w:rPr>
          <w:rFonts w:ascii="Times New Roman" w:hAnsi="Times New Roman"/>
          <w:color w:val="000000"/>
          <w:sz w:val="24"/>
        </w:rPr>
        <w:t xml:space="preserve">of a variety of groups influencing generic drug use in order to develop </w:t>
      </w:r>
      <w:r>
        <w:rPr>
          <w:rFonts w:ascii="Times New Roman" w:hAnsi="Times New Roman"/>
          <w:color w:val="000000"/>
          <w:sz w:val="24"/>
        </w:rPr>
        <w:t xml:space="preserve">communications </w:t>
      </w:r>
      <w:r w:rsidR="00020254">
        <w:rPr>
          <w:rFonts w:ascii="Times New Roman" w:hAnsi="Times New Roman"/>
          <w:color w:val="000000"/>
          <w:sz w:val="24"/>
        </w:rPr>
        <w:t xml:space="preserve">addressing gaps in knowledge regarding generic drugs and </w:t>
      </w:r>
      <w:r w:rsidR="003617CC">
        <w:rPr>
          <w:rFonts w:ascii="Times New Roman" w:hAnsi="Times New Roman"/>
          <w:color w:val="000000"/>
          <w:sz w:val="24"/>
        </w:rPr>
        <w:t>promoting</w:t>
      </w:r>
      <w:r w:rsidR="00B432FF">
        <w:rPr>
          <w:rFonts w:ascii="Times New Roman" w:hAnsi="Times New Roman"/>
          <w:color w:val="000000"/>
          <w:sz w:val="24"/>
        </w:rPr>
        <w:t xml:space="preserve"> generic drug</w:t>
      </w:r>
      <w:r w:rsidR="00F73391">
        <w:rPr>
          <w:rFonts w:ascii="Times New Roman" w:hAnsi="Times New Roman"/>
          <w:color w:val="000000"/>
          <w:sz w:val="24"/>
        </w:rPr>
        <w:t xml:space="preserve"> u</w:t>
      </w:r>
      <w:r w:rsidR="00B432FF">
        <w:rPr>
          <w:rFonts w:ascii="Times New Roman" w:hAnsi="Times New Roman"/>
          <w:color w:val="000000"/>
          <w:sz w:val="24"/>
        </w:rPr>
        <w:t>s</w:t>
      </w:r>
      <w:r w:rsidR="00F73391">
        <w:rPr>
          <w:rFonts w:ascii="Times New Roman" w:hAnsi="Times New Roman"/>
          <w:color w:val="000000"/>
          <w:sz w:val="24"/>
        </w:rPr>
        <w:t>e.</w:t>
      </w:r>
      <w:r w:rsidR="00B97183" w:rsidRPr="00B97183">
        <w:rPr>
          <w:rFonts w:asciiTheme="minorHAnsi" w:eastAsiaTheme="minorHAnsi" w:hAnsiTheme="minorHAnsi" w:cstheme="minorBidi"/>
          <w:sz w:val="22"/>
          <w:szCs w:val="22"/>
        </w:rPr>
        <w:t xml:space="preserve"> </w:t>
      </w:r>
      <w:r w:rsidR="00B97183" w:rsidRPr="00B97183">
        <w:rPr>
          <w:rFonts w:ascii="Times New Roman" w:hAnsi="Times New Roman"/>
          <w:color w:val="000000"/>
          <w:sz w:val="24"/>
        </w:rPr>
        <w:t>Phase 1 was a systematic review and secondary data analyses and Phase 2 was approved on October 25, 2017.</w:t>
      </w:r>
      <w:r w:rsidR="008A5BEA">
        <w:rPr>
          <w:rFonts w:ascii="Times New Roman" w:hAnsi="Times New Roman"/>
          <w:color w:val="000000"/>
          <w:sz w:val="24"/>
        </w:rPr>
        <w:t xml:space="preserve"> </w:t>
      </w:r>
      <w:r w:rsidR="00CF22B0">
        <w:rPr>
          <w:rFonts w:ascii="Times New Roman" w:hAnsi="Times New Roman"/>
          <w:color w:val="000000"/>
          <w:sz w:val="24"/>
        </w:rPr>
        <w:t xml:space="preserve">Exhibit 1 illustrates the full set of research phases for this project; please note that this information collection request concerns only </w:t>
      </w:r>
      <w:r w:rsidR="009972D2">
        <w:rPr>
          <w:rFonts w:ascii="Times New Roman" w:hAnsi="Times New Roman"/>
          <w:color w:val="000000"/>
          <w:sz w:val="24"/>
        </w:rPr>
        <w:t>Phase</w:t>
      </w:r>
      <w:r w:rsidR="00E91232">
        <w:rPr>
          <w:rFonts w:ascii="Times New Roman" w:hAnsi="Times New Roman"/>
          <w:color w:val="000000"/>
          <w:sz w:val="24"/>
        </w:rPr>
        <w:t>s</w:t>
      </w:r>
      <w:r w:rsidR="009972D2">
        <w:rPr>
          <w:rFonts w:ascii="Times New Roman" w:hAnsi="Times New Roman"/>
          <w:color w:val="000000"/>
          <w:sz w:val="24"/>
        </w:rPr>
        <w:t xml:space="preserve"> </w:t>
      </w:r>
      <w:r w:rsidR="002E4E3A">
        <w:rPr>
          <w:rFonts w:ascii="Times New Roman" w:hAnsi="Times New Roman"/>
          <w:color w:val="000000"/>
          <w:sz w:val="24"/>
        </w:rPr>
        <w:t>3</w:t>
      </w:r>
      <w:r w:rsidR="00CF22B0">
        <w:rPr>
          <w:rFonts w:ascii="Times New Roman" w:hAnsi="Times New Roman"/>
          <w:color w:val="000000"/>
          <w:sz w:val="24"/>
        </w:rPr>
        <w:t>.</w:t>
      </w:r>
    </w:p>
    <w:p w14:paraId="04AD8415" w14:textId="77777777" w:rsidR="00606FA3" w:rsidRDefault="00606FA3" w:rsidP="00496388">
      <w:pPr>
        <w:ind w:left="720"/>
        <w:jc w:val="both"/>
        <w:rPr>
          <w:rFonts w:ascii="Times New Roman" w:hAnsi="Times New Roman"/>
          <w:color w:val="000000"/>
          <w:sz w:val="24"/>
        </w:rPr>
      </w:pPr>
    </w:p>
    <w:p w14:paraId="0FB0D101" w14:textId="77777777" w:rsidR="007B712B" w:rsidRPr="00CF22B0" w:rsidRDefault="007B712B" w:rsidP="00D92968">
      <w:pPr>
        <w:keepNext/>
        <w:keepLines/>
        <w:spacing w:before="120"/>
        <w:ind w:left="360"/>
        <w:contextualSpacing/>
        <w:rPr>
          <w:rFonts w:ascii="Times New Roman" w:eastAsia="Calibri" w:hAnsi="Times New Roman"/>
          <w:b/>
          <w:bCs/>
          <w:color w:val="000000"/>
          <w:sz w:val="24"/>
          <w:szCs w:val="24"/>
        </w:rPr>
      </w:pPr>
      <w:r w:rsidRPr="00CF22B0">
        <w:rPr>
          <w:rFonts w:ascii="Times New Roman" w:eastAsia="Calibri" w:hAnsi="Times New Roman"/>
          <w:b/>
          <w:bCs/>
          <w:color w:val="000000"/>
          <w:sz w:val="24"/>
          <w:szCs w:val="24"/>
        </w:rPr>
        <w:t>Exhibit 1. Overview of Research Phases</w:t>
      </w:r>
    </w:p>
    <w:p w14:paraId="23850864" w14:textId="6454FF91" w:rsidR="007B712B" w:rsidRDefault="008F135E" w:rsidP="00E06660">
      <w:pPr>
        <w:tabs>
          <w:tab w:val="left" w:pos="5132"/>
        </w:tabs>
        <w:contextualSpacing/>
        <w:rPr>
          <w:rFonts w:ascii="Calibri" w:eastAsia="Calibri" w:hAnsi="Calibri" w:cs="Arial"/>
          <w:b/>
          <w:sz w:val="22"/>
          <w:szCs w:val="22"/>
        </w:rPr>
      </w:pPr>
      <w:r>
        <w:rPr>
          <w:noProof/>
        </w:rPr>
        <w:drawing>
          <wp:inline distT="0" distB="0" distL="0" distR="0" wp14:anchorId="7C039449" wp14:editId="4E9311FF">
            <wp:extent cx="6177094" cy="13916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69061" cy="1412346"/>
                    </a:xfrm>
                    <a:prstGeom prst="rect">
                      <a:avLst/>
                    </a:prstGeom>
                    <a:noFill/>
                  </pic:spPr>
                </pic:pic>
              </a:graphicData>
            </a:graphic>
          </wp:inline>
        </w:drawing>
      </w:r>
    </w:p>
    <w:p w14:paraId="419F9FAC" w14:textId="77777777" w:rsidR="007B712B" w:rsidRDefault="007B712B" w:rsidP="00496388">
      <w:pPr>
        <w:ind w:left="720"/>
        <w:jc w:val="both"/>
        <w:rPr>
          <w:rFonts w:ascii="Times New Roman" w:hAnsi="Times New Roman"/>
          <w:color w:val="000000"/>
          <w:sz w:val="24"/>
        </w:rPr>
      </w:pPr>
    </w:p>
    <w:p w14:paraId="23BD5DEE" w14:textId="77777777" w:rsidR="007B712B" w:rsidRDefault="007B712B" w:rsidP="00496388">
      <w:pPr>
        <w:ind w:left="720"/>
        <w:jc w:val="both"/>
        <w:rPr>
          <w:rFonts w:ascii="Times New Roman" w:hAnsi="Times New Roman"/>
          <w:color w:val="000000"/>
          <w:sz w:val="24"/>
        </w:rPr>
      </w:pPr>
    </w:p>
    <w:p w14:paraId="32C94223" w14:textId="1411B821" w:rsidR="00FD426A" w:rsidRDefault="00BF2B9C" w:rsidP="00D92968">
      <w:pPr>
        <w:ind w:left="360"/>
        <w:rPr>
          <w:rFonts w:ascii="Times New Roman" w:hAnsi="Times New Roman"/>
          <w:color w:val="000000"/>
          <w:sz w:val="24"/>
        </w:rPr>
      </w:pPr>
      <w:r>
        <w:rPr>
          <w:rFonts w:ascii="Times New Roman" w:hAnsi="Times New Roman"/>
          <w:color w:val="000000"/>
          <w:sz w:val="24"/>
        </w:rPr>
        <w:t>Congress passed the Generic Drug User Fee Amendments (</w:t>
      </w:r>
      <w:r w:rsidR="00465BCB">
        <w:rPr>
          <w:rFonts w:ascii="Times New Roman" w:hAnsi="Times New Roman"/>
          <w:color w:val="000000"/>
          <w:sz w:val="24"/>
        </w:rPr>
        <w:t xml:space="preserve">GDUFA, </w:t>
      </w:r>
      <w:r>
        <w:rPr>
          <w:rFonts w:ascii="Times New Roman" w:hAnsi="Times New Roman"/>
          <w:color w:val="000000"/>
          <w:sz w:val="24"/>
        </w:rPr>
        <w:t>Title III of the Food and Drug Administration Safety and Innovation Act (Public Law 112-144)</w:t>
      </w:r>
      <w:r w:rsidR="00465BCB">
        <w:rPr>
          <w:rFonts w:ascii="Times New Roman" w:hAnsi="Times New Roman"/>
          <w:color w:val="000000"/>
          <w:sz w:val="24"/>
        </w:rPr>
        <w:t>)</w:t>
      </w:r>
      <w:r>
        <w:rPr>
          <w:rFonts w:ascii="Times New Roman" w:hAnsi="Times New Roman"/>
          <w:color w:val="000000"/>
          <w:sz w:val="24"/>
        </w:rPr>
        <w:t xml:space="preserve"> in July 2012. </w:t>
      </w:r>
      <w:r w:rsidR="00465BCB">
        <w:rPr>
          <w:rFonts w:ascii="Times New Roman" w:hAnsi="Times New Roman"/>
          <w:color w:val="000000"/>
          <w:sz w:val="24"/>
        </w:rPr>
        <w:t xml:space="preserve">Under GDUFA, </w:t>
      </w:r>
      <w:r w:rsidR="00AA1FF9">
        <w:rPr>
          <w:rFonts w:ascii="Times New Roman" w:hAnsi="Times New Roman"/>
          <w:color w:val="000000"/>
          <w:sz w:val="24"/>
        </w:rPr>
        <w:t xml:space="preserve">the </w:t>
      </w:r>
      <w:r>
        <w:rPr>
          <w:rFonts w:ascii="Times New Roman" w:hAnsi="Times New Roman"/>
          <w:color w:val="000000"/>
          <w:sz w:val="24"/>
        </w:rPr>
        <w:t>FDA</w:t>
      </w:r>
      <w:r w:rsidR="00465BCB">
        <w:rPr>
          <w:rFonts w:ascii="Times New Roman" w:hAnsi="Times New Roman"/>
          <w:color w:val="000000"/>
          <w:sz w:val="24"/>
        </w:rPr>
        <w:t xml:space="preserve"> obtains industry and public input to create</w:t>
      </w:r>
      <w:r>
        <w:rPr>
          <w:rFonts w:ascii="Times New Roman" w:hAnsi="Times New Roman"/>
          <w:color w:val="000000"/>
          <w:sz w:val="24"/>
        </w:rPr>
        <w:t xml:space="preserve"> regulatory science initiatives regarding research on generic drugs that advance public </w:t>
      </w:r>
      <w:r w:rsidRPr="00A9371F">
        <w:rPr>
          <w:rFonts w:ascii="Times New Roman" w:hAnsi="Times New Roman"/>
          <w:color w:val="000000"/>
          <w:sz w:val="24"/>
        </w:rPr>
        <w:t>health.</w:t>
      </w:r>
      <w:r w:rsidR="00231B1C">
        <w:rPr>
          <w:rStyle w:val="FootnoteReference"/>
          <w:rFonts w:ascii="Times New Roman" w:hAnsi="Times New Roman"/>
          <w:color w:val="000000"/>
          <w:sz w:val="24"/>
        </w:rPr>
        <w:footnoteReference w:id="2"/>
      </w:r>
      <w:r w:rsidRPr="00A9371F">
        <w:rPr>
          <w:rFonts w:ascii="Times New Roman" w:hAnsi="Times New Roman"/>
          <w:color w:val="000000"/>
          <w:sz w:val="24"/>
        </w:rPr>
        <w:t xml:space="preserve"> </w:t>
      </w:r>
      <w:r w:rsidR="00560AC8" w:rsidRPr="00A9371F">
        <w:rPr>
          <w:rFonts w:ascii="Times New Roman" w:hAnsi="Times New Roman"/>
          <w:color w:val="000000"/>
          <w:sz w:val="24"/>
        </w:rPr>
        <w:t xml:space="preserve">Once marketed, </w:t>
      </w:r>
      <w:r w:rsidR="002A6742" w:rsidRPr="00A9371F">
        <w:rPr>
          <w:rFonts w:ascii="Times New Roman" w:hAnsi="Times New Roman"/>
          <w:color w:val="000000"/>
          <w:sz w:val="24"/>
        </w:rPr>
        <w:t xml:space="preserve">certain </w:t>
      </w:r>
      <w:r w:rsidR="00560AC8" w:rsidRPr="00A9371F">
        <w:rPr>
          <w:rFonts w:ascii="Times New Roman" w:hAnsi="Times New Roman"/>
          <w:color w:val="000000"/>
          <w:sz w:val="24"/>
        </w:rPr>
        <w:t xml:space="preserve">generic drugs are </w:t>
      </w:r>
      <w:r w:rsidR="00F6062A" w:rsidRPr="00A9371F">
        <w:rPr>
          <w:rFonts w:ascii="Times New Roman" w:hAnsi="Times New Roman"/>
          <w:color w:val="000000"/>
          <w:sz w:val="24"/>
        </w:rPr>
        <w:t xml:space="preserve">often </w:t>
      </w:r>
      <w:r w:rsidR="00560AC8" w:rsidRPr="00A9371F">
        <w:rPr>
          <w:rFonts w:ascii="Times New Roman" w:hAnsi="Times New Roman"/>
          <w:color w:val="000000"/>
          <w:sz w:val="24"/>
        </w:rPr>
        <w:t xml:space="preserve">not </w:t>
      </w:r>
      <w:r w:rsidR="002A6742" w:rsidRPr="00A9371F">
        <w:rPr>
          <w:rFonts w:ascii="Times New Roman" w:hAnsi="Times New Roman"/>
          <w:color w:val="000000"/>
          <w:sz w:val="24"/>
        </w:rPr>
        <w:t>preferred over</w:t>
      </w:r>
      <w:r w:rsidR="00560AC8" w:rsidRPr="00A9371F">
        <w:rPr>
          <w:rFonts w:ascii="Times New Roman" w:hAnsi="Times New Roman"/>
          <w:color w:val="000000"/>
          <w:sz w:val="24"/>
        </w:rPr>
        <w:t xml:space="preserve"> brand </w:t>
      </w:r>
      <w:r w:rsidR="00560AC8" w:rsidRPr="00A9371F">
        <w:rPr>
          <w:rFonts w:ascii="Times New Roman" w:hAnsi="Times New Roman"/>
          <w:color w:val="000000"/>
          <w:sz w:val="24"/>
        </w:rPr>
        <w:lastRenderedPageBreak/>
        <w:t>drugs</w:t>
      </w:r>
      <w:r w:rsidR="00231B1C">
        <w:rPr>
          <w:rStyle w:val="FootnoteReference"/>
          <w:rFonts w:ascii="Times New Roman" w:hAnsi="Times New Roman"/>
          <w:color w:val="000000"/>
          <w:sz w:val="24"/>
        </w:rPr>
        <w:footnoteReference w:id="3"/>
      </w:r>
      <w:r w:rsidR="00434D8D">
        <w:rPr>
          <w:rFonts w:ascii="Times New Roman" w:hAnsi="Times New Roman"/>
          <w:color w:val="000000"/>
          <w:sz w:val="24"/>
        </w:rPr>
        <w:t xml:space="preserve"> </w:t>
      </w:r>
      <w:r w:rsidR="00434D8D">
        <w:rPr>
          <w:rStyle w:val="FootnoteReference"/>
          <w:rFonts w:ascii="Times New Roman" w:hAnsi="Times New Roman"/>
          <w:color w:val="000000"/>
          <w:sz w:val="24"/>
        </w:rPr>
        <w:footnoteReference w:id="4"/>
      </w:r>
      <w:r w:rsidR="00434D8D">
        <w:rPr>
          <w:rFonts w:ascii="Times New Roman" w:hAnsi="Times New Roman"/>
          <w:color w:val="000000"/>
          <w:sz w:val="24"/>
        </w:rPr>
        <w:t xml:space="preserve"> </w:t>
      </w:r>
      <w:r w:rsidR="00434D8D">
        <w:rPr>
          <w:rStyle w:val="FootnoteReference"/>
          <w:rFonts w:ascii="Times New Roman" w:hAnsi="Times New Roman"/>
          <w:color w:val="000000"/>
          <w:sz w:val="24"/>
        </w:rPr>
        <w:footnoteReference w:id="5"/>
      </w:r>
      <w:r w:rsidR="00434D8D">
        <w:rPr>
          <w:rFonts w:ascii="Times New Roman" w:hAnsi="Times New Roman"/>
          <w:color w:val="000000"/>
          <w:sz w:val="24"/>
        </w:rPr>
        <w:t xml:space="preserve"> </w:t>
      </w:r>
      <w:r w:rsidR="00434D8D">
        <w:rPr>
          <w:rStyle w:val="FootnoteReference"/>
          <w:rFonts w:ascii="Times New Roman" w:hAnsi="Times New Roman"/>
          <w:color w:val="000000"/>
          <w:sz w:val="24"/>
        </w:rPr>
        <w:footnoteReference w:id="6"/>
      </w:r>
      <w:r w:rsidR="00560AC8">
        <w:rPr>
          <w:rFonts w:ascii="Times New Roman" w:hAnsi="Times New Roman"/>
          <w:color w:val="000000"/>
          <w:sz w:val="24"/>
        </w:rPr>
        <w:t xml:space="preserve"> even though generic drugs generally cost less than brand drugs.</w:t>
      </w:r>
      <w:r w:rsidR="00231B1C">
        <w:rPr>
          <w:rStyle w:val="FootnoteReference"/>
          <w:rFonts w:ascii="Times New Roman" w:hAnsi="Times New Roman"/>
          <w:color w:val="000000"/>
          <w:sz w:val="24"/>
        </w:rPr>
        <w:footnoteReference w:id="7"/>
      </w:r>
      <w:r w:rsidR="00560AC8">
        <w:rPr>
          <w:rFonts w:ascii="Times New Roman" w:hAnsi="Times New Roman"/>
          <w:color w:val="000000"/>
          <w:sz w:val="24"/>
        </w:rPr>
        <w:t xml:space="preserve"> </w:t>
      </w:r>
      <w:r w:rsidR="00FD426A">
        <w:rPr>
          <w:rFonts w:ascii="Times New Roman" w:hAnsi="Times New Roman"/>
          <w:color w:val="000000"/>
          <w:sz w:val="24"/>
        </w:rPr>
        <w:t>Research to characterize the key influencers of generic drug use (particularly for drug classes</w:t>
      </w:r>
      <w:r w:rsidR="00B14669">
        <w:rPr>
          <w:rFonts w:ascii="Times New Roman" w:hAnsi="Times New Roman"/>
          <w:color w:val="000000"/>
          <w:sz w:val="24"/>
        </w:rPr>
        <w:t xml:space="preserve"> with low generic drug use), including </w:t>
      </w:r>
      <w:r w:rsidR="00FD426A">
        <w:rPr>
          <w:rFonts w:ascii="Times New Roman" w:hAnsi="Times New Roman"/>
          <w:color w:val="000000"/>
          <w:sz w:val="24"/>
        </w:rPr>
        <w:t>their knowledge base and perceptions toward generic drugs</w:t>
      </w:r>
      <w:r w:rsidR="00B14669">
        <w:rPr>
          <w:rFonts w:ascii="Times New Roman" w:hAnsi="Times New Roman"/>
          <w:color w:val="000000"/>
          <w:sz w:val="24"/>
        </w:rPr>
        <w:t>,</w:t>
      </w:r>
      <w:r w:rsidR="00FD426A">
        <w:rPr>
          <w:rFonts w:ascii="Times New Roman" w:hAnsi="Times New Roman"/>
          <w:color w:val="000000"/>
          <w:sz w:val="24"/>
        </w:rPr>
        <w:t xml:space="preserve"> is needed to effectively design and deliver communication</w:t>
      </w:r>
      <w:r w:rsidR="004B5A25">
        <w:rPr>
          <w:rFonts w:ascii="Times New Roman" w:hAnsi="Times New Roman"/>
          <w:color w:val="000000"/>
          <w:sz w:val="24"/>
        </w:rPr>
        <w:t>s</w:t>
      </w:r>
      <w:r w:rsidR="00FD426A">
        <w:rPr>
          <w:rFonts w:ascii="Times New Roman" w:hAnsi="Times New Roman"/>
          <w:color w:val="000000"/>
          <w:sz w:val="24"/>
        </w:rPr>
        <w:t xml:space="preserve"> about generic drugs to the key groups influencing consumer acceptance and use of generic drugs.</w:t>
      </w:r>
      <w:r w:rsidR="001B2FB6">
        <w:rPr>
          <w:rFonts w:ascii="Times New Roman" w:hAnsi="Times New Roman"/>
          <w:color w:val="000000"/>
          <w:sz w:val="24"/>
        </w:rPr>
        <w:t xml:space="preserve"> To address this regulatory science need</w:t>
      </w:r>
      <w:r w:rsidR="001155F6">
        <w:rPr>
          <w:rFonts w:ascii="Times New Roman" w:hAnsi="Times New Roman"/>
          <w:color w:val="000000"/>
          <w:sz w:val="24"/>
        </w:rPr>
        <w:t xml:space="preserve"> regarding generic drugs</w:t>
      </w:r>
      <w:r w:rsidR="001B2FB6">
        <w:rPr>
          <w:rFonts w:ascii="Times New Roman" w:hAnsi="Times New Roman"/>
          <w:color w:val="000000"/>
          <w:sz w:val="24"/>
        </w:rPr>
        <w:t>, the FDA entered into a cooperative agreement</w:t>
      </w:r>
      <w:r w:rsidR="00A830BE">
        <w:rPr>
          <w:rFonts w:ascii="Times New Roman" w:hAnsi="Times New Roman"/>
          <w:color w:val="000000"/>
          <w:sz w:val="24"/>
        </w:rPr>
        <w:t xml:space="preserve"> with </w:t>
      </w:r>
      <w:r w:rsidR="00170FB2">
        <w:rPr>
          <w:rFonts w:ascii="Times New Roman" w:hAnsi="Times New Roman"/>
          <w:color w:val="000000"/>
          <w:sz w:val="24"/>
        </w:rPr>
        <w:t xml:space="preserve">investigators at </w:t>
      </w:r>
      <w:r w:rsidR="00F543A9">
        <w:rPr>
          <w:rFonts w:ascii="Times New Roman" w:hAnsi="Times New Roman"/>
          <w:color w:val="000000"/>
          <w:sz w:val="24"/>
        </w:rPr>
        <w:t>Auburn</w:t>
      </w:r>
      <w:r w:rsidR="00A830BE">
        <w:rPr>
          <w:rFonts w:ascii="Times New Roman" w:hAnsi="Times New Roman"/>
          <w:color w:val="000000"/>
          <w:sz w:val="24"/>
        </w:rPr>
        <w:t xml:space="preserve"> University </w:t>
      </w:r>
      <w:r w:rsidR="00A44111">
        <w:rPr>
          <w:rFonts w:ascii="Times New Roman" w:hAnsi="Times New Roman"/>
          <w:color w:val="000000"/>
          <w:sz w:val="24"/>
        </w:rPr>
        <w:t>(</w:t>
      </w:r>
      <w:r w:rsidR="00F543A9">
        <w:rPr>
          <w:rFonts w:ascii="Times New Roman" w:hAnsi="Times New Roman"/>
          <w:color w:val="000000"/>
          <w:sz w:val="24"/>
        </w:rPr>
        <w:t>Auburn</w:t>
      </w:r>
      <w:r w:rsidR="00A44111">
        <w:rPr>
          <w:rFonts w:ascii="Times New Roman" w:hAnsi="Times New Roman"/>
          <w:color w:val="000000"/>
          <w:sz w:val="24"/>
        </w:rPr>
        <w:t>)</w:t>
      </w:r>
      <w:r w:rsidR="00170FB2">
        <w:rPr>
          <w:rFonts w:ascii="Times New Roman" w:hAnsi="Times New Roman"/>
          <w:color w:val="000000"/>
          <w:sz w:val="24"/>
        </w:rPr>
        <w:t xml:space="preserve"> and IMPAQ International</w:t>
      </w:r>
      <w:r w:rsidR="001E46C0">
        <w:rPr>
          <w:rFonts w:ascii="Times New Roman" w:hAnsi="Times New Roman"/>
          <w:color w:val="000000"/>
          <w:sz w:val="24"/>
        </w:rPr>
        <w:t xml:space="preserve"> (IMPAQ)</w:t>
      </w:r>
      <w:r w:rsidR="009972D2">
        <w:rPr>
          <w:rFonts w:ascii="Times New Roman" w:hAnsi="Times New Roman"/>
          <w:color w:val="000000"/>
          <w:sz w:val="24"/>
        </w:rPr>
        <w:t xml:space="preserve"> (Grant Number </w:t>
      </w:r>
      <w:r w:rsidR="009972D2" w:rsidRPr="009972D2">
        <w:rPr>
          <w:rFonts w:ascii="Times New Roman" w:hAnsi="Times New Roman"/>
          <w:color w:val="000000"/>
          <w:sz w:val="24"/>
        </w:rPr>
        <w:t>U01FD005486</w:t>
      </w:r>
      <w:r w:rsidR="009972D2">
        <w:rPr>
          <w:rFonts w:ascii="Times New Roman" w:hAnsi="Times New Roman"/>
          <w:color w:val="000000"/>
          <w:sz w:val="24"/>
        </w:rPr>
        <w:t>)</w:t>
      </w:r>
      <w:r w:rsidR="00A830BE">
        <w:rPr>
          <w:rFonts w:ascii="Times New Roman" w:hAnsi="Times New Roman"/>
          <w:color w:val="000000"/>
          <w:sz w:val="24"/>
        </w:rPr>
        <w:t>.</w:t>
      </w:r>
    </w:p>
    <w:p w14:paraId="6DFB07E9" w14:textId="77777777" w:rsidR="00FD426A" w:rsidRDefault="00FD426A" w:rsidP="00D92968">
      <w:pPr>
        <w:ind w:left="360"/>
        <w:rPr>
          <w:rFonts w:ascii="Times New Roman" w:hAnsi="Times New Roman"/>
          <w:color w:val="000000"/>
          <w:sz w:val="24"/>
        </w:rPr>
      </w:pPr>
    </w:p>
    <w:p w14:paraId="526B759F" w14:textId="77777777" w:rsidR="00170FB2" w:rsidRDefault="00170FB2" w:rsidP="00D92968">
      <w:pPr>
        <w:ind w:left="360"/>
        <w:rPr>
          <w:rFonts w:ascii="Times New Roman" w:hAnsi="Times New Roman"/>
          <w:color w:val="000000"/>
          <w:sz w:val="24"/>
        </w:rPr>
      </w:pPr>
      <w:r>
        <w:rPr>
          <w:rFonts w:ascii="Times New Roman" w:hAnsi="Times New Roman"/>
          <w:color w:val="000000"/>
          <w:sz w:val="24"/>
        </w:rPr>
        <w:t xml:space="preserve">In addition to prescribers, other groups such as pharmacists, patients and their caregivers, formulary managers / pharmacy and therapeutics </w:t>
      </w:r>
      <w:r w:rsidR="00F15C32">
        <w:rPr>
          <w:rFonts w:ascii="Times New Roman" w:hAnsi="Times New Roman"/>
          <w:color w:val="000000"/>
          <w:sz w:val="24"/>
        </w:rPr>
        <w:t xml:space="preserve">(P&amp;T) </w:t>
      </w:r>
      <w:r>
        <w:rPr>
          <w:rFonts w:ascii="Times New Roman" w:hAnsi="Times New Roman"/>
          <w:color w:val="000000"/>
          <w:sz w:val="24"/>
        </w:rPr>
        <w:t>committees, federal and state policy makers, and large purchasers of drugs (group purchasing organizations, pharmacy chains, etc.) also influence the nature and extent of generic drug use</w:t>
      </w:r>
      <w:r w:rsidR="00025E77">
        <w:rPr>
          <w:rFonts w:ascii="Times New Roman" w:hAnsi="Times New Roman"/>
          <w:color w:val="000000"/>
          <w:sz w:val="24"/>
        </w:rPr>
        <w:t>.</w:t>
      </w:r>
      <w:r w:rsidR="00025E77">
        <w:rPr>
          <w:rStyle w:val="FootnoteReference"/>
          <w:rFonts w:ascii="Times New Roman" w:hAnsi="Times New Roman"/>
          <w:color w:val="000000"/>
          <w:sz w:val="24"/>
        </w:rPr>
        <w:footnoteReference w:id="8"/>
      </w:r>
      <w:r w:rsidR="00203B18" w:rsidRPr="00EA417B">
        <w:rPr>
          <w:rFonts w:ascii="Times New Roman" w:hAnsi="Times New Roman"/>
          <w:color w:val="000000"/>
          <w:sz w:val="24"/>
          <w:vertAlign w:val="superscript"/>
        </w:rPr>
        <w:t>,</w:t>
      </w:r>
      <w:r w:rsidR="00025E77">
        <w:rPr>
          <w:rStyle w:val="FootnoteReference"/>
          <w:rFonts w:ascii="Times New Roman" w:hAnsi="Times New Roman"/>
          <w:color w:val="000000"/>
          <w:sz w:val="24"/>
        </w:rPr>
        <w:footnoteReference w:id="9"/>
      </w:r>
    </w:p>
    <w:p w14:paraId="7F8C37E3" w14:textId="77777777" w:rsidR="00170FB2" w:rsidRDefault="00170FB2" w:rsidP="00D92968">
      <w:pPr>
        <w:ind w:left="360"/>
        <w:rPr>
          <w:rFonts w:ascii="Times New Roman" w:hAnsi="Times New Roman"/>
          <w:color w:val="000000"/>
          <w:sz w:val="24"/>
        </w:rPr>
      </w:pPr>
    </w:p>
    <w:p w14:paraId="41490B95" w14:textId="2A0F8A04" w:rsidR="008D42E7" w:rsidRDefault="0055141A" w:rsidP="00D92968">
      <w:pPr>
        <w:ind w:left="360"/>
        <w:rPr>
          <w:rFonts w:ascii="Times New Roman" w:hAnsi="Times New Roman"/>
          <w:color w:val="000000"/>
          <w:sz w:val="24"/>
        </w:rPr>
      </w:pPr>
      <w:r>
        <w:rPr>
          <w:rFonts w:ascii="Times New Roman" w:hAnsi="Times New Roman"/>
          <w:color w:val="000000"/>
          <w:sz w:val="24"/>
        </w:rPr>
        <w:t xml:space="preserve">Through a cooperative agreement with </w:t>
      </w:r>
      <w:r w:rsidR="001E46C0">
        <w:rPr>
          <w:rFonts w:ascii="Times New Roman" w:hAnsi="Times New Roman"/>
          <w:color w:val="000000"/>
          <w:sz w:val="24"/>
        </w:rPr>
        <w:t>Auburn and IMPAQ</w:t>
      </w:r>
      <w:r>
        <w:rPr>
          <w:rFonts w:ascii="Times New Roman" w:hAnsi="Times New Roman"/>
          <w:color w:val="000000"/>
          <w:sz w:val="24"/>
        </w:rPr>
        <w:t xml:space="preserve">, </w:t>
      </w:r>
      <w:r w:rsidR="001E46C0">
        <w:rPr>
          <w:rFonts w:ascii="Times New Roman" w:hAnsi="Times New Roman"/>
          <w:color w:val="000000"/>
          <w:sz w:val="24"/>
        </w:rPr>
        <w:t xml:space="preserve">the </w:t>
      </w:r>
      <w:r w:rsidR="001E46C0">
        <w:rPr>
          <w:rFonts w:ascii="Times New Roman" w:hAnsi="Times New Roman"/>
          <w:sz w:val="24"/>
          <w:szCs w:val="24"/>
        </w:rPr>
        <w:t>informational needs of these key groups regarding generic drugs</w:t>
      </w:r>
      <w:r>
        <w:rPr>
          <w:rFonts w:ascii="Times New Roman" w:hAnsi="Times New Roman"/>
          <w:color w:val="000000"/>
          <w:sz w:val="24"/>
        </w:rPr>
        <w:t xml:space="preserve"> </w:t>
      </w:r>
      <w:r w:rsidR="001E46C0">
        <w:rPr>
          <w:rFonts w:ascii="Times New Roman" w:hAnsi="Times New Roman"/>
          <w:color w:val="000000"/>
          <w:sz w:val="24"/>
        </w:rPr>
        <w:t xml:space="preserve">will be </w:t>
      </w:r>
      <w:r>
        <w:rPr>
          <w:rFonts w:ascii="Times New Roman" w:hAnsi="Times New Roman"/>
          <w:color w:val="000000"/>
          <w:sz w:val="24"/>
        </w:rPr>
        <w:t>explored</w:t>
      </w:r>
      <w:r w:rsidR="002E4E3A">
        <w:rPr>
          <w:rFonts w:ascii="Times New Roman" w:hAnsi="Times New Roman"/>
          <w:color w:val="000000"/>
          <w:sz w:val="24"/>
        </w:rPr>
        <w:t xml:space="preserve"> and educational materials targeting these key groups will be </w:t>
      </w:r>
      <w:r w:rsidR="00973A12">
        <w:rPr>
          <w:rFonts w:ascii="Times New Roman" w:hAnsi="Times New Roman"/>
          <w:color w:val="000000"/>
          <w:sz w:val="24"/>
        </w:rPr>
        <w:t xml:space="preserve">assessed through feedback received by participants in </w:t>
      </w:r>
      <w:r w:rsidR="001E46C0">
        <w:rPr>
          <w:rFonts w:ascii="Times New Roman" w:hAnsi="Times New Roman"/>
          <w:color w:val="000000"/>
          <w:sz w:val="24"/>
        </w:rPr>
        <w:t>key informant interviews</w:t>
      </w:r>
      <w:r w:rsidR="00973A12">
        <w:rPr>
          <w:rFonts w:ascii="Times New Roman" w:hAnsi="Times New Roman"/>
          <w:color w:val="000000"/>
          <w:sz w:val="24"/>
        </w:rPr>
        <w:t xml:space="preserve"> (Policymakers, Large Purchasers, and Formulary Managers) and surveys (Prescribers, Pharmacists, and Patients</w:t>
      </w:r>
      <w:r w:rsidR="001F345F">
        <w:rPr>
          <w:rFonts w:ascii="Times New Roman" w:hAnsi="Times New Roman"/>
          <w:color w:val="000000"/>
          <w:sz w:val="24"/>
        </w:rPr>
        <w:t>/Caregivers</w:t>
      </w:r>
      <w:r w:rsidR="00973A12">
        <w:rPr>
          <w:rFonts w:ascii="Times New Roman" w:hAnsi="Times New Roman"/>
          <w:color w:val="000000"/>
          <w:sz w:val="24"/>
        </w:rPr>
        <w:t>)</w:t>
      </w:r>
      <w:r>
        <w:rPr>
          <w:rFonts w:ascii="Times New Roman" w:hAnsi="Times New Roman"/>
          <w:color w:val="000000"/>
          <w:sz w:val="24"/>
        </w:rPr>
        <w:t>.</w:t>
      </w:r>
    </w:p>
    <w:p w14:paraId="2A4E2062" w14:textId="77777777" w:rsidR="00D8037D" w:rsidRPr="00585058" w:rsidRDefault="00D8037D" w:rsidP="00496388">
      <w:pPr>
        <w:jc w:val="both"/>
        <w:rPr>
          <w:rFonts w:ascii="Times New Roman" w:hAnsi="Times New Roman"/>
          <w:sz w:val="24"/>
        </w:rPr>
      </w:pPr>
    </w:p>
    <w:p w14:paraId="123D0D7F" w14:textId="77777777" w:rsidR="00D8037D" w:rsidRPr="00585058" w:rsidRDefault="00585058" w:rsidP="00D92968">
      <w:pPr>
        <w:numPr>
          <w:ilvl w:val="0"/>
          <w:numId w:val="1"/>
        </w:numPr>
        <w:tabs>
          <w:tab w:val="clear" w:pos="1296"/>
          <w:tab w:val="num" w:pos="360"/>
        </w:tabs>
        <w:autoSpaceDE/>
        <w:autoSpaceDN/>
        <w:adjustRightInd/>
        <w:ind w:left="720" w:hanging="720"/>
        <w:jc w:val="both"/>
        <w:rPr>
          <w:rFonts w:ascii="Times New Roman" w:hAnsi="Times New Roman"/>
          <w:b/>
          <w:sz w:val="24"/>
        </w:rPr>
      </w:pPr>
      <w:r>
        <w:rPr>
          <w:rFonts w:ascii="Times New Roman" w:hAnsi="Times New Roman"/>
          <w:b/>
          <w:sz w:val="24"/>
        </w:rPr>
        <w:t>Intended use of I</w:t>
      </w:r>
      <w:r w:rsidR="00D8037D" w:rsidRPr="00585058">
        <w:rPr>
          <w:rFonts w:ascii="Times New Roman" w:hAnsi="Times New Roman"/>
          <w:b/>
          <w:sz w:val="24"/>
        </w:rPr>
        <w:t xml:space="preserve">nformation:  </w:t>
      </w:r>
    </w:p>
    <w:p w14:paraId="4B3B75F6" w14:textId="77777777" w:rsidR="00D8037D" w:rsidRDefault="00D8037D" w:rsidP="00D92968">
      <w:pPr>
        <w:tabs>
          <w:tab w:val="num" w:pos="360"/>
        </w:tabs>
        <w:ind w:left="720"/>
        <w:jc w:val="both"/>
        <w:rPr>
          <w:rFonts w:ascii="Times New Roman" w:hAnsi="Times New Roman"/>
          <w:sz w:val="24"/>
        </w:rPr>
      </w:pPr>
    </w:p>
    <w:p w14:paraId="43293A61" w14:textId="77777777" w:rsidR="00B56C1D" w:rsidRDefault="00B56C1D" w:rsidP="00D92968">
      <w:pPr>
        <w:tabs>
          <w:tab w:val="num" w:pos="360"/>
        </w:tabs>
        <w:ind w:left="360"/>
        <w:jc w:val="both"/>
        <w:rPr>
          <w:rFonts w:ascii="Times New Roman" w:hAnsi="Times New Roman"/>
          <w:sz w:val="24"/>
        </w:rPr>
      </w:pPr>
      <w:r>
        <w:rPr>
          <w:rFonts w:ascii="Times New Roman" w:hAnsi="Times New Roman"/>
          <w:sz w:val="24"/>
        </w:rPr>
        <w:t>Data</w:t>
      </w:r>
      <w:r w:rsidR="00914558" w:rsidRPr="00F57940">
        <w:rPr>
          <w:rFonts w:ascii="Times New Roman" w:hAnsi="Times New Roman"/>
          <w:sz w:val="24"/>
        </w:rPr>
        <w:t xml:space="preserve"> collected </w:t>
      </w:r>
      <w:r>
        <w:rPr>
          <w:rFonts w:ascii="Times New Roman" w:hAnsi="Times New Roman"/>
          <w:sz w:val="24"/>
        </w:rPr>
        <w:t xml:space="preserve">from these key informant interviews </w:t>
      </w:r>
      <w:r w:rsidR="00117D0D">
        <w:rPr>
          <w:rFonts w:ascii="Times New Roman" w:hAnsi="Times New Roman"/>
          <w:sz w:val="24"/>
        </w:rPr>
        <w:t xml:space="preserve">and surveys </w:t>
      </w:r>
      <w:r>
        <w:rPr>
          <w:rFonts w:ascii="Times New Roman" w:hAnsi="Times New Roman"/>
          <w:sz w:val="24"/>
        </w:rPr>
        <w:t xml:space="preserve">will be used to inform the development </w:t>
      </w:r>
      <w:r w:rsidR="00117D0D">
        <w:rPr>
          <w:rFonts w:ascii="Times New Roman" w:hAnsi="Times New Roman"/>
          <w:sz w:val="24"/>
        </w:rPr>
        <w:t xml:space="preserve">and revision </w:t>
      </w:r>
      <w:r>
        <w:rPr>
          <w:rFonts w:ascii="Times New Roman" w:hAnsi="Times New Roman"/>
          <w:sz w:val="24"/>
        </w:rPr>
        <w:t>of educational materials to address the key groups’ knowledge gaps regarding generic drugs</w:t>
      </w:r>
      <w:r w:rsidR="000806E7">
        <w:rPr>
          <w:rFonts w:ascii="Times New Roman" w:hAnsi="Times New Roman"/>
          <w:sz w:val="24"/>
        </w:rPr>
        <w:t xml:space="preserve"> (Aim 3)</w:t>
      </w:r>
      <w:r>
        <w:rPr>
          <w:rFonts w:ascii="Times New Roman" w:hAnsi="Times New Roman"/>
          <w:sz w:val="24"/>
        </w:rPr>
        <w:t>.</w:t>
      </w:r>
    </w:p>
    <w:p w14:paraId="1FB1772D" w14:textId="796AC603" w:rsidR="00F57940" w:rsidRDefault="00F57940" w:rsidP="00496388">
      <w:pPr>
        <w:ind w:left="720"/>
        <w:jc w:val="both"/>
        <w:rPr>
          <w:rFonts w:ascii="Times New Roman" w:hAnsi="Times New Roman"/>
          <w:sz w:val="24"/>
        </w:rPr>
      </w:pPr>
    </w:p>
    <w:p w14:paraId="103B5EE6" w14:textId="659D6D01" w:rsidR="008A5BEA" w:rsidRDefault="008A5BEA" w:rsidP="00496388">
      <w:pPr>
        <w:ind w:left="720"/>
        <w:jc w:val="both"/>
        <w:rPr>
          <w:rFonts w:ascii="Times New Roman" w:hAnsi="Times New Roman"/>
          <w:sz w:val="24"/>
        </w:rPr>
      </w:pPr>
    </w:p>
    <w:p w14:paraId="636BA916" w14:textId="77777777" w:rsidR="008A5BEA" w:rsidRDefault="008A5BEA" w:rsidP="00496388">
      <w:pPr>
        <w:ind w:left="720"/>
        <w:jc w:val="both"/>
        <w:rPr>
          <w:rFonts w:ascii="Times New Roman" w:hAnsi="Times New Roman"/>
          <w:sz w:val="24"/>
        </w:rPr>
      </w:pPr>
    </w:p>
    <w:p w14:paraId="7635CE50" w14:textId="77777777" w:rsidR="00D8037D" w:rsidRPr="00585058" w:rsidRDefault="00D8037D" w:rsidP="00D92968">
      <w:pPr>
        <w:numPr>
          <w:ilvl w:val="0"/>
          <w:numId w:val="1"/>
        </w:numPr>
        <w:tabs>
          <w:tab w:val="clear" w:pos="1296"/>
          <w:tab w:val="num" w:pos="360"/>
        </w:tabs>
        <w:autoSpaceDE/>
        <w:autoSpaceDN/>
        <w:adjustRightInd/>
        <w:ind w:left="720" w:hanging="720"/>
        <w:jc w:val="both"/>
        <w:rPr>
          <w:rFonts w:ascii="Times New Roman" w:hAnsi="Times New Roman"/>
          <w:b/>
          <w:sz w:val="24"/>
        </w:rPr>
      </w:pPr>
      <w:r w:rsidRPr="00585058">
        <w:rPr>
          <w:rFonts w:ascii="Times New Roman" w:hAnsi="Times New Roman"/>
          <w:b/>
          <w:sz w:val="24"/>
        </w:rPr>
        <w:lastRenderedPageBreak/>
        <w:t>Des</w:t>
      </w:r>
      <w:r w:rsidR="00585058">
        <w:rPr>
          <w:rFonts w:ascii="Times New Roman" w:hAnsi="Times New Roman"/>
          <w:b/>
          <w:sz w:val="24"/>
        </w:rPr>
        <w:t>cription of R</w:t>
      </w:r>
      <w:r w:rsidRPr="00585058">
        <w:rPr>
          <w:rFonts w:ascii="Times New Roman" w:hAnsi="Times New Roman"/>
          <w:b/>
          <w:sz w:val="24"/>
        </w:rPr>
        <w:t xml:space="preserve">espondents:  </w:t>
      </w:r>
    </w:p>
    <w:p w14:paraId="0938D285" w14:textId="77777777" w:rsidR="00A01195" w:rsidRDefault="00A01195" w:rsidP="00496388">
      <w:pPr>
        <w:ind w:left="720"/>
        <w:jc w:val="both"/>
        <w:rPr>
          <w:rFonts w:ascii="Times New Roman" w:hAnsi="Times New Roman"/>
          <w:sz w:val="24"/>
        </w:rPr>
      </w:pPr>
    </w:p>
    <w:p w14:paraId="63F0EABE" w14:textId="77777777" w:rsidR="0086393E" w:rsidRDefault="00B6158B" w:rsidP="00D92968">
      <w:pPr>
        <w:ind w:left="360"/>
        <w:jc w:val="both"/>
        <w:rPr>
          <w:rFonts w:ascii="Times New Roman" w:hAnsi="Times New Roman"/>
          <w:sz w:val="24"/>
        </w:rPr>
      </w:pPr>
      <w:r>
        <w:rPr>
          <w:rFonts w:ascii="Times New Roman" w:hAnsi="Times New Roman"/>
          <w:sz w:val="24"/>
        </w:rPr>
        <w:t xml:space="preserve">Key informants in each of the following </w:t>
      </w:r>
      <w:r w:rsidR="005B163F">
        <w:rPr>
          <w:rFonts w:ascii="Times New Roman" w:hAnsi="Times New Roman"/>
          <w:sz w:val="24"/>
        </w:rPr>
        <w:t>three</w:t>
      </w:r>
      <w:r>
        <w:rPr>
          <w:rFonts w:ascii="Times New Roman" w:hAnsi="Times New Roman"/>
          <w:sz w:val="24"/>
        </w:rPr>
        <w:t xml:space="preserve"> groups will be interviewed:</w:t>
      </w:r>
    </w:p>
    <w:p w14:paraId="2C6A5E3B" w14:textId="77777777" w:rsidR="00B6158B" w:rsidRPr="004130DF" w:rsidRDefault="00B6158B" w:rsidP="00496388">
      <w:pPr>
        <w:pStyle w:val="ListParagraph"/>
        <w:numPr>
          <w:ilvl w:val="0"/>
          <w:numId w:val="6"/>
        </w:numPr>
        <w:jc w:val="both"/>
      </w:pPr>
      <w:r w:rsidRPr="004130DF">
        <w:t>Formulary managers</w:t>
      </w:r>
    </w:p>
    <w:p w14:paraId="07ADC3CC" w14:textId="77777777" w:rsidR="00B6158B" w:rsidRPr="004130DF" w:rsidRDefault="00B6158B" w:rsidP="00496388">
      <w:pPr>
        <w:pStyle w:val="ListParagraph"/>
        <w:numPr>
          <w:ilvl w:val="0"/>
          <w:numId w:val="6"/>
        </w:numPr>
        <w:jc w:val="both"/>
      </w:pPr>
      <w:r w:rsidRPr="004130DF">
        <w:t>Policymakers (federal and state)</w:t>
      </w:r>
    </w:p>
    <w:p w14:paraId="303D0BBA" w14:textId="77777777" w:rsidR="00B6158B" w:rsidRPr="004130DF" w:rsidRDefault="00B6158B" w:rsidP="00496388">
      <w:pPr>
        <w:pStyle w:val="ListParagraph"/>
        <w:numPr>
          <w:ilvl w:val="0"/>
          <w:numId w:val="6"/>
        </w:numPr>
        <w:jc w:val="both"/>
      </w:pPr>
      <w:r w:rsidRPr="004130DF">
        <w:t>Large purchasers of drugs (group purchasing organizations, pharmacy chains, etc.)</w:t>
      </w:r>
    </w:p>
    <w:p w14:paraId="30F7B543" w14:textId="77777777" w:rsidR="00B6158B" w:rsidRDefault="00B6158B" w:rsidP="00496388">
      <w:pPr>
        <w:ind w:left="720"/>
        <w:jc w:val="both"/>
        <w:rPr>
          <w:rFonts w:ascii="Times New Roman" w:hAnsi="Times New Roman"/>
          <w:sz w:val="24"/>
        </w:rPr>
      </w:pPr>
    </w:p>
    <w:p w14:paraId="29F1AB40" w14:textId="77777777" w:rsidR="00033BBF" w:rsidRDefault="00033BBF" w:rsidP="00D92968">
      <w:pPr>
        <w:ind w:left="360"/>
        <w:jc w:val="both"/>
        <w:rPr>
          <w:rFonts w:ascii="Times New Roman" w:hAnsi="Times New Roman"/>
          <w:sz w:val="24"/>
        </w:rPr>
      </w:pPr>
      <w:r>
        <w:rPr>
          <w:rFonts w:ascii="Times New Roman" w:hAnsi="Times New Roman"/>
          <w:sz w:val="24"/>
        </w:rPr>
        <w:t xml:space="preserve">Surveys will </w:t>
      </w:r>
      <w:r w:rsidR="005B163F">
        <w:rPr>
          <w:rFonts w:ascii="Times New Roman" w:hAnsi="Times New Roman"/>
          <w:sz w:val="24"/>
        </w:rPr>
        <w:t>be conducted with representatives from the</w:t>
      </w:r>
      <w:r>
        <w:rPr>
          <w:rFonts w:ascii="Times New Roman" w:hAnsi="Times New Roman"/>
          <w:sz w:val="24"/>
        </w:rPr>
        <w:t xml:space="preserve"> following </w:t>
      </w:r>
      <w:r w:rsidR="005B163F">
        <w:rPr>
          <w:rFonts w:ascii="Times New Roman" w:hAnsi="Times New Roman"/>
          <w:sz w:val="24"/>
        </w:rPr>
        <w:t xml:space="preserve">three </w:t>
      </w:r>
      <w:r>
        <w:rPr>
          <w:rFonts w:ascii="Times New Roman" w:hAnsi="Times New Roman"/>
          <w:sz w:val="24"/>
        </w:rPr>
        <w:t>groups:</w:t>
      </w:r>
    </w:p>
    <w:p w14:paraId="37437CE9" w14:textId="77777777" w:rsidR="00033BBF" w:rsidRDefault="00973A12" w:rsidP="00496388">
      <w:pPr>
        <w:pStyle w:val="ListParagraph"/>
        <w:numPr>
          <w:ilvl w:val="0"/>
          <w:numId w:val="8"/>
        </w:numPr>
        <w:jc w:val="both"/>
      </w:pPr>
      <w:r>
        <w:t>Prescribers, including</w:t>
      </w:r>
      <w:r w:rsidR="00EB1C6D">
        <w:t xml:space="preserve"> physicians, nurse practitioners, and physician assistants</w:t>
      </w:r>
    </w:p>
    <w:p w14:paraId="331BB523" w14:textId="77777777" w:rsidR="00973A12" w:rsidRDefault="00973A12" w:rsidP="00496388">
      <w:pPr>
        <w:pStyle w:val="ListParagraph"/>
        <w:numPr>
          <w:ilvl w:val="0"/>
          <w:numId w:val="8"/>
        </w:numPr>
        <w:jc w:val="both"/>
      </w:pPr>
      <w:r>
        <w:t>Pharmacists</w:t>
      </w:r>
    </w:p>
    <w:p w14:paraId="4900C5EC" w14:textId="77777777" w:rsidR="00973A12" w:rsidRPr="00033BBF" w:rsidRDefault="00973A12" w:rsidP="00496388">
      <w:pPr>
        <w:pStyle w:val="ListParagraph"/>
        <w:numPr>
          <w:ilvl w:val="0"/>
          <w:numId w:val="8"/>
        </w:numPr>
        <w:jc w:val="both"/>
      </w:pPr>
      <w:r>
        <w:t>Patients/Caregivers</w:t>
      </w:r>
    </w:p>
    <w:p w14:paraId="3DB5D024" w14:textId="77777777" w:rsidR="00F4381F" w:rsidRPr="00585058" w:rsidRDefault="00F4381F" w:rsidP="00496388">
      <w:pPr>
        <w:rPr>
          <w:rFonts w:ascii="Times New Roman" w:hAnsi="Times New Roman"/>
          <w:sz w:val="24"/>
        </w:rPr>
      </w:pPr>
    </w:p>
    <w:p w14:paraId="02FED404" w14:textId="77777777" w:rsidR="00D8037D" w:rsidRPr="006451CD" w:rsidRDefault="00D8037D" w:rsidP="00D92968">
      <w:pPr>
        <w:numPr>
          <w:ilvl w:val="0"/>
          <w:numId w:val="1"/>
        </w:numPr>
        <w:tabs>
          <w:tab w:val="clear" w:pos="1296"/>
          <w:tab w:val="num" w:pos="360"/>
        </w:tabs>
        <w:autoSpaceDE/>
        <w:autoSpaceDN/>
        <w:adjustRightInd/>
        <w:ind w:left="720" w:hanging="720"/>
        <w:jc w:val="both"/>
        <w:rPr>
          <w:rFonts w:ascii="Times New Roman" w:hAnsi="Times New Roman"/>
          <w:b/>
          <w:sz w:val="24"/>
        </w:rPr>
      </w:pPr>
      <w:r w:rsidRPr="00585058">
        <w:rPr>
          <w:rFonts w:ascii="Times New Roman" w:hAnsi="Times New Roman"/>
          <w:b/>
          <w:sz w:val="24"/>
        </w:rPr>
        <w:t xml:space="preserve">Date(s) to be Conducted:  </w:t>
      </w:r>
    </w:p>
    <w:p w14:paraId="1779F119" w14:textId="77777777" w:rsidR="008A5BEA" w:rsidRDefault="008A5BEA" w:rsidP="00D92968">
      <w:pPr>
        <w:ind w:firstLine="360"/>
        <w:jc w:val="both"/>
        <w:rPr>
          <w:rFonts w:ascii="Times New Roman" w:hAnsi="Times New Roman"/>
          <w:sz w:val="24"/>
        </w:rPr>
      </w:pPr>
    </w:p>
    <w:p w14:paraId="56316D58" w14:textId="77777777" w:rsidR="00870CC8" w:rsidRDefault="00870CC8" w:rsidP="00D92968">
      <w:pPr>
        <w:ind w:firstLine="360"/>
        <w:jc w:val="both"/>
        <w:rPr>
          <w:rFonts w:ascii="Times New Roman" w:hAnsi="Times New Roman"/>
          <w:sz w:val="24"/>
        </w:rPr>
      </w:pPr>
      <w:r>
        <w:rPr>
          <w:rFonts w:ascii="Times New Roman" w:hAnsi="Times New Roman"/>
          <w:sz w:val="24"/>
        </w:rPr>
        <w:t xml:space="preserve">FDA’s contractor for this work, Auburn University/IMPAQ, plans to conduct </w:t>
      </w:r>
    </w:p>
    <w:p w14:paraId="05185641" w14:textId="60E1DBFE" w:rsidR="001157E8" w:rsidRPr="00033391" w:rsidRDefault="00870CC8" w:rsidP="00D92968">
      <w:pPr>
        <w:ind w:firstLine="360"/>
        <w:jc w:val="both"/>
        <w:rPr>
          <w:rFonts w:ascii="Times New Roman" w:hAnsi="Times New Roman"/>
          <w:sz w:val="24"/>
        </w:rPr>
      </w:pPr>
      <w:r>
        <w:rPr>
          <w:rFonts w:ascii="Times New Roman" w:hAnsi="Times New Roman"/>
          <w:sz w:val="24"/>
        </w:rPr>
        <w:t xml:space="preserve">interviews between </w:t>
      </w:r>
      <w:r w:rsidR="000E15CB">
        <w:rPr>
          <w:rFonts w:ascii="Times New Roman" w:hAnsi="Times New Roman"/>
          <w:sz w:val="24"/>
        </w:rPr>
        <w:t>M</w:t>
      </w:r>
      <w:r w:rsidR="00CF7A98">
        <w:rPr>
          <w:rFonts w:ascii="Times New Roman" w:hAnsi="Times New Roman"/>
          <w:sz w:val="24"/>
        </w:rPr>
        <w:t>arch</w:t>
      </w:r>
      <w:r w:rsidR="00F15C32" w:rsidRPr="00E91232">
        <w:rPr>
          <w:rFonts w:ascii="Times New Roman" w:hAnsi="Times New Roman"/>
          <w:sz w:val="24"/>
        </w:rPr>
        <w:t xml:space="preserve">, </w:t>
      </w:r>
      <w:r w:rsidR="00033391" w:rsidRPr="00E91232">
        <w:rPr>
          <w:rFonts w:ascii="Times New Roman" w:hAnsi="Times New Roman"/>
          <w:sz w:val="24"/>
        </w:rPr>
        <w:t>201</w:t>
      </w:r>
      <w:r w:rsidR="00113B4A" w:rsidRPr="00E91232">
        <w:rPr>
          <w:rFonts w:ascii="Times New Roman" w:hAnsi="Times New Roman"/>
          <w:sz w:val="24"/>
        </w:rPr>
        <w:t>8</w:t>
      </w:r>
      <w:r w:rsidR="00F15C32" w:rsidRPr="00E91232">
        <w:rPr>
          <w:rFonts w:ascii="Times New Roman" w:hAnsi="Times New Roman"/>
          <w:sz w:val="24"/>
        </w:rPr>
        <w:t xml:space="preserve">– </w:t>
      </w:r>
      <w:r w:rsidR="00CF7A98">
        <w:rPr>
          <w:rFonts w:ascii="Times New Roman" w:hAnsi="Times New Roman"/>
          <w:sz w:val="24"/>
        </w:rPr>
        <w:t>June</w:t>
      </w:r>
      <w:r w:rsidR="00F15C32" w:rsidRPr="00E91232">
        <w:rPr>
          <w:rFonts w:ascii="Times New Roman" w:hAnsi="Times New Roman"/>
          <w:sz w:val="24"/>
        </w:rPr>
        <w:t xml:space="preserve">, </w:t>
      </w:r>
      <w:r w:rsidR="00033391" w:rsidRPr="00E91232">
        <w:rPr>
          <w:rFonts w:ascii="Times New Roman" w:hAnsi="Times New Roman"/>
          <w:sz w:val="24"/>
        </w:rPr>
        <w:t>201</w:t>
      </w:r>
      <w:r w:rsidR="0082199F" w:rsidRPr="00E91232">
        <w:rPr>
          <w:rFonts w:ascii="Times New Roman" w:hAnsi="Times New Roman"/>
          <w:sz w:val="24"/>
        </w:rPr>
        <w:t>8</w:t>
      </w:r>
      <w:r>
        <w:rPr>
          <w:rFonts w:ascii="Times New Roman" w:hAnsi="Times New Roman"/>
          <w:sz w:val="24"/>
        </w:rPr>
        <w:t>.</w:t>
      </w:r>
    </w:p>
    <w:p w14:paraId="11B1A2F5" w14:textId="77777777" w:rsidR="006451CD" w:rsidRDefault="006451CD" w:rsidP="00496388">
      <w:pPr>
        <w:jc w:val="both"/>
        <w:rPr>
          <w:rFonts w:ascii="Times New Roman" w:hAnsi="Times New Roman"/>
          <w:sz w:val="24"/>
        </w:rPr>
      </w:pPr>
    </w:p>
    <w:p w14:paraId="38A71AF8" w14:textId="77777777" w:rsidR="00D8037D" w:rsidRPr="00585058" w:rsidRDefault="00585058" w:rsidP="00D92968">
      <w:pPr>
        <w:numPr>
          <w:ilvl w:val="0"/>
          <w:numId w:val="1"/>
        </w:numPr>
        <w:tabs>
          <w:tab w:val="clear" w:pos="1296"/>
        </w:tabs>
        <w:autoSpaceDE/>
        <w:autoSpaceDN/>
        <w:adjustRightInd/>
        <w:ind w:left="360"/>
        <w:jc w:val="both"/>
        <w:rPr>
          <w:rFonts w:ascii="Times New Roman" w:hAnsi="Times New Roman"/>
          <w:b/>
          <w:sz w:val="24"/>
        </w:rPr>
      </w:pPr>
      <w:r>
        <w:rPr>
          <w:rFonts w:ascii="Times New Roman" w:hAnsi="Times New Roman"/>
          <w:b/>
          <w:sz w:val="24"/>
        </w:rPr>
        <w:t>How the Information is Being C</w:t>
      </w:r>
      <w:r w:rsidR="00D8037D" w:rsidRPr="00585058">
        <w:rPr>
          <w:rFonts w:ascii="Times New Roman" w:hAnsi="Times New Roman"/>
          <w:b/>
          <w:sz w:val="24"/>
        </w:rPr>
        <w:t>ollected:</w:t>
      </w:r>
    </w:p>
    <w:p w14:paraId="7DC2696B" w14:textId="77777777" w:rsidR="00F4381F" w:rsidRDefault="00F4381F" w:rsidP="00496388">
      <w:pPr>
        <w:jc w:val="both"/>
        <w:rPr>
          <w:rFonts w:ascii="Times New Roman" w:hAnsi="Times New Roman"/>
          <w:sz w:val="24"/>
          <w:szCs w:val="24"/>
        </w:rPr>
      </w:pPr>
    </w:p>
    <w:p w14:paraId="26531918" w14:textId="77777777" w:rsidR="007D7A00" w:rsidRPr="007D7A00" w:rsidRDefault="00033BBF" w:rsidP="00D92968">
      <w:pPr>
        <w:ind w:left="360"/>
        <w:rPr>
          <w:rFonts w:ascii="Times New Roman" w:hAnsi="Times New Roman"/>
          <w:sz w:val="24"/>
          <w:szCs w:val="24"/>
          <w:u w:val="single"/>
        </w:rPr>
      </w:pPr>
      <w:r>
        <w:rPr>
          <w:rFonts w:ascii="Times New Roman" w:hAnsi="Times New Roman"/>
          <w:sz w:val="24"/>
          <w:szCs w:val="24"/>
          <w:u w:val="single"/>
        </w:rPr>
        <w:t xml:space="preserve">Key Informant Interview </w:t>
      </w:r>
      <w:r w:rsidR="007D7A00" w:rsidRPr="007D7A00">
        <w:rPr>
          <w:rFonts w:ascii="Times New Roman" w:hAnsi="Times New Roman"/>
          <w:sz w:val="24"/>
          <w:szCs w:val="24"/>
          <w:u w:val="single"/>
        </w:rPr>
        <w:t>Recruitment</w:t>
      </w:r>
    </w:p>
    <w:p w14:paraId="5CF684DC" w14:textId="77777777" w:rsidR="007D7A00" w:rsidRDefault="007D7A00" w:rsidP="00D92968">
      <w:pPr>
        <w:ind w:left="360"/>
        <w:rPr>
          <w:rFonts w:ascii="Times New Roman" w:hAnsi="Times New Roman"/>
          <w:sz w:val="24"/>
          <w:szCs w:val="24"/>
        </w:rPr>
      </w:pPr>
    </w:p>
    <w:p w14:paraId="7853CF46" w14:textId="55380D98" w:rsidR="00BC6147" w:rsidRDefault="000F5777" w:rsidP="00D92968">
      <w:pPr>
        <w:ind w:left="360"/>
        <w:rPr>
          <w:rFonts w:ascii="Times New Roman" w:hAnsi="Times New Roman"/>
          <w:sz w:val="24"/>
          <w:szCs w:val="24"/>
        </w:rPr>
      </w:pPr>
      <w:r>
        <w:rPr>
          <w:rFonts w:ascii="Times New Roman" w:hAnsi="Times New Roman"/>
          <w:sz w:val="24"/>
          <w:szCs w:val="24"/>
        </w:rPr>
        <w:t xml:space="preserve">The Auburn University/IMPAQ research team will </w:t>
      </w:r>
      <w:r w:rsidR="000D2825">
        <w:rPr>
          <w:rFonts w:ascii="Times New Roman" w:hAnsi="Times New Roman"/>
          <w:sz w:val="24"/>
          <w:szCs w:val="24"/>
        </w:rPr>
        <w:t xml:space="preserve">develop </w:t>
      </w:r>
      <w:r>
        <w:rPr>
          <w:rFonts w:ascii="Times New Roman" w:hAnsi="Times New Roman"/>
          <w:sz w:val="24"/>
          <w:szCs w:val="24"/>
        </w:rPr>
        <w:t>a list of formulary man</w:t>
      </w:r>
      <w:r w:rsidR="00B74C4D">
        <w:rPr>
          <w:rFonts w:ascii="Times New Roman" w:hAnsi="Times New Roman"/>
          <w:sz w:val="24"/>
          <w:szCs w:val="24"/>
        </w:rPr>
        <w:t>a</w:t>
      </w:r>
      <w:r>
        <w:rPr>
          <w:rFonts w:ascii="Times New Roman" w:hAnsi="Times New Roman"/>
          <w:sz w:val="24"/>
          <w:szCs w:val="24"/>
        </w:rPr>
        <w:t>gers, policymakers</w:t>
      </w:r>
      <w:r w:rsidR="008C50A1">
        <w:rPr>
          <w:rFonts w:ascii="Times New Roman" w:hAnsi="Times New Roman"/>
          <w:sz w:val="24"/>
          <w:szCs w:val="24"/>
        </w:rPr>
        <w:t>,</w:t>
      </w:r>
      <w:r>
        <w:rPr>
          <w:rFonts w:ascii="Times New Roman" w:hAnsi="Times New Roman"/>
          <w:sz w:val="24"/>
          <w:szCs w:val="24"/>
        </w:rPr>
        <w:t xml:space="preserve"> and large purchasers of drugs for recruitment. </w:t>
      </w:r>
      <w:r w:rsidR="0046018C">
        <w:rPr>
          <w:rFonts w:ascii="Times New Roman" w:hAnsi="Times New Roman"/>
          <w:sz w:val="24"/>
          <w:szCs w:val="24"/>
        </w:rPr>
        <w:t>Participants for these three groups will be identified in collaboration with the FDA</w:t>
      </w:r>
      <w:r w:rsidR="000D2825">
        <w:rPr>
          <w:rFonts w:ascii="Times New Roman" w:hAnsi="Times New Roman"/>
          <w:sz w:val="24"/>
          <w:szCs w:val="24"/>
        </w:rPr>
        <w:t xml:space="preserve"> and </w:t>
      </w:r>
      <w:r w:rsidR="00CC5210">
        <w:rPr>
          <w:rFonts w:ascii="Times New Roman" w:hAnsi="Times New Roman"/>
          <w:sz w:val="24"/>
          <w:szCs w:val="24"/>
        </w:rPr>
        <w:t xml:space="preserve">AAM (Association for Accessible Medicines) </w:t>
      </w:r>
      <w:r w:rsidR="000D2825">
        <w:rPr>
          <w:rFonts w:ascii="Times New Roman" w:hAnsi="Times New Roman"/>
          <w:sz w:val="24"/>
          <w:szCs w:val="24"/>
        </w:rPr>
        <w:t xml:space="preserve">and no formal screeners will be utilized in </w:t>
      </w:r>
      <w:r w:rsidR="000D2825" w:rsidRPr="000806E7">
        <w:rPr>
          <w:rFonts w:ascii="Times New Roman" w:hAnsi="Times New Roman"/>
          <w:sz w:val="24"/>
          <w:szCs w:val="24"/>
        </w:rPr>
        <w:t>identifying members for these three groups. More targeted, informal recruitment</w:t>
      </w:r>
      <w:r w:rsidR="000806E7" w:rsidRPr="000806E7">
        <w:rPr>
          <w:rFonts w:ascii="Times New Roman" w:hAnsi="Times New Roman"/>
          <w:sz w:val="24"/>
          <w:szCs w:val="24"/>
        </w:rPr>
        <w:t xml:space="preserve"> </w:t>
      </w:r>
      <w:r w:rsidR="000D2825" w:rsidRPr="000806E7">
        <w:rPr>
          <w:rFonts w:ascii="Times New Roman" w:hAnsi="Times New Roman"/>
          <w:sz w:val="24"/>
          <w:szCs w:val="24"/>
        </w:rPr>
        <w:t>will be conducted</w:t>
      </w:r>
      <w:r w:rsidR="0077146A">
        <w:rPr>
          <w:rFonts w:ascii="Times New Roman" w:hAnsi="Times New Roman"/>
          <w:sz w:val="24"/>
          <w:szCs w:val="24"/>
        </w:rPr>
        <w:t xml:space="preserve"> with these three g</w:t>
      </w:r>
      <w:r w:rsidR="001C48E1">
        <w:rPr>
          <w:rFonts w:ascii="Times New Roman" w:hAnsi="Times New Roman"/>
          <w:sz w:val="24"/>
          <w:szCs w:val="24"/>
        </w:rPr>
        <w:t>r</w:t>
      </w:r>
      <w:r w:rsidR="0077146A">
        <w:rPr>
          <w:rFonts w:ascii="Times New Roman" w:hAnsi="Times New Roman"/>
          <w:sz w:val="24"/>
          <w:szCs w:val="24"/>
        </w:rPr>
        <w:t>oups</w:t>
      </w:r>
      <w:r w:rsidR="000D2825">
        <w:rPr>
          <w:rFonts w:ascii="Times New Roman" w:hAnsi="Times New Roman"/>
          <w:sz w:val="24"/>
          <w:szCs w:val="24"/>
        </w:rPr>
        <w:t xml:space="preserve"> in order to allow the research team to better identify participants from various stages of generic drug utilization (e.g. large purchasers) or across different levels of policy (e.g. state or federal levels of policymaking)</w:t>
      </w:r>
      <w:r w:rsidR="006A268C">
        <w:rPr>
          <w:rFonts w:ascii="Times New Roman" w:hAnsi="Times New Roman"/>
          <w:sz w:val="24"/>
          <w:szCs w:val="24"/>
        </w:rPr>
        <w:t>.</w:t>
      </w:r>
      <w:r w:rsidR="0056141A" w:rsidRPr="0056141A">
        <w:rPr>
          <w:rFonts w:ascii="Times New Roman" w:hAnsi="Times New Roman"/>
          <w:sz w:val="24"/>
          <w:szCs w:val="24"/>
        </w:rPr>
        <w:t xml:space="preserve"> </w:t>
      </w:r>
      <w:r w:rsidR="000E15CB">
        <w:rPr>
          <w:rFonts w:ascii="Times New Roman" w:hAnsi="Times New Roman"/>
          <w:sz w:val="24"/>
          <w:szCs w:val="24"/>
        </w:rPr>
        <w:t>Please see A</w:t>
      </w:r>
      <w:r w:rsidR="0056141A" w:rsidRPr="000806E7">
        <w:rPr>
          <w:rFonts w:ascii="Times New Roman" w:hAnsi="Times New Roman"/>
          <w:sz w:val="24"/>
          <w:szCs w:val="24"/>
        </w:rPr>
        <w:t>ppendix A</w:t>
      </w:r>
      <w:r w:rsidR="0056141A">
        <w:rPr>
          <w:rFonts w:ascii="Times New Roman" w:hAnsi="Times New Roman"/>
          <w:sz w:val="24"/>
          <w:szCs w:val="24"/>
        </w:rPr>
        <w:t xml:space="preserve"> for the recruitment emails and flyer.</w:t>
      </w:r>
    </w:p>
    <w:p w14:paraId="03BEFAFC" w14:textId="77777777" w:rsidR="00834E01" w:rsidRDefault="00834E01" w:rsidP="00496388">
      <w:pPr>
        <w:ind w:left="720"/>
        <w:rPr>
          <w:rFonts w:ascii="Times New Roman" w:hAnsi="Times New Roman"/>
          <w:sz w:val="24"/>
          <w:szCs w:val="24"/>
        </w:rPr>
      </w:pPr>
    </w:p>
    <w:p w14:paraId="50AF3DDC" w14:textId="77777777" w:rsidR="00033BBF" w:rsidRPr="00E91232" w:rsidRDefault="00033BBF" w:rsidP="00D92968">
      <w:pPr>
        <w:ind w:left="360"/>
        <w:rPr>
          <w:rFonts w:ascii="Times New Roman" w:hAnsi="Times New Roman"/>
          <w:color w:val="000000" w:themeColor="text1"/>
          <w:sz w:val="24"/>
          <w:szCs w:val="24"/>
          <w:u w:val="single"/>
        </w:rPr>
      </w:pPr>
      <w:r w:rsidRPr="00E91232">
        <w:rPr>
          <w:rFonts w:ascii="Times New Roman" w:hAnsi="Times New Roman"/>
          <w:color w:val="000000" w:themeColor="text1"/>
          <w:sz w:val="24"/>
          <w:szCs w:val="24"/>
          <w:u w:val="single"/>
        </w:rPr>
        <w:t>Survey Recruitment</w:t>
      </w:r>
    </w:p>
    <w:p w14:paraId="6DE4F01E" w14:textId="77777777" w:rsidR="00973A12" w:rsidRDefault="00973A12" w:rsidP="00D92968">
      <w:pPr>
        <w:ind w:left="360"/>
        <w:rPr>
          <w:rFonts w:ascii="Times New Roman" w:hAnsi="Times New Roman"/>
          <w:sz w:val="24"/>
          <w:szCs w:val="24"/>
          <w:u w:val="single"/>
        </w:rPr>
      </w:pPr>
    </w:p>
    <w:p w14:paraId="02DCAEE1" w14:textId="77777777" w:rsidR="00973A12" w:rsidRPr="00E91232" w:rsidRDefault="00E20EC2" w:rsidP="00D92968">
      <w:pPr>
        <w:ind w:left="360"/>
        <w:rPr>
          <w:rFonts w:ascii="Times New Roman" w:hAnsi="Times New Roman"/>
          <w:sz w:val="24"/>
          <w:szCs w:val="24"/>
        </w:rPr>
      </w:pPr>
      <w:r>
        <w:rPr>
          <w:rFonts w:ascii="Times New Roman" w:hAnsi="Times New Roman"/>
          <w:sz w:val="24"/>
          <w:szCs w:val="24"/>
        </w:rPr>
        <w:t>The Auburn University/IMPAQ research team will develop a list of prescribers, pharmacists, and patients/caregivers for recruitment</w:t>
      </w:r>
      <w:r w:rsidR="000806E7">
        <w:rPr>
          <w:rFonts w:ascii="Times New Roman" w:hAnsi="Times New Roman"/>
          <w:sz w:val="24"/>
          <w:szCs w:val="24"/>
        </w:rPr>
        <w:t xml:space="preserve"> </w:t>
      </w:r>
      <w:r w:rsidR="000806E7" w:rsidRPr="000806E7">
        <w:rPr>
          <w:rFonts w:ascii="Times New Roman" w:hAnsi="Times New Roman"/>
          <w:sz w:val="24"/>
          <w:szCs w:val="24"/>
        </w:rPr>
        <w:t>(Appendix A)</w:t>
      </w:r>
      <w:r>
        <w:rPr>
          <w:rFonts w:ascii="Times New Roman" w:hAnsi="Times New Roman"/>
          <w:sz w:val="24"/>
          <w:szCs w:val="24"/>
        </w:rPr>
        <w:t xml:space="preserve">.  </w:t>
      </w:r>
      <w:r w:rsidR="00B00E60">
        <w:rPr>
          <w:rFonts w:ascii="Times New Roman" w:hAnsi="Times New Roman"/>
          <w:sz w:val="24"/>
          <w:szCs w:val="24"/>
        </w:rPr>
        <w:t>Participants for the</w:t>
      </w:r>
      <w:r w:rsidR="00A75BA8">
        <w:rPr>
          <w:rFonts w:ascii="Times New Roman" w:hAnsi="Times New Roman"/>
          <w:sz w:val="24"/>
          <w:szCs w:val="24"/>
        </w:rPr>
        <w:t xml:space="preserve"> pharmacist and prescriber </w:t>
      </w:r>
      <w:r w:rsidR="00B00E60">
        <w:rPr>
          <w:rFonts w:ascii="Times New Roman" w:hAnsi="Times New Roman"/>
          <w:sz w:val="24"/>
          <w:szCs w:val="24"/>
        </w:rPr>
        <w:t>groups will be identified in collabo</w:t>
      </w:r>
      <w:r w:rsidR="006A1F47">
        <w:rPr>
          <w:rFonts w:ascii="Times New Roman" w:hAnsi="Times New Roman"/>
          <w:sz w:val="24"/>
          <w:szCs w:val="24"/>
        </w:rPr>
        <w:t>ration with the Auburn University Harrison School of Pharmacy’s Continuing Education (CE) program and the University of Alabama at Birmingham (UAB) Continuing Medical Education (CME) program</w:t>
      </w:r>
      <w:r w:rsidR="00B00E60">
        <w:rPr>
          <w:rFonts w:ascii="Times New Roman" w:hAnsi="Times New Roman"/>
          <w:sz w:val="24"/>
          <w:szCs w:val="24"/>
        </w:rPr>
        <w:t xml:space="preserve">.  </w:t>
      </w:r>
      <w:r w:rsidR="00EC41CF">
        <w:rPr>
          <w:rFonts w:ascii="Times New Roman" w:hAnsi="Times New Roman"/>
          <w:sz w:val="24"/>
          <w:szCs w:val="24"/>
        </w:rPr>
        <w:t xml:space="preserve">Email list-serves targeted to these </w:t>
      </w:r>
      <w:r w:rsidR="00E91232">
        <w:rPr>
          <w:rFonts w:ascii="Times New Roman" w:hAnsi="Times New Roman"/>
          <w:sz w:val="24"/>
          <w:szCs w:val="24"/>
        </w:rPr>
        <w:t>two</w:t>
      </w:r>
      <w:r w:rsidR="00EC41CF">
        <w:rPr>
          <w:rFonts w:ascii="Times New Roman" w:hAnsi="Times New Roman"/>
          <w:sz w:val="24"/>
          <w:szCs w:val="24"/>
        </w:rPr>
        <w:t xml:space="preserve"> groups will be used to </w:t>
      </w:r>
      <w:r w:rsidR="001D39E5">
        <w:rPr>
          <w:rFonts w:ascii="Times New Roman" w:hAnsi="Times New Roman"/>
          <w:sz w:val="24"/>
          <w:szCs w:val="24"/>
        </w:rPr>
        <w:t xml:space="preserve">recruit participants for </w:t>
      </w:r>
      <w:r w:rsidR="00EA2299">
        <w:rPr>
          <w:rFonts w:ascii="Times New Roman" w:hAnsi="Times New Roman"/>
          <w:sz w:val="24"/>
          <w:szCs w:val="24"/>
        </w:rPr>
        <w:t>the</w:t>
      </w:r>
      <w:r w:rsidR="00A75BA8">
        <w:rPr>
          <w:rFonts w:ascii="Times New Roman" w:hAnsi="Times New Roman"/>
          <w:sz w:val="24"/>
          <w:szCs w:val="24"/>
        </w:rPr>
        <w:t>se</w:t>
      </w:r>
      <w:r w:rsidR="00EA2299">
        <w:rPr>
          <w:rFonts w:ascii="Times New Roman" w:hAnsi="Times New Roman"/>
          <w:sz w:val="24"/>
          <w:szCs w:val="24"/>
        </w:rPr>
        <w:t xml:space="preserve"> electronic</w:t>
      </w:r>
      <w:r w:rsidR="007729B4">
        <w:rPr>
          <w:rFonts w:ascii="Times New Roman" w:hAnsi="Times New Roman"/>
          <w:sz w:val="24"/>
          <w:szCs w:val="24"/>
        </w:rPr>
        <w:t xml:space="preserve"> </w:t>
      </w:r>
      <w:r w:rsidR="00A75BA8">
        <w:rPr>
          <w:rFonts w:ascii="Times New Roman" w:hAnsi="Times New Roman"/>
          <w:sz w:val="24"/>
          <w:szCs w:val="24"/>
        </w:rPr>
        <w:t xml:space="preserve">surveys.  Participants for the patient/caregiver group will be </w:t>
      </w:r>
      <w:r w:rsidR="00F44F81">
        <w:rPr>
          <w:rFonts w:ascii="Times New Roman" w:hAnsi="Times New Roman"/>
          <w:sz w:val="24"/>
          <w:szCs w:val="24"/>
        </w:rPr>
        <w:t xml:space="preserve">identified in collaboration with Auburn University’s pharmacy services clinics.  </w:t>
      </w:r>
      <w:r w:rsidR="0030044C">
        <w:rPr>
          <w:rFonts w:ascii="Times New Roman" w:hAnsi="Times New Roman"/>
          <w:sz w:val="24"/>
          <w:szCs w:val="24"/>
        </w:rPr>
        <w:t>Pharmacy students and technicians who contact these patients and their caregivers during routine care w</w:t>
      </w:r>
      <w:r w:rsidR="00073749">
        <w:rPr>
          <w:rFonts w:ascii="Times New Roman" w:hAnsi="Times New Roman"/>
          <w:sz w:val="24"/>
          <w:szCs w:val="24"/>
        </w:rPr>
        <w:t xml:space="preserve">ill recruit these participants </w:t>
      </w:r>
      <w:r w:rsidR="0030044C">
        <w:rPr>
          <w:rFonts w:ascii="Times New Roman" w:hAnsi="Times New Roman"/>
          <w:sz w:val="24"/>
          <w:szCs w:val="24"/>
        </w:rPr>
        <w:t>f</w:t>
      </w:r>
      <w:r w:rsidR="00073749">
        <w:rPr>
          <w:rFonts w:ascii="Times New Roman" w:hAnsi="Times New Roman"/>
          <w:sz w:val="24"/>
          <w:szCs w:val="24"/>
        </w:rPr>
        <w:t>or</w:t>
      </w:r>
      <w:r w:rsidR="007729B4">
        <w:rPr>
          <w:rFonts w:ascii="Times New Roman" w:hAnsi="Times New Roman"/>
          <w:sz w:val="24"/>
          <w:szCs w:val="24"/>
        </w:rPr>
        <w:t xml:space="preserve"> fa</w:t>
      </w:r>
      <w:r w:rsidR="0030044C">
        <w:rPr>
          <w:rFonts w:ascii="Times New Roman" w:hAnsi="Times New Roman"/>
          <w:sz w:val="24"/>
          <w:szCs w:val="24"/>
        </w:rPr>
        <w:t>ce-to-face</w:t>
      </w:r>
      <w:r w:rsidR="007729B4">
        <w:rPr>
          <w:rFonts w:ascii="Times New Roman" w:hAnsi="Times New Roman"/>
          <w:sz w:val="24"/>
          <w:szCs w:val="24"/>
        </w:rPr>
        <w:t xml:space="preserve"> versions of the </w:t>
      </w:r>
      <w:r w:rsidR="00EA2299">
        <w:rPr>
          <w:rFonts w:ascii="Times New Roman" w:hAnsi="Times New Roman"/>
          <w:sz w:val="24"/>
          <w:szCs w:val="24"/>
        </w:rPr>
        <w:t xml:space="preserve">survey.  </w:t>
      </w:r>
    </w:p>
    <w:p w14:paraId="672DAA81" w14:textId="77777777" w:rsidR="00973A12" w:rsidRPr="007D7A00" w:rsidRDefault="00973A12" w:rsidP="00496388">
      <w:pPr>
        <w:ind w:left="720"/>
        <w:jc w:val="both"/>
        <w:rPr>
          <w:rFonts w:ascii="Times New Roman" w:hAnsi="Times New Roman"/>
          <w:sz w:val="24"/>
          <w:szCs w:val="24"/>
          <w:u w:val="single"/>
        </w:rPr>
      </w:pPr>
    </w:p>
    <w:p w14:paraId="5DF2FC9E" w14:textId="152B5641" w:rsidR="00033BBF" w:rsidRPr="00973A12" w:rsidRDefault="00973A12" w:rsidP="00D92968">
      <w:pPr>
        <w:ind w:left="360"/>
        <w:rPr>
          <w:rFonts w:ascii="Times New Roman" w:hAnsi="Times New Roman"/>
          <w:sz w:val="24"/>
          <w:szCs w:val="24"/>
        </w:rPr>
      </w:pPr>
      <w:r w:rsidRPr="00CB71C8">
        <w:rPr>
          <w:rFonts w:ascii="Times New Roman" w:hAnsi="Times New Roman"/>
          <w:sz w:val="24"/>
          <w:szCs w:val="24"/>
        </w:rPr>
        <w:t xml:space="preserve">Table </w:t>
      </w:r>
      <w:r w:rsidR="000E15CB">
        <w:rPr>
          <w:rFonts w:ascii="Times New Roman" w:hAnsi="Times New Roman"/>
          <w:sz w:val="24"/>
          <w:szCs w:val="24"/>
        </w:rPr>
        <w:t>1</w:t>
      </w:r>
      <w:r w:rsidRPr="00CB71C8">
        <w:rPr>
          <w:rFonts w:ascii="Times New Roman" w:hAnsi="Times New Roman"/>
          <w:sz w:val="24"/>
          <w:szCs w:val="24"/>
        </w:rPr>
        <w:t xml:space="preserve">. Eligibility </w:t>
      </w:r>
      <w:r w:rsidR="000E15CB">
        <w:rPr>
          <w:rFonts w:ascii="Times New Roman" w:hAnsi="Times New Roman"/>
          <w:sz w:val="24"/>
          <w:szCs w:val="24"/>
        </w:rPr>
        <w:t>of Participants</w:t>
      </w:r>
    </w:p>
    <w:tbl>
      <w:tblPr>
        <w:tblStyle w:val="TableGrid"/>
        <w:tblW w:w="0" w:type="auto"/>
        <w:tblInd w:w="355" w:type="dxa"/>
        <w:tblLook w:val="04A0" w:firstRow="1" w:lastRow="0" w:firstColumn="1" w:lastColumn="0" w:noHBand="0" w:noVBand="1"/>
      </w:tblPr>
      <w:tblGrid>
        <w:gridCol w:w="2083"/>
        <w:gridCol w:w="5827"/>
      </w:tblGrid>
      <w:tr w:rsidR="00BD73AC" w:rsidRPr="000F5777" w14:paraId="172B5BCB" w14:textId="77777777" w:rsidTr="00D92968">
        <w:tc>
          <w:tcPr>
            <w:tcW w:w="2083" w:type="dxa"/>
            <w:shd w:val="clear" w:color="auto" w:fill="BFBFBF" w:themeFill="background1" w:themeFillShade="BF"/>
          </w:tcPr>
          <w:p w14:paraId="4DD21D81" w14:textId="77777777" w:rsidR="00973A12" w:rsidRPr="00A60899" w:rsidRDefault="00973A12" w:rsidP="00496388">
            <w:pPr>
              <w:rPr>
                <w:rFonts w:ascii="Times New Roman" w:hAnsi="Times New Roman"/>
                <w:b/>
                <w:sz w:val="24"/>
                <w:szCs w:val="24"/>
              </w:rPr>
            </w:pPr>
            <w:r w:rsidRPr="00A60899">
              <w:rPr>
                <w:rFonts w:ascii="Times New Roman" w:hAnsi="Times New Roman"/>
                <w:b/>
                <w:sz w:val="24"/>
                <w:szCs w:val="24"/>
              </w:rPr>
              <w:t>Group</w:t>
            </w:r>
          </w:p>
        </w:tc>
        <w:tc>
          <w:tcPr>
            <w:tcW w:w="5827" w:type="dxa"/>
            <w:shd w:val="clear" w:color="auto" w:fill="BFBFBF" w:themeFill="background1" w:themeFillShade="BF"/>
          </w:tcPr>
          <w:p w14:paraId="10C2AB1E" w14:textId="77777777" w:rsidR="00973A12" w:rsidRPr="00A60899" w:rsidRDefault="00973A12" w:rsidP="00496388">
            <w:pPr>
              <w:rPr>
                <w:rFonts w:ascii="Times New Roman" w:hAnsi="Times New Roman"/>
                <w:b/>
                <w:sz w:val="24"/>
                <w:szCs w:val="24"/>
              </w:rPr>
            </w:pPr>
            <w:r>
              <w:rPr>
                <w:rFonts w:ascii="Times New Roman" w:hAnsi="Times New Roman"/>
                <w:b/>
                <w:sz w:val="24"/>
                <w:szCs w:val="24"/>
              </w:rPr>
              <w:t xml:space="preserve">Eligibility </w:t>
            </w:r>
            <w:r w:rsidRPr="00A60899">
              <w:rPr>
                <w:rFonts w:ascii="Times New Roman" w:hAnsi="Times New Roman"/>
                <w:b/>
                <w:sz w:val="24"/>
                <w:szCs w:val="24"/>
              </w:rPr>
              <w:t xml:space="preserve"> </w:t>
            </w:r>
          </w:p>
        </w:tc>
      </w:tr>
      <w:tr w:rsidR="000E15CB" w14:paraId="4B10F0EC" w14:textId="77777777" w:rsidTr="00D92968">
        <w:tc>
          <w:tcPr>
            <w:tcW w:w="2083" w:type="dxa"/>
          </w:tcPr>
          <w:p w14:paraId="39A83B9A" w14:textId="6D569F62" w:rsidR="000E15CB" w:rsidRDefault="000E15CB" w:rsidP="000E15CB">
            <w:pPr>
              <w:rPr>
                <w:rFonts w:ascii="Times New Roman" w:hAnsi="Times New Roman"/>
                <w:sz w:val="24"/>
                <w:szCs w:val="24"/>
              </w:rPr>
            </w:pPr>
            <w:r>
              <w:rPr>
                <w:rFonts w:ascii="Times New Roman" w:hAnsi="Times New Roman"/>
                <w:sz w:val="24"/>
                <w:szCs w:val="24"/>
              </w:rPr>
              <w:t>Formulary Managers</w:t>
            </w:r>
          </w:p>
        </w:tc>
        <w:tc>
          <w:tcPr>
            <w:tcW w:w="5827" w:type="dxa"/>
          </w:tcPr>
          <w:p w14:paraId="0603639B" w14:textId="285A8CC5" w:rsidR="000E15CB" w:rsidRDefault="000E15CB" w:rsidP="000E15CB">
            <w:pPr>
              <w:rPr>
                <w:rFonts w:ascii="Times New Roman" w:hAnsi="Times New Roman"/>
                <w:sz w:val="24"/>
                <w:szCs w:val="24"/>
              </w:rPr>
            </w:pPr>
            <w:r>
              <w:rPr>
                <w:rFonts w:ascii="Times New Roman" w:hAnsi="Times New Roman"/>
                <w:sz w:val="24"/>
                <w:szCs w:val="24"/>
              </w:rPr>
              <w:t>Current member of a P&amp;T committee at the hospital or health plan level</w:t>
            </w:r>
          </w:p>
        </w:tc>
      </w:tr>
      <w:tr w:rsidR="000E15CB" w14:paraId="12959BA0" w14:textId="77777777" w:rsidTr="00D92968">
        <w:tc>
          <w:tcPr>
            <w:tcW w:w="2083" w:type="dxa"/>
          </w:tcPr>
          <w:p w14:paraId="53F6EA82" w14:textId="2F2D56DB" w:rsidR="000E15CB" w:rsidRDefault="000E15CB" w:rsidP="000E15CB">
            <w:pPr>
              <w:rPr>
                <w:rFonts w:ascii="Times New Roman" w:hAnsi="Times New Roman"/>
                <w:sz w:val="24"/>
                <w:szCs w:val="24"/>
              </w:rPr>
            </w:pPr>
            <w:r>
              <w:rPr>
                <w:rFonts w:ascii="Times New Roman" w:hAnsi="Times New Roman"/>
                <w:sz w:val="24"/>
                <w:szCs w:val="24"/>
              </w:rPr>
              <w:t>Policymakers</w:t>
            </w:r>
          </w:p>
        </w:tc>
        <w:tc>
          <w:tcPr>
            <w:tcW w:w="5827" w:type="dxa"/>
          </w:tcPr>
          <w:p w14:paraId="428F6800" w14:textId="34D73AE2" w:rsidR="000E15CB" w:rsidRDefault="000E15CB" w:rsidP="000E15CB">
            <w:pPr>
              <w:rPr>
                <w:rFonts w:ascii="Times New Roman" w:hAnsi="Times New Roman"/>
                <w:sz w:val="24"/>
                <w:szCs w:val="24"/>
              </w:rPr>
            </w:pPr>
            <w:r>
              <w:rPr>
                <w:rFonts w:ascii="Times New Roman" w:hAnsi="Times New Roman"/>
                <w:sz w:val="24"/>
                <w:szCs w:val="24"/>
              </w:rPr>
              <w:t xml:space="preserve">Current federal or state government employee with jurisdiction over generic drug policy </w:t>
            </w:r>
          </w:p>
        </w:tc>
      </w:tr>
      <w:tr w:rsidR="000E15CB" w14:paraId="6830131F" w14:textId="77777777" w:rsidTr="00D92968">
        <w:tc>
          <w:tcPr>
            <w:tcW w:w="2083" w:type="dxa"/>
          </w:tcPr>
          <w:p w14:paraId="7DCD0908" w14:textId="7969EAE5" w:rsidR="000E15CB" w:rsidRDefault="000E15CB" w:rsidP="000E15CB">
            <w:pPr>
              <w:rPr>
                <w:rFonts w:ascii="Times New Roman" w:hAnsi="Times New Roman"/>
                <w:sz w:val="24"/>
                <w:szCs w:val="24"/>
              </w:rPr>
            </w:pPr>
            <w:r>
              <w:rPr>
                <w:rFonts w:ascii="Times New Roman" w:hAnsi="Times New Roman"/>
                <w:sz w:val="24"/>
                <w:szCs w:val="24"/>
              </w:rPr>
              <w:t>Large Purchasers of Drugs</w:t>
            </w:r>
          </w:p>
        </w:tc>
        <w:tc>
          <w:tcPr>
            <w:tcW w:w="5827" w:type="dxa"/>
          </w:tcPr>
          <w:p w14:paraId="3DE07D34" w14:textId="3FFAB75C" w:rsidR="000E15CB" w:rsidRDefault="000E15CB" w:rsidP="000E15CB">
            <w:pPr>
              <w:rPr>
                <w:rFonts w:ascii="Times New Roman" w:hAnsi="Times New Roman"/>
                <w:sz w:val="24"/>
                <w:szCs w:val="24"/>
              </w:rPr>
            </w:pPr>
            <w:r>
              <w:rPr>
                <w:rFonts w:ascii="Times New Roman" w:hAnsi="Times New Roman"/>
                <w:sz w:val="24"/>
                <w:szCs w:val="24"/>
              </w:rPr>
              <w:t>Bulk purchaser of drugs for large retail chains (e.g., with more than 10 pharmacies) or group purchasing organization</w:t>
            </w:r>
          </w:p>
        </w:tc>
      </w:tr>
      <w:tr w:rsidR="000E15CB" w14:paraId="7E285EA8" w14:textId="77777777" w:rsidTr="00D92968">
        <w:tc>
          <w:tcPr>
            <w:tcW w:w="2083" w:type="dxa"/>
          </w:tcPr>
          <w:p w14:paraId="756D2F91" w14:textId="77777777" w:rsidR="000E15CB" w:rsidRDefault="000E15CB" w:rsidP="000E15CB">
            <w:pPr>
              <w:rPr>
                <w:rFonts w:ascii="Times New Roman" w:hAnsi="Times New Roman"/>
                <w:sz w:val="24"/>
                <w:szCs w:val="24"/>
              </w:rPr>
            </w:pPr>
            <w:r>
              <w:rPr>
                <w:rFonts w:ascii="Times New Roman" w:hAnsi="Times New Roman"/>
                <w:sz w:val="24"/>
                <w:szCs w:val="24"/>
              </w:rPr>
              <w:t>Prescribers</w:t>
            </w:r>
          </w:p>
        </w:tc>
        <w:tc>
          <w:tcPr>
            <w:tcW w:w="5827" w:type="dxa"/>
          </w:tcPr>
          <w:p w14:paraId="78C6D00C" w14:textId="77777777" w:rsidR="000E15CB" w:rsidRDefault="000E15CB" w:rsidP="000E15CB">
            <w:pPr>
              <w:rPr>
                <w:rFonts w:ascii="Times New Roman" w:hAnsi="Times New Roman"/>
                <w:sz w:val="24"/>
                <w:szCs w:val="24"/>
              </w:rPr>
            </w:pPr>
            <w:r>
              <w:rPr>
                <w:rFonts w:ascii="Times New Roman" w:hAnsi="Times New Roman"/>
                <w:sz w:val="24"/>
                <w:szCs w:val="24"/>
              </w:rPr>
              <w:t>Current physician, nurse practitioner, or physician assistant; US prescriptive authority; works in outpatient or community settings; involved in direct patient care at least 2 days per week</w:t>
            </w:r>
          </w:p>
        </w:tc>
      </w:tr>
      <w:tr w:rsidR="000E15CB" w14:paraId="2A9999EE" w14:textId="77777777" w:rsidTr="00D92968">
        <w:tc>
          <w:tcPr>
            <w:tcW w:w="2083" w:type="dxa"/>
          </w:tcPr>
          <w:p w14:paraId="6DC44E70" w14:textId="77777777" w:rsidR="000E15CB" w:rsidRDefault="000E15CB" w:rsidP="000E15CB">
            <w:pPr>
              <w:rPr>
                <w:rFonts w:ascii="Times New Roman" w:hAnsi="Times New Roman"/>
                <w:sz w:val="24"/>
                <w:szCs w:val="24"/>
              </w:rPr>
            </w:pPr>
            <w:r>
              <w:rPr>
                <w:rFonts w:ascii="Times New Roman" w:hAnsi="Times New Roman"/>
                <w:sz w:val="24"/>
                <w:szCs w:val="24"/>
              </w:rPr>
              <w:t>Pharmacists</w:t>
            </w:r>
          </w:p>
        </w:tc>
        <w:tc>
          <w:tcPr>
            <w:tcW w:w="5827" w:type="dxa"/>
          </w:tcPr>
          <w:p w14:paraId="1F01FED3" w14:textId="77777777" w:rsidR="000E15CB" w:rsidRDefault="000E15CB" w:rsidP="000E15CB">
            <w:pPr>
              <w:rPr>
                <w:rFonts w:ascii="Times New Roman" w:hAnsi="Times New Roman"/>
                <w:sz w:val="24"/>
                <w:szCs w:val="24"/>
              </w:rPr>
            </w:pPr>
            <w:r>
              <w:rPr>
                <w:rFonts w:ascii="Times New Roman" w:hAnsi="Times New Roman"/>
                <w:sz w:val="24"/>
                <w:szCs w:val="24"/>
              </w:rPr>
              <w:t>Current pharmacist licensed to practice in the US; works in outpatient or community settings; involved in direct patient care at least 2 days per week</w:t>
            </w:r>
          </w:p>
        </w:tc>
      </w:tr>
      <w:tr w:rsidR="000E15CB" w14:paraId="7FA2F97E" w14:textId="77777777" w:rsidTr="00D92968">
        <w:tc>
          <w:tcPr>
            <w:tcW w:w="2083" w:type="dxa"/>
          </w:tcPr>
          <w:p w14:paraId="61B2F88E" w14:textId="77777777" w:rsidR="000E15CB" w:rsidRDefault="000E15CB" w:rsidP="000E15CB">
            <w:pPr>
              <w:rPr>
                <w:rFonts w:ascii="Times New Roman" w:hAnsi="Times New Roman"/>
                <w:sz w:val="24"/>
                <w:szCs w:val="24"/>
              </w:rPr>
            </w:pPr>
            <w:r>
              <w:rPr>
                <w:rFonts w:ascii="Times New Roman" w:hAnsi="Times New Roman"/>
                <w:sz w:val="24"/>
                <w:szCs w:val="24"/>
              </w:rPr>
              <w:t>Patients/Caregivers</w:t>
            </w:r>
          </w:p>
        </w:tc>
        <w:tc>
          <w:tcPr>
            <w:tcW w:w="5827" w:type="dxa"/>
          </w:tcPr>
          <w:p w14:paraId="29F64929" w14:textId="77777777" w:rsidR="000E15CB" w:rsidRDefault="000E15CB" w:rsidP="000E15CB">
            <w:pPr>
              <w:rPr>
                <w:rFonts w:ascii="Times New Roman" w:hAnsi="Times New Roman"/>
                <w:sz w:val="24"/>
                <w:szCs w:val="24"/>
              </w:rPr>
            </w:pPr>
            <w:r w:rsidRPr="00E91232">
              <w:rPr>
                <w:rFonts w:ascii="Times New Roman" w:hAnsi="Times New Roman"/>
                <w:sz w:val="24"/>
                <w:szCs w:val="24"/>
                <w:u w:val="single"/>
              </w:rPr>
              <w:t>Patient:</w:t>
            </w:r>
            <w:r>
              <w:rPr>
                <w:rFonts w:ascii="Times New Roman" w:hAnsi="Times New Roman"/>
                <w:sz w:val="24"/>
                <w:szCs w:val="24"/>
              </w:rPr>
              <w:t xml:space="preserve">  Adult who self-reports taking at least 1 prescription medication in the last 6 months; at least 19 years of age  </w:t>
            </w:r>
          </w:p>
          <w:p w14:paraId="6861811C" w14:textId="77777777" w:rsidR="000E15CB" w:rsidRDefault="000E15CB" w:rsidP="000E15CB">
            <w:pPr>
              <w:rPr>
                <w:rFonts w:ascii="Times New Roman" w:hAnsi="Times New Roman"/>
                <w:sz w:val="24"/>
                <w:szCs w:val="24"/>
              </w:rPr>
            </w:pPr>
            <w:r w:rsidRPr="00E91232">
              <w:rPr>
                <w:rFonts w:ascii="Times New Roman" w:hAnsi="Times New Roman"/>
                <w:sz w:val="24"/>
                <w:szCs w:val="24"/>
                <w:u w:val="single"/>
              </w:rPr>
              <w:t>Caregiver:</w:t>
            </w:r>
            <w:r>
              <w:rPr>
                <w:rFonts w:ascii="Times New Roman" w:hAnsi="Times New Roman"/>
                <w:sz w:val="24"/>
                <w:szCs w:val="24"/>
              </w:rPr>
              <w:t xml:space="preserve">  Adult who self-reports being an unpaid caregiver for family or friends during the last 6 months; self-reports helping family/friends manage at least 1 prescription medication in the last 6 months; at least 19 years of age</w:t>
            </w:r>
          </w:p>
        </w:tc>
      </w:tr>
    </w:tbl>
    <w:p w14:paraId="7F84B752" w14:textId="77777777" w:rsidR="005D339C" w:rsidRDefault="005D339C" w:rsidP="002C6D4C">
      <w:pPr>
        <w:rPr>
          <w:rFonts w:ascii="Times New Roman" w:hAnsi="Times New Roman"/>
          <w:sz w:val="24"/>
          <w:szCs w:val="24"/>
          <w:u w:val="single"/>
        </w:rPr>
      </w:pPr>
    </w:p>
    <w:p w14:paraId="2179CD03" w14:textId="77777777" w:rsidR="007D7A00" w:rsidRPr="007D7A00" w:rsidRDefault="00AA7B5F" w:rsidP="00D92968">
      <w:pPr>
        <w:ind w:left="360"/>
        <w:rPr>
          <w:rFonts w:ascii="Times New Roman" w:hAnsi="Times New Roman"/>
          <w:sz w:val="24"/>
          <w:szCs w:val="24"/>
          <w:u w:val="single"/>
        </w:rPr>
      </w:pPr>
      <w:r>
        <w:rPr>
          <w:rFonts w:ascii="Times New Roman" w:hAnsi="Times New Roman"/>
          <w:sz w:val="24"/>
          <w:szCs w:val="24"/>
          <w:u w:val="single"/>
        </w:rPr>
        <w:t>Key Informant Interview</w:t>
      </w:r>
      <w:r w:rsidR="00033BBF">
        <w:rPr>
          <w:rFonts w:ascii="Times New Roman" w:hAnsi="Times New Roman"/>
          <w:sz w:val="24"/>
          <w:szCs w:val="24"/>
          <w:u w:val="single"/>
        </w:rPr>
        <w:t xml:space="preserve"> Approach</w:t>
      </w:r>
    </w:p>
    <w:p w14:paraId="58BAA842" w14:textId="77777777" w:rsidR="007D7A00" w:rsidRDefault="007D7A00" w:rsidP="00D92968">
      <w:pPr>
        <w:ind w:left="360"/>
        <w:rPr>
          <w:rFonts w:ascii="Times New Roman" w:hAnsi="Times New Roman"/>
          <w:sz w:val="24"/>
          <w:szCs w:val="24"/>
        </w:rPr>
      </w:pPr>
    </w:p>
    <w:p w14:paraId="0BD5C059" w14:textId="4A40E250" w:rsidR="00AA7B5F" w:rsidRDefault="00AA7B5F" w:rsidP="00D92968">
      <w:pPr>
        <w:ind w:left="360"/>
        <w:rPr>
          <w:rFonts w:ascii="Times New Roman" w:hAnsi="Times New Roman"/>
          <w:sz w:val="24"/>
          <w:szCs w:val="24"/>
        </w:rPr>
      </w:pPr>
      <w:r>
        <w:rPr>
          <w:rFonts w:ascii="Times New Roman" w:hAnsi="Times New Roman"/>
          <w:sz w:val="24"/>
          <w:szCs w:val="24"/>
        </w:rPr>
        <w:t>Skilled interviewers from A</w:t>
      </w:r>
      <w:r w:rsidR="00404D95">
        <w:rPr>
          <w:rFonts w:ascii="Times New Roman" w:hAnsi="Times New Roman"/>
          <w:sz w:val="24"/>
          <w:szCs w:val="24"/>
        </w:rPr>
        <w:t>uburn and IMPAQ will conduct</w:t>
      </w:r>
      <w:r>
        <w:rPr>
          <w:rFonts w:ascii="Times New Roman" w:hAnsi="Times New Roman"/>
          <w:sz w:val="24"/>
          <w:szCs w:val="24"/>
        </w:rPr>
        <w:t xml:space="preserve"> </w:t>
      </w:r>
      <w:r w:rsidR="00EE2BE8">
        <w:rPr>
          <w:rFonts w:ascii="Times New Roman" w:hAnsi="Times New Roman"/>
          <w:sz w:val="24"/>
          <w:szCs w:val="24"/>
        </w:rPr>
        <w:t xml:space="preserve">up to </w:t>
      </w:r>
      <w:r w:rsidR="009867E0">
        <w:rPr>
          <w:rFonts w:ascii="Times New Roman" w:hAnsi="Times New Roman"/>
          <w:sz w:val="24"/>
          <w:szCs w:val="24"/>
        </w:rPr>
        <w:t xml:space="preserve">eighteen </w:t>
      </w:r>
      <w:r w:rsidR="00404D95">
        <w:rPr>
          <w:rFonts w:ascii="Times New Roman" w:hAnsi="Times New Roman"/>
          <w:sz w:val="24"/>
          <w:szCs w:val="24"/>
        </w:rPr>
        <w:t>(</w:t>
      </w:r>
      <w:r w:rsidR="00B065B6">
        <w:rPr>
          <w:rFonts w:ascii="Times New Roman" w:hAnsi="Times New Roman"/>
          <w:sz w:val="24"/>
          <w:szCs w:val="24"/>
        </w:rPr>
        <w:t>18</w:t>
      </w:r>
      <w:r w:rsidR="00404D95">
        <w:rPr>
          <w:rFonts w:ascii="Times New Roman" w:hAnsi="Times New Roman"/>
          <w:sz w:val="24"/>
          <w:szCs w:val="24"/>
        </w:rPr>
        <w:t xml:space="preserve">) phone </w:t>
      </w:r>
      <w:r>
        <w:rPr>
          <w:rFonts w:ascii="Times New Roman" w:hAnsi="Times New Roman"/>
          <w:sz w:val="24"/>
          <w:szCs w:val="24"/>
        </w:rPr>
        <w:t>interviews</w:t>
      </w:r>
      <w:r w:rsidR="00263241">
        <w:rPr>
          <w:rFonts w:ascii="Times New Roman" w:hAnsi="Times New Roman"/>
          <w:sz w:val="24"/>
          <w:szCs w:val="24"/>
        </w:rPr>
        <w:t xml:space="preserve"> with no less than </w:t>
      </w:r>
      <w:r w:rsidR="00B51A2B">
        <w:rPr>
          <w:rFonts w:ascii="Times New Roman" w:hAnsi="Times New Roman"/>
          <w:sz w:val="24"/>
          <w:szCs w:val="24"/>
        </w:rPr>
        <w:t xml:space="preserve">six </w:t>
      </w:r>
      <w:r w:rsidR="00263241">
        <w:rPr>
          <w:rFonts w:ascii="Times New Roman" w:hAnsi="Times New Roman"/>
          <w:sz w:val="24"/>
          <w:szCs w:val="24"/>
        </w:rPr>
        <w:t xml:space="preserve">participants </w:t>
      </w:r>
      <w:r w:rsidR="00E868D7">
        <w:rPr>
          <w:rFonts w:ascii="Times New Roman" w:hAnsi="Times New Roman"/>
          <w:sz w:val="24"/>
          <w:szCs w:val="24"/>
        </w:rPr>
        <w:t xml:space="preserve">each </w:t>
      </w:r>
      <w:r w:rsidR="00263241">
        <w:rPr>
          <w:rFonts w:ascii="Times New Roman" w:hAnsi="Times New Roman"/>
          <w:sz w:val="24"/>
          <w:szCs w:val="24"/>
        </w:rPr>
        <w:t>from the formulary managers, policymakers</w:t>
      </w:r>
      <w:r w:rsidR="000F1B0B">
        <w:rPr>
          <w:rFonts w:ascii="Times New Roman" w:hAnsi="Times New Roman"/>
          <w:sz w:val="24"/>
          <w:szCs w:val="24"/>
        </w:rPr>
        <w:t>,</w:t>
      </w:r>
      <w:r w:rsidR="00263241">
        <w:rPr>
          <w:rFonts w:ascii="Times New Roman" w:hAnsi="Times New Roman"/>
          <w:sz w:val="24"/>
          <w:szCs w:val="24"/>
        </w:rPr>
        <w:t xml:space="preserve"> and large purchasers of drugs groups.</w:t>
      </w:r>
      <w:r w:rsidR="00404D95">
        <w:rPr>
          <w:rFonts w:ascii="Times New Roman" w:hAnsi="Times New Roman"/>
          <w:sz w:val="24"/>
          <w:szCs w:val="24"/>
        </w:rPr>
        <w:t xml:space="preserve"> Each </w:t>
      </w:r>
      <w:r w:rsidR="00024997">
        <w:rPr>
          <w:rFonts w:ascii="Times New Roman" w:hAnsi="Times New Roman"/>
          <w:sz w:val="24"/>
          <w:szCs w:val="24"/>
        </w:rPr>
        <w:t xml:space="preserve">thirty </w:t>
      </w:r>
      <w:r w:rsidR="00EE2BE8">
        <w:rPr>
          <w:rFonts w:ascii="Times New Roman" w:hAnsi="Times New Roman"/>
          <w:sz w:val="24"/>
          <w:szCs w:val="24"/>
        </w:rPr>
        <w:t>(</w:t>
      </w:r>
      <w:r w:rsidR="00594473">
        <w:rPr>
          <w:rFonts w:ascii="Times New Roman" w:hAnsi="Times New Roman"/>
          <w:sz w:val="24"/>
          <w:szCs w:val="24"/>
        </w:rPr>
        <w:t>30</w:t>
      </w:r>
      <w:r w:rsidR="00EE2BE8">
        <w:rPr>
          <w:rFonts w:ascii="Times New Roman" w:hAnsi="Times New Roman"/>
          <w:sz w:val="24"/>
          <w:szCs w:val="24"/>
        </w:rPr>
        <w:t xml:space="preserve">) minute </w:t>
      </w:r>
      <w:r w:rsidR="00404D95">
        <w:rPr>
          <w:rFonts w:ascii="Times New Roman" w:hAnsi="Times New Roman"/>
          <w:sz w:val="24"/>
          <w:szCs w:val="24"/>
        </w:rPr>
        <w:t>interview</w:t>
      </w:r>
      <w:r w:rsidR="00EE2BE8">
        <w:rPr>
          <w:rFonts w:ascii="Times New Roman" w:hAnsi="Times New Roman"/>
          <w:sz w:val="24"/>
          <w:szCs w:val="24"/>
        </w:rPr>
        <w:t xml:space="preserve"> will be based on a list of questions</w:t>
      </w:r>
      <w:r w:rsidR="00EF771A">
        <w:rPr>
          <w:rFonts w:ascii="Times New Roman" w:hAnsi="Times New Roman"/>
          <w:sz w:val="24"/>
          <w:szCs w:val="24"/>
        </w:rPr>
        <w:t xml:space="preserve"> </w:t>
      </w:r>
      <w:r w:rsidR="00EF771A" w:rsidRPr="002C6D4C">
        <w:rPr>
          <w:rFonts w:ascii="Times New Roman" w:hAnsi="Times New Roman"/>
          <w:sz w:val="24"/>
          <w:szCs w:val="24"/>
        </w:rPr>
        <w:t>(</w:t>
      </w:r>
      <w:r w:rsidR="00FB7E29" w:rsidRPr="002C6D4C">
        <w:rPr>
          <w:rFonts w:ascii="Times New Roman" w:hAnsi="Times New Roman"/>
          <w:sz w:val="24"/>
          <w:szCs w:val="24"/>
        </w:rPr>
        <w:t>interview guide</w:t>
      </w:r>
      <w:r w:rsidR="00461208" w:rsidRPr="002C6D4C">
        <w:rPr>
          <w:rFonts w:ascii="Times New Roman" w:hAnsi="Times New Roman"/>
          <w:sz w:val="24"/>
          <w:szCs w:val="24"/>
        </w:rPr>
        <w:t>s</w:t>
      </w:r>
      <w:r w:rsidR="00FB7E29" w:rsidRPr="002C6D4C">
        <w:rPr>
          <w:rFonts w:ascii="Times New Roman" w:hAnsi="Times New Roman"/>
          <w:sz w:val="24"/>
          <w:szCs w:val="24"/>
        </w:rPr>
        <w:t xml:space="preserve"> </w:t>
      </w:r>
      <w:r w:rsidR="00496388" w:rsidRPr="002C6D4C">
        <w:rPr>
          <w:rFonts w:ascii="Times New Roman" w:hAnsi="Times New Roman"/>
          <w:sz w:val="24"/>
          <w:szCs w:val="24"/>
        </w:rPr>
        <w:t xml:space="preserve">in </w:t>
      </w:r>
      <w:r w:rsidR="007C01B3" w:rsidRPr="002C6D4C">
        <w:rPr>
          <w:rFonts w:ascii="Times New Roman" w:hAnsi="Times New Roman"/>
          <w:sz w:val="24"/>
          <w:szCs w:val="24"/>
        </w:rPr>
        <w:t>Appendices D, E, and F for the three key groups, respectively</w:t>
      </w:r>
      <w:r w:rsidR="00EF771A" w:rsidRPr="002C6D4C">
        <w:rPr>
          <w:rFonts w:ascii="Times New Roman" w:hAnsi="Times New Roman"/>
          <w:sz w:val="24"/>
          <w:szCs w:val="24"/>
        </w:rPr>
        <w:t>)</w:t>
      </w:r>
      <w:r w:rsidR="00EE2BE8" w:rsidRPr="008F135E">
        <w:rPr>
          <w:rFonts w:ascii="Times New Roman" w:hAnsi="Times New Roman"/>
          <w:sz w:val="24"/>
          <w:szCs w:val="24"/>
        </w:rPr>
        <w:t>,</w:t>
      </w:r>
      <w:r w:rsidR="00EE2BE8" w:rsidRPr="00461208">
        <w:rPr>
          <w:rFonts w:ascii="Times New Roman" w:hAnsi="Times New Roman"/>
          <w:sz w:val="24"/>
          <w:szCs w:val="24"/>
        </w:rPr>
        <w:t xml:space="preserve"> w</w:t>
      </w:r>
      <w:r w:rsidR="00EE2BE8">
        <w:rPr>
          <w:rFonts w:ascii="Times New Roman" w:hAnsi="Times New Roman"/>
          <w:sz w:val="24"/>
          <w:szCs w:val="24"/>
        </w:rPr>
        <w:t>ith additional probing and discussion.</w:t>
      </w:r>
      <w:r w:rsidR="009D7A33">
        <w:rPr>
          <w:rFonts w:ascii="Times New Roman" w:hAnsi="Times New Roman"/>
          <w:sz w:val="24"/>
          <w:szCs w:val="24"/>
        </w:rPr>
        <w:t xml:space="preserve"> Prior to the interview parti</w:t>
      </w:r>
      <w:r w:rsidR="00D7388A">
        <w:rPr>
          <w:rFonts w:ascii="Times New Roman" w:hAnsi="Times New Roman"/>
          <w:sz w:val="24"/>
          <w:szCs w:val="24"/>
        </w:rPr>
        <w:t xml:space="preserve">cipants will receive </w:t>
      </w:r>
      <w:r w:rsidR="002954F1">
        <w:rPr>
          <w:rFonts w:ascii="Times New Roman" w:hAnsi="Times New Roman"/>
          <w:sz w:val="24"/>
          <w:szCs w:val="24"/>
        </w:rPr>
        <w:t xml:space="preserve">a hard or soft copy of </w:t>
      </w:r>
      <w:r w:rsidR="009D7A33">
        <w:rPr>
          <w:rFonts w:ascii="Times New Roman" w:hAnsi="Times New Roman"/>
          <w:sz w:val="24"/>
          <w:szCs w:val="24"/>
        </w:rPr>
        <w:t xml:space="preserve">the educational materials. </w:t>
      </w:r>
      <w:r w:rsidR="00D7388A">
        <w:rPr>
          <w:rFonts w:ascii="Times New Roman" w:hAnsi="Times New Roman"/>
          <w:sz w:val="24"/>
          <w:szCs w:val="24"/>
        </w:rPr>
        <w:t xml:space="preserve">Participants will be required to review the </w:t>
      </w:r>
      <w:r w:rsidR="00E4569F">
        <w:rPr>
          <w:rFonts w:ascii="Times New Roman" w:hAnsi="Times New Roman"/>
          <w:sz w:val="24"/>
          <w:szCs w:val="24"/>
        </w:rPr>
        <w:t xml:space="preserve">educational </w:t>
      </w:r>
      <w:r w:rsidR="00D7388A">
        <w:rPr>
          <w:rFonts w:ascii="Times New Roman" w:hAnsi="Times New Roman"/>
          <w:sz w:val="24"/>
          <w:szCs w:val="24"/>
        </w:rPr>
        <w:t xml:space="preserve">material </w:t>
      </w:r>
      <w:r w:rsidR="00BD407D">
        <w:rPr>
          <w:rFonts w:ascii="Times New Roman" w:hAnsi="Times New Roman"/>
          <w:sz w:val="24"/>
          <w:szCs w:val="24"/>
        </w:rPr>
        <w:t>at the beginning of</w:t>
      </w:r>
      <w:r w:rsidR="00D7388A">
        <w:rPr>
          <w:rFonts w:ascii="Times New Roman" w:hAnsi="Times New Roman"/>
          <w:sz w:val="24"/>
          <w:szCs w:val="24"/>
        </w:rPr>
        <w:t xml:space="preserve"> the scheduled interview. </w:t>
      </w:r>
      <w:r w:rsidR="009D7A33">
        <w:rPr>
          <w:rFonts w:ascii="Times New Roman" w:hAnsi="Times New Roman"/>
          <w:sz w:val="24"/>
          <w:szCs w:val="24"/>
        </w:rPr>
        <w:t xml:space="preserve">The review should take no more than 15 minutes, bringing the time commitment total to 45 minutes. </w:t>
      </w:r>
      <w:r w:rsidR="00EE2BE8">
        <w:rPr>
          <w:rFonts w:ascii="Times New Roman" w:hAnsi="Times New Roman"/>
          <w:sz w:val="24"/>
          <w:szCs w:val="24"/>
        </w:rPr>
        <w:t xml:space="preserve"> Interviews will be audio recorded and transcribed</w:t>
      </w:r>
      <w:r w:rsidR="00263241">
        <w:rPr>
          <w:rFonts w:ascii="Times New Roman" w:hAnsi="Times New Roman"/>
          <w:sz w:val="24"/>
          <w:szCs w:val="24"/>
        </w:rPr>
        <w:t xml:space="preserve"> </w:t>
      </w:r>
      <w:r w:rsidR="00777767">
        <w:rPr>
          <w:rFonts w:ascii="Times New Roman" w:hAnsi="Times New Roman"/>
          <w:sz w:val="24"/>
          <w:szCs w:val="24"/>
        </w:rPr>
        <w:t xml:space="preserve">verbatim </w:t>
      </w:r>
      <w:r w:rsidR="00263241">
        <w:rPr>
          <w:rFonts w:ascii="Times New Roman" w:hAnsi="Times New Roman"/>
          <w:sz w:val="24"/>
          <w:szCs w:val="24"/>
        </w:rPr>
        <w:t>(see below)</w:t>
      </w:r>
      <w:r w:rsidR="00EE2BE8">
        <w:rPr>
          <w:rFonts w:ascii="Times New Roman" w:hAnsi="Times New Roman"/>
          <w:sz w:val="24"/>
          <w:szCs w:val="24"/>
        </w:rPr>
        <w:t>.</w:t>
      </w:r>
    </w:p>
    <w:p w14:paraId="2240DE0A" w14:textId="77777777" w:rsidR="00AA7B5F" w:rsidRDefault="00AA7B5F" w:rsidP="00D92968">
      <w:pPr>
        <w:ind w:left="360"/>
        <w:rPr>
          <w:rFonts w:ascii="Times New Roman" w:hAnsi="Times New Roman"/>
          <w:sz w:val="24"/>
          <w:szCs w:val="24"/>
        </w:rPr>
      </w:pPr>
    </w:p>
    <w:p w14:paraId="2D92F8F4" w14:textId="610687E1" w:rsidR="00F5691F" w:rsidRDefault="009972D2" w:rsidP="00D92968">
      <w:pPr>
        <w:ind w:left="360"/>
        <w:rPr>
          <w:rFonts w:ascii="Times New Roman" w:hAnsi="Times New Roman"/>
          <w:sz w:val="24"/>
          <w:szCs w:val="24"/>
        </w:rPr>
      </w:pPr>
      <w:r>
        <w:rPr>
          <w:rFonts w:ascii="Times New Roman" w:hAnsi="Times New Roman"/>
          <w:sz w:val="24"/>
          <w:szCs w:val="24"/>
        </w:rPr>
        <w:t>Participation is voluntary.</w:t>
      </w:r>
      <w:r w:rsidR="00880390">
        <w:rPr>
          <w:rFonts w:ascii="Times New Roman" w:hAnsi="Times New Roman"/>
          <w:sz w:val="24"/>
          <w:szCs w:val="24"/>
        </w:rPr>
        <w:t xml:space="preserve"> </w:t>
      </w:r>
      <w:r w:rsidR="00D80445">
        <w:rPr>
          <w:rFonts w:ascii="Times New Roman" w:hAnsi="Times New Roman"/>
          <w:sz w:val="24"/>
          <w:szCs w:val="24"/>
        </w:rPr>
        <w:t xml:space="preserve">Before the </w:t>
      </w:r>
      <w:r w:rsidR="00EE2BE8">
        <w:rPr>
          <w:rFonts w:ascii="Times New Roman" w:hAnsi="Times New Roman"/>
          <w:sz w:val="24"/>
          <w:szCs w:val="24"/>
        </w:rPr>
        <w:t>interview begins</w:t>
      </w:r>
      <w:r w:rsidR="00D80445">
        <w:rPr>
          <w:rFonts w:ascii="Times New Roman" w:hAnsi="Times New Roman"/>
          <w:sz w:val="24"/>
          <w:szCs w:val="24"/>
        </w:rPr>
        <w:t>, the facilitator will obtain verb</w:t>
      </w:r>
      <w:r w:rsidR="00EE2BE8">
        <w:rPr>
          <w:rFonts w:ascii="Times New Roman" w:hAnsi="Times New Roman"/>
          <w:sz w:val="24"/>
          <w:szCs w:val="24"/>
        </w:rPr>
        <w:t>al consent</w:t>
      </w:r>
      <w:r w:rsidR="00496388">
        <w:rPr>
          <w:rFonts w:ascii="Times New Roman" w:hAnsi="Times New Roman"/>
          <w:sz w:val="24"/>
          <w:szCs w:val="24"/>
        </w:rPr>
        <w:t xml:space="preserve"> (Appendix B</w:t>
      </w:r>
      <w:r w:rsidR="009C1B2F">
        <w:rPr>
          <w:rFonts w:ascii="Times New Roman" w:hAnsi="Times New Roman"/>
          <w:sz w:val="24"/>
          <w:szCs w:val="24"/>
        </w:rPr>
        <w:t xml:space="preserve">: informed verbal </w:t>
      </w:r>
      <w:r w:rsidR="000E15CB">
        <w:rPr>
          <w:rFonts w:ascii="Times New Roman" w:hAnsi="Times New Roman"/>
          <w:sz w:val="24"/>
          <w:szCs w:val="24"/>
        </w:rPr>
        <w:t xml:space="preserve">consents </w:t>
      </w:r>
      <w:r w:rsidR="009C1B2F">
        <w:rPr>
          <w:rFonts w:ascii="Times New Roman" w:hAnsi="Times New Roman"/>
          <w:sz w:val="24"/>
          <w:szCs w:val="24"/>
        </w:rPr>
        <w:t>(information letters)</w:t>
      </w:r>
      <w:r w:rsidR="00CC40B3">
        <w:rPr>
          <w:rFonts w:ascii="Times New Roman" w:hAnsi="Times New Roman"/>
          <w:sz w:val="24"/>
          <w:szCs w:val="24"/>
        </w:rPr>
        <w:t xml:space="preserve"> for key informant interviews</w:t>
      </w:r>
      <w:r w:rsidR="00496388">
        <w:rPr>
          <w:rFonts w:ascii="Times New Roman" w:hAnsi="Times New Roman"/>
          <w:sz w:val="24"/>
          <w:szCs w:val="24"/>
        </w:rPr>
        <w:t>)</w:t>
      </w:r>
      <w:r w:rsidR="00EE2BE8">
        <w:rPr>
          <w:rFonts w:ascii="Times New Roman" w:hAnsi="Times New Roman"/>
          <w:sz w:val="24"/>
          <w:szCs w:val="24"/>
        </w:rPr>
        <w:t xml:space="preserve"> from the participant</w:t>
      </w:r>
      <w:r w:rsidR="00D80445">
        <w:rPr>
          <w:rFonts w:ascii="Times New Roman" w:hAnsi="Times New Roman"/>
          <w:sz w:val="24"/>
          <w:szCs w:val="24"/>
        </w:rPr>
        <w:t xml:space="preserve"> to </w:t>
      </w:r>
      <w:r w:rsidR="00EE2BE8">
        <w:rPr>
          <w:rFonts w:ascii="Times New Roman" w:hAnsi="Times New Roman"/>
          <w:sz w:val="24"/>
          <w:szCs w:val="24"/>
        </w:rPr>
        <w:t>record the session. The consent form</w:t>
      </w:r>
      <w:r w:rsidR="00D80445">
        <w:rPr>
          <w:rFonts w:ascii="Times New Roman" w:hAnsi="Times New Roman"/>
          <w:sz w:val="24"/>
          <w:szCs w:val="24"/>
        </w:rPr>
        <w:t xml:space="preserve"> also mention</w:t>
      </w:r>
      <w:r w:rsidR="00EE2BE8">
        <w:rPr>
          <w:rFonts w:ascii="Times New Roman" w:hAnsi="Times New Roman"/>
          <w:sz w:val="24"/>
          <w:szCs w:val="24"/>
        </w:rPr>
        <w:t>s</w:t>
      </w:r>
      <w:r w:rsidR="00D80445">
        <w:rPr>
          <w:rFonts w:ascii="Times New Roman" w:hAnsi="Times New Roman"/>
          <w:sz w:val="24"/>
          <w:szCs w:val="24"/>
        </w:rPr>
        <w:t xml:space="preserve"> th</w:t>
      </w:r>
      <w:r w:rsidR="00EE2BE8">
        <w:rPr>
          <w:rFonts w:ascii="Times New Roman" w:hAnsi="Times New Roman"/>
          <w:sz w:val="24"/>
          <w:szCs w:val="24"/>
        </w:rPr>
        <w:t xml:space="preserve">e audiotaping. </w:t>
      </w:r>
      <w:r w:rsidR="00941269">
        <w:rPr>
          <w:rFonts w:ascii="Times New Roman" w:hAnsi="Times New Roman"/>
          <w:sz w:val="24"/>
          <w:szCs w:val="24"/>
        </w:rPr>
        <w:t xml:space="preserve">The interviewer will review the consent form and request permission to audio record the interview prior to the start of the interview.  </w:t>
      </w:r>
      <w:r w:rsidR="00D80445">
        <w:rPr>
          <w:rFonts w:ascii="Times New Roman" w:hAnsi="Times New Roman"/>
          <w:sz w:val="24"/>
          <w:szCs w:val="24"/>
        </w:rPr>
        <w:t xml:space="preserve"> </w:t>
      </w:r>
    </w:p>
    <w:p w14:paraId="7A6581E1" w14:textId="77777777" w:rsidR="00D80445" w:rsidRDefault="00D80445" w:rsidP="00D92968">
      <w:pPr>
        <w:ind w:left="360"/>
        <w:rPr>
          <w:rFonts w:ascii="Times New Roman" w:hAnsi="Times New Roman"/>
          <w:sz w:val="24"/>
          <w:szCs w:val="24"/>
        </w:rPr>
      </w:pPr>
    </w:p>
    <w:p w14:paraId="23347B64" w14:textId="77777777" w:rsidR="00BC6147" w:rsidRPr="00A60899" w:rsidRDefault="00D80445" w:rsidP="00D92968">
      <w:pPr>
        <w:ind w:left="360"/>
        <w:rPr>
          <w:rFonts w:ascii="Times New Roman" w:hAnsi="Times New Roman"/>
          <w:sz w:val="24"/>
          <w:szCs w:val="24"/>
        </w:rPr>
      </w:pPr>
      <w:r>
        <w:rPr>
          <w:rFonts w:ascii="Times New Roman" w:hAnsi="Times New Roman"/>
          <w:sz w:val="24"/>
          <w:szCs w:val="24"/>
        </w:rPr>
        <w:t xml:space="preserve">Transcription of the audio recordings will be used to analyze participant responses. </w:t>
      </w:r>
    </w:p>
    <w:p w14:paraId="2F6E7F79" w14:textId="77777777" w:rsidR="00D8037D" w:rsidRDefault="00D8037D" w:rsidP="00496388">
      <w:pPr>
        <w:ind w:left="720"/>
        <w:jc w:val="both"/>
        <w:rPr>
          <w:rFonts w:ascii="Times New Roman" w:hAnsi="Times New Roman"/>
          <w:sz w:val="24"/>
        </w:rPr>
      </w:pPr>
    </w:p>
    <w:p w14:paraId="3D1D1E1F" w14:textId="77777777" w:rsidR="00033BBF" w:rsidRPr="007D7A00" w:rsidRDefault="00033BBF" w:rsidP="00D92968">
      <w:pPr>
        <w:ind w:left="360"/>
        <w:rPr>
          <w:rFonts w:ascii="Times New Roman" w:hAnsi="Times New Roman"/>
          <w:sz w:val="24"/>
          <w:szCs w:val="24"/>
          <w:u w:val="single"/>
        </w:rPr>
      </w:pPr>
      <w:r w:rsidRPr="0068498F">
        <w:rPr>
          <w:rFonts w:ascii="Times New Roman" w:hAnsi="Times New Roman"/>
          <w:sz w:val="24"/>
          <w:szCs w:val="24"/>
          <w:u w:val="single"/>
        </w:rPr>
        <w:t>Survey Approach</w:t>
      </w:r>
    </w:p>
    <w:p w14:paraId="21196AF3" w14:textId="77777777" w:rsidR="00033BBF" w:rsidRDefault="00033BBF" w:rsidP="00D92968">
      <w:pPr>
        <w:ind w:left="360"/>
        <w:rPr>
          <w:rFonts w:ascii="Times New Roman" w:hAnsi="Times New Roman"/>
          <w:sz w:val="24"/>
        </w:rPr>
      </w:pPr>
    </w:p>
    <w:p w14:paraId="67289E07" w14:textId="77777777" w:rsidR="005712A9" w:rsidRPr="0068498F" w:rsidRDefault="005712A9" w:rsidP="00D92968">
      <w:pPr>
        <w:ind w:left="360"/>
        <w:rPr>
          <w:rFonts w:ascii="Times New Roman" w:hAnsi="Times New Roman"/>
          <w:i/>
          <w:sz w:val="24"/>
        </w:rPr>
      </w:pPr>
      <w:r>
        <w:rPr>
          <w:rFonts w:ascii="Times New Roman" w:hAnsi="Times New Roman"/>
          <w:i/>
          <w:sz w:val="24"/>
        </w:rPr>
        <w:t>Prescribers and pharmacists</w:t>
      </w:r>
    </w:p>
    <w:p w14:paraId="1C4363C3" w14:textId="77777777" w:rsidR="00D02639" w:rsidRPr="0068498F" w:rsidRDefault="00984580" w:rsidP="00D92968">
      <w:pPr>
        <w:ind w:left="360"/>
      </w:pPr>
      <w:r>
        <w:rPr>
          <w:rFonts w:ascii="Times New Roman" w:hAnsi="Times New Roman"/>
          <w:sz w:val="24"/>
        </w:rPr>
        <w:t xml:space="preserve">Survey invitations will be emailed to participants from each of the </w:t>
      </w:r>
      <w:r w:rsidR="00FD550F">
        <w:rPr>
          <w:rFonts w:ascii="Times New Roman" w:hAnsi="Times New Roman"/>
          <w:sz w:val="24"/>
        </w:rPr>
        <w:t xml:space="preserve">provider </w:t>
      </w:r>
      <w:r w:rsidR="005712A9">
        <w:rPr>
          <w:rFonts w:ascii="Times New Roman" w:hAnsi="Times New Roman"/>
          <w:sz w:val="24"/>
        </w:rPr>
        <w:t>groups (prescribers and pharmacists)</w:t>
      </w:r>
      <w:r>
        <w:rPr>
          <w:rFonts w:ascii="Times New Roman" w:hAnsi="Times New Roman"/>
          <w:sz w:val="24"/>
        </w:rPr>
        <w:t xml:space="preserve">.  </w:t>
      </w:r>
      <w:r w:rsidR="002C2371">
        <w:rPr>
          <w:rFonts w:ascii="Times New Roman" w:hAnsi="Times New Roman"/>
          <w:sz w:val="24"/>
        </w:rPr>
        <w:t xml:space="preserve">A sample </w:t>
      </w:r>
      <w:r w:rsidR="00FD550F">
        <w:rPr>
          <w:rFonts w:ascii="Times New Roman" w:hAnsi="Times New Roman"/>
          <w:sz w:val="24"/>
        </w:rPr>
        <w:t>of 100</w:t>
      </w:r>
      <w:r w:rsidR="00CB72BC">
        <w:rPr>
          <w:rFonts w:ascii="Times New Roman" w:hAnsi="Times New Roman"/>
          <w:sz w:val="24"/>
        </w:rPr>
        <w:t xml:space="preserve"> </w:t>
      </w:r>
      <w:r w:rsidR="002C2371">
        <w:rPr>
          <w:rFonts w:ascii="Times New Roman" w:hAnsi="Times New Roman"/>
          <w:sz w:val="24"/>
        </w:rPr>
        <w:t xml:space="preserve">participants per </w:t>
      </w:r>
      <w:r w:rsidR="00586148">
        <w:rPr>
          <w:rFonts w:ascii="Times New Roman" w:hAnsi="Times New Roman"/>
          <w:sz w:val="24"/>
        </w:rPr>
        <w:t xml:space="preserve">provider </w:t>
      </w:r>
      <w:r w:rsidR="002C2371">
        <w:rPr>
          <w:rFonts w:ascii="Times New Roman" w:hAnsi="Times New Roman"/>
          <w:sz w:val="24"/>
        </w:rPr>
        <w:t xml:space="preserve">group is targeted, </w:t>
      </w:r>
      <w:r w:rsidR="00FD550F">
        <w:rPr>
          <w:rFonts w:ascii="Times New Roman" w:hAnsi="Times New Roman"/>
          <w:sz w:val="24"/>
        </w:rPr>
        <w:t>for a total sample size of 200 providers</w:t>
      </w:r>
      <w:r w:rsidR="0062035C">
        <w:rPr>
          <w:rFonts w:ascii="Times New Roman" w:hAnsi="Times New Roman"/>
          <w:sz w:val="24"/>
        </w:rPr>
        <w:t xml:space="preserve">.  </w:t>
      </w:r>
      <w:r w:rsidR="005A0F0C">
        <w:rPr>
          <w:rFonts w:ascii="Times New Roman" w:hAnsi="Times New Roman"/>
          <w:sz w:val="24"/>
        </w:rPr>
        <w:t xml:space="preserve">Based on the investigators’ previous survey </w:t>
      </w:r>
      <w:r w:rsidR="00886867">
        <w:rPr>
          <w:rFonts w:ascii="Times New Roman" w:hAnsi="Times New Roman"/>
          <w:sz w:val="24"/>
        </w:rPr>
        <w:t xml:space="preserve">research with these </w:t>
      </w:r>
      <w:r w:rsidR="005A0F0C">
        <w:rPr>
          <w:rFonts w:ascii="Times New Roman" w:hAnsi="Times New Roman"/>
          <w:sz w:val="24"/>
        </w:rPr>
        <w:t xml:space="preserve">participant groups, </w:t>
      </w:r>
      <w:r w:rsidR="005558B6">
        <w:rPr>
          <w:rFonts w:ascii="Times New Roman" w:hAnsi="Times New Roman"/>
          <w:sz w:val="24"/>
        </w:rPr>
        <w:t xml:space="preserve">a survey response rate of </w:t>
      </w:r>
      <w:r w:rsidR="00886867">
        <w:rPr>
          <w:rFonts w:ascii="Times New Roman" w:hAnsi="Times New Roman"/>
          <w:sz w:val="24"/>
        </w:rPr>
        <w:t xml:space="preserve">40% </w:t>
      </w:r>
      <w:r w:rsidR="00CF5A57">
        <w:rPr>
          <w:rFonts w:ascii="Times New Roman" w:hAnsi="Times New Roman"/>
          <w:sz w:val="24"/>
        </w:rPr>
        <w:t>is expected</w:t>
      </w:r>
      <w:r w:rsidR="008D1DA1">
        <w:rPr>
          <w:rFonts w:ascii="Times New Roman" w:hAnsi="Times New Roman"/>
          <w:sz w:val="24"/>
        </w:rPr>
        <w:t xml:space="preserve">.  Accordingly, </w:t>
      </w:r>
      <w:r w:rsidR="00F72D5B">
        <w:rPr>
          <w:rFonts w:ascii="Times New Roman" w:hAnsi="Times New Roman"/>
          <w:sz w:val="24"/>
        </w:rPr>
        <w:t xml:space="preserve">a </w:t>
      </w:r>
      <w:r w:rsidR="00CF4BDB">
        <w:rPr>
          <w:rFonts w:ascii="Times New Roman" w:hAnsi="Times New Roman"/>
          <w:sz w:val="24"/>
        </w:rPr>
        <w:t xml:space="preserve">random sample of </w:t>
      </w:r>
      <w:r w:rsidR="00133621">
        <w:rPr>
          <w:rFonts w:ascii="Times New Roman" w:hAnsi="Times New Roman"/>
          <w:sz w:val="24"/>
        </w:rPr>
        <w:t>250</w:t>
      </w:r>
      <w:r w:rsidR="00FA2677">
        <w:rPr>
          <w:rFonts w:ascii="Times New Roman" w:hAnsi="Times New Roman"/>
          <w:sz w:val="24"/>
        </w:rPr>
        <w:t xml:space="preserve"> participants from each </w:t>
      </w:r>
      <w:r w:rsidR="006604A5">
        <w:rPr>
          <w:rFonts w:ascii="Times New Roman" w:hAnsi="Times New Roman"/>
          <w:sz w:val="24"/>
        </w:rPr>
        <w:t xml:space="preserve">list-serve </w:t>
      </w:r>
      <w:r w:rsidR="00FA2677">
        <w:rPr>
          <w:rFonts w:ascii="Times New Roman" w:hAnsi="Times New Roman"/>
          <w:sz w:val="24"/>
        </w:rPr>
        <w:t xml:space="preserve">group will be sent survey invitations </w:t>
      </w:r>
      <w:r w:rsidR="00A14711">
        <w:rPr>
          <w:rFonts w:ascii="Times New Roman" w:hAnsi="Times New Roman"/>
          <w:sz w:val="24"/>
        </w:rPr>
        <w:t>(</w:t>
      </w:r>
      <w:r w:rsidR="00A244F5">
        <w:rPr>
          <w:rFonts w:ascii="Times New Roman" w:hAnsi="Times New Roman"/>
          <w:sz w:val="24"/>
        </w:rPr>
        <w:t>250</w:t>
      </w:r>
      <w:r w:rsidR="00242D1E">
        <w:rPr>
          <w:rFonts w:ascii="Times New Roman" w:hAnsi="Times New Roman"/>
          <w:sz w:val="24"/>
        </w:rPr>
        <w:t xml:space="preserve"> x 40% = 100</w:t>
      </w:r>
      <w:r w:rsidR="00A14711">
        <w:rPr>
          <w:rFonts w:ascii="Times New Roman" w:hAnsi="Times New Roman"/>
          <w:sz w:val="24"/>
        </w:rPr>
        <w:t xml:space="preserve">).  </w:t>
      </w:r>
      <w:r w:rsidR="004014C1">
        <w:rPr>
          <w:rFonts w:ascii="Times New Roman" w:hAnsi="Times New Roman"/>
          <w:sz w:val="24"/>
        </w:rPr>
        <w:t xml:space="preserve">Response rate will be increased with provision of incentives for survey completion and email reminders. </w:t>
      </w:r>
    </w:p>
    <w:p w14:paraId="6056F4EC" w14:textId="77777777" w:rsidR="00D02639" w:rsidRDefault="00D02639" w:rsidP="00D92968">
      <w:pPr>
        <w:ind w:left="360"/>
        <w:rPr>
          <w:rFonts w:ascii="Times New Roman" w:hAnsi="Times New Roman"/>
          <w:sz w:val="24"/>
        </w:rPr>
      </w:pPr>
    </w:p>
    <w:p w14:paraId="02FEEDB6" w14:textId="3636E3DD" w:rsidR="006822E2" w:rsidRDefault="005712A9" w:rsidP="00D92968">
      <w:pPr>
        <w:ind w:left="360"/>
        <w:rPr>
          <w:rFonts w:ascii="Times New Roman" w:hAnsi="Times New Roman"/>
          <w:sz w:val="24"/>
        </w:rPr>
      </w:pPr>
      <w:r>
        <w:rPr>
          <w:rFonts w:ascii="Times New Roman" w:hAnsi="Times New Roman"/>
          <w:sz w:val="24"/>
        </w:rPr>
        <w:t>T</w:t>
      </w:r>
      <w:r w:rsidR="00650AC6">
        <w:rPr>
          <w:rFonts w:ascii="Times New Roman" w:hAnsi="Times New Roman"/>
          <w:sz w:val="24"/>
        </w:rPr>
        <w:t xml:space="preserve">he </w:t>
      </w:r>
      <w:r>
        <w:rPr>
          <w:rFonts w:ascii="Times New Roman" w:hAnsi="Times New Roman"/>
          <w:sz w:val="24"/>
        </w:rPr>
        <w:t xml:space="preserve">email </w:t>
      </w:r>
      <w:r w:rsidR="00650AC6">
        <w:rPr>
          <w:rFonts w:ascii="Times New Roman" w:hAnsi="Times New Roman"/>
          <w:sz w:val="24"/>
        </w:rPr>
        <w:t xml:space="preserve">invitations will contain embedded links to the survey information letter, hosted on Qualtrics.  </w:t>
      </w:r>
      <w:r w:rsidR="0095774B">
        <w:rPr>
          <w:rFonts w:ascii="Times New Roman" w:hAnsi="Times New Roman"/>
          <w:sz w:val="24"/>
        </w:rPr>
        <w:t xml:space="preserve">Participation is voluntary.  </w:t>
      </w:r>
      <w:r w:rsidR="00117BE7">
        <w:rPr>
          <w:rFonts w:ascii="Times New Roman" w:hAnsi="Times New Roman"/>
          <w:sz w:val="24"/>
        </w:rPr>
        <w:t>Prescribers and pharmacists</w:t>
      </w:r>
      <w:r w:rsidR="00650AC6">
        <w:rPr>
          <w:rFonts w:ascii="Times New Roman" w:hAnsi="Times New Roman"/>
          <w:sz w:val="24"/>
        </w:rPr>
        <w:t xml:space="preserve"> who indicate willingness to proceed after viewing the information letter </w:t>
      </w:r>
      <w:r w:rsidR="00496388">
        <w:rPr>
          <w:rFonts w:ascii="Times New Roman" w:hAnsi="Times New Roman"/>
          <w:sz w:val="24"/>
        </w:rPr>
        <w:t>(</w:t>
      </w:r>
      <w:r w:rsidR="00496388">
        <w:rPr>
          <w:rFonts w:ascii="Times New Roman" w:hAnsi="Times New Roman"/>
          <w:sz w:val="24"/>
          <w:szCs w:val="24"/>
        </w:rPr>
        <w:t xml:space="preserve">Appendix </w:t>
      </w:r>
      <w:r w:rsidR="0098219F">
        <w:rPr>
          <w:rFonts w:ascii="Times New Roman" w:hAnsi="Times New Roman"/>
          <w:sz w:val="24"/>
          <w:szCs w:val="24"/>
        </w:rPr>
        <w:t>C: consents</w:t>
      </w:r>
      <w:r w:rsidR="00CC40B3">
        <w:rPr>
          <w:rFonts w:ascii="Times New Roman" w:hAnsi="Times New Roman"/>
          <w:sz w:val="24"/>
          <w:szCs w:val="24"/>
        </w:rPr>
        <w:t xml:space="preserve"> for surveys</w:t>
      </w:r>
      <w:r w:rsidR="00496388" w:rsidRPr="000806E7">
        <w:rPr>
          <w:rFonts w:ascii="Times New Roman" w:hAnsi="Times New Roman"/>
          <w:sz w:val="24"/>
          <w:szCs w:val="24"/>
        </w:rPr>
        <w:t>)</w:t>
      </w:r>
      <w:r w:rsidR="00496388">
        <w:rPr>
          <w:rFonts w:ascii="Times New Roman" w:hAnsi="Times New Roman"/>
          <w:sz w:val="24"/>
          <w:szCs w:val="24"/>
        </w:rPr>
        <w:t xml:space="preserve"> </w:t>
      </w:r>
      <w:r w:rsidR="00650AC6">
        <w:rPr>
          <w:rFonts w:ascii="Times New Roman" w:hAnsi="Times New Roman"/>
          <w:sz w:val="24"/>
        </w:rPr>
        <w:t xml:space="preserve">will be directed to the survey.  </w:t>
      </w:r>
      <w:r w:rsidR="0069414B">
        <w:rPr>
          <w:rFonts w:ascii="Times New Roman" w:hAnsi="Times New Roman"/>
          <w:sz w:val="24"/>
        </w:rPr>
        <w:t xml:space="preserve">Prescribers and pharmacists </w:t>
      </w:r>
      <w:r w:rsidR="009C3C40">
        <w:rPr>
          <w:rFonts w:ascii="Times New Roman" w:hAnsi="Times New Roman"/>
          <w:sz w:val="24"/>
        </w:rPr>
        <w:t>will first be shown an electronic version of the education material</w:t>
      </w:r>
      <w:r w:rsidR="00D02639">
        <w:rPr>
          <w:rFonts w:ascii="Times New Roman" w:hAnsi="Times New Roman"/>
          <w:sz w:val="24"/>
        </w:rPr>
        <w:t xml:space="preserve"> for their review </w:t>
      </w:r>
      <w:r w:rsidR="0068498F">
        <w:rPr>
          <w:rFonts w:ascii="Times New Roman" w:hAnsi="Times New Roman"/>
          <w:sz w:val="24"/>
        </w:rPr>
        <w:t xml:space="preserve">(approximately </w:t>
      </w:r>
      <w:r w:rsidR="00D02639">
        <w:rPr>
          <w:rFonts w:ascii="Times New Roman" w:hAnsi="Times New Roman"/>
          <w:sz w:val="24"/>
        </w:rPr>
        <w:t xml:space="preserve">5 minutes), followed by </w:t>
      </w:r>
      <w:r w:rsidR="004310B4">
        <w:rPr>
          <w:rFonts w:ascii="Times New Roman" w:hAnsi="Times New Roman"/>
          <w:sz w:val="24"/>
        </w:rPr>
        <w:t xml:space="preserve">the remainder of the survey (approximately 15 minutes), for a total time commitment of </w:t>
      </w:r>
      <w:r w:rsidR="0068498F">
        <w:rPr>
          <w:rFonts w:ascii="Times New Roman" w:hAnsi="Times New Roman"/>
          <w:sz w:val="24"/>
        </w:rPr>
        <w:t>2</w:t>
      </w:r>
      <w:r w:rsidR="004310B4">
        <w:rPr>
          <w:rFonts w:ascii="Times New Roman" w:hAnsi="Times New Roman"/>
          <w:sz w:val="24"/>
        </w:rPr>
        <w:t xml:space="preserve">0 minutes.  </w:t>
      </w:r>
      <w:r w:rsidR="00136CDC">
        <w:rPr>
          <w:rFonts w:ascii="Times New Roman" w:hAnsi="Times New Roman"/>
          <w:sz w:val="24"/>
        </w:rPr>
        <w:t xml:space="preserve">Attention filters will be used to </w:t>
      </w:r>
      <w:r w:rsidR="00CE4310">
        <w:rPr>
          <w:rFonts w:ascii="Times New Roman" w:hAnsi="Times New Roman"/>
          <w:sz w:val="24"/>
        </w:rPr>
        <w:t>exclude pa</w:t>
      </w:r>
      <w:r w:rsidR="00DF1AD4">
        <w:rPr>
          <w:rFonts w:ascii="Times New Roman" w:hAnsi="Times New Roman"/>
          <w:sz w:val="24"/>
        </w:rPr>
        <w:t>rticipants who may not have reviewed</w:t>
      </w:r>
      <w:r w:rsidR="00CE4310">
        <w:rPr>
          <w:rFonts w:ascii="Times New Roman" w:hAnsi="Times New Roman"/>
          <w:sz w:val="24"/>
        </w:rPr>
        <w:t xml:space="preserve"> the entire education material. </w:t>
      </w:r>
      <w:r w:rsidR="007C01B3">
        <w:rPr>
          <w:rFonts w:ascii="Times New Roman" w:hAnsi="Times New Roman"/>
          <w:sz w:val="24"/>
        </w:rPr>
        <w:t xml:space="preserve">Survey protocols for prescribers and pharmacists are presented in </w:t>
      </w:r>
      <w:r w:rsidR="007C01B3">
        <w:rPr>
          <w:rFonts w:ascii="Times New Roman" w:hAnsi="Times New Roman"/>
          <w:sz w:val="24"/>
          <w:szCs w:val="24"/>
        </w:rPr>
        <w:t>Appendices G and H, respectively.</w:t>
      </w:r>
    </w:p>
    <w:p w14:paraId="08F208C8" w14:textId="77777777" w:rsidR="00E04131" w:rsidRDefault="00E04131" w:rsidP="00496388">
      <w:pPr>
        <w:ind w:left="720"/>
        <w:jc w:val="both"/>
        <w:rPr>
          <w:rFonts w:ascii="Times New Roman" w:hAnsi="Times New Roman"/>
          <w:sz w:val="24"/>
        </w:rPr>
      </w:pPr>
    </w:p>
    <w:p w14:paraId="484793D6" w14:textId="77777777" w:rsidR="005712A9" w:rsidRPr="0068498F" w:rsidRDefault="005712A9" w:rsidP="00D92968">
      <w:pPr>
        <w:ind w:left="360"/>
        <w:rPr>
          <w:rFonts w:ascii="Times New Roman" w:hAnsi="Times New Roman"/>
          <w:i/>
          <w:sz w:val="24"/>
        </w:rPr>
      </w:pPr>
      <w:r>
        <w:rPr>
          <w:rFonts w:ascii="Times New Roman" w:hAnsi="Times New Roman"/>
          <w:i/>
          <w:sz w:val="24"/>
        </w:rPr>
        <w:t>Patients and caregivers</w:t>
      </w:r>
    </w:p>
    <w:p w14:paraId="7CFF4588" w14:textId="114813F1" w:rsidR="006D5B86" w:rsidRDefault="007061D6" w:rsidP="00D92968">
      <w:pPr>
        <w:ind w:left="360"/>
        <w:rPr>
          <w:rFonts w:ascii="Times New Roman" w:hAnsi="Times New Roman"/>
          <w:sz w:val="24"/>
        </w:rPr>
      </w:pPr>
      <w:r>
        <w:rPr>
          <w:rFonts w:ascii="Times New Roman" w:hAnsi="Times New Roman"/>
          <w:sz w:val="24"/>
        </w:rPr>
        <w:t>Patients and caregivers who are clients of Auburn University’s pharmacy services clinics wil</w:t>
      </w:r>
      <w:r w:rsidR="00074762">
        <w:rPr>
          <w:rFonts w:ascii="Times New Roman" w:hAnsi="Times New Roman"/>
          <w:sz w:val="24"/>
        </w:rPr>
        <w:t>l be recruited in-person by pharmacy students and te</w:t>
      </w:r>
      <w:r w:rsidR="005553CB">
        <w:rPr>
          <w:rFonts w:ascii="Times New Roman" w:hAnsi="Times New Roman"/>
          <w:sz w:val="24"/>
        </w:rPr>
        <w:t>chnicians at the conclusion of</w:t>
      </w:r>
      <w:r w:rsidR="00637159">
        <w:rPr>
          <w:rFonts w:ascii="Times New Roman" w:hAnsi="Times New Roman"/>
          <w:sz w:val="24"/>
        </w:rPr>
        <w:t xml:space="preserve"> routine patient appointments.  </w:t>
      </w:r>
      <w:r w:rsidR="005553CB">
        <w:rPr>
          <w:rFonts w:ascii="Times New Roman" w:hAnsi="Times New Roman"/>
          <w:sz w:val="24"/>
        </w:rPr>
        <w:t xml:space="preserve">Pharmacy students and technicians will </w:t>
      </w:r>
      <w:r w:rsidR="009C1E43">
        <w:rPr>
          <w:rFonts w:ascii="Times New Roman" w:hAnsi="Times New Roman"/>
          <w:sz w:val="24"/>
        </w:rPr>
        <w:t xml:space="preserve">identify patients/caregivers who meet the eligibility </w:t>
      </w:r>
      <w:r w:rsidR="00B73B69">
        <w:rPr>
          <w:rFonts w:ascii="Times New Roman" w:hAnsi="Times New Roman"/>
          <w:sz w:val="24"/>
        </w:rPr>
        <w:t xml:space="preserve">criteria, </w:t>
      </w:r>
      <w:r w:rsidR="005553CB">
        <w:rPr>
          <w:rFonts w:ascii="Times New Roman" w:hAnsi="Times New Roman"/>
          <w:sz w:val="24"/>
        </w:rPr>
        <w:t>explain the purpose of the study</w:t>
      </w:r>
      <w:r w:rsidR="00B73B69">
        <w:rPr>
          <w:rFonts w:ascii="Times New Roman" w:hAnsi="Times New Roman"/>
          <w:sz w:val="24"/>
        </w:rPr>
        <w:t>,</w:t>
      </w:r>
      <w:r w:rsidR="00CD02B7">
        <w:rPr>
          <w:rFonts w:ascii="Times New Roman" w:hAnsi="Times New Roman"/>
          <w:sz w:val="24"/>
        </w:rPr>
        <w:t xml:space="preserve"> </w:t>
      </w:r>
      <w:r w:rsidR="005553CB">
        <w:rPr>
          <w:rFonts w:ascii="Times New Roman" w:hAnsi="Times New Roman"/>
          <w:sz w:val="24"/>
        </w:rPr>
        <w:t xml:space="preserve">and review </w:t>
      </w:r>
      <w:r w:rsidR="00947CA8">
        <w:rPr>
          <w:rFonts w:ascii="Times New Roman" w:hAnsi="Times New Roman"/>
          <w:sz w:val="24"/>
        </w:rPr>
        <w:t>the informed consent document</w:t>
      </w:r>
      <w:r w:rsidR="00CD02B7">
        <w:rPr>
          <w:rFonts w:ascii="Times New Roman" w:hAnsi="Times New Roman"/>
          <w:sz w:val="24"/>
        </w:rPr>
        <w:t xml:space="preserve"> with these potential participants</w:t>
      </w:r>
      <w:r w:rsidR="00947CA8">
        <w:rPr>
          <w:rFonts w:ascii="Times New Roman" w:hAnsi="Times New Roman"/>
          <w:sz w:val="24"/>
        </w:rPr>
        <w:t xml:space="preserve">.  </w:t>
      </w:r>
      <w:r w:rsidR="00B73B69">
        <w:rPr>
          <w:rFonts w:ascii="Times New Roman" w:hAnsi="Times New Roman"/>
          <w:sz w:val="24"/>
        </w:rPr>
        <w:t>Written informed consent</w:t>
      </w:r>
      <w:r w:rsidR="00496388">
        <w:rPr>
          <w:rFonts w:ascii="Times New Roman" w:hAnsi="Times New Roman"/>
          <w:sz w:val="24"/>
        </w:rPr>
        <w:t xml:space="preserve"> </w:t>
      </w:r>
      <w:r w:rsidR="00B73B69">
        <w:rPr>
          <w:rFonts w:ascii="Times New Roman" w:hAnsi="Times New Roman"/>
          <w:sz w:val="24"/>
        </w:rPr>
        <w:t xml:space="preserve">will be obtained at this time.  </w:t>
      </w:r>
      <w:r w:rsidR="00B054D9">
        <w:rPr>
          <w:rFonts w:ascii="Times New Roman" w:hAnsi="Times New Roman"/>
          <w:sz w:val="24"/>
        </w:rPr>
        <w:t xml:space="preserve">Recruitment will be increased with provision of incentives for survey completion.  </w:t>
      </w:r>
    </w:p>
    <w:p w14:paraId="681B6A4A" w14:textId="77777777" w:rsidR="006D5B86" w:rsidRDefault="006D5B86" w:rsidP="00D92968">
      <w:pPr>
        <w:ind w:left="360"/>
        <w:rPr>
          <w:rFonts w:ascii="Times New Roman" w:hAnsi="Times New Roman"/>
          <w:sz w:val="24"/>
        </w:rPr>
      </w:pPr>
    </w:p>
    <w:p w14:paraId="7EC98AB2" w14:textId="75FAE4E7" w:rsidR="00E04131" w:rsidRDefault="00CD4D96" w:rsidP="00D92968">
      <w:pPr>
        <w:ind w:left="360"/>
        <w:rPr>
          <w:rFonts w:ascii="Times New Roman" w:hAnsi="Times New Roman"/>
          <w:sz w:val="24"/>
        </w:rPr>
      </w:pPr>
      <w:r>
        <w:rPr>
          <w:rFonts w:ascii="Times New Roman" w:hAnsi="Times New Roman"/>
          <w:sz w:val="24"/>
        </w:rPr>
        <w:t>Those who consent</w:t>
      </w:r>
      <w:r w:rsidR="00475C5A">
        <w:rPr>
          <w:rFonts w:ascii="Times New Roman" w:hAnsi="Times New Roman"/>
          <w:sz w:val="24"/>
        </w:rPr>
        <w:t xml:space="preserve"> and meet the eligibility criteria will </w:t>
      </w:r>
      <w:r w:rsidR="00E712AA">
        <w:rPr>
          <w:rFonts w:ascii="Times New Roman" w:hAnsi="Times New Roman"/>
          <w:sz w:val="24"/>
        </w:rPr>
        <w:t xml:space="preserve">be </w:t>
      </w:r>
      <w:r w:rsidR="00C55AB9">
        <w:rPr>
          <w:rFonts w:ascii="Times New Roman" w:hAnsi="Times New Roman"/>
          <w:sz w:val="24"/>
        </w:rPr>
        <w:t>guided through the face-to-face survey by the pharmacy student or technician at the point of recruitment.  P</w:t>
      </w:r>
      <w:r w:rsidR="0095774B">
        <w:rPr>
          <w:rFonts w:ascii="Times New Roman" w:hAnsi="Times New Roman"/>
          <w:sz w:val="24"/>
        </w:rPr>
        <w:t xml:space="preserve">articipation is voluntary.  </w:t>
      </w:r>
      <w:r w:rsidR="009570F4">
        <w:rPr>
          <w:rFonts w:ascii="Times New Roman" w:hAnsi="Times New Roman"/>
          <w:sz w:val="24"/>
        </w:rPr>
        <w:t xml:space="preserve">Investigators will first show </w:t>
      </w:r>
      <w:r w:rsidR="00D3568E">
        <w:rPr>
          <w:rFonts w:ascii="Times New Roman" w:hAnsi="Times New Roman"/>
          <w:sz w:val="24"/>
        </w:rPr>
        <w:t xml:space="preserve">consenting </w:t>
      </w:r>
      <w:r w:rsidR="009570F4">
        <w:rPr>
          <w:rFonts w:ascii="Times New Roman" w:hAnsi="Times New Roman"/>
          <w:sz w:val="24"/>
        </w:rPr>
        <w:t xml:space="preserve">patients/caregivers a paper copy of the education material for their review (approximately </w:t>
      </w:r>
      <w:r w:rsidR="0068498F">
        <w:rPr>
          <w:rFonts w:ascii="Times New Roman" w:hAnsi="Times New Roman"/>
          <w:sz w:val="24"/>
        </w:rPr>
        <w:t>5</w:t>
      </w:r>
      <w:r w:rsidR="009570F4">
        <w:rPr>
          <w:rFonts w:ascii="Times New Roman" w:hAnsi="Times New Roman"/>
          <w:sz w:val="24"/>
        </w:rPr>
        <w:t xml:space="preserve"> minutes), and will then administer the </w:t>
      </w:r>
      <w:r w:rsidR="00E51A42">
        <w:rPr>
          <w:rFonts w:ascii="Times New Roman" w:hAnsi="Times New Roman"/>
          <w:sz w:val="24"/>
        </w:rPr>
        <w:t xml:space="preserve">survey (approximately </w:t>
      </w:r>
      <w:r w:rsidR="0068498F">
        <w:rPr>
          <w:rFonts w:ascii="Times New Roman" w:hAnsi="Times New Roman"/>
          <w:sz w:val="24"/>
        </w:rPr>
        <w:t>25</w:t>
      </w:r>
      <w:r w:rsidR="00E51A42">
        <w:rPr>
          <w:rFonts w:ascii="Times New Roman" w:hAnsi="Times New Roman"/>
          <w:sz w:val="24"/>
        </w:rPr>
        <w:t xml:space="preserve"> minutes)</w:t>
      </w:r>
      <w:r w:rsidR="008614EF">
        <w:rPr>
          <w:rFonts w:ascii="Times New Roman" w:hAnsi="Times New Roman"/>
          <w:sz w:val="24"/>
        </w:rPr>
        <w:t xml:space="preserve">, for a total time </w:t>
      </w:r>
      <w:r w:rsidR="00B17608">
        <w:rPr>
          <w:rFonts w:ascii="Times New Roman" w:hAnsi="Times New Roman"/>
          <w:sz w:val="24"/>
        </w:rPr>
        <w:t>commitment</w:t>
      </w:r>
      <w:r w:rsidR="0068498F">
        <w:rPr>
          <w:rFonts w:ascii="Times New Roman" w:hAnsi="Times New Roman"/>
          <w:sz w:val="24"/>
        </w:rPr>
        <w:t xml:space="preserve"> of 30</w:t>
      </w:r>
      <w:r w:rsidR="008614EF">
        <w:rPr>
          <w:rFonts w:ascii="Times New Roman" w:hAnsi="Times New Roman"/>
          <w:sz w:val="24"/>
        </w:rPr>
        <w:t xml:space="preserve"> minutes</w:t>
      </w:r>
      <w:r w:rsidR="000D5305">
        <w:rPr>
          <w:rFonts w:ascii="Times New Roman" w:hAnsi="Times New Roman"/>
          <w:sz w:val="24"/>
        </w:rPr>
        <w:t>.  Pharmacy students/technicians</w:t>
      </w:r>
      <w:r w:rsidR="006B5D20">
        <w:rPr>
          <w:rFonts w:ascii="Times New Roman" w:hAnsi="Times New Roman"/>
          <w:sz w:val="24"/>
        </w:rPr>
        <w:t xml:space="preserve"> will be present to answer any questions the patients/caregivers may have as they take the survey.  </w:t>
      </w:r>
      <w:r w:rsidR="00496388">
        <w:rPr>
          <w:rFonts w:ascii="Times New Roman" w:hAnsi="Times New Roman"/>
          <w:sz w:val="24"/>
        </w:rPr>
        <w:t>Survey protocol</w:t>
      </w:r>
      <w:r w:rsidR="007C01B3">
        <w:rPr>
          <w:rFonts w:ascii="Times New Roman" w:hAnsi="Times New Roman"/>
          <w:sz w:val="24"/>
        </w:rPr>
        <w:t xml:space="preserve"> for patients/caregivers</w:t>
      </w:r>
      <w:r w:rsidR="00496388">
        <w:rPr>
          <w:rFonts w:ascii="Times New Roman" w:hAnsi="Times New Roman"/>
          <w:sz w:val="24"/>
        </w:rPr>
        <w:t xml:space="preserve"> </w:t>
      </w:r>
      <w:r w:rsidR="007C01B3">
        <w:rPr>
          <w:rFonts w:ascii="Times New Roman" w:hAnsi="Times New Roman"/>
          <w:sz w:val="24"/>
        </w:rPr>
        <w:t xml:space="preserve">is </w:t>
      </w:r>
      <w:r w:rsidR="00496388">
        <w:rPr>
          <w:rFonts w:ascii="Times New Roman" w:hAnsi="Times New Roman"/>
          <w:sz w:val="24"/>
        </w:rPr>
        <w:t xml:space="preserve">presented in </w:t>
      </w:r>
      <w:r w:rsidR="00496388">
        <w:rPr>
          <w:rFonts w:ascii="Times New Roman" w:hAnsi="Times New Roman"/>
          <w:sz w:val="24"/>
          <w:szCs w:val="24"/>
        </w:rPr>
        <w:t xml:space="preserve">Appendix </w:t>
      </w:r>
      <w:r w:rsidR="007C01B3">
        <w:rPr>
          <w:rFonts w:ascii="Times New Roman" w:hAnsi="Times New Roman"/>
          <w:sz w:val="24"/>
          <w:szCs w:val="24"/>
        </w:rPr>
        <w:t>I</w:t>
      </w:r>
      <w:r w:rsidR="00496388">
        <w:rPr>
          <w:rFonts w:ascii="Times New Roman" w:hAnsi="Times New Roman"/>
          <w:sz w:val="24"/>
          <w:szCs w:val="24"/>
        </w:rPr>
        <w:t>.</w:t>
      </w:r>
    </w:p>
    <w:p w14:paraId="14DACB7F" w14:textId="30DAD7E2" w:rsidR="00A60899" w:rsidRDefault="00A60899" w:rsidP="00496388">
      <w:pPr>
        <w:ind w:left="720"/>
        <w:jc w:val="both"/>
        <w:rPr>
          <w:rFonts w:ascii="Times New Roman" w:hAnsi="Times New Roman"/>
          <w:sz w:val="24"/>
        </w:rPr>
      </w:pPr>
    </w:p>
    <w:p w14:paraId="5698CC1F" w14:textId="59FE9C06" w:rsidR="008A5BEA" w:rsidRDefault="008A5BEA" w:rsidP="00496388">
      <w:pPr>
        <w:ind w:left="720"/>
        <w:jc w:val="both"/>
        <w:rPr>
          <w:rFonts w:ascii="Times New Roman" w:hAnsi="Times New Roman"/>
          <w:sz w:val="24"/>
        </w:rPr>
      </w:pPr>
    </w:p>
    <w:p w14:paraId="17B480ED" w14:textId="358C03B2" w:rsidR="008A5BEA" w:rsidRDefault="008A5BEA" w:rsidP="00496388">
      <w:pPr>
        <w:ind w:left="720"/>
        <w:jc w:val="both"/>
        <w:rPr>
          <w:rFonts w:ascii="Times New Roman" w:hAnsi="Times New Roman"/>
          <w:sz w:val="24"/>
        </w:rPr>
      </w:pPr>
    </w:p>
    <w:p w14:paraId="5776987B" w14:textId="6A2E94E3" w:rsidR="008A5BEA" w:rsidRDefault="008A5BEA" w:rsidP="00496388">
      <w:pPr>
        <w:ind w:left="720"/>
        <w:jc w:val="both"/>
        <w:rPr>
          <w:rFonts w:ascii="Times New Roman" w:hAnsi="Times New Roman"/>
          <w:sz w:val="24"/>
        </w:rPr>
      </w:pPr>
    </w:p>
    <w:p w14:paraId="1812C0CD" w14:textId="5408E4B7" w:rsidR="008A5BEA" w:rsidRDefault="008A5BEA" w:rsidP="00496388">
      <w:pPr>
        <w:ind w:left="720"/>
        <w:jc w:val="both"/>
        <w:rPr>
          <w:rFonts w:ascii="Times New Roman" w:hAnsi="Times New Roman"/>
          <w:sz w:val="24"/>
        </w:rPr>
      </w:pPr>
    </w:p>
    <w:p w14:paraId="743B3238" w14:textId="7046EC53" w:rsidR="008A5BEA" w:rsidRDefault="008A5BEA" w:rsidP="00496388">
      <w:pPr>
        <w:ind w:left="720"/>
        <w:jc w:val="both"/>
        <w:rPr>
          <w:rFonts w:ascii="Times New Roman" w:hAnsi="Times New Roman"/>
          <w:sz w:val="24"/>
        </w:rPr>
      </w:pPr>
    </w:p>
    <w:p w14:paraId="6BE52037" w14:textId="77777777" w:rsidR="008A5BEA" w:rsidRPr="00585058" w:rsidRDefault="008A5BEA" w:rsidP="00496388">
      <w:pPr>
        <w:ind w:left="720"/>
        <w:jc w:val="both"/>
        <w:rPr>
          <w:rFonts w:ascii="Times New Roman" w:hAnsi="Times New Roman"/>
          <w:sz w:val="24"/>
        </w:rPr>
      </w:pPr>
    </w:p>
    <w:p w14:paraId="28BD924B" w14:textId="77777777" w:rsidR="00083E83" w:rsidRPr="00083E83" w:rsidRDefault="00D8037D" w:rsidP="00D92968">
      <w:pPr>
        <w:numPr>
          <w:ilvl w:val="0"/>
          <w:numId w:val="1"/>
        </w:numPr>
        <w:tabs>
          <w:tab w:val="clear" w:pos="1296"/>
          <w:tab w:val="num" w:pos="360"/>
        </w:tabs>
        <w:autoSpaceDE/>
        <w:autoSpaceDN/>
        <w:adjustRightInd/>
        <w:ind w:left="720" w:hanging="720"/>
        <w:jc w:val="both"/>
        <w:rPr>
          <w:rFonts w:ascii="Times New Roman" w:hAnsi="Times New Roman"/>
          <w:b/>
          <w:sz w:val="24"/>
        </w:rPr>
      </w:pPr>
      <w:r w:rsidRPr="00585058">
        <w:rPr>
          <w:rFonts w:ascii="Times New Roman" w:hAnsi="Times New Roman"/>
          <w:b/>
          <w:sz w:val="24"/>
        </w:rPr>
        <w:t>Confidentiality of Respondents:</w:t>
      </w:r>
    </w:p>
    <w:p w14:paraId="0BA201D8" w14:textId="77777777" w:rsidR="00E36995" w:rsidRDefault="00E36995" w:rsidP="00496388">
      <w:pPr>
        <w:ind w:left="720"/>
        <w:jc w:val="both"/>
        <w:rPr>
          <w:rFonts w:ascii="Times New Roman" w:hAnsi="Times New Roman"/>
          <w:sz w:val="24"/>
        </w:rPr>
      </w:pPr>
    </w:p>
    <w:p w14:paraId="612D7097" w14:textId="77777777" w:rsidR="008E474C" w:rsidRPr="00973A12" w:rsidRDefault="008E474C" w:rsidP="00D92968">
      <w:pPr>
        <w:pStyle w:val="ListParagraph"/>
        <w:ind w:left="360"/>
        <w:rPr>
          <w:u w:val="single"/>
        </w:rPr>
      </w:pPr>
      <w:r w:rsidRPr="00973A12">
        <w:rPr>
          <w:u w:val="single"/>
        </w:rPr>
        <w:t>Key Informant Interviews</w:t>
      </w:r>
    </w:p>
    <w:p w14:paraId="4B30AA1B" w14:textId="02045A76" w:rsidR="00B97183" w:rsidRPr="00B97183" w:rsidRDefault="00EF771A" w:rsidP="00B97183">
      <w:pPr>
        <w:ind w:left="360"/>
        <w:rPr>
          <w:rFonts w:ascii="Times New Roman" w:hAnsi="Times New Roman"/>
          <w:sz w:val="24"/>
          <w:szCs w:val="24"/>
        </w:rPr>
      </w:pPr>
      <w:r>
        <w:rPr>
          <w:rFonts w:ascii="Times New Roman" w:hAnsi="Times New Roman"/>
          <w:sz w:val="24"/>
          <w:szCs w:val="24"/>
        </w:rPr>
        <w:t xml:space="preserve">Auburn, IMPAQ, </w:t>
      </w:r>
      <w:r w:rsidR="001042DE">
        <w:rPr>
          <w:rFonts w:ascii="Times New Roman" w:hAnsi="Times New Roman"/>
          <w:sz w:val="24"/>
          <w:szCs w:val="24"/>
        </w:rPr>
        <w:t xml:space="preserve">and FDA </w:t>
      </w:r>
      <w:r w:rsidR="00390254">
        <w:rPr>
          <w:rFonts w:ascii="Times New Roman" w:hAnsi="Times New Roman"/>
          <w:sz w:val="24"/>
          <w:szCs w:val="24"/>
        </w:rPr>
        <w:t xml:space="preserve">will comply with safeguards for ensuring participant information is kept private to the extent permitted by law. </w:t>
      </w:r>
      <w:r w:rsidR="00880390">
        <w:rPr>
          <w:rFonts w:ascii="Times New Roman" w:hAnsi="Times New Roman"/>
          <w:sz w:val="24"/>
          <w:szCs w:val="24"/>
        </w:rPr>
        <w:t xml:space="preserve">The interviewees will be informed about how the recordings are used in the analyses, and assured that the recorded data are </w:t>
      </w:r>
      <w:r w:rsidR="00077415">
        <w:rPr>
          <w:rFonts w:ascii="Times New Roman" w:hAnsi="Times New Roman"/>
          <w:sz w:val="24"/>
          <w:szCs w:val="24"/>
        </w:rPr>
        <w:t>kept</w:t>
      </w:r>
      <w:r w:rsidR="00B97183" w:rsidRPr="00B97183">
        <w:rPr>
          <w:rFonts w:asciiTheme="minorHAnsi" w:eastAsiaTheme="minorHAnsi" w:hAnsiTheme="minorHAnsi" w:cstheme="minorBidi"/>
          <w:sz w:val="22"/>
          <w:szCs w:val="22"/>
        </w:rPr>
        <w:t xml:space="preserve"> </w:t>
      </w:r>
      <w:r w:rsidR="00B97183" w:rsidRPr="00B97183">
        <w:rPr>
          <w:rFonts w:ascii="Times New Roman" w:hAnsi="Times New Roman"/>
          <w:sz w:val="24"/>
          <w:szCs w:val="24"/>
        </w:rPr>
        <w:t>private to the extent permitted by law</w:t>
      </w:r>
      <w:r w:rsidR="00B97183">
        <w:rPr>
          <w:rFonts w:ascii="Times New Roman" w:hAnsi="Times New Roman"/>
          <w:sz w:val="24"/>
          <w:szCs w:val="24"/>
        </w:rPr>
        <w:t>.</w:t>
      </w:r>
    </w:p>
    <w:p w14:paraId="38409D7A" w14:textId="77777777" w:rsidR="008A5BEA" w:rsidRDefault="00B97183" w:rsidP="00D92968">
      <w:pPr>
        <w:ind w:left="360"/>
        <w:rPr>
          <w:rFonts w:ascii="Times New Roman" w:hAnsi="Times New Roman"/>
          <w:sz w:val="24"/>
          <w:szCs w:val="24"/>
        </w:rPr>
      </w:pPr>
      <w:r>
        <w:rPr>
          <w:rFonts w:ascii="Times New Roman" w:hAnsi="Times New Roman"/>
          <w:sz w:val="24"/>
          <w:szCs w:val="24"/>
        </w:rPr>
        <w:t xml:space="preserve"> </w:t>
      </w:r>
      <w:r w:rsidR="00077415">
        <w:rPr>
          <w:rFonts w:ascii="Times New Roman" w:hAnsi="Times New Roman"/>
          <w:sz w:val="24"/>
          <w:szCs w:val="24"/>
        </w:rPr>
        <w:t xml:space="preserve"> </w:t>
      </w:r>
    </w:p>
    <w:p w14:paraId="274548BE" w14:textId="4C10B6C6" w:rsidR="00390254" w:rsidRDefault="00941269" w:rsidP="00D92968">
      <w:pPr>
        <w:ind w:left="360"/>
        <w:rPr>
          <w:rFonts w:ascii="Times New Roman" w:hAnsi="Times New Roman"/>
          <w:sz w:val="24"/>
          <w:szCs w:val="24"/>
        </w:rPr>
      </w:pPr>
      <w:r>
        <w:rPr>
          <w:rFonts w:ascii="Times New Roman" w:hAnsi="Times New Roman"/>
          <w:sz w:val="24"/>
          <w:szCs w:val="24"/>
        </w:rPr>
        <w:t xml:space="preserve">Recordings will be saved </w:t>
      </w:r>
      <w:r w:rsidR="00263241">
        <w:rPr>
          <w:rFonts w:ascii="Times New Roman" w:hAnsi="Times New Roman"/>
          <w:sz w:val="24"/>
          <w:szCs w:val="24"/>
        </w:rPr>
        <w:t xml:space="preserve">on a secure webserver prior to being stored </w:t>
      </w:r>
      <w:r>
        <w:rPr>
          <w:rFonts w:ascii="Times New Roman" w:hAnsi="Times New Roman"/>
          <w:sz w:val="24"/>
          <w:szCs w:val="24"/>
        </w:rPr>
        <w:t xml:space="preserve">on a secure server at the IMPAQ headquarters. </w:t>
      </w:r>
      <w:r w:rsidR="00263241">
        <w:rPr>
          <w:rFonts w:ascii="Times New Roman" w:hAnsi="Times New Roman"/>
          <w:sz w:val="24"/>
          <w:szCs w:val="24"/>
        </w:rPr>
        <w:t>Once recordings are downloaded to the IMPAQ server</w:t>
      </w:r>
      <w:r w:rsidR="00F15C32">
        <w:rPr>
          <w:rFonts w:ascii="Times New Roman" w:hAnsi="Times New Roman"/>
          <w:sz w:val="24"/>
          <w:szCs w:val="24"/>
        </w:rPr>
        <w:t>,</w:t>
      </w:r>
      <w:r w:rsidR="00263241">
        <w:rPr>
          <w:rFonts w:ascii="Times New Roman" w:hAnsi="Times New Roman"/>
          <w:sz w:val="24"/>
          <w:szCs w:val="24"/>
        </w:rPr>
        <w:t xml:space="preserve"> they will be deleted from the webserver. Audio r</w:t>
      </w:r>
      <w:r>
        <w:rPr>
          <w:rFonts w:ascii="Times New Roman" w:hAnsi="Times New Roman"/>
          <w:sz w:val="24"/>
          <w:szCs w:val="24"/>
        </w:rPr>
        <w:t>ecordings will be transcribed</w:t>
      </w:r>
      <w:r w:rsidR="00F15C32">
        <w:rPr>
          <w:rFonts w:ascii="Times New Roman" w:hAnsi="Times New Roman"/>
          <w:sz w:val="24"/>
          <w:szCs w:val="24"/>
        </w:rPr>
        <w:t>,</w:t>
      </w:r>
      <w:r>
        <w:rPr>
          <w:rFonts w:ascii="Times New Roman" w:hAnsi="Times New Roman"/>
          <w:sz w:val="24"/>
          <w:szCs w:val="24"/>
        </w:rPr>
        <w:t xml:space="preserve"> and transcriptions will be saved and stored in a de-identified format</w:t>
      </w:r>
      <w:r w:rsidR="00263241">
        <w:rPr>
          <w:rFonts w:ascii="Times New Roman" w:hAnsi="Times New Roman"/>
          <w:sz w:val="24"/>
          <w:szCs w:val="24"/>
        </w:rPr>
        <w:t xml:space="preserve"> on the IMPAQ server</w:t>
      </w:r>
      <w:r>
        <w:rPr>
          <w:rFonts w:ascii="Times New Roman" w:hAnsi="Times New Roman"/>
          <w:sz w:val="24"/>
          <w:szCs w:val="24"/>
        </w:rPr>
        <w:t xml:space="preserve">. </w:t>
      </w:r>
      <w:r w:rsidR="00390254">
        <w:rPr>
          <w:rFonts w:ascii="Times New Roman" w:hAnsi="Times New Roman"/>
          <w:sz w:val="24"/>
          <w:szCs w:val="24"/>
        </w:rPr>
        <w:t>Verbatim quotes included in the final report will not be attributed to any individual.</w:t>
      </w:r>
      <w:r w:rsidR="00B16CF1">
        <w:rPr>
          <w:rFonts w:ascii="Times New Roman" w:hAnsi="Times New Roman"/>
          <w:sz w:val="24"/>
          <w:szCs w:val="24"/>
        </w:rPr>
        <w:t xml:space="preserve"> </w:t>
      </w:r>
    </w:p>
    <w:p w14:paraId="28046C7A" w14:textId="77777777" w:rsidR="00033BBF" w:rsidRDefault="00033BBF" w:rsidP="00D92968">
      <w:pPr>
        <w:ind w:left="360"/>
        <w:rPr>
          <w:rFonts w:ascii="Times New Roman" w:hAnsi="Times New Roman"/>
          <w:sz w:val="24"/>
          <w:szCs w:val="24"/>
        </w:rPr>
      </w:pPr>
    </w:p>
    <w:p w14:paraId="4CC25AC9" w14:textId="77777777" w:rsidR="008E474C" w:rsidRPr="008E474C" w:rsidRDefault="008E474C" w:rsidP="00D92968">
      <w:pPr>
        <w:ind w:left="360"/>
        <w:rPr>
          <w:rFonts w:ascii="Times New Roman" w:hAnsi="Times New Roman"/>
          <w:sz w:val="24"/>
          <w:szCs w:val="24"/>
          <w:u w:val="single"/>
        </w:rPr>
      </w:pPr>
      <w:r w:rsidRPr="008E474C">
        <w:rPr>
          <w:rFonts w:ascii="Times New Roman" w:hAnsi="Times New Roman"/>
          <w:sz w:val="24"/>
          <w:szCs w:val="24"/>
          <w:u w:val="single"/>
        </w:rPr>
        <w:t>Surveys</w:t>
      </w:r>
    </w:p>
    <w:p w14:paraId="5721C263" w14:textId="3226B3E0" w:rsidR="00033BBF" w:rsidRPr="00A25728" w:rsidRDefault="007646FF" w:rsidP="00D92968">
      <w:pPr>
        <w:ind w:left="360"/>
        <w:rPr>
          <w:rFonts w:ascii="Times New Roman" w:hAnsi="Times New Roman"/>
          <w:sz w:val="24"/>
          <w:szCs w:val="24"/>
        </w:rPr>
      </w:pPr>
      <w:r>
        <w:rPr>
          <w:rFonts w:ascii="Times New Roman" w:hAnsi="Times New Roman"/>
          <w:sz w:val="24"/>
          <w:szCs w:val="24"/>
        </w:rPr>
        <w:t xml:space="preserve">Electronic survey data </w:t>
      </w:r>
      <w:r w:rsidR="00F039DB">
        <w:rPr>
          <w:rFonts w:ascii="Times New Roman" w:hAnsi="Times New Roman"/>
          <w:sz w:val="24"/>
          <w:szCs w:val="24"/>
        </w:rPr>
        <w:t xml:space="preserve">(prescribers and pharmacists) </w:t>
      </w:r>
      <w:r>
        <w:rPr>
          <w:rFonts w:ascii="Times New Roman" w:hAnsi="Times New Roman"/>
          <w:sz w:val="24"/>
          <w:szCs w:val="24"/>
        </w:rPr>
        <w:t xml:space="preserve">will initially be housed on the Qualtrics servers and then completely de-identified data files will be downloaded and stored on the Auburn University SPIRIT </w:t>
      </w:r>
      <w:r w:rsidR="00FC5609">
        <w:rPr>
          <w:rFonts w:ascii="Times New Roman" w:hAnsi="Times New Roman"/>
          <w:sz w:val="24"/>
          <w:szCs w:val="24"/>
        </w:rPr>
        <w:t>server</w:t>
      </w:r>
      <w:r>
        <w:rPr>
          <w:rFonts w:ascii="Times New Roman" w:hAnsi="Times New Roman"/>
          <w:sz w:val="24"/>
          <w:szCs w:val="24"/>
        </w:rPr>
        <w:t xml:space="preserve">.  </w:t>
      </w:r>
      <w:r w:rsidR="00733767">
        <w:rPr>
          <w:rFonts w:ascii="Times New Roman" w:hAnsi="Times New Roman"/>
          <w:sz w:val="24"/>
          <w:szCs w:val="24"/>
        </w:rPr>
        <w:t>Qualtrics’ datacenters are access restricted and require authorization.  All computer equipment (servers, SANS, switches, routers, etc.) is redundan</w:t>
      </w:r>
      <w:r w:rsidR="000A43BB">
        <w:rPr>
          <w:rFonts w:ascii="Times New Roman" w:hAnsi="Times New Roman"/>
          <w:sz w:val="24"/>
          <w:szCs w:val="24"/>
        </w:rPr>
        <w:t>t and is locat</w:t>
      </w:r>
      <w:r w:rsidR="00733767">
        <w:rPr>
          <w:rFonts w:ascii="Times New Roman" w:hAnsi="Times New Roman"/>
          <w:sz w:val="24"/>
          <w:szCs w:val="24"/>
        </w:rPr>
        <w:t xml:space="preserve">ed in secure, </w:t>
      </w:r>
      <w:r w:rsidR="000A43BB">
        <w:rPr>
          <w:rFonts w:ascii="Times New Roman" w:hAnsi="Times New Roman"/>
          <w:sz w:val="24"/>
          <w:szCs w:val="24"/>
        </w:rPr>
        <w:t>environmentally</w:t>
      </w:r>
      <w:r w:rsidR="00733767">
        <w:rPr>
          <w:rFonts w:ascii="Times New Roman" w:hAnsi="Times New Roman"/>
          <w:sz w:val="24"/>
          <w:szCs w:val="24"/>
        </w:rPr>
        <w:t xml:space="preserve"> controlled data centers with 24/7 monitoring.  Web traffic does not </w:t>
      </w:r>
      <w:r w:rsidR="000A43BB">
        <w:rPr>
          <w:rFonts w:ascii="Times New Roman" w:hAnsi="Times New Roman"/>
          <w:sz w:val="24"/>
          <w:szCs w:val="24"/>
        </w:rPr>
        <w:t>directly</w:t>
      </w:r>
      <w:r w:rsidR="00733767">
        <w:rPr>
          <w:rFonts w:ascii="Times New Roman" w:hAnsi="Times New Roman"/>
          <w:sz w:val="24"/>
          <w:szCs w:val="24"/>
        </w:rPr>
        <w:t xml:space="preserve"> access the database and database request</w:t>
      </w:r>
      <w:r w:rsidR="00B476D3">
        <w:rPr>
          <w:rFonts w:ascii="Times New Roman" w:hAnsi="Times New Roman"/>
          <w:sz w:val="24"/>
          <w:szCs w:val="24"/>
        </w:rPr>
        <w:t>s</w:t>
      </w:r>
      <w:r w:rsidR="00733767">
        <w:rPr>
          <w:rFonts w:ascii="Times New Roman" w:hAnsi="Times New Roman"/>
          <w:sz w:val="24"/>
          <w:szCs w:val="24"/>
        </w:rPr>
        <w:t xml:space="preserve"> are sent reverse p</w:t>
      </w:r>
      <w:r w:rsidR="000A43BB">
        <w:rPr>
          <w:rFonts w:ascii="Times New Roman" w:hAnsi="Times New Roman"/>
          <w:sz w:val="24"/>
          <w:szCs w:val="24"/>
        </w:rPr>
        <w:t>roxy via an application server to</w:t>
      </w:r>
      <w:r w:rsidR="00733767">
        <w:rPr>
          <w:rFonts w:ascii="Times New Roman" w:hAnsi="Times New Roman"/>
          <w:sz w:val="24"/>
          <w:szCs w:val="24"/>
        </w:rPr>
        <w:t xml:space="preserve"> the d</w:t>
      </w:r>
      <w:r w:rsidR="000A43BB">
        <w:rPr>
          <w:rFonts w:ascii="Times New Roman" w:hAnsi="Times New Roman"/>
          <w:sz w:val="24"/>
          <w:szCs w:val="24"/>
        </w:rPr>
        <w:t>a</w:t>
      </w:r>
      <w:r w:rsidR="00733767">
        <w:rPr>
          <w:rFonts w:ascii="Times New Roman" w:hAnsi="Times New Roman"/>
          <w:sz w:val="24"/>
          <w:szCs w:val="24"/>
        </w:rPr>
        <w:t xml:space="preserve">tabase.  </w:t>
      </w:r>
      <w:r w:rsidR="00F039DB">
        <w:rPr>
          <w:rFonts w:ascii="Times New Roman" w:hAnsi="Times New Roman"/>
          <w:sz w:val="24"/>
          <w:szCs w:val="24"/>
        </w:rPr>
        <w:t xml:space="preserve">Paper surveys (patients/caregivers) will be stored in </w:t>
      </w:r>
      <w:r w:rsidR="00E02259">
        <w:rPr>
          <w:rFonts w:ascii="Times New Roman" w:hAnsi="Times New Roman"/>
          <w:sz w:val="24"/>
          <w:szCs w:val="24"/>
        </w:rPr>
        <w:t xml:space="preserve">a locked cabinet within the investigator’s locked office at the Auburn site.  </w:t>
      </w:r>
      <w:r w:rsidR="00FC5609">
        <w:rPr>
          <w:rFonts w:ascii="Times New Roman" w:hAnsi="Times New Roman"/>
          <w:sz w:val="24"/>
          <w:szCs w:val="24"/>
        </w:rPr>
        <w:t>After electronic dat</w:t>
      </w:r>
      <w:r w:rsidR="00A97B5E">
        <w:rPr>
          <w:rFonts w:ascii="Times New Roman" w:hAnsi="Times New Roman"/>
          <w:sz w:val="24"/>
          <w:szCs w:val="24"/>
        </w:rPr>
        <w:t>a entry of the paper copies, all</w:t>
      </w:r>
      <w:r w:rsidR="00FC5609">
        <w:rPr>
          <w:rFonts w:ascii="Times New Roman" w:hAnsi="Times New Roman"/>
          <w:sz w:val="24"/>
          <w:szCs w:val="24"/>
        </w:rPr>
        <w:t xml:space="preserve"> paper copies will be destroyed and electronic copies stored on Auburn’s SPIRIT server.  </w:t>
      </w:r>
      <w:r w:rsidR="00ED428F">
        <w:rPr>
          <w:rFonts w:ascii="Times New Roman" w:hAnsi="Times New Roman"/>
          <w:sz w:val="24"/>
          <w:szCs w:val="24"/>
        </w:rPr>
        <w:t xml:space="preserve">Auburn’s secure SPIRIT server is housed in the OIT building.  This datacenter is staffed 24/7 and is protected by video systems and biometric access. </w:t>
      </w:r>
      <w:r w:rsidR="00FC5609">
        <w:rPr>
          <w:rFonts w:ascii="Times New Roman" w:hAnsi="Times New Roman"/>
          <w:sz w:val="24"/>
          <w:szCs w:val="24"/>
        </w:rPr>
        <w:t xml:space="preserve"> </w:t>
      </w:r>
      <w:r w:rsidR="00825D11">
        <w:rPr>
          <w:rFonts w:ascii="Times New Roman" w:hAnsi="Times New Roman"/>
          <w:sz w:val="24"/>
          <w:szCs w:val="24"/>
        </w:rPr>
        <w:t xml:space="preserve">The SPIRIT datacenter also provides two independent power distribution </w:t>
      </w:r>
      <w:r w:rsidR="00AB049D">
        <w:rPr>
          <w:rFonts w:ascii="Times New Roman" w:hAnsi="Times New Roman"/>
          <w:sz w:val="24"/>
          <w:szCs w:val="24"/>
        </w:rPr>
        <w:t>systems</w:t>
      </w:r>
      <w:r w:rsidR="00825D11">
        <w:rPr>
          <w:rFonts w:ascii="Times New Roman" w:hAnsi="Times New Roman"/>
          <w:sz w:val="24"/>
          <w:szCs w:val="24"/>
        </w:rPr>
        <w:t xml:space="preserve">, data system environmental controls, a one megawatt power protection battery array, and a pair of diesel generators for backup power.  The SPIRIT server contains restricted access only to project personnel and the server administrator.  </w:t>
      </w:r>
    </w:p>
    <w:p w14:paraId="452B22FC" w14:textId="77777777" w:rsidR="00EF02DC" w:rsidRDefault="00EF02DC" w:rsidP="00D92968">
      <w:pPr>
        <w:pStyle w:val="BodyText"/>
        <w:widowControl w:val="0"/>
        <w:ind w:left="360"/>
        <w:rPr>
          <w:rFonts w:ascii="Times New Roman" w:hAnsi="Times New Roman"/>
          <w:sz w:val="24"/>
          <w:szCs w:val="24"/>
        </w:rPr>
      </w:pPr>
    </w:p>
    <w:p w14:paraId="22EA0147" w14:textId="77777777" w:rsidR="00D8037D" w:rsidRDefault="00E36995" w:rsidP="00D92968">
      <w:pPr>
        <w:pStyle w:val="BodyText"/>
        <w:widowControl w:val="0"/>
        <w:ind w:left="360"/>
      </w:pPr>
      <w:r w:rsidRPr="00E36995">
        <w:rPr>
          <w:rFonts w:ascii="Times New Roman" w:hAnsi="Times New Roman"/>
          <w:sz w:val="24"/>
          <w:szCs w:val="24"/>
        </w:rPr>
        <w:t xml:space="preserve">Data from this study may be used in publications </w:t>
      </w:r>
      <w:r w:rsidR="00941269">
        <w:rPr>
          <w:rFonts w:ascii="Times New Roman" w:hAnsi="Times New Roman"/>
          <w:sz w:val="24"/>
          <w:szCs w:val="24"/>
        </w:rPr>
        <w:t>and/</w:t>
      </w:r>
      <w:r w:rsidRPr="00E36995">
        <w:rPr>
          <w:rFonts w:ascii="Times New Roman" w:hAnsi="Times New Roman"/>
          <w:sz w:val="24"/>
          <w:szCs w:val="24"/>
        </w:rPr>
        <w:t xml:space="preserve">or presentations.  </w:t>
      </w:r>
      <w:r w:rsidR="00390254">
        <w:rPr>
          <w:rFonts w:ascii="Times New Roman" w:hAnsi="Times New Roman"/>
          <w:sz w:val="24"/>
          <w:szCs w:val="24"/>
        </w:rPr>
        <w:t>Participant</w:t>
      </w:r>
      <w:r w:rsidRPr="00E36995">
        <w:rPr>
          <w:rFonts w:ascii="Times New Roman" w:hAnsi="Times New Roman"/>
          <w:sz w:val="24"/>
          <w:szCs w:val="24"/>
        </w:rPr>
        <w:t xml:space="preserve"> name</w:t>
      </w:r>
      <w:r w:rsidR="00390254">
        <w:rPr>
          <w:rFonts w:ascii="Times New Roman" w:hAnsi="Times New Roman"/>
          <w:sz w:val="24"/>
          <w:szCs w:val="24"/>
        </w:rPr>
        <w:t>s</w:t>
      </w:r>
      <w:r w:rsidRPr="00E36995">
        <w:rPr>
          <w:rFonts w:ascii="Times New Roman" w:hAnsi="Times New Roman"/>
          <w:sz w:val="24"/>
          <w:szCs w:val="24"/>
        </w:rPr>
        <w:t xml:space="preserve"> and other identifying information will be removed before </w:t>
      </w:r>
      <w:r w:rsidR="00390254">
        <w:rPr>
          <w:rFonts w:ascii="Times New Roman" w:hAnsi="Times New Roman"/>
          <w:sz w:val="24"/>
          <w:szCs w:val="24"/>
        </w:rPr>
        <w:t>the</w:t>
      </w:r>
      <w:r w:rsidRPr="00E36995">
        <w:rPr>
          <w:rFonts w:ascii="Times New Roman" w:hAnsi="Times New Roman"/>
          <w:sz w:val="24"/>
          <w:szCs w:val="24"/>
        </w:rPr>
        <w:t xml:space="preserve"> data is used. </w:t>
      </w:r>
      <w:r w:rsidR="00390254">
        <w:rPr>
          <w:rFonts w:ascii="Times New Roman" w:hAnsi="Times New Roman"/>
          <w:sz w:val="24"/>
          <w:szCs w:val="24"/>
        </w:rPr>
        <w:t>I</w:t>
      </w:r>
      <w:r w:rsidRPr="00E36995">
        <w:rPr>
          <w:rFonts w:ascii="Times New Roman" w:hAnsi="Times New Roman"/>
          <w:sz w:val="24"/>
          <w:szCs w:val="24"/>
        </w:rPr>
        <w:t xml:space="preserve">dentifying information </w:t>
      </w:r>
      <w:r w:rsidR="00390254">
        <w:rPr>
          <w:rFonts w:ascii="Times New Roman" w:hAnsi="Times New Roman"/>
          <w:sz w:val="24"/>
          <w:szCs w:val="24"/>
        </w:rPr>
        <w:t xml:space="preserve">will not be used in publications unless </w:t>
      </w:r>
      <w:r w:rsidR="00941269">
        <w:rPr>
          <w:rFonts w:ascii="Times New Roman" w:hAnsi="Times New Roman"/>
          <w:sz w:val="24"/>
          <w:szCs w:val="24"/>
        </w:rPr>
        <w:t xml:space="preserve">written consent </w:t>
      </w:r>
      <w:r w:rsidR="00390254">
        <w:rPr>
          <w:rFonts w:ascii="Times New Roman" w:hAnsi="Times New Roman"/>
          <w:sz w:val="24"/>
          <w:szCs w:val="24"/>
        </w:rPr>
        <w:t>from participants is obtained</w:t>
      </w:r>
      <w:r w:rsidRPr="00E36995">
        <w:rPr>
          <w:rFonts w:ascii="Times New Roman" w:hAnsi="Times New Roman"/>
          <w:sz w:val="24"/>
          <w:szCs w:val="24"/>
        </w:rPr>
        <w:t>.</w:t>
      </w:r>
    </w:p>
    <w:p w14:paraId="063FD192" w14:textId="77777777" w:rsidR="009512D5" w:rsidRPr="00585058" w:rsidRDefault="009512D5" w:rsidP="00496388">
      <w:pPr>
        <w:jc w:val="both"/>
        <w:rPr>
          <w:rFonts w:ascii="Times New Roman" w:hAnsi="Times New Roman"/>
          <w:sz w:val="24"/>
        </w:rPr>
      </w:pPr>
    </w:p>
    <w:p w14:paraId="59577A2C" w14:textId="77777777" w:rsidR="00D8037D" w:rsidRPr="00585058" w:rsidRDefault="00585058" w:rsidP="00D92968">
      <w:pPr>
        <w:numPr>
          <w:ilvl w:val="0"/>
          <w:numId w:val="1"/>
        </w:numPr>
        <w:tabs>
          <w:tab w:val="clear" w:pos="1296"/>
          <w:tab w:val="num" w:pos="360"/>
        </w:tabs>
        <w:autoSpaceDE/>
        <w:autoSpaceDN/>
        <w:adjustRightInd/>
        <w:ind w:left="720" w:hanging="720"/>
        <w:jc w:val="both"/>
        <w:rPr>
          <w:rFonts w:ascii="Times New Roman" w:hAnsi="Times New Roman"/>
          <w:b/>
          <w:sz w:val="24"/>
        </w:rPr>
      </w:pPr>
      <w:r>
        <w:rPr>
          <w:rFonts w:ascii="Times New Roman" w:hAnsi="Times New Roman"/>
          <w:b/>
          <w:sz w:val="24"/>
        </w:rPr>
        <w:t>Amount and Justification for any Proposed I</w:t>
      </w:r>
      <w:r w:rsidR="00D8037D" w:rsidRPr="00585058">
        <w:rPr>
          <w:rFonts w:ascii="Times New Roman" w:hAnsi="Times New Roman"/>
          <w:b/>
          <w:sz w:val="24"/>
        </w:rPr>
        <w:t>ncentive</w:t>
      </w:r>
      <w:r>
        <w:rPr>
          <w:rFonts w:ascii="Times New Roman" w:hAnsi="Times New Roman"/>
          <w:b/>
          <w:sz w:val="24"/>
        </w:rPr>
        <w:t>:</w:t>
      </w:r>
    </w:p>
    <w:p w14:paraId="0BF6C34D" w14:textId="77777777" w:rsidR="00EF771A" w:rsidRDefault="00EF771A" w:rsidP="00496388">
      <w:pPr>
        <w:jc w:val="both"/>
      </w:pPr>
    </w:p>
    <w:p w14:paraId="14AF283C" w14:textId="77777777" w:rsidR="00033BBF" w:rsidRPr="00973A12" w:rsidRDefault="00033BBF" w:rsidP="00D92968">
      <w:pPr>
        <w:pStyle w:val="ListParagraph"/>
        <w:ind w:left="360"/>
        <w:rPr>
          <w:u w:val="single"/>
        </w:rPr>
      </w:pPr>
      <w:r w:rsidRPr="00973A12">
        <w:rPr>
          <w:u w:val="single"/>
        </w:rPr>
        <w:t>Key Informant Interviews</w:t>
      </w:r>
    </w:p>
    <w:p w14:paraId="1EA72F4F" w14:textId="77777777" w:rsidR="00033BBF" w:rsidRDefault="00033BBF" w:rsidP="00D92968">
      <w:pPr>
        <w:pStyle w:val="ListParagraph"/>
        <w:ind w:left="360"/>
      </w:pPr>
    </w:p>
    <w:p w14:paraId="0ECEB54E" w14:textId="578B1C75" w:rsidR="004E5076" w:rsidRDefault="004828AF" w:rsidP="00D92968">
      <w:pPr>
        <w:pStyle w:val="ListParagraph"/>
        <w:ind w:left="360"/>
      </w:pPr>
      <w:r>
        <w:t xml:space="preserve">The proposed compensation for each group may be found </w:t>
      </w:r>
      <w:r w:rsidR="001A5113">
        <w:t xml:space="preserve">in Table </w:t>
      </w:r>
      <w:r w:rsidR="00854E84">
        <w:t>2</w:t>
      </w:r>
      <w:r>
        <w:t xml:space="preserve">. </w:t>
      </w:r>
      <w:r w:rsidR="000F7A8D">
        <w:t xml:space="preserve">The </w:t>
      </w:r>
      <w:r>
        <w:t>proposed compensation or “</w:t>
      </w:r>
      <w:r w:rsidR="000F7A8D">
        <w:t>incentive</w:t>
      </w:r>
      <w:r>
        <w:t>”</w:t>
      </w:r>
      <w:r w:rsidR="000F7A8D">
        <w:t xml:space="preserve"> is not a reward or salary. Rather, it is a stimulus to </w:t>
      </w:r>
      <w:r w:rsidR="00EF771A">
        <w:t>participate in the interview</w:t>
      </w:r>
      <w:r w:rsidR="000F7A8D">
        <w:t xml:space="preserve">. </w:t>
      </w:r>
      <w:r w:rsidR="00B84DB2">
        <w:t>Proposed incentive rates are in accordance with standard practice and based on several factors including education and training, level of expertise, access to participants, and willingness to participate.</w:t>
      </w:r>
      <w:r w:rsidR="0059197E">
        <w:t xml:space="preserve"> </w:t>
      </w:r>
    </w:p>
    <w:p w14:paraId="2B0E2F61" w14:textId="77777777" w:rsidR="004E5076" w:rsidRDefault="004E5076" w:rsidP="00D92968">
      <w:pPr>
        <w:pStyle w:val="ListParagraph"/>
        <w:ind w:left="360"/>
      </w:pPr>
    </w:p>
    <w:p w14:paraId="5A3C5F00" w14:textId="77777777" w:rsidR="008B1252" w:rsidRDefault="007A5483" w:rsidP="00D92968">
      <w:pPr>
        <w:pStyle w:val="ListParagraph"/>
        <w:ind w:left="360"/>
      </w:pPr>
      <w:r>
        <w:t xml:space="preserve">Incentives are based on </w:t>
      </w:r>
      <w:r w:rsidR="002E4E3A">
        <w:t>the Auburn-</w:t>
      </w:r>
      <w:r w:rsidR="00537433">
        <w:t>IMPAQ</w:t>
      </w:r>
      <w:r w:rsidR="002E4E3A">
        <w:t xml:space="preserve"> team</w:t>
      </w:r>
      <w:r w:rsidR="00537433">
        <w:t>’s previous</w:t>
      </w:r>
      <w:r>
        <w:t xml:space="preserve"> experience</w:t>
      </w:r>
      <w:r w:rsidR="00537433">
        <w:t xml:space="preserve"> conducting key informant interviews with these particular groups</w:t>
      </w:r>
      <w:r>
        <w:t>. O</w:t>
      </w:r>
      <w:r w:rsidR="008B1252">
        <w:t>ffering an incentive below the</w:t>
      </w:r>
      <w:r>
        <w:t>se rates</w:t>
      </w:r>
      <w:r w:rsidR="008B1252">
        <w:t xml:space="preserve"> may result in increased costs exceeding the amount saved with a lower incentive. Consequences of insufficient incentives include increased time and cost of recruitment</w:t>
      </w:r>
      <w:r w:rsidR="00577C4B">
        <w:t xml:space="preserve">, </w:t>
      </w:r>
      <w:r w:rsidR="008B1252">
        <w:t>increased “no-show” rate</w:t>
      </w:r>
      <w:r w:rsidR="00577C4B">
        <w:t xml:space="preserve">s, </w:t>
      </w:r>
      <w:r w:rsidR="00035B68">
        <w:t xml:space="preserve">and </w:t>
      </w:r>
      <w:r w:rsidR="008B1252">
        <w:t xml:space="preserve">increased probability of cancelled or postponed </w:t>
      </w:r>
      <w:r w:rsidR="00EF771A">
        <w:t>interviews</w:t>
      </w:r>
      <w:r w:rsidR="008B1252">
        <w:t>.</w:t>
      </w:r>
      <w:r w:rsidR="00B84DB2">
        <w:t xml:space="preserve"> </w:t>
      </w:r>
    </w:p>
    <w:p w14:paraId="74238F42" w14:textId="12E4B69F" w:rsidR="00E36995" w:rsidRPr="00E36995" w:rsidRDefault="00E36995" w:rsidP="00D92968">
      <w:pPr>
        <w:ind w:left="360"/>
        <w:rPr>
          <w:rFonts w:ascii="Times New Roman" w:hAnsi="Times New Roman"/>
          <w:sz w:val="24"/>
          <w:szCs w:val="24"/>
        </w:rPr>
      </w:pPr>
    </w:p>
    <w:p w14:paraId="133BDBFA" w14:textId="0213F1B6" w:rsidR="002E4E3A" w:rsidRDefault="002E4E3A" w:rsidP="00D92968">
      <w:pPr>
        <w:pStyle w:val="ListParagraph"/>
        <w:ind w:left="360"/>
      </w:pPr>
      <w:r w:rsidRPr="002E4E3A">
        <w:t>Incentives will be di</w:t>
      </w:r>
      <w:r>
        <w:t>stributed upon completion of each</w:t>
      </w:r>
      <w:r w:rsidRPr="002E4E3A">
        <w:t xml:space="preserve"> </w:t>
      </w:r>
      <w:r>
        <w:t>interview</w:t>
      </w:r>
      <w:r w:rsidRPr="002E4E3A">
        <w:t xml:space="preserve">. All incentives will be distributed in a check paid by </w:t>
      </w:r>
      <w:r>
        <w:t>IMPAQ International</w:t>
      </w:r>
      <w:r w:rsidRPr="002E4E3A">
        <w:t xml:space="preserve">. The name and address of the recipient and date mailed will be the only information noted. For those participants in which an annual amount of $600 or more is expected to be issued by </w:t>
      </w:r>
      <w:r>
        <w:t>IMPAQ International</w:t>
      </w:r>
      <w:r w:rsidRPr="002E4E3A">
        <w:t xml:space="preserve"> for participation in this and other studies, they will be given a W9 to complete before payment is issued. These participants will also be mailed a 1099 at the end of the year for tax purposes. All financial records will be kept</w:t>
      </w:r>
      <w:r w:rsidR="000918ED">
        <w:t xml:space="preserve"> </w:t>
      </w:r>
      <w:r w:rsidR="000918ED" w:rsidRPr="000918ED">
        <w:t>private to the extent permitted by law</w:t>
      </w:r>
      <w:r w:rsidRPr="002E4E3A">
        <w:t xml:space="preserve"> and stored on a secure server. Information will not be shared with anyone outside of the IMPAQ financial staff. Upon completion of this project all participant information</w:t>
      </w:r>
      <w:r w:rsidR="00E50297">
        <w:t xml:space="preserve"> that were kept private to the extent permitted by law</w:t>
      </w:r>
      <w:r w:rsidRPr="002E4E3A">
        <w:t xml:space="preserve"> not pertinent to financial record keeping will be destroyed.   </w:t>
      </w:r>
    </w:p>
    <w:p w14:paraId="7A72C92D" w14:textId="77777777" w:rsidR="00033BBF" w:rsidRDefault="00033BBF" w:rsidP="00496388">
      <w:pPr>
        <w:pStyle w:val="ListParagraph"/>
        <w:jc w:val="both"/>
      </w:pPr>
    </w:p>
    <w:p w14:paraId="209CCEDE" w14:textId="77777777" w:rsidR="00033BBF" w:rsidRPr="00DC3D45" w:rsidRDefault="00033BBF" w:rsidP="00D92968">
      <w:pPr>
        <w:pStyle w:val="ListParagraph"/>
        <w:ind w:left="360"/>
        <w:rPr>
          <w:color w:val="000000" w:themeColor="text1"/>
          <w:u w:val="single"/>
        </w:rPr>
      </w:pPr>
      <w:r w:rsidRPr="00DC3D45">
        <w:rPr>
          <w:color w:val="000000" w:themeColor="text1"/>
          <w:u w:val="single"/>
        </w:rPr>
        <w:t>Surveys</w:t>
      </w:r>
    </w:p>
    <w:p w14:paraId="3AB8D684" w14:textId="77777777" w:rsidR="00973A12" w:rsidRDefault="00973A12" w:rsidP="00D92968">
      <w:pPr>
        <w:pStyle w:val="ListParagraph"/>
        <w:ind w:left="360"/>
        <w:rPr>
          <w:color w:val="FF0000"/>
          <w:u w:val="single"/>
        </w:rPr>
      </w:pPr>
    </w:p>
    <w:p w14:paraId="600A64D0" w14:textId="78C87529" w:rsidR="00AC68AA" w:rsidRDefault="00AC68AA" w:rsidP="00D92968">
      <w:pPr>
        <w:pStyle w:val="ListParagraph"/>
        <w:ind w:left="360"/>
      </w:pPr>
      <w:r>
        <w:t xml:space="preserve">The proposed compensation for each group may be found in Table </w:t>
      </w:r>
      <w:r w:rsidR="00854E84">
        <w:t>2</w:t>
      </w:r>
      <w:r>
        <w:t xml:space="preserve">. The proposed compensation or “incentive” is not a reward or salary. Rather, it is a stimulus to </w:t>
      </w:r>
      <w:r w:rsidR="008A67EB">
        <w:t>participate in the survey</w:t>
      </w:r>
      <w:r>
        <w:t xml:space="preserve">. Proposed incentive rates are in accordance with standard practice and based on several factors including education and training, level of expertise, access to participants, and willingness to participate. </w:t>
      </w:r>
    </w:p>
    <w:p w14:paraId="09CA57C2" w14:textId="77777777" w:rsidR="00AC68AA" w:rsidRDefault="00AC68AA" w:rsidP="00D92968">
      <w:pPr>
        <w:pStyle w:val="ListParagraph"/>
        <w:ind w:left="360"/>
      </w:pPr>
    </w:p>
    <w:p w14:paraId="329558F0" w14:textId="77777777" w:rsidR="00AC68AA" w:rsidRDefault="00AC68AA" w:rsidP="00D92968">
      <w:pPr>
        <w:pStyle w:val="ListParagraph"/>
        <w:ind w:left="360"/>
      </w:pPr>
      <w:r>
        <w:t xml:space="preserve">Offering an incentive below these rates may result in increased costs exceeding the amount saved with a lower incentive. Consequences of insufficient incentives include increased time and cost of recruitment, </w:t>
      </w:r>
      <w:r w:rsidR="00C03195">
        <w:t>decreased survey response rate, and</w:t>
      </w:r>
      <w:r>
        <w:t xml:space="preserve"> </w:t>
      </w:r>
      <w:r w:rsidR="00C03195">
        <w:t xml:space="preserve">decreased participant engagement with survey content.  </w:t>
      </w:r>
      <w:r>
        <w:t xml:space="preserve"> </w:t>
      </w:r>
    </w:p>
    <w:p w14:paraId="2681B027" w14:textId="77777777" w:rsidR="005D339C" w:rsidRDefault="005D339C" w:rsidP="00496388">
      <w:pPr>
        <w:pStyle w:val="ListParagraph"/>
        <w:rPr>
          <w:color w:val="FF0000"/>
          <w:u w:val="single"/>
        </w:rPr>
      </w:pPr>
    </w:p>
    <w:p w14:paraId="584F8E26" w14:textId="1F73712E" w:rsidR="00973A12" w:rsidRPr="00CB71C8" w:rsidRDefault="00973A12" w:rsidP="00D92968">
      <w:pPr>
        <w:pStyle w:val="ListParagraph"/>
        <w:ind w:left="360"/>
      </w:pPr>
      <w:r w:rsidRPr="00CB71C8">
        <w:t xml:space="preserve">Table </w:t>
      </w:r>
      <w:r w:rsidR="000E15CB">
        <w:t>2</w:t>
      </w:r>
      <w:r w:rsidRPr="00CB71C8">
        <w:t>. Respondent Compensation</w:t>
      </w:r>
    </w:p>
    <w:tbl>
      <w:tblPr>
        <w:tblStyle w:val="TableGrid"/>
        <w:tblW w:w="0" w:type="auto"/>
        <w:tblInd w:w="355" w:type="dxa"/>
        <w:tblLook w:val="04A0" w:firstRow="1" w:lastRow="0" w:firstColumn="1" w:lastColumn="0" w:noHBand="0" w:noVBand="1"/>
      </w:tblPr>
      <w:tblGrid>
        <w:gridCol w:w="3970"/>
        <w:gridCol w:w="3940"/>
      </w:tblGrid>
      <w:tr w:rsidR="00973A12" w14:paraId="7BF3EFE7" w14:textId="77777777" w:rsidTr="00D92968">
        <w:trPr>
          <w:trHeight w:val="332"/>
        </w:trPr>
        <w:tc>
          <w:tcPr>
            <w:tcW w:w="3970" w:type="dxa"/>
          </w:tcPr>
          <w:p w14:paraId="7F0D3AAB" w14:textId="77777777" w:rsidR="00973A12" w:rsidRPr="00A60899" w:rsidRDefault="00973A12" w:rsidP="00496388">
            <w:pPr>
              <w:pStyle w:val="ListParagraph"/>
              <w:ind w:left="0"/>
              <w:rPr>
                <w:b/>
              </w:rPr>
            </w:pPr>
            <w:r w:rsidRPr="00A60899">
              <w:rPr>
                <w:b/>
              </w:rPr>
              <w:t xml:space="preserve">Group </w:t>
            </w:r>
          </w:p>
        </w:tc>
        <w:tc>
          <w:tcPr>
            <w:tcW w:w="3940" w:type="dxa"/>
          </w:tcPr>
          <w:p w14:paraId="39909D6B" w14:textId="77777777" w:rsidR="00973A12" w:rsidRPr="00A60899" w:rsidRDefault="00973A12" w:rsidP="00496388">
            <w:pPr>
              <w:pStyle w:val="ListParagraph"/>
              <w:ind w:left="0"/>
              <w:rPr>
                <w:b/>
              </w:rPr>
            </w:pPr>
            <w:r w:rsidRPr="00A60899">
              <w:rPr>
                <w:b/>
              </w:rPr>
              <w:t>Incentive Amount</w:t>
            </w:r>
          </w:p>
        </w:tc>
      </w:tr>
      <w:tr w:rsidR="000E15CB" w14:paraId="0C76F3D1" w14:textId="77777777" w:rsidTr="00D92968">
        <w:tc>
          <w:tcPr>
            <w:tcW w:w="3970" w:type="dxa"/>
          </w:tcPr>
          <w:p w14:paraId="4B95E68A" w14:textId="77777777" w:rsidR="000E15CB" w:rsidRDefault="000E15CB" w:rsidP="003D28FE">
            <w:pPr>
              <w:pStyle w:val="ListParagraph"/>
              <w:ind w:left="0"/>
            </w:pPr>
            <w:r>
              <w:t>Formulary Managers</w:t>
            </w:r>
          </w:p>
        </w:tc>
        <w:tc>
          <w:tcPr>
            <w:tcW w:w="3940" w:type="dxa"/>
          </w:tcPr>
          <w:p w14:paraId="50BA0C4E" w14:textId="00C8CAAC" w:rsidR="000E15CB" w:rsidRDefault="000E15CB" w:rsidP="00F8692D">
            <w:pPr>
              <w:pStyle w:val="ListParagraph"/>
              <w:ind w:left="0"/>
            </w:pPr>
            <w:r>
              <w:t>$</w:t>
            </w:r>
            <w:r w:rsidR="00F8692D">
              <w:t>75</w:t>
            </w:r>
          </w:p>
        </w:tc>
      </w:tr>
      <w:tr w:rsidR="000E15CB" w14:paraId="23AAE762" w14:textId="77777777" w:rsidTr="00D92968">
        <w:tc>
          <w:tcPr>
            <w:tcW w:w="3970" w:type="dxa"/>
          </w:tcPr>
          <w:p w14:paraId="4A74467B" w14:textId="77777777" w:rsidR="000E15CB" w:rsidRDefault="000E15CB" w:rsidP="003D28FE">
            <w:pPr>
              <w:pStyle w:val="ListParagraph"/>
              <w:ind w:left="0"/>
            </w:pPr>
            <w:r>
              <w:t>Policymakers</w:t>
            </w:r>
          </w:p>
        </w:tc>
        <w:tc>
          <w:tcPr>
            <w:tcW w:w="3940" w:type="dxa"/>
          </w:tcPr>
          <w:p w14:paraId="69C0C74E" w14:textId="5E6A368C" w:rsidR="000E15CB" w:rsidRDefault="000E15CB" w:rsidP="00F8692D">
            <w:pPr>
              <w:pStyle w:val="ListParagraph"/>
              <w:ind w:left="0"/>
            </w:pPr>
            <w:r>
              <w:t>$</w:t>
            </w:r>
            <w:r w:rsidR="00F8692D">
              <w:t>75</w:t>
            </w:r>
            <w:r>
              <w:t xml:space="preserve"> (If Applicable) </w:t>
            </w:r>
          </w:p>
        </w:tc>
      </w:tr>
      <w:tr w:rsidR="000E15CB" w14:paraId="7095AEC0" w14:textId="77777777" w:rsidTr="00D92968">
        <w:tc>
          <w:tcPr>
            <w:tcW w:w="3970" w:type="dxa"/>
          </w:tcPr>
          <w:p w14:paraId="6E7B7197" w14:textId="77777777" w:rsidR="000E15CB" w:rsidRDefault="000E15CB" w:rsidP="003D28FE">
            <w:pPr>
              <w:pStyle w:val="ListParagraph"/>
              <w:ind w:left="0"/>
            </w:pPr>
            <w:r>
              <w:t>Large Purchasers of Drugs</w:t>
            </w:r>
          </w:p>
        </w:tc>
        <w:tc>
          <w:tcPr>
            <w:tcW w:w="3940" w:type="dxa"/>
          </w:tcPr>
          <w:p w14:paraId="10C1A9A4" w14:textId="54D6608E" w:rsidR="000E15CB" w:rsidRDefault="000E15CB" w:rsidP="00F8692D">
            <w:pPr>
              <w:pStyle w:val="ListParagraph"/>
              <w:ind w:left="0"/>
            </w:pPr>
            <w:r>
              <w:t>$</w:t>
            </w:r>
            <w:r w:rsidR="00F8692D">
              <w:t>75</w:t>
            </w:r>
          </w:p>
        </w:tc>
      </w:tr>
      <w:tr w:rsidR="00973A12" w14:paraId="59D05140" w14:textId="77777777" w:rsidTr="00D92968">
        <w:tc>
          <w:tcPr>
            <w:tcW w:w="3970" w:type="dxa"/>
          </w:tcPr>
          <w:p w14:paraId="58476F8C" w14:textId="77777777" w:rsidR="00973A12" w:rsidRDefault="0022032D" w:rsidP="00496388">
            <w:pPr>
              <w:pStyle w:val="ListParagraph"/>
              <w:ind w:left="0"/>
            </w:pPr>
            <w:r>
              <w:t>Prescribers</w:t>
            </w:r>
          </w:p>
        </w:tc>
        <w:tc>
          <w:tcPr>
            <w:tcW w:w="3940" w:type="dxa"/>
          </w:tcPr>
          <w:p w14:paraId="478F26CD" w14:textId="77777777" w:rsidR="00973A12" w:rsidRDefault="0022032D" w:rsidP="00496388">
            <w:pPr>
              <w:pStyle w:val="ListParagraph"/>
              <w:ind w:left="0"/>
            </w:pPr>
            <w:r>
              <w:t>$</w:t>
            </w:r>
            <w:r w:rsidR="005023D1">
              <w:t>50</w:t>
            </w:r>
          </w:p>
        </w:tc>
      </w:tr>
      <w:tr w:rsidR="00973A12" w14:paraId="6D82A467" w14:textId="77777777" w:rsidTr="00D92968">
        <w:tc>
          <w:tcPr>
            <w:tcW w:w="3970" w:type="dxa"/>
          </w:tcPr>
          <w:p w14:paraId="27C9E8BB" w14:textId="77777777" w:rsidR="00973A12" w:rsidRDefault="0022032D" w:rsidP="00496388">
            <w:pPr>
              <w:pStyle w:val="ListParagraph"/>
              <w:ind w:left="0"/>
            </w:pPr>
            <w:r>
              <w:t>Pharmacists</w:t>
            </w:r>
          </w:p>
        </w:tc>
        <w:tc>
          <w:tcPr>
            <w:tcW w:w="3940" w:type="dxa"/>
          </w:tcPr>
          <w:p w14:paraId="07F217AB" w14:textId="77777777" w:rsidR="00973A12" w:rsidRDefault="0022032D" w:rsidP="00496388">
            <w:pPr>
              <w:pStyle w:val="ListParagraph"/>
              <w:ind w:left="0"/>
            </w:pPr>
            <w:r>
              <w:t>$</w:t>
            </w:r>
            <w:r w:rsidR="005023D1">
              <w:t>50</w:t>
            </w:r>
          </w:p>
        </w:tc>
      </w:tr>
      <w:tr w:rsidR="00973A12" w14:paraId="65B850C0" w14:textId="77777777" w:rsidTr="00D92968">
        <w:tc>
          <w:tcPr>
            <w:tcW w:w="3970" w:type="dxa"/>
          </w:tcPr>
          <w:p w14:paraId="47EA06D8" w14:textId="77777777" w:rsidR="00973A12" w:rsidRDefault="0022032D" w:rsidP="00496388">
            <w:pPr>
              <w:pStyle w:val="ListParagraph"/>
              <w:ind w:left="0"/>
            </w:pPr>
            <w:r>
              <w:t>Patients/Caregivers</w:t>
            </w:r>
          </w:p>
        </w:tc>
        <w:tc>
          <w:tcPr>
            <w:tcW w:w="3940" w:type="dxa"/>
          </w:tcPr>
          <w:p w14:paraId="78155705" w14:textId="77777777" w:rsidR="00973A12" w:rsidRDefault="0022032D" w:rsidP="00496388">
            <w:pPr>
              <w:pStyle w:val="ListParagraph"/>
              <w:ind w:left="0"/>
            </w:pPr>
            <w:r>
              <w:t>$</w:t>
            </w:r>
            <w:r w:rsidR="00AF05C4">
              <w:t>25</w:t>
            </w:r>
          </w:p>
        </w:tc>
      </w:tr>
    </w:tbl>
    <w:p w14:paraId="6AFED25A" w14:textId="77777777" w:rsidR="00973A12" w:rsidRPr="00E36995" w:rsidRDefault="00973A12" w:rsidP="00496388">
      <w:pPr>
        <w:ind w:left="720"/>
        <w:jc w:val="both"/>
        <w:rPr>
          <w:rFonts w:ascii="Times New Roman" w:hAnsi="Times New Roman"/>
          <w:sz w:val="24"/>
          <w:szCs w:val="24"/>
        </w:rPr>
      </w:pPr>
    </w:p>
    <w:p w14:paraId="06BED957" w14:textId="77777777" w:rsidR="008A5BEA" w:rsidRDefault="008A5BEA" w:rsidP="00D92968">
      <w:pPr>
        <w:pStyle w:val="ListParagraph"/>
        <w:ind w:left="360"/>
      </w:pPr>
    </w:p>
    <w:p w14:paraId="4D92E563" w14:textId="77777777" w:rsidR="008A5BEA" w:rsidRDefault="008A5BEA" w:rsidP="00D92968">
      <w:pPr>
        <w:pStyle w:val="ListParagraph"/>
        <w:ind w:left="360"/>
      </w:pPr>
    </w:p>
    <w:p w14:paraId="7A820A36" w14:textId="5B7C609A" w:rsidR="008A5BEA" w:rsidRDefault="00D90223" w:rsidP="00D92968">
      <w:pPr>
        <w:pStyle w:val="ListParagraph"/>
        <w:ind w:left="360"/>
      </w:pPr>
      <w:r w:rsidRPr="002E4E3A">
        <w:t>Incentives will be di</w:t>
      </w:r>
      <w:r>
        <w:t>stributed upon completion of each</w:t>
      </w:r>
      <w:r w:rsidRPr="002E4E3A">
        <w:t xml:space="preserve"> </w:t>
      </w:r>
      <w:r>
        <w:t>survey</w:t>
      </w:r>
      <w:r w:rsidRPr="002E4E3A">
        <w:t xml:space="preserve">. All incentives will be </w:t>
      </w:r>
    </w:p>
    <w:p w14:paraId="33B7D2DA" w14:textId="012BB537" w:rsidR="00973A12" w:rsidRPr="00973A12" w:rsidRDefault="00D90223" w:rsidP="008A5BEA">
      <w:pPr>
        <w:pStyle w:val="ListParagraph"/>
        <w:ind w:left="360"/>
        <w:rPr>
          <w:color w:val="FF0000"/>
          <w:u w:val="single"/>
        </w:rPr>
      </w:pPr>
      <w:r w:rsidRPr="002E4E3A">
        <w:t xml:space="preserve">distributed in a check paid by </w:t>
      </w:r>
      <w:r>
        <w:t>Auburn University</w:t>
      </w:r>
      <w:r w:rsidRPr="002E4E3A">
        <w:t>. The name</w:t>
      </w:r>
      <w:r w:rsidR="00496388">
        <w:t xml:space="preserve"> and</w:t>
      </w:r>
      <w:r w:rsidRPr="002E4E3A">
        <w:t xml:space="preserve"> address</w:t>
      </w:r>
      <w:r w:rsidR="00496388">
        <w:t xml:space="preserve"> </w:t>
      </w:r>
      <w:r w:rsidRPr="002E4E3A">
        <w:t>of the recipient and date mailed will be the only information noted.</w:t>
      </w:r>
      <w:r w:rsidR="00E33FCE">
        <w:t xml:space="preserve"> </w:t>
      </w:r>
      <w:r w:rsidR="008A5BEA">
        <w:t>A</w:t>
      </w:r>
      <w:r w:rsidRPr="002E4E3A">
        <w:t>ll financial records will be kept</w:t>
      </w:r>
      <w:r w:rsidR="00077415" w:rsidRPr="00077415">
        <w:t xml:space="preserve"> private to the extent permitted by law</w:t>
      </w:r>
      <w:r w:rsidR="00077415">
        <w:t xml:space="preserve"> </w:t>
      </w:r>
      <w:r w:rsidRPr="002E4E3A">
        <w:t xml:space="preserve">and stored on a secure server.  Information will not be shared with anyone outside of the </w:t>
      </w:r>
      <w:r w:rsidR="00BF70C4">
        <w:t>Auburn</w:t>
      </w:r>
      <w:r w:rsidRPr="002E4E3A">
        <w:t xml:space="preserve"> financial staff. Upon completion of this project all confidential participant information not pertinent to financial record keeping will be destroyed.   </w:t>
      </w:r>
    </w:p>
    <w:p w14:paraId="2E20BF60" w14:textId="77777777" w:rsidR="002E4E3A" w:rsidRPr="00585058" w:rsidRDefault="002E4E3A" w:rsidP="00496388">
      <w:pPr>
        <w:pStyle w:val="ListParagraph"/>
      </w:pPr>
    </w:p>
    <w:p w14:paraId="395A98F9" w14:textId="77777777" w:rsidR="00D8037D" w:rsidRPr="00585058" w:rsidRDefault="00D8037D" w:rsidP="00CD3D37">
      <w:pPr>
        <w:numPr>
          <w:ilvl w:val="0"/>
          <w:numId w:val="1"/>
        </w:numPr>
        <w:tabs>
          <w:tab w:val="clear" w:pos="1296"/>
          <w:tab w:val="num" w:pos="360"/>
        </w:tabs>
        <w:autoSpaceDE/>
        <w:autoSpaceDN/>
        <w:adjustRightInd/>
        <w:ind w:left="720" w:hanging="720"/>
        <w:rPr>
          <w:rFonts w:ascii="Times New Roman" w:hAnsi="Times New Roman"/>
          <w:b/>
          <w:sz w:val="24"/>
        </w:rPr>
      </w:pPr>
      <w:r w:rsidRPr="00585058">
        <w:rPr>
          <w:rFonts w:ascii="Times New Roman" w:hAnsi="Times New Roman"/>
          <w:b/>
          <w:sz w:val="24"/>
        </w:rPr>
        <w:t>Questions of a Sensitive Nature</w:t>
      </w:r>
      <w:r w:rsidR="00585058">
        <w:rPr>
          <w:rFonts w:ascii="Times New Roman" w:hAnsi="Times New Roman"/>
          <w:b/>
          <w:sz w:val="24"/>
        </w:rPr>
        <w:t>:</w:t>
      </w:r>
    </w:p>
    <w:p w14:paraId="63AB4CCA" w14:textId="77777777" w:rsidR="00D8037D" w:rsidRDefault="00D8037D" w:rsidP="00496388">
      <w:pPr>
        <w:pStyle w:val="ListParagraph"/>
      </w:pPr>
    </w:p>
    <w:p w14:paraId="50BA1FED" w14:textId="519A5A16" w:rsidR="004A054E" w:rsidRDefault="00C060B9" w:rsidP="008A5BEA">
      <w:pPr>
        <w:pStyle w:val="ListParagraph"/>
        <w:ind w:left="360"/>
      </w:pPr>
      <w:r>
        <w:t>There will be no questions of a sensitive nature asked of participants</w:t>
      </w:r>
      <w:r w:rsidR="00033BBF">
        <w:t xml:space="preserve"> during the key informant interviews or surveys</w:t>
      </w:r>
      <w:r>
        <w:t>.</w:t>
      </w:r>
    </w:p>
    <w:p w14:paraId="0F679CE5" w14:textId="77777777" w:rsidR="00F4381F" w:rsidRPr="00585058" w:rsidRDefault="00F4381F" w:rsidP="00496388"/>
    <w:p w14:paraId="14FAAFD9" w14:textId="77777777" w:rsidR="00D8037D" w:rsidRPr="00585058" w:rsidRDefault="00D8037D" w:rsidP="00CD3D37">
      <w:pPr>
        <w:numPr>
          <w:ilvl w:val="0"/>
          <w:numId w:val="1"/>
        </w:numPr>
        <w:tabs>
          <w:tab w:val="clear" w:pos="1296"/>
          <w:tab w:val="num" w:pos="360"/>
        </w:tabs>
        <w:autoSpaceDE/>
        <w:autoSpaceDN/>
        <w:adjustRightInd/>
        <w:ind w:left="720" w:hanging="720"/>
        <w:rPr>
          <w:rFonts w:ascii="Times New Roman" w:hAnsi="Times New Roman"/>
          <w:b/>
          <w:sz w:val="24"/>
        </w:rPr>
      </w:pPr>
      <w:r w:rsidRPr="00585058">
        <w:rPr>
          <w:rFonts w:ascii="Times New Roman" w:hAnsi="Times New Roman"/>
          <w:b/>
          <w:sz w:val="24"/>
        </w:rPr>
        <w:t>Description of Statistical Methods</w:t>
      </w:r>
      <w:r w:rsidR="00585058">
        <w:rPr>
          <w:rFonts w:ascii="Times New Roman" w:hAnsi="Times New Roman"/>
          <w:b/>
          <w:sz w:val="24"/>
        </w:rPr>
        <w:t>:</w:t>
      </w:r>
    </w:p>
    <w:p w14:paraId="7038C337" w14:textId="77777777" w:rsidR="00D8037D" w:rsidRDefault="00D8037D" w:rsidP="00496388">
      <w:pPr>
        <w:pStyle w:val="ListParagraph"/>
      </w:pPr>
    </w:p>
    <w:p w14:paraId="4CA5F556" w14:textId="77777777" w:rsidR="005B163F" w:rsidRPr="005B163F" w:rsidRDefault="005B163F" w:rsidP="00CD3D37">
      <w:pPr>
        <w:ind w:left="360"/>
        <w:rPr>
          <w:rFonts w:ascii="Times New Roman" w:hAnsi="Times New Roman"/>
          <w:sz w:val="24"/>
          <w:szCs w:val="24"/>
          <w:u w:val="single"/>
        </w:rPr>
      </w:pPr>
      <w:r w:rsidRPr="005B163F">
        <w:rPr>
          <w:rFonts w:ascii="Times New Roman" w:hAnsi="Times New Roman"/>
          <w:sz w:val="24"/>
          <w:szCs w:val="24"/>
          <w:u w:val="single"/>
        </w:rPr>
        <w:t>Key Informant Interviews</w:t>
      </w:r>
    </w:p>
    <w:p w14:paraId="15C1D4DD" w14:textId="77777777" w:rsidR="005B163F" w:rsidRDefault="005B163F" w:rsidP="00CD3D37">
      <w:pPr>
        <w:ind w:left="360"/>
        <w:rPr>
          <w:rFonts w:ascii="Times New Roman" w:hAnsi="Times New Roman"/>
          <w:sz w:val="24"/>
          <w:szCs w:val="24"/>
        </w:rPr>
      </w:pPr>
    </w:p>
    <w:p w14:paraId="480FD5FC" w14:textId="77777777" w:rsidR="00F5691F" w:rsidRDefault="00033BBF" w:rsidP="00CD3D37">
      <w:pPr>
        <w:ind w:left="360"/>
        <w:rPr>
          <w:rFonts w:ascii="Times New Roman" w:hAnsi="Times New Roman"/>
          <w:sz w:val="24"/>
          <w:szCs w:val="24"/>
        </w:rPr>
      </w:pPr>
      <w:r w:rsidRPr="00973A12">
        <w:rPr>
          <w:rFonts w:ascii="Times New Roman" w:hAnsi="Times New Roman"/>
          <w:sz w:val="24"/>
          <w:szCs w:val="24"/>
        </w:rPr>
        <w:t>The key informant interviews are a</w:t>
      </w:r>
      <w:r w:rsidR="00BF258B" w:rsidRPr="00973A12">
        <w:rPr>
          <w:rFonts w:ascii="Times New Roman" w:hAnsi="Times New Roman"/>
          <w:sz w:val="24"/>
          <w:szCs w:val="24"/>
        </w:rPr>
        <w:t xml:space="preserve"> qualitative</w:t>
      </w:r>
      <w:r w:rsidRPr="00973A12">
        <w:rPr>
          <w:rFonts w:ascii="Times New Roman" w:hAnsi="Times New Roman"/>
          <w:sz w:val="24"/>
          <w:szCs w:val="24"/>
        </w:rPr>
        <w:t xml:space="preserve"> component of the</w:t>
      </w:r>
      <w:r w:rsidR="00BF258B" w:rsidRPr="00973A12">
        <w:rPr>
          <w:rFonts w:ascii="Times New Roman" w:hAnsi="Times New Roman"/>
          <w:sz w:val="24"/>
          <w:szCs w:val="24"/>
        </w:rPr>
        <w:t xml:space="preserve"> study using a convenience sample. </w:t>
      </w:r>
      <w:r w:rsidR="00CD13F5" w:rsidRPr="00973A12">
        <w:rPr>
          <w:rFonts w:ascii="Times New Roman" w:hAnsi="Times New Roman"/>
          <w:sz w:val="24"/>
          <w:szCs w:val="24"/>
        </w:rPr>
        <w:t>As such,</w:t>
      </w:r>
      <w:r w:rsidR="005F0973" w:rsidRPr="00973A12">
        <w:rPr>
          <w:rFonts w:ascii="Times New Roman" w:hAnsi="Times New Roman"/>
          <w:sz w:val="24"/>
          <w:szCs w:val="24"/>
        </w:rPr>
        <w:t xml:space="preserve"> the analyses do</w:t>
      </w:r>
      <w:r w:rsidR="00BF258B" w:rsidRPr="00973A12">
        <w:rPr>
          <w:rFonts w:ascii="Times New Roman" w:hAnsi="Times New Roman"/>
          <w:sz w:val="24"/>
          <w:szCs w:val="24"/>
        </w:rPr>
        <w:t xml:space="preserve"> not entail the use of </w:t>
      </w:r>
      <w:r w:rsidR="005F0973" w:rsidRPr="00973A12">
        <w:rPr>
          <w:rFonts w:ascii="Times New Roman" w:hAnsi="Times New Roman"/>
          <w:sz w:val="24"/>
          <w:szCs w:val="24"/>
        </w:rPr>
        <w:t>statistics</w:t>
      </w:r>
      <w:r w:rsidR="00BF258B" w:rsidRPr="00973A12">
        <w:rPr>
          <w:rFonts w:ascii="Times New Roman" w:hAnsi="Times New Roman"/>
          <w:sz w:val="24"/>
          <w:szCs w:val="24"/>
        </w:rPr>
        <w:t>.</w:t>
      </w:r>
      <w:r w:rsidR="00973A12" w:rsidRPr="00973A12">
        <w:rPr>
          <w:rFonts w:ascii="Times New Roman" w:hAnsi="Times New Roman"/>
          <w:sz w:val="24"/>
          <w:szCs w:val="24"/>
        </w:rPr>
        <w:t xml:space="preserve"> </w:t>
      </w:r>
      <w:r w:rsidR="00774BCD" w:rsidRPr="00973A12">
        <w:rPr>
          <w:rFonts w:ascii="Times New Roman" w:hAnsi="Times New Roman"/>
          <w:sz w:val="24"/>
          <w:szCs w:val="24"/>
        </w:rPr>
        <w:t>U</w:t>
      </w:r>
      <w:r w:rsidR="009761CA" w:rsidRPr="00973A12">
        <w:rPr>
          <w:rFonts w:ascii="Times New Roman" w:hAnsi="Times New Roman"/>
          <w:sz w:val="24"/>
          <w:szCs w:val="24"/>
        </w:rPr>
        <w:t>sing NVivo 1</w:t>
      </w:r>
      <w:r w:rsidR="00003A08">
        <w:rPr>
          <w:rFonts w:ascii="Times New Roman" w:hAnsi="Times New Roman"/>
          <w:sz w:val="24"/>
          <w:szCs w:val="24"/>
        </w:rPr>
        <w:t>1</w:t>
      </w:r>
      <w:r w:rsidR="009761CA" w:rsidRPr="00973A12">
        <w:rPr>
          <w:rFonts w:ascii="Times New Roman" w:hAnsi="Times New Roman"/>
          <w:sz w:val="24"/>
          <w:szCs w:val="24"/>
        </w:rPr>
        <w:t xml:space="preserve"> </w:t>
      </w:r>
      <w:r w:rsidR="00774BCD" w:rsidRPr="00973A12">
        <w:rPr>
          <w:rFonts w:ascii="Times New Roman" w:hAnsi="Times New Roman"/>
          <w:sz w:val="24"/>
          <w:szCs w:val="24"/>
        </w:rPr>
        <w:t>software, i</w:t>
      </w:r>
      <w:r w:rsidR="009761CA" w:rsidRPr="00973A12">
        <w:rPr>
          <w:rFonts w:ascii="Times New Roman" w:hAnsi="Times New Roman"/>
          <w:sz w:val="24"/>
          <w:szCs w:val="24"/>
        </w:rPr>
        <w:t xml:space="preserve">nitial themes from the </w:t>
      </w:r>
      <w:r w:rsidR="00BA1659" w:rsidRPr="00973A12">
        <w:rPr>
          <w:rFonts w:ascii="Times New Roman" w:hAnsi="Times New Roman"/>
          <w:sz w:val="24"/>
          <w:szCs w:val="24"/>
        </w:rPr>
        <w:t>transcripts will be identified and then discussed until all team members agree on major themes and a final code book. Team members’ coded data will be compared for variations and periodically discussed as needed until consensus is reached.</w:t>
      </w:r>
    </w:p>
    <w:p w14:paraId="22910B20" w14:textId="77777777" w:rsidR="00BA2F20" w:rsidRDefault="00BA2F20" w:rsidP="00CD3D37">
      <w:pPr>
        <w:ind w:left="360"/>
        <w:rPr>
          <w:rFonts w:ascii="Times New Roman" w:hAnsi="Times New Roman"/>
          <w:sz w:val="24"/>
          <w:szCs w:val="24"/>
        </w:rPr>
      </w:pPr>
    </w:p>
    <w:p w14:paraId="316497A7" w14:textId="77777777" w:rsidR="005B163F" w:rsidRPr="000D181E" w:rsidRDefault="005B163F" w:rsidP="00CD3D37">
      <w:pPr>
        <w:ind w:left="360"/>
        <w:rPr>
          <w:rFonts w:ascii="Times New Roman" w:hAnsi="Times New Roman"/>
          <w:color w:val="000000" w:themeColor="text1"/>
          <w:sz w:val="24"/>
          <w:szCs w:val="24"/>
          <w:u w:val="single"/>
        </w:rPr>
      </w:pPr>
      <w:r w:rsidRPr="000D181E">
        <w:rPr>
          <w:rFonts w:ascii="Times New Roman" w:hAnsi="Times New Roman"/>
          <w:color w:val="000000" w:themeColor="text1"/>
          <w:sz w:val="24"/>
          <w:szCs w:val="24"/>
          <w:u w:val="single"/>
        </w:rPr>
        <w:t>Surveys</w:t>
      </w:r>
    </w:p>
    <w:p w14:paraId="7B1AB104" w14:textId="77777777" w:rsidR="005B163F" w:rsidRDefault="005B163F" w:rsidP="00CD3D37">
      <w:pPr>
        <w:ind w:left="360"/>
        <w:rPr>
          <w:rFonts w:ascii="Times New Roman" w:hAnsi="Times New Roman"/>
          <w:sz w:val="24"/>
          <w:szCs w:val="24"/>
        </w:rPr>
      </w:pPr>
    </w:p>
    <w:p w14:paraId="4A05CE01" w14:textId="77777777" w:rsidR="00C465ED" w:rsidRPr="00973A12" w:rsidRDefault="00BD1733" w:rsidP="00CD3D37">
      <w:pPr>
        <w:ind w:left="360"/>
        <w:rPr>
          <w:rFonts w:ascii="Times New Roman" w:hAnsi="Times New Roman"/>
          <w:sz w:val="24"/>
          <w:szCs w:val="24"/>
        </w:rPr>
      </w:pPr>
      <w:r>
        <w:rPr>
          <w:rFonts w:ascii="Times New Roman" w:hAnsi="Times New Roman"/>
          <w:sz w:val="24"/>
          <w:szCs w:val="24"/>
        </w:rPr>
        <w:t xml:space="preserve">Data will be analyzed using descriptive statistics.  Means responses and percentages will be </w:t>
      </w:r>
      <w:r w:rsidR="00B240E6">
        <w:rPr>
          <w:rFonts w:ascii="Times New Roman" w:hAnsi="Times New Roman"/>
          <w:sz w:val="24"/>
          <w:szCs w:val="24"/>
        </w:rPr>
        <w:t xml:space="preserve">calculated.  Statistics will include means/standard deviations and </w:t>
      </w:r>
      <w:r w:rsidR="00C27382">
        <w:rPr>
          <w:rFonts w:ascii="Times New Roman" w:hAnsi="Times New Roman"/>
          <w:sz w:val="24"/>
          <w:szCs w:val="24"/>
        </w:rPr>
        <w:t>numbers/</w:t>
      </w:r>
      <w:r w:rsidR="00187C08">
        <w:rPr>
          <w:rFonts w:ascii="Times New Roman" w:hAnsi="Times New Roman"/>
          <w:sz w:val="24"/>
          <w:szCs w:val="24"/>
        </w:rPr>
        <w:t xml:space="preserve"> </w:t>
      </w:r>
      <w:r w:rsidR="00C27382">
        <w:rPr>
          <w:rFonts w:ascii="Times New Roman" w:hAnsi="Times New Roman"/>
          <w:sz w:val="24"/>
          <w:szCs w:val="24"/>
        </w:rPr>
        <w:t>percentages.  Co</w:t>
      </w:r>
      <w:r w:rsidR="00B240E6">
        <w:rPr>
          <w:rFonts w:ascii="Times New Roman" w:hAnsi="Times New Roman"/>
          <w:sz w:val="24"/>
          <w:szCs w:val="24"/>
        </w:rPr>
        <w:t xml:space="preserve">mparisons will be made with t-tests, ANOVA, and chi-square tests.  </w:t>
      </w:r>
      <w:r w:rsidR="00997801">
        <w:rPr>
          <w:rFonts w:ascii="Times New Roman" w:hAnsi="Times New Roman"/>
          <w:sz w:val="24"/>
          <w:szCs w:val="24"/>
        </w:rPr>
        <w:t xml:space="preserve">Analyses will use SPSS </w:t>
      </w:r>
      <w:r w:rsidR="00857669">
        <w:rPr>
          <w:rFonts w:ascii="Times New Roman" w:hAnsi="Times New Roman"/>
          <w:sz w:val="24"/>
          <w:szCs w:val="24"/>
        </w:rPr>
        <w:t xml:space="preserve">version 24 </w:t>
      </w:r>
      <w:r w:rsidR="00997801">
        <w:rPr>
          <w:rFonts w:ascii="Times New Roman" w:hAnsi="Times New Roman"/>
          <w:sz w:val="24"/>
          <w:szCs w:val="24"/>
        </w:rPr>
        <w:t xml:space="preserve">survey software.  </w:t>
      </w:r>
    </w:p>
    <w:p w14:paraId="5BBCD766" w14:textId="77777777" w:rsidR="00F5691F" w:rsidRDefault="00F5691F" w:rsidP="00CD3D37">
      <w:pPr>
        <w:pStyle w:val="ListParagraph"/>
      </w:pPr>
    </w:p>
    <w:p w14:paraId="76A0587E" w14:textId="77777777" w:rsidR="00033BBF" w:rsidRDefault="00D8037D" w:rsidP="00CD3D37">
      <w:pPr>
        <w:ind w:left="360"/>
        <w:rPr>
          <w:rFonts w:ascii="Times New Roman" w:hAnsi="Times New Roman"/>
          <w:sz w:val="24"/>
        </w:rPr>
      </w:pPr>
      <w:r w:rsidRPr="00585058">
        <w:rPr>
          <w:rFonts w:ascii="Times New Roman" w:hAnsi="Times New Roman"/>
          <w:b/>
          <w:sz w:val="24"/>
        </w:rPr>
        <w:t xml:space="preserve">BURDEN HOUR COMPUTATION </w:t>
      </w:r>
      <w:r w:rsidRPr="00585058">
        <w:rPr>
          <w:rFonts w:ascii="Times New Roman" w:hAnsi="Times New Roman"/>
          <w:sz w:val="24"/>
        </w:rPr>
        <w:t>(Number of responses (X)</w:t>
      </w:r>
      <w:r w:rsidR="008B1252">
        <w:rPr>
          <w:rFonts w:ascii="Times New Roman" w:hAnsi="Times New Roman"/>
          <w:sz w:val="24"/>
        </w:rPr>
        <w:t>,</w:t>
      </w:r>
      <w:r w:rsidRPr="00585058">
        <w:rPr>
          <w:rFonts w:ascii="Times New Roman" w:hAnsi="Times New Roman"/>
          <w:sz w:val="24"/>
        </w:rPr>
        <w:t xml:space="preserve"> estimated response or participation time in minutes (/60) = annual burden hours</w:t>
      </w:r>
      <w:r w:rsidRPr="00461208">
        <w:rPr>
          <w:rFonts w:ascii="Times New Roman" w:hAnsi="Times New Roman"/>
          <w:sz w:val="24"/>
        </w:rPr>
        <w:t>):</w:t>
      </w:r>
      <w:r w:rsidR="001376D2" w:rsidRPr="00461208">
        <w:rPr>
          <w:rFonts w:ascii="Times New Roman" w:hAnsi="Times New Roman"/>
          <w:sz w:val="24"/>
        </w:rPr>
        <w:t xml:space="preserve"> </w:t>
      </w:r>
    </w:p>
    <w:p w14:paraId="006FBDF5" w14:textId="77777777" w:rsidR="005D339C" w:rsidRDefault="005D339C" w:rsidP="00CD3D37">
      <w:pPr>
        <w:ind w:left="360"/>
        <w:rPr>
          <w:rFonts w:ascii="Times New Roman" w:hAnsi="Times New Roman"/>
          <w:sz w:val="24"/>
        </w:rPr>
      </w:pPr>
    </w:p>
    <w:p w14:paraId="59D70DEF" w14:textId="77777777" w:rsidR="00033BBF" w:rsidRPr="005B163F" w:rsidRDefault="00033BBF" w:rsidP="00CD3D37">
      <w:pPr>
        <w:ind w:left="360"/>
        <w:rPr>
          <w:rFonts w:ascii="Times New Roman" w:hAnsi="Times New Roman"/>
          <w:sz w:val="24"/>
          <w:u w:val="single"/>
        </w:rPr>
      </w:pPr>
      <w:r w:rsidRPr="005B163F">
        <w:rPr>
          <w:rFonts w:ascii="Times New Roman" w:hAnsi="Times New Roman"/>
          <w:sz w:val="24"/>
          <w:u w:val="single"/>
        </w:rPr>
        <w:t>Key Informant Interviews</w:t>
      </w:r>
    </w:p>
    <w:p w14:paraId="2A3E70EE" w14:textId="77777777" w:rsidR="00033BBF" w:rsidRDefault="00033BBF" w:rsidP="00CD3D37">
      <w:pPr>
        <w:ind w:left="360"/>
        <w:rPr>
          <w:rFonts w:ascii="Times New Roman" w:hAnsi="Times New Roman"/>
          <w:sz w:val="24"/>
        </w:rPr>
      </w:pPr>
    </w:p>
    <w:p w14:paraId="7EA25235" w14:textId="76BE3D25" w:rsidR="00CB71C8" w:rsidRDefault="00E1584F" w:rsidP="00B97183">
      <w:pPr>
        <w:ind w:left="360"/>
        <w:rPr>
          <w:rFonts w:ascii="Times New Roman" w:hAnsi="Times New Roman"/>
          <w:sz w:val="24"/>
        </w:rPr>
      </w:pPr>
      <w:r w:rsidRPr="00E1584F">
        <w:rPr>
          <w:rFonts w:ascii="Times New Roman" w:hAnsi="Times New Roman"/>
          <w:sz w:val="24"/>
        </w:rPr>
        <w:t>Approximately 20.25 hours in total based on 45 minute</w:t>
      </w:r>
      <w:r w:rsidR="00B97183">
        <w:rPr>
          <w:rFonts w:ascii="Times New Roman" w:hAnsi="Times New Roman"/>
          <w:sz w:val="24"/>
        </w:rPr>
        <w:t xml:space="preserve"> </w:t>
      </w:r>
      <w:r w:rsidR="00B97183" w:rsidRPr="00B97183">
        <w:rPr>
          <w:rFonts w:ascii="Times New Roman" w:hAnsi="Times New Roman"/>
          <w:sz w:val="24"/>
        </w:rPr>
        <w:t>(formulary managers, policy makers and large purchasers of drugs)</w:t>
      </w:r>
      <w:r w:rsidR="008A5BEA">
        <w:rPr>
          <w:rFonts w:ascii="Times New Roman" w:hAnsi="Times New Roman"/>
          <w:sz w:val="24"/>
        </w:rPr>
        <w:t xml:space="preserve"> </w:t>
      </w:r>
      <w:r w:rsidRPr="00E1584F">
        <w:rPr>
          <w:rFonts w:ascii="Times New Roman" w:hAnsi="Times New Roman"/>
          <w:sz w:val="24"/>
        </w:rPr>
        <w:t>interviews</w:t>
      </w:r>
      <w:r w:rsidR="003E79C6">
        <w:rPr>
          <w:rFonts w:ascii="Times New Roman" w:hAnsi="Times New Roman"/>
          <w:sz w:val="24"/>
        </w:rPr>
        <w:t xml:space="preserve"> </w:t>
      </w:r>
      <w:r w:rsidRPr="00E1584F">
        <w:rPr>
          <w:rFonts w:ascii="Times New Roman" w:hAnsi="Times New Roman"/>
          <w:sz w:val="24"/>
        </w:rPr>
        <w:t xml:space="preserve">for a maximum of 27 participants across 3 groups. It should be noted that the anticipated total number of interviews is only 18, but we have included the maximum number of respondents and burden in order to allow the researchers the possibility to conduct additional interviews to reach qualitative data saturation.   </w:t>
      </w:r>
    </w:p>
    <w:p w14:paraId="03D13F22" w14:textId="52C5F6CF" w:rsidR="00070242" w:rsidRDefault="00070242" w:rsidP="00CD3D37">
      <w:pPr>
        <w:ind w:left="360"/>
        <w:rPr>
          <w:rFonts w:ascii="Times New Roman" w:hAnsi="Times New Roman"/>
          <w:sz w:val="24"/>
        </w:rPr>
      </w:pPr>
    </w:p>
    <w:p w14:paraId="0F9A5039" w14:textId="19C65C7D" w:rsidR="008A5BEA" w:rsidRDefault="008A5BEA" w:rsidP="00CD3D37">
      <w:pPr>
        <w:ind w:left="360"/>
        <w:rPr>
          <w:rFonts w:ascii="Times New Roman" w:hAnsi="Times New Roman"/>
          <w:sz w:val="24"/>
        </w:rPr>
      </w:pPr>
    </w:p>
    <w:p w14:paraId="69D6DE1B" w14:textId="3BD70EB4" w:rsidR="008A5BEA" w:rsidRDefault="008A5BEA" w:rsidP="00CD3D37">
      <w:pPr>
        <w:ind w:left="360"/>
        <w:rPr>
          <w:rFonts w:ascii="Times New Roman" w:hAnsi="Times New Roman"/>
          <w:sz w:val="24"/>
        </w:rPr>
      </w:pPr>
    </w:p>
    <w:p w14:paraId="445BE64F" w14:textId="6E5D1143" w:rsidR="008A5BEA" w:rsidRDefault="008A5BEA" w:rsidP="00CD3D37">
      <w:pPr>
        <w:ind w:left="360"/>
        <w:rPr>
          <w:rFonts w:ascii="Times New Roman" w:hAnsi="Times New Roman"/>
          <w:sz w:val="24"/>
        </w:rPr>
      </w:pPr>
    </w:p>
    <w:p w14:paraId="036C1946" w14:textId="77777777" w:rsidR="008A5BEA" w:rsidRDefault="008A5BEA" w:rsidP="00CD3D37">
      <w:pPr>
        <w:ind w:left="360"/>
        <w:rPr>
          <w:rFonts w:ascii="Times New Roman" w:hAnsi="Times New Roman"/>
          <w:sz w:val="24"/>
        </w:rPr>
      </w:pPr>
    </w:p>
    <w:p w14:paraId="3040163A" w14:textId="77777777" w:rsidR="00070242" w:rsidRPr="000D181E" w:rsidRDefault="00070242" w:rsidP="00CD3D37">
      <w:pPr>
        <w:ind w:left="360"/>
        <w:rPr>
          <w:rFonts w:ascii="Times New Roman" w:hAnsi="Times New Roman"/>
          <w:sz w:val="24"/>
          <w:u w:val="single"/>
        </w:rPr>
      </w:pPr>
      <w:r w:rsidRPr="000D181E">
        <w:rPr>
          <w:rFonts w:ascii="Times New Roman" w:hAnsi="Times New Roman"/>
          <w:sz w:val="24"/>
          <w:u w:val="single"/>
        </w:rPr>
        <w:t>Survey</w:t>
      </w:r>
    </w:p>
    <w:p w14:paraId="25A18132" w14:textId="77777777" w:rsidR="00070242" w:rsidRDefault="00070242" w:rsidP="00CD3D37">
      <w:pPr>
        <w:ind w:left="360"/>
        <w:rPr>
          <w:rFonts w:ascii="Times New Roman" w:hAnsi="Times New Roman"/>
          <w:b/>
          <w:sz w:val="24"/>
        </w:rPr>
      </w:pPr>
    </w:p>
    <w:p w14:paraId="3FE611A3" w14:textId="1D0D4E3A" w:rsidR="00070242" w:rsidRDefault="00070242" w:rsidP="00CD3D37">
      <w:pPr>
        <w:ind w:left="360"/>
        <w:rPr>
          <w:rFonts w:ascii="Times New Roman" w:hAnsi="Times New Roman"/>
          <w:sz w:val="24"/>
        </w:rPr>
      </w:pPr>
      <w:r w:rsidRPr="00070242">
        <w:rPr>
          <w:rFonts w:ascii="Times New Roman" w:hAnsi="Times New Roman"/>
          <w:sz w:val="24"/>
        </w:rPr>
        <w:t>Approximately 117 hours in total based on 20 minute surveys</w:t>
      </w:r>
      <w:r w:rsidR="009A1BD7">
        <w:rPr>
          <w:rFonts w:ascii="Times New Roman" w:hAnsi="Times New Roman"/>
          <w:sz w:val="24"/>
        </w:rPr>
        <w:t xml:space="preserve"> </w:t>
      </w:r>
      <w:r w:rsidR="00251035" w:rsidRPr="00251035">
        <w:rPr>
          <w:rFonts w:ascii="Times New Roman" w:hAnsi="Times New Roman"/>
          <w:sz w:val="24"/>
        </w:rPr>
        <w:t>(prescribers and pharmacists) or 30 minute (patients/caregivers)</w:t>
      </w:r>
      <w:r w:rsidRPr="00070242">
        <w:rPr>
          <w:rFonts w:ascii="Times New Roman" w:hAnsi="Times New Roman"/>
          <w:sz w:val="24"/>
        </w:rPr>
        <w:t xml:space="preserve"> for a maximum of 300 participants across 3 groups.   </w:t>
      </w:r>
    </w:p>
    <w:p w14:paraId="227ED05A" w14:textId="77777777" w:rsidR="006C144F" w:rsidRDefault="006C144F" w:rsidP="00CD3D37">
      <w:pPr>
        <w:ind w:left="360"/>
        <w:rPr>
          <w:rFonts w:ascii="Times New Roman" w:hAnsi="Times New Roman"/>
          <w:sz w:val="24"/>
        </w:rPr>
      </w:pPr>
    </w:p>
    <w:p w14:paraId="78847CE4" w14:textId="77777777" w:rsidR="006C144F" w:rsidRPr="006C144F" w:rsidRDefault="006C144F" w:rsidP="006C144F">
      <w:pPr>
        <w:ind w:left="360"/>
        <w:rPr>
          <w:rFonts w:ascii="Times New Roman" w:hAnsi="Times New Roman"/>
          <w:sz w:val="24"/>
        </w:rPr>
      </w:pPr>
      <w:r w:rsidRPr="006C144F">
        <w:rPr>
          <w:rFonts w:ascii="Times New Roman" w:hAnsi="Times New Roman"/>
          <w:sz w:val="24"/>
        </w:rPr>
        <w:t xml:space="preserve">A total of 327 respondents will participate in the study; 300 participants for the survey and 27 participants for the key informant interviews. </w:t>
      </w:r>
    </w:p>
    <w:p w14:paraId="21C2F932" w14:textId="54509EAD" w:rsidR="00070242" w:rsidRDefault="00070242" w:rsidP="00E1584F">
      <w:pPr>
        <w:ind w:left="720"/>
        <w:rPr>
          <w:rFonts w:ascii="Times New Roman" w:hAnsi="Times New Roman"/>
          <w:sz w:val="24"/>
        </w:rPr>
      </w:pPr>
    </w:p>
    <w:p w14:paraId="599B0911" w14:textId="77777777" w:rsidR="00E1584F" w:rsidRDefault="00E1584F" w:rsidP="00E1584F">
      <w:pPr>
        <w:ind w:left="720"/>
        <w:rPr>
          <w:rFonts w:ascii="Times New Roman" w:hAnsi="Times New Roman"/>
          <w:sz w:val="24"/>
        </w:rPr>
      </w:pPr>
    </w:p>
    <w:p w14:paraId="3438BB15" w14:textId="391CBB10" w:rsidR="00CB71C8" w:rsidRPr="00CB71C8" w:rsidRDefault="00CB71C8" w:rsidP="00496388">
      <w:pPr>
        <w:rPr>
          <w:rFonts w:ascii="Times New Roman" w:hAnsi="Times New Roman"/>
          <w:sz w:val="24"/>
        </w:rPr>
      </w:pPr>
      <w:r w:rsidRPr="00CB71C8">
        <w:rPr>
          <w:rFonts w:ascii="Times New Roman" w:hAnsi="Times New Roman"/>
          <w:sz w:val="24"/>
        </w:rPr>
        <w:t xml:space="preserve">Table </w:t>
      </w:r>
      <w:r w:rsidR="00E1584F">
        <w:rPr>
          <w:rFonts w:ascii="Times New Roman" w:hAnsi="Times New Roman"/>
          <w:sz w:val="24"/>
        </w:rPr>
        <w:t>3</w:t>
      </w:r>
      <w:r w:rsidRPr="00CB71C8">
        <w:rPr>
          <w:rFonts w:ascii="Times New Roman" w:hAnsi="Times New Roman"/>
          <w:sz w:val="24"/>
        </w:rPr>
        <w:t xml:space="preserve">. </w:t>
      </w:r>
      <w:r w:rsidRPr="00CB71C8">
        <w:rPr>
          <w:rFonts w:ascii="Times New Roman" w:hAnsi="Times New Roman"/>
          <w:sz w:val="24"/>
          <w:szCs w:val="24"/>
        </w:rPr>
        <w:t>Estimated Reporting Burden</w:t>
      </w:r>
      <w:r w:rsidR="00070242">
        <w:rPr>
          <w:rFonts w:ascii="Times New Roman" w:hAnsi="Times New Roman"/>
          <w:sz w:val="24"/>
          <w:szCs w:val="24"/>
        </w:rPr>
        <w:t xml:space="preserve"> Hours</w:t>
      </w:r>
    </w:p>
    <w:tbl>
      <w:tblPr>
        <w:tblW w:w="8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2571"/>
        <w:gridCol w:w="1619"/>
        <w:gridCol w:w="1877"/>
      </w:tblGrid>
      <w:tr w:rsidR="00D8037D" w:rsidRPr="00585058" w14:paraId="2D788BDC" w14:textId="77777777" w:rsidTr="000D181E">
        <w:trPr>
          <w:trHeight w:val="274"/>
          <w:jc w:val="center"/>
        </w:trPr>
        <w:tc>
          <w:tcPr>
            <w:tcW w:w="2425" w:type="dxa"/>
            <w:shd w:val="clear" w:color="auto" w:fill="E0E0E0"/>
          </w:tcPr>
          <w:p w14:paraId="7F6DE9F8" w14:textId="77777777" w:rsidR="00D8037D" w:rsidRPr="00585058" w:rsidRDefault="00D8037D" w:rsidP="00496388">
            <w:pPr>
              <w:jc w:val="center"/>
              <w:rPr>
                <w:rFonts w:ascii="Times New Roman" w:hAnsi="Times New Roman"/>
                <w:b/>
                <w:sz w:val="24"/>
              </w:rPr>
            </w:pPr>
            <w:r w:rsidRPr="00585058">
              <w:rPr>
                <w:rFonts w:ascii="Times New Roman" w:hAnsi="Times New Roman"/>
                <w:b/>
                <w:sz w:val="24"/>
              </w:rPr>
              <w:t>Type/Category of Respondent</w:t>
            </w:r>
          </w:p>
        </w:tc>
        <w:tc>
          <w:tcPr>
            <w:tcW w:w="2571" w:type="dxa"/>
            <w:shd w:val="clear" w:color="auto" w:fill="E0E0E0"/>
          </w:tcPr>
          <w:p w14:paraId="36B5CB07" w14:textId="77777777" w:rsidR="00D8037D" w:rsidRPr="00585058" w:rsidRDefault="00D8037D" w:rsidP="00496388">
            <w:pPr>
              <w:jc w:val="center"/>
              <w:rPr>
                <w:rFonts w:ascii="Times New Roman" w:hAnsi="Times New Roman"/>
                <w:b/>
                <w:sz w:val="24"/>
              </w:rPr>
            </w:pPr>
            <w:r w:rsidRPr="00585058">
              <w:rPr>
                <w:rFonts w:ascii="Times New Roman" w:hAnsi="Times New Roman"/>
                <w:b/>
                <w:sz w:val="24"/>
              </w:rPr>
              <w:t>No. of Respondents</w:t>
            </w:r>
          </w:p>
        </w:tc>
        <w:tc>
          <w:tcPr>
            <w:tcW w:w="1619" w:type="dxa"/>
            <w:shd w:val="clear" w:color="auto" w:fill="E0E0E0"/>
          </w:tcPr>
          <w:p w14:paraId="773A8FCD" w14:textId="77777777" w:rsidR="00D8037D" w:rsidRPr="00585058" w:rsidRDefault="00D8037D" w:rsidP="00496388">
            <w:pPr>
              <w:jc w:val="center"/>
              <w:rPr>
                <w:rFonts w:ascii="Times New Roman" w:hAnsi="Times New Roman"/>
                <w:sz w:val="24"/>
              </w:rPr>
            </w:pPr>
            <w:r w:rsidRPr="00585058">
              <w:rPr>
                <w:rFonts w:ascii="Times New Roman" w:hAnsi="Times New Roman"/>
                <w:b/>
                <w:sz w:val="24"/>
              </w:rPr>
              <w:t xml:space="preserve">Participation Time </w:t>
            </w:r>
            <w:r w:rsidRPr="00585058">
              <w:rPr>
                <w:rFonts w:ascii="Times New Roman" w:hAnsi="Times New Roman"/>
                <w:sz w:val="24"/>
              </w:rPr>
              <w:t>(minutes)</w:t>
            </w:r>
          </w:p>
        </w:tc>
        <w:tc>
          <w:tcPr>
            <w:tcW w:w="1877" w:type="dxa"/>
            <w:shd w:val="clear" w:color="auto" w:fill="E0E0E0"/>
            <w:vAlign w:val="bottom"/>
          </w:tcPr>
          <w:p w14:paraId="1CAB9786" w14:textId="77777777" w:rsidR="00D8037D" w:rsidRPr="00585058" w:rsidRDefault="00D8037D" w:rsidP="00496388">
            <w:pPr>
              <w:jc w:val="center"/>
              <w:rPr>
                <w:rFonts w:ascii="Times New Roman" w:hAnsi="Times New Roman"/>
                <w:b/>
                <w:sz w:val="24"/>
              </w:rPr>
            </w:pPr>
            <w:r w:rsidRPr="00585058">
              <w:rPr>
                <w:rFonts w:ascii="Times New Roman" w:hAnsi="Times New Roman"/>
                <w:b/>
                <w:sz w:val="24"/>
              </w:rPr>
              <w:t>Burden</w:t>
            </w:r>
          </w:p>
          <w:p w14:paraId="7DE0A074" w14:textId="77777777" w:rsidR="00D8037D" w:rsidRPr="00585058" w:rsidRDefault="00D8037D" w:rsidP="00496388">
            <w:pPr>
              <w:jc w:val="center"/>
              <w:rPr>
                <w:rFonts w:ascii="Times New Roman" w:hAnsi="Times New Roman"/>
                <w:sz w:val="24"/>
              </w:rPr>
            </w:pPr>
            <w:r w:rsidRPr="00585058">
              <w:rPr>
                <w:rFonts w:ascii="Times New Roman" w:hAnsi="Times New Roman"/>
                <w:sz w:val="24"/>
              </w:rPr>
              <w:t>(hours)</w:t>
            </w:r>
          </w:p>
        </w:tc>
      </w:tr>
      <w:tr w:rsidR="00E1584F" w:rsidRPr="00585058" w14:paraId="1D7A9DEA" w14:textId="77777777" w:rsidTr="009B774E">
        <w:trPr>
          <w:trHeight w:val="274"/>
          <w:jc w:val="center"/>
        </w:trPr>
        <w:tc>
          <w:tcPr>
            <w:tcW w:w="8492" w:type="dxa"/>
            <w:gridSpan w:val="4"/>
          </w:tcPr>
          <w:p w14:paraId="34EA598F" w14:textId="31FFB942" w:rsidR="00E1584F" w:rsidRDefault="00E1584F" w:rsidP="00496388">
            <w:pPr>
              <w:jc w:val="center"/>
              <w:rPr>
                <w:rFonts w:ascii="Times New Roman" w:hAnsi="Times New Roman"/>
                <w:sz w:val="24"/>
              </w:rPr>
            </w:pPr>
            <w:r>
              <w:rPr>
                <w:rFonts w:ascii="Times New Roman" w:hAnsi="Times New Roman"/>
                <w:sz w:val="24"/>
                <w:szCs w:val="24"/>
              </w:rPr>
              <w:t>Key Informant Interviews</w:t>
            </w:r>
          </w:p>
        </w:tc>
      </w:tr>
      <w:tr w:rsidR="00BA1659" w:rsidRPr="00585058" w14:paraId="7E4F1C44" w14:textId="77777777" w:rsidTr="000D181E">
        <w:trPr>
          <w:trHeight w:val="274"/>
          <w:jc w:val="center"/>
        </w:trPr>
        <w:tc>
          <w:tcPr>
            <w:tcW w:w="2425" w:type="dxa"/>
          </w:tcPr>
          <w:p w14:paraId="049A4B5F" w14:textId="77777777" w:rsidR="00BA1659" w:rsidRPr="00BA1659" w:rsidRDefault="00BA1659" w:rsidP="00496388">
            <w:pPr>
              <w:rPr>
                <w:rFonts w:ascii="Times New Roman" w:hAnsi="Times New Roman"/>
                <w:sz w:val="24"/>
                <w:szCs w:val="24"/>
              </w:rPr>
            </w:pPr>
            <w:r w:rsidRPr="00BA1659">
              <w:rPr>
                <w:rFonts w:ascii="Times New Roman" w:hAnsi="Times New Roman"/>
                <w:sz w:val="24"/>
                <w:szCs w:val="24"/>
              </w:rPr>
              <w:t>Formulary managers</w:t>
            </w:r>
          </w:p>
          <w:p w14:paraId="2E4A23D3" w14:textId="77777777" w:rsidR="00BA1659" w:rsidRPr="00BA1659" w:rsidRDefault="00BA1659" w:rsidP="00496388">
            <w:pPr>
              <w:rPr>
                <w:rFonts w:ascii="Times New Roman" w:hAnsi="Times New Roman"/>
                <w:sz w:val="24"/>
                <w:szCs w:val="24"/>
              </w:rPr>
            </w:pPr>
          </w:p>
        </w:tc>
        <w:tc>
          <w:tcPr>
            <w:tcW w:w="2571" w:type="dxa"/>
          </w:tcPr>
          <w:p w14:paraId="6D4D24D9" w14:textId="77777777" w:rsidR="00BA1659" w:rsidRDefault="002E4E3A" w:rsidP="00496388">
            <w:pPr>
              <w:jc w:val="center"/>
              <w:rPr>
                <w:rFonts w:ascii="Times New Roman" w:hAnsi="Times New Roman"/>
                <w:sz w:val="24"/>
              </w:rPr>
            </w:pPr>
            <w:r>
              <w:rPr>
                <w:rFonts w:ascii="Times New Roman" w:hAnsi="Times New Roman"/>
                <w:sz w:val="24"/>
              </w:rPr>
              <w:t>9</w:t>
            </w:r>
          </w:p>
        </w:tc>
        <w:tc>
          <w:tcPr>
            <w:tcW w:w="1619" w:type="dxa"/>
          </w:tcPr>
          <w:p w14:paraId="438B98CF" w14:textId="77777777" w:rsidR="00BA1659" w:rsidRDefault="00A83FB5" w:rsidP="00496388">
            <w:pPr>
              <w:jc w:val="center"/>
              <w:rPr>
                <w:rFonts w:ascii="Times New Roman" w:hAnsi="Times New Roman"/>
                <w:sz w:val="24"/>
              </w:rPr>
            </w:pPr>
            <w:r>
              <w:rPr>
                <w:rFonts w:ascii="Times New Roman" w:hAnsi="Times New Roman"/>
                <w:sz w:val="24"/>
              </w:rPr>
              <w:t>45</w:t>
            </w:r>
          </w:p>
        </w:tc>
        <w:tc>
          <w:tcPr>
            <w:tcW w:w="1877" w:type="dxa"/>
          </w:tcPr>
          <w:p w14:paraId="5D722054" w14:textId="77777777" w:rsidR="00BA1659" w:rsidRDefault="00A83FB5" w:rsidP="00496388">
            <w:pPr>
              <w:jc w:val="center"/>
              <w:rPr>
                <w:rFonts w:ascii="Times New Roman" w:hAnsi="Times New Roman"/>
                <w:sz w:val="24"/>
              </w:rPr>
            </w:pPr>
            <w:r>
              <w:rPr>
                <w:rFonts w:ascii="Times New Roman" w:hAnsi="Times New Roman"/>
                <w:sz w:val="24"/>
              </w:rPr>
              <w:t>6</w:t>
            </w:r>
            <w:r w:rsidR="002E4E3A">
              <w:rPr>
                <w:rFonts w:ascii="Times New Roman" w:hAnsi="Times New Roman"/>
                <w:sz w:val="24"/>
              </w:rPr>
              <w:t>.</w:t>
            </w:r>
            <w:r>
              <w:rPr>
                <w:rFonts w:ascii="Times New Roman" w:hAnsi="Times New Roman"/>
                <w:sz w:val="24"/>
              </w:rPr>
              <w:t>7</w:t>
            </w:r>
            <w:r w:rsidR="002E4E3A">
              <w:rPr>
                <w:rFonts w:ascii="Times New Roman" w:hAnsi="Times New Roman"/>
                <w:sz w:val="24"/>
              </w:rPr>
              <w:t>5</w:t>
            </w:r>
          </w:p>
        </w:tc>
      </w:tr>
      <w:tr w:rsidR="00BA1659" w:rsidRPr="00585058" w14:paraId="3AA0C110" w14:textId="77777777" w:rsidTr="000D181E">
        <w:trPr>
          <w:trHeight w:val="274"/>
          <w:jc w:val="center"/>
        </w:trPr>
        <w:tc>
          <w:tcPr>
            <w:tcW w:w="2425" w:type="dxa"/>
          </w:tcPr>
          <w:p w14:paraId="3BFC502B" w14:textId="77777777" w:rsidR="00BA1659" w:rsidRPr="00BA1659" w:rsidRDefault="00BA1659" w:rsidP="00496388">
            <w:pPr>
              <w:rPr>
                <w:rFonts w:ascii="Times New Roman" w:hAnsi="Times New Roman"/>
                <w:sz w:val="24"/>
                <w:szCs w:val="24"/>
              </w:rPr>
            </w:pPr>
            <w:r w:rsidRPr="00BA1659">
              <w:rPr>
                <w:rFonts w:ascii="Times New Roman" w:hAnsi="Times New Roman"/>
                <w:sz w:val="24"/>
                <w:szCs w:val="24"/>
              </w:rPr>
              <w:t>Policy makers (federal and state)</w:t>
            </w:r>
          </w:p>
          <w:p w14:paraId="599C5803" w14:textId="77777777" w:rsidR="00BA1659" w:rsidRPr="00BA1659" w:rsidRDefault="00BA1659" w:rsidP="00496388">
            <w:pPr>
              <w:rPr>
                <w:rFonts w:ascii="Times New Roman" w:hAnsi="Times New Roman"/>
                <w:sz w:val="24"/>
                <w:szCs w:val="24"/>
              </w:rPr>
            </w:pPr>
          </w:p>
        </w:tc>
        <w:tc>
          <w:tcPr>
            <w:tcW w:w="2571" w:type="dxa"/>
          </w:tcPr>
          <w:p w14:paraId="5DE9557D" w14:textId="77777777" w:rsidR="00BA1659" w:rsidRDefault="002E4E3A" w:rsidP="00496388">
            <w:pPr>
              <w:jc w:val="center"/>
              <w:rPr>
                <w:rFonts w:ascii="Times New Roman" w:hAnsi="Times New Roman"/>
                <w:sz w:val="24"/>
              </w:rPr>
            </w:pPr>
            <w:r>
              <w:rPr>
                <w:rFonts w:ascii="Times New Roman" w:hAnsi="Times New Roman"/>
                <w:sz w:val="24"/>
              </w:rPr>
              <w:t>9</w:t>
            </w:r>
          </w:p>
        </w:tc>
        <w:tc>
          <w:tcPr>
            <w:tcW w:w="1619" w:type="dxa"/>
          </w:tcPr>
          <w:p w14:paraId="5B81738D" w14:textId="77777777" w:rsidR="00BA1659" w:rsidRDefault="00A83FB5" w:rsidP="00496388">
            <w:pPr>
              <w:jc w:val="center"/>
              <w:rPr>
                <w:rFonts w:ascii="Times New Roman" w:hAnsi="Times New Roman"/>
                <w:sz w:val="24"/>
              </w:rPr>
            </w:pPr>
            <w:r>
              <w:rPr>
                <w:rFonts w:ascii="Times New Roman" w:hAnsi="Times New Roman"/>
                <w:sz w:val="24"/>
              </w:rPr>
              <w:t>45</w:t>
            </w:r>
          </w:p>
        </w:tc>
        <w:tc>
          <w:tcPr>
            <w:tcW w:w="1877" w:type="dxa"/>
          </w:tcPr>
          <w:p w14:paraId="103ACB95" w14:textId="77777777" w:rsidR="00BA1659" w:rsidRDefault="00A83FB5" w:rsidP="00496388">
            <w:pPr>
              <w:jc w:val="center"/>
              <w:rPr>
                <w:rFonts w:ascii="Times New Roman" w:hAnsi="Times New Roman"/>
                <w:sz w:val="24"/>
              </w:rPr>
            </w:pPr>
            <w:r>
              <w:rPr>
                <w:rFonts w:ascii="Times New Roman" w:hAnsi="Times New Roman"/>
                <w:sz w:val="24"/>
              </w:rPr>
              <w:t>6</w:t>
            </w:r>
            <w:r w:rsidR="002E4E3A">
              <w:rPr>
                <w:rFonts w:ascii="Times New Roman" w:hAnsi="Times New Roman"/>
                <w:sz w:val="24"/>
              </w:rPr>
              <w:t>.</w:t>
            </w:r>
            <w:r>
              <w:rPr>
                <w:rFonts w:ascii="Times New Roman" w:hAnsi="Times New Roman"/>
                <w:sz w:val="24"/>
              </w:rPr>
              <w:t>7</w:t>
            </w:r>
            <w:r w:rsidR="002E4E3A">
              <w:rPr>
                <w:rFonts w:ascii="Times New Roman" w:hAnsi="Times New Roman"/>
                <w:sz w:val="24"/>
              </w:rPr>
              <w:t>5</w:t>
            </w:r>
          </w:p>
        </w:tc>
      </w:tr>
      <w:tr w:rsidR="00BA1659" w:rsidRPr="00585058" w14:paraId="20D84F6D" w14:textId="77777777" w:rsidTr="000D181E">
        <w:trPr>
          <w:trHeight w:val="274"/>
          <w:jc w:val="center"/>
        </w:trPr>
        <w:tc>
          <w:tcPr>
            <w:tcW w:w="2425" w:type="dxa"/>
          </w:tcPr>
          <w:p w14:paraId="441B438D" w14:textId="77777777" w:rsidR="00BA1659" w:rsidRPr="00BA1659" w:rsidRDefault="00BA1659" w:rsidP="00496388">
            <w:pPr>
              <w:rPr>
                <w:rFonts w:ascii="Times New Roman" w:hAnsi="Times New Roman"/>
                <w:sz w:val="24"/>
                <w:szCs w:val="24"/>
              </w:rPr>
            </w:pPr>
            <w:r w:rsidRPr="00BA1659">
              <w:rPr>
                <w:rFonts w:ascii="Times New Roman" w:hAnsi="Times New Roman"/>
                <w:sz w:val="24"/>
                <w:szCs w:val="24"/>
              </w:rPr>
              <w:t>Large purchasers of drugs (group purchasing organizations, pharmacy chains, etc.)</w:t>
            </w:r>
          </w:p>
        </w:tc>
        <w:tc>
          <w:tcPr>
            <w:tcW w:w="2571" w:type="dxa"/>
          </w:tcPr>
          <w:p w14:paraId="64FB4FA9" w14:textId="77777777" w:rsidR="00BA1659" w:rsidRDefault="002E4E3A" w:rsidP="00496388">
            <w:pPr>
              <w:jc w:val="center"/>
              <w:rPr>
                <w:rFonts w:ascii="Times New Roman" w:hAnsi="Times New Roman"/>
                <w:sz w:val="24"/>
              </w:rPr>
            </w:pPr>
            <w:r>
              <w:rPr>
                <w:rFonts w:ascii="Times New Roman" w:hAnsi="Times New Roman"/>
                <w:sz w:val="24"/>
              </w:rPr>
              <w:t>9</w:t>
            </w:r>
          </w:p>
        </w:tc>
        <w:tc>
          <w:tcPr>
            <w:tcW w:w="1619" w:type="dxa"/>
          </w:tcPr>
          <w:p w14:paraId="182C05A0" w14:textId="77777777" w:rsidR="00BA1659" w:rsidRDefault="00A83FB5" w:rsidP="00496388">
            <w:pPr>
              <w:jc w:val="center"/>
              <w:rPr>
                <w:rFonts w:ascii="Times New Roman" w:hAnsi="Times New Roman"/>
                <w:sz w:val="24"/>
              </w:rPr>
            </w:pPr>
            <w:r>
              <w:rPr>
                <w:rFonts w:ascii="Times New Roman" w:hAnsi="Times New Roman"/>
                <w:sz w:val="24"/>
              </w:rPr>
              <w:t>45</w:t>
            </w:r>
          </w:p>
        </w:tc>
        <w:tc>
          <w:tcPr>
            <w:tcW w:w="1877" w:type="dxa"/>
          </w:tcPr>
          <w:p w14:paraId="6BE08EEF" w14:textId="77777777" w:rsidR="00BA1659" w:rsidRDefault="00A83FB5" w:rsidP="00496388">
            <w:pPr>
              <w:jc w:val="center"/>
              <w:rPr>
                <w:rFonts w:ascii="Times New Roman" w:hAnsi="Times New Roman"/>
                <w:sz w:val="24"/>
              </w:rPr>
            </w:pPr>
            <w:r>
              <w:rPr>
                <w:rFonts w:ascii="Times New Roman" w:hAnsi="Times New Roman"/>
                <w:sz w:val="24"/>
              </w:rPr>
              <w:t>6</w:t>
            </w:r>
            <w:r w:rsidR="002E4E3A">
              <w:rPr>
                <w:rFonts w:ascii="Times New Roman" w:hAnsi="Times New Roman"/>
                <w:sz w:val="24"/>
              </w:rPr>
              <w:t>.</w:t>
            </w:r>
            <w:r>
              <w:rPr>
                <w:rFonts w:ascii="Times New Roman" w:hAnsi="Times New Roman"/>
                <w:sz w:val="24"/>
              </w:rPr>
              <w:t>7</w:t>
            </w:r>
            <w:r w:rsidR="002E4E3A">
              <w:rPr>
                <w:rFonts w:ascii="Times New Roman" w:hAnsi="Times New Roman"/>
                <w:sz w:val="24"/>
              </w:rPr>
              <w:t>5</w:t>
            </w:r>
          </w:p>
        </w:tc>
      </w:tr>
      <w:tr w:rsidR="00CB71C8" w:rsidRPr="00585058" w14:paraId="694A26F4" w14:textId="77777777" w:rsidTr="00E1584F">
        <w:trPr>
          <w:trHeight w:val="274"/>
          <w:jc w:val="center"/>
        </w:trPr>
        <w:tc>
          <w:tcPr>
            <w:tcW w:w="2425" w:type="dxa"/>
            <w:shd w:val="clear" w:color="auto" w:fill="D9D9D9" w:themeFill="background1" w:themeFillShade="D9"/>
          </w:tcPr>
          <w:p w14:paraId="256BD1F4" w14:textId="174920E9" w:rsidR="00CB71C8" w:rsidRPr="00BA1659" w:rsidRDefault="00E1584F" w:rsidP="00E1584F">
            <w:pPr>
              <w:jc w:val="right"/>
              <w:rPr>
                <w:rFonts w:ascii="Times New Roman" w:hAnsi="Times New Roman"/>
                <w:sz w:val="24"/>
                <w:szCs w:val="24"/>
              </w:rPr>
            </w:pPr>
            <w:r>
              <w:rPr>
                <w:rFonts w:ascii="Times New Roman" w:hAnsi="Times New Roman"/>
                <w:sz w:val="24"/>
                <w:szCs w:val="24"/>
              </w:rPr>
              <w:t xml:space="preserve">Sub </w:t>
            </w:r>
            <w:r w:rsidR="00CB71C8">
              <w:rPr>
                <w:rFonts w:ascii="Times New Roman" w:hAnsi="Times New Roman"/>
                <w:sz w:val="24"/>
                <w:szCs w:val="24"/>
              </w:rPr>
              <w:t>Total</w:t>
            </w:r>
          </w:p>
        </w:tc>
        <w:tc>
          <w:tcPr>
            <w:tcW w:w="2571" w:type="dxa"/>
            <w:shd w:val="clear" w:color="auto" w:fill="D9D9D9" w:themeFill="background1" w:themeFillShade="D9"/>
          </w:tcPr>
          <w:p w14:paraId="346250D0" w14:textId="77777777" w:rsidR="00CB71C8" w:rsidRDefault="002E4E3A" w:rsidP="00496388">
            <w:pPr>
              <w:jc w:val="center"/>
              <w:rPr>
                <w:rFonts w:ascii="Times New Roman" w:hAnsi="Times New Roman"/>
                <w:sz w:val="24"/>
              </w:rPr>
            </w:pPr>
            <w:r>
              <w:rPr>
                <w:rFonts w:ascii="Times New Roman" w:hAnsi="Times New Roman"/>
                <w:sz w:val="24"/>
              </w:rPr>
              <w:t>27</w:t>
            </w:r>
          </w:p>
        </w:tc>
        <w:tc>
          <w:tcPr>
            <w:tcW w:w="1619" w:type="dxa"/>
            <w:shd w:val="clear" w:color="auto" w:fill="D9D9D9" w:themeFill="background1" w:themeFillShade="D9"/>
          </w:tcPr>
          <w:p w14:paraId="3AC306DE" w14:textId="77777777" w:rsidR="00CB71C8" w:rsidRDefault="00FE50F7" w:rsidP="00496388">
            <w:pPr>
              <w:jc w:val="center"/>
              <w:rPr>
                <w:rFonts w:ascii="Times New Roman" w:hAnsi="Times New Roman"/>
                <w:sz w:val="24"/>
              </w:rPr>
            </w:pPr>
            <w:r>
              <w:rPr>
                <w:rFonts w:ascii="Times New Roman" w:hAnsi="Times New Roman"/>
                <w:sz w:val="24"/>
              </w:rPr>
              <w:t>--</w:t>
            </w:r>
          </w:p>
        </w:tc>
        <w:tc>
          <w:tcPr>
            <w:tcW w:w="1877" w:type="dxa"/>
            <w:shd w:val="clear" w:color="auto" w:fill="D9D9D9" w:themeFill="background1" w:themeFillShade="D9"/>
          </w:tcPr>
          <w:p w14:paraId="66EB3B2D" w14:textId="77777777" w:rsidR="00CB71C8" w:rsidRDefault="00D57154" w:rsidP="00496388">
            <w:pPr>
              <w:jc w:val="center"/>
              <w:rPr>
                <w:rFonts w:ascii="Times New Roman" w:hAnsi="Times New Roman"/>
                <w:sz w:val="24"/>
              </w:rPr>
            </w:pPr>
            <w:r>
              <w:rPr>
                <w:rFonts w:ascii="Times New Roman" w:hAnsi="Times New Roman"/>
                <w:sz w:val="24"/>
              </w:rPr>
              <w:t>20.25</w:t>
            </w:r>
          </w:p>
        </w:tc>
      </w:tr>
      <w:tr w:rsidR="00E1584F" w:rsidRPr="00585058" w14:paraId="19D8C06C" w14:textId="77777777" w:rsidTr="00CB3157">
        <w:trPr>
          <w:trHeight w:val="274"/>
          <w:jc w:val="center"/>
        </w:trPr>
        <w:tc>
          <w:tcPr>
            <w:tcW w:w="8492" w:type="dxa"/>
            <w:gridSpan w:val="4"/>
          </w:tcPr>
          <w:p w14:paraId="076DC986" w14:textId="1F915555" w:rsidR="00E1584F" w:rsidRDefault="00E1584F" w:rsidP="00496388">
            <w:pPr>
              <w:jc w:val="center"/>
              <w:rPr>
                <w:rFonts w:ascii="Times New Roman" w:hAnsi="Times New Roman"/>
                <w:sz w:val="24"/>
              </w:rPr>
            </w:pPr>
            <w:r>
              <w:rPr>
                <w:rFonts w:ascii="Times New Roman" w:hAnsi="Times New Roman"/>
                <w:sz w:val="24"/>
                <w:szCs w:val="24"/>
              </w:rPr>
              <w:t>Surveys</w:t>
            </w:r>
          </w:p>
        </w:tc>
      </w:tr>
      <w:tr w:rsidR="00E1584F" w:rsidRPr="00585058" w14:paraId="09517EBB" w14:textId="77777777" w:rsidTr="00E1584F">
        <w:trPr>
          <w:trHeight w:val="274"/>
          <w:jc w:val="center"/>
        </w:trPr>
        <w:tc>
          <w:tcPr>
            <w:tcW w:w="2425" w:type="dxa"/>
            <w:tcBorders>
              <w:top w:val="single" w:sz="4" w:space="0" w:color="auto"/>
              <w:left w:val="single" w:sz="4" w:space="0" w:color="auto"/>
              <w:bottom w:val="single" w:sz="4" w:space="0" w:color="auto"/>
              <w:right w:val="single" w:sz="4" w:space="0" w:color="auto"/>
            </w:tcBorders>
          </w:tcPr>
          <w:p w14:paraId="3330BEE0" w14:textId="77777777" w:rsidR="00E1584F" w:rsidRPr="00BA1659" w:rsidRDefault="00E1584F" w:rsidP="003D28FE">
            <w:pPr>
              <w:rPr>
                <w:rFonts w:ascii="Times New Roman" w:hAnsi="Times New Roman"/>
                <w:sz w:val="24"/>
                <w:szCs w:val="24"/>
              </w:rPr>
            </w:pPr>
            <w:r>
              <w:rPr>
                <w:rFonts w:ascii="Times New Roman" w:hAnsi="Times New Roman"/>
                <w:sz w:val="24"/>
                <w:szCs w:val="24"/>
              </w:rPr>
              <w:t>Patients /C</w:t>
            </w:r>
            <w:r w:rsidRPr="00BA1659">
              <w:rPr>
                <w:rFonts w:ascii="Times New Roman" w:hAnsi="Times New Roman"/>
                <w:sz w:val="24"/>
                <w:szCs w:val="24"/>
              </w:rPr>
              <w:t>aregivers</w:t>
            </w:r>
          </w:p>
        </w:tc>
        <w:tc>
          <w:tcPr>
            <w:tcW w:w="2571" w:type="dxa"/>
            <w:tcBorders>
              <w:top w:val="single" w:sz="4" w:space="0" w:color="auto"/>
              <w:left w:val="single" w:sz="4" w:space="0" w:color="auto"/>
              <w:bottom w:val="single" w:sz="4" w:space="0" w:color="auto"/>
              <w:right w:val="single" w:sz="4" w:space="0" w:color="auto"/>
            </w:tcBorders>
          </w:tcPr>
          <w:p w14:paraId="70176D2A" w14:textId="77777777" w:rsidR="00E1584F" w:rsidRPr="00585058" w:rsidRDefault="00E1584F" w:rsidP="003D28FE">
            <w:pPr>
              <w:jc w:val="center"/>
              <w:rPr>
                <w:rFonts w:ascii="Times New Roman" w:hAnsi="Times New Roman"/>
                <w:sz w:val="24"/>
              </w:rPr>
            </w:pPr>
            <w:r>
              <w:rPr>
                <w:rFonts w:ascii="Times New Roman" w:hAnsi="Times New Roman"/>
                <w:sz w:val="24"/>
              </w:rPr>
              <w:t>100</w:t>
            </w:r>
          </w:p>
        </w:tc>
        <w:tc>
          <w:tcPr>
            <w:tcW w:w="1619" w:type="dxa"/>
            <w:tcBorders>
              <w:top w:val="single" w:sz="4" w:space="0" w:color="auto"/>
              <w:left w:val="single" w:sz="4" w:space="0" w:color="auto"/>
              <w:bottom w:val="single" w:sz="4" w:space="0" w:color="auto"/>
              <w:right w:val="single" w:sz="4" w:space="0" w:color="auto"/>
            </w:tcBorders>
          </w:tcPr>
          <w:p w14:paraId="4DC3E3A3" w14:textId="77777777" w:rsidR="00E1584F" w:rsidRPr="00585058" w:rsidRDefault="00E1584F" w:rsidP="003D28FE">
            <w:pPr>
              <w:jc w:val="center"/>
              <w:rPr>
                <w:rFonts w:ascii="Times New Roman" w:hAnsi="Times New Roman"/>
                <w:sz w:val="24"/>
              </w:rPr>
            </w:pPr>
            <w:r>
              <w:rPr>
                <w:rFonts w:ascii="Times New Roman" w:hAnsi="Times New Roman"/>
                <w:sz w:val="24"/>
              </w:rPr>
              <w:t>30</w:t>
            </w:r>
          </w:p>
        </w:tc>
        <w:tc>
          <w:tcPr>
            <w:tcW w:w="1877" w:type="dxa"/>
            <w:tcBorders>
              <w:top w:val="single" w:sz="4" w:space="0" w:color="auto"/>
              <w:left w:val="single" w:sz="4" w:space="0" w:color="auto"/>
              <w:bottom w:val="single" w:sz="4" w:space="0" w:color="auto"/>
              <w:right w:val="single" w:sz="4" w:space="0" w:color="auto"/>
            </w:tcBorders>
          </w:tcPr>
          <w:p w14:paraId="6F00B5F6" w14:textId="77777777" w:rsidR="00E1584F" w:rsidRPr="00585058" w:rsidRDefault="00E1584F" w:rsidP="003D28FE">
            <w:pPr>
              <w:jc w:val="center"/>
              <w:rPr>
                <w:rFonts w:ascii="Times New Roman" w:hAnsi="Times New Roman"/>
                <w:sz w:val="24"/>
              </w:rPr>
            </w:pPr>
            <w:r>
              <w:rPr>
                <w:rFonts w:ascii="Times New Roman" w:hAnsi="Times New Roman"/>
                <w:sz w:val="24"/>
              </w:rPr>
              <w:t>50</w:t>
            </w:r>
          </w:p>
        </w:tc>
      </w:tr>
      <w:tr w:rsidR="00E1584F" w:rsidRPr="00585058" w14:paraId="231A758B" w14:textId="77777777" w:rsidTr="00E1584F">
        <w:trPr>
          <w:trHeight w:val="274"/>
          <w:jc w:val="center"/>
        </w:trPr>
        <w:tc>
          <w:tcPr>
            <w:tcW w:w="2425" w:type="dxa"/>
            <w:tcBorders>
              <w:top w:val="single" w:sz="4" w:space="0" w:color="auto"/>
              <w:left w:val="single" w:sz="4" w:space="0" w:color="auto"/>
              <w:bottom w:val="single" w:sz="4" w:space="0" w:color="auto"/>
              <w:right w:val="single" w:sz="4" w:space="0" w:color="auto"/>
            </w:tcBorders>
          </w:tcPr>
          <w:p w14:paraId="16776FD4" w14:textId="77777777" w:rsidR="00E1584F" w:rsidRPr="00BA1659" w:rsidRDefault="00E1584F" w:rsidP="003D28FE">
            <w:pPr>
              <w:rPr>
                <w:rFonts w:ascii="Times New Roman" w:hAnsi="Times New Roman"/>
                <w:sz w:val="24"/>
                <w:szCs w:val="24"/>
              </w:rPr>
            </w:pPr>
            <w:r w:rsidRPr="00BA1659">
              <w:rPr>
                <w:rFonts w:ascii="Times New Roman" w:hAnsi="Times New Roman"/>
                <w:sz w:val="24"/>
                <w:szCs w:val="24"/>
              </w:rPr>
              <w:t>Prescribers</w:t>
            </w:r>
          </w:p>
        </w:tc>
        <w:tc>
          <w:tcPr>
            <w:tcW w:w="2571" w:type="dxa"/>
            <w:tcBorders>
              <w:top w:val="single" w:sz="4" w:space="0" w:color="auto"/>
              <w:left w:val="single" w:sz="4" w:space="0" w:color="auto"/>
              <w:bottom w:val="single" w:sz="4" w:space="0" w:color="auto"/>
              <w:right w:val="single" w:sz="4" w:space="0" w:color="auto"/>
            </w:tcBorders>
          </w:tcPr>
          <w:p w14:paraId="7F09CBB6" w14:textId="77777777" w:rsidR="00E1584F" w:rsidRPr="00585058" w:rsidRDefault="00E1584F" w:rsidP="003D28FE">
            <w:pPr>
              <w:jc w:val="center"/>
              <w:rPr>
                <w:rFonts w:ascii="Times New Roman" w:hAnsi="Times New Roman"/>
                <w:sz w:val="24"/>
              </w:rPr>
            </w:pPr>
            <w:r>
              <w:rPr>
                <w:rFonts w:ascii="Times New Roman" w:hAnsi="Times New Roman"/>
                <w:sz w:val="24"/>
              </w:rPr>
              <w:t>100</w:t>
            </w:r>
          </w:p>
        </w:tc>
        <w:tc>
          <w:tcPr>
            <w:tcW w:w="1619" w:type="dxa"/>
            <w:tcBorders>
              <w:top w:val="single" w:sz="4" w:space="0" w:color="auto"/>
              <w:left w:val="single" w:sz="4" w:space="0" w:color="auto"/>
              <w:bottom w:val="single" w:sz="4" w:space="0" w:color="auto"/>
              <w:right w:val="single" w:sz="4" w:space="0" w:color="auto"/>
            </w:tcBorders>
          </w:tcPr>
          <w:p w14:paraId="35D9120F" w14:textId="77777777" w:rsidR="00E1584F" w:rsidRPr="00585058" w:rsidRDefault="00E1584F" w:rsidP="003D28FE">
            <w:pPr>
              <w:jc w:val="center"/>
              <w:rPr>
                <w:rFonts w:ascii="Times New Roman" w:hAnsi="Times New Roman"/>
                <w:sz w:val="24"/>
              </w:rPr>
            </w:pPr>
            <w:r>
              <w:rPr>
                <w:rFonts w:ascii="Times New Roman" w:hAnsi="Times New Roman"/>
                <w:sz w:val="24"/>
              </w:rPr>
              <w:t>20</w:t>
            </w:r>
          </w:p>
        </w:tc>
        <w:tc>
          <w:tcPr>
            <w:tcW w:w="1877" w:type="dxa"/>
            <w:tcBorders>
              <w:top w:val="single" w:sz="4" w:space="0" w:color="auto"/>
              <w:left w:val="single" w:sz="4" w:space="0" w:color="auto"/>
              <w:bottom w:val="single" w:sz="4" w:space="0" w:color="auto"/>
              <w:right w:val="single" w:sz="4" w:space="0" w:color="auto"/>
            </w:tcBorders>
          </w:tcPr>
          <w:p w14:paraId="6396968C" w14:textId="77777777" w:rsidR="00E1584F" w:rsidRPr="00585058" w:rsidRDefault="00E1584F" w:rsidP="003D28FE">
            <w:pPr>
              <w:jc w:val="center"/>
              <w:rPr>
                <w:rFonts w:ascii="Times New Roman" w:hAnsi="Times New Roman"/>
                <w:sz w:val="24"/>
              </w:rPr>
            </w:pPr>
            <w:r>
              <w:rPr>
                <w:rFonts w:ascii="Times New Roman" w:hAnsi="Times New Roman"/>
                <w:sz w:val="24"/>
              </w:rPr>
              <w:t>33.3</w:t>
            </w:r>
          </w:p>
        </w:tc>
      </w:tr>
      <w:tr w:rsidR="00E1584F" w:rsidRPr="00585058" w14:paraId="5BDF8037" w14:textId="77777777" w:rsidTr="00E1584F">
        <w:trPr>
          <w:trHeight w:val="274"/>
          <w:jc w:val="center"/>
        </w:trPr>
        <w:tc>
          <w:tcPr>
            <w:tcW w:w="2425" w:type="dxa"/>
            <w:tcBorders>
              <w:top w:val="single" w:sz="4" w:space="0" w:color="auto"/>
              <w:left w:val="single" w:sz="4" w:space="0" w:color="auto"/>
              <w:bottom w:val="single" w:sz="4" w:space="0" w:color="auto"/>
              <w:right w:val="single" w:sz="4" w:space="0" w:color="auto"/>
            </w:tcBorders>
          </w:tcPr>
          <w:p w14:paraId="491C1290" w14:textId="77777777" w:rsidR="00E1584F" w:rsidRPr="00BA1659" w:rsidRDefault="00E1584F" w:rsidP="003D28FE">
            <w:pPr>
              <w:rPr>
                <w:rFonts w:ascii="Times New Roman" w:hAnsi="Times New Roman"/>
                <w:sz w:val="24"/>
                <w:szCs w:val="24"/>
              </w:rPr>
            </w:pPr>
            <w:r w:rsidRPr="00BA1659">
              <w:rPr>
                <w:rFonts w:ascii="Times New Roman" w:hAnsi="Times New Roman"/>
                <w:sz w:val="24"/>
                <w:szCs w:val="24"/>
              </w:rPr>
              <w:t>Pharmacists</w:t>
            </w:r>
          </w:p>
        </w:tc>
        <w:tc>
          <w:tcPr>
            <w:tcW w:w="2571" w:type="dxa"/>
            <w:tcBorders>
              <w:top w:val="single" w:sz="4" w:space="0" w:color="auto"/>
              <w:left w:val="single" w:sz="4" w:space="0" w:color="auto"/>
              <w:bottom w:val="single" w:sz="4" w:space="0" w:color="auto"/>
              <w:right w:val="single" w:sz="4" w:space="0" w:color="auto"/>
            </w:tcBorders>
          </w:tcPr>
          <w:p w14:paraId="5500F993" w14:textId="77777777" w:rsidR="00E1584F" w:rsidRDefault="00E1584F" w:rsidP="003D28FE">
            <w:pPr>
              <w:jc w:val="center"/>
              <w:rPr>
                <w:rFonts w:ascii="Times New Roman" w:hAnsi="Times New Roman"/>
                <w:sz w:val="24"/>
              </w:rPr>
            </w:pPr>
            <w:r>
              <w:rPr>
                <w:rFonts w:ascii="Times New Roman" w:hAnsi="Times New Roman"/>
                <w:sz w:val="24"/>
              </w:rPr>
              <w:t>100</w:t>
            </w:r>
          </w:p>
        </w:tc>
        <w:tc>
          <w:tcPr>
            <w:tcW w:w="1619" w:type="dxa"/>
            <w:tcBorders>
              <w:top w:val="single" w:sz="4" w:space="0" w:color="auto"/>
              <w:left w:val="single" w:sz="4" w:space="0" w:color="auto"/>
              <w:bottom w:val="single" w:sz="4" w:space="0" w:color="auto"/>
              <w:right w:val="single" w:sz="4" w:space="0" w:color="auto"/>
            </w:tcBorders>
          </w:tcPr>
          <w:p w14:paraId="21735F63" w14:textId="77777777" w:rsidR="00E1584F" w:rsidRDefault="00E1584F" w:rsidP="003D28FE">
            <w:pPr>
              <w:jc w:val="center"/>
              <w:rPr>
                <w:rFonts w:ascii="Times New Roman" w:hAnsi="Times New Roman"/>
                <w:sz w:val="24"/>
              </w:rPr>
            </w:pPr>
            <w:r>
              <w:rPr>
                <w:rFonts w:ascii="Times New Roman" w:hAnsi="Times New Roman"/>
                <w:sz w:val="24"/>
              </w:rPr>
              <w:t>20</w:t>
            </w:r>
          </w:p>
        </w:tc>
        <w:tc>
          <w:tcPr>
            <w:tcW w:w="1877" w:type="dxa"/>
            <w:tcBorders>
              <w:top w:val="single" w:sz="4" w:space="0" w:color="auto"/>
              <w:left w:val="single" w:sz="4" w:space="0" w:color="auto"/>
              <w:bottom w:val="single" w:sz="4" w:space="0" w:color="auto"/>
              <w:right w:val="single" w:sz="4" w:space="0" w:color="auto"/>
            </w:tcBorders>
          </w:tcPr>
          <w:p w14:paraId="621F0A6A" w14:textId="77777777" w:rsidR="00E1584F" w:rsidRDefault="00E1584F" w:rsidP="003D28FE">
            <w:pPr>
              <w:jc w:val="center"/>
              <w:rPr>
                <w:rFonts w:ascii="Times New Roman" w:hAnsi="Times New Roman"/>
                <w:sz w:val="24"/>
              </w:rPr>
            </w:pPr>
            <w:r>
              <w:rPr>
                <w:rFonts w:ascii="Times New Roman" w:hAnsi="Times New Roman"/>
                <w:sz w:val="24"/>
              </w:rPr>
              <w:t>33.3</w:t>
            </w:r>
          </w:p>
        </w:tc>
      </w:tr>
      <w:tr w:rsidR="00E1584F" w:rsidRPr="00585058" w14:paraId="027BCB1D" w14:textId="77777777" w:rsidTr="00E1584F">
        <w:trPr>
          <w:trHeight w:val="274"/>
          <w:jc w:val="center"/>
        </w:trPr>
        <w:tc>
          <w:tcPr>
            <w:tcW w:w="2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46938D" w14:textId="4D9DCF8F" w:rsidR="00E1584F" w:rsidRPr="00BA1659" w:rsidRDefault="00E1584F" w:rsidP="00E1584F">
            <w:pPr>
              <w:jc w:val="right"/>
              <w:rPr>
                <w:rFonts w:ascii="Times New Roman" w:hAnsi="Times New Roman"/>
                <w:sz w:val="24"/>
                <w:szCs w:val="24"/>
              </w:rPr>
            </w:pPr>
            <w:r>
              <w:rPr>
                <w:rFonts w:ascii="Times New Roman" w:hAnsi="Times New Roman"/>
                <w:sz w:val="24"/>
                <w:szCs w:val="24"/>
              </w:rPr>
              <w:t>Sub Total</w:t>
            </w:r>
          </w:p>
        </w:tc>
        <w:tc>
          <w:tcPr>
            <w:tcW w:w="25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974C55" w14:textId="77777777" w:rsidR="00E1584F" w:rsidRDefault="00E1584F" w:rsidP="003D28FE">
            <w:pPr>
              <w:jc w:val="center"/>
              <w:rPr>
                <w:rFonts w:ascii="Times New Roman" w:hAnsi="Times New Roman"/>
                <w:sz w:val="24"/>
              </w:rPr>
            </w:pPr>
            <w:r>
              <w:rPr>
                <w:rFonts w:ascii="Times New Roman" w:hAnsi="Times New Roman"/>
                <w:sz w:val="24"/>
              </w:rPr>
              <w:t>300</w:t>
            </w: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5836FD" w14:textId="77777777" w:rsidR="00E1584F" w:rsidRDefault="00E1584F" w:rsidP="003D28FE">
            <w:pPr>
              <w:jc w:val="center"/>
              <w:rPr>
                <w:rFonts w:ascii="Times New Roman" w:hAnsi="Times New Roman"/>
                <w:sz w:val="24"/>
              </w:rPr>
            </w:pPr>
            <w:r>
              <w:rPr>
                <w:rFonts w:ascii="Times New Roman" w:hAnsi="Times New Roman"/>
                <w:sz w:val="24"/>
              </w:rPr>
              <w:t>--</w:t>
            </w:r>
          </w:p>
        </w:tc>
        <w:tc>
          <w:tcPr>
            <w:tcW w:w="18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426726" w14:textId="77777777" w:rsidR="00E1584F" w:rsidRDefault="00E1584F" w:rsidP="003D28FE">
            <w:pPr>
              <w:jc w:val="center"/>
              <w:rPr>
                <w:rFonts w:ascii="Times New Roman" w:hAnsi="Times New Roman"/>
                <w:sz w:val="24"/>
              </w:rPr>
            </w:pPr>
            <w:r>
              <w:rPr>
                <w:rFonts w:ascii="Times New Roman" w:hAnsi="Times New Roman"/>
                <w:sz w:val="24"/>
              </w:rPr>
              <w:t>116.6</w:t>
            </w:r>
          </w:p>
        </w:tc>
      </w:tr>
      <w:tr w:rsidR="00E1584F" w:rsidRPr="00585058" w14:paraId="6F3A4E0B" w14:textId="77777777" w:rsidTr="00E1584F">
        <w:trPr>
          <w:trHeight w:val="274"/>
          <w:jc w:val="center"/>
        </w:trPr>
        <w:tc>
          <w:tcPr>
            <w:tcW w:w="2425" w:type="dxa"/>
            <w:tcBorders>
              <w:top w:val="single" w:sz="4" w:space="0" w:color="auto"/>
              <w:left w:val="single" w:sz="4" w:space="0" w:color="auto"/>
              <w:bottom w:val="single" w:sz="4" w:space="0" w:color="auto"/>
              <w:right w:val="single" w:sz="4" w:space="0" w:color="auto"/>
            </w:tcBorders>
            <w:shd w:val="clear" w:color="auto" w:fill="FFFFFF" w:themeFill="background1"/>
          </w:tcPr>
          <w:p w14:paraId="42C7C6B1" w14:textId="328A5ED4" w:rsidR="00E1584F" w:rsidRDefault="00E1584F" w:rsidP="00E1584F">
            <w:pPr>
              <w:rPr>
                <w:rFonts w:ascii="Times New Roman" w:hAnsi="Times New Roman"/>
                <w:sz w:val="24"/>
                <w:szCs w:val="24"/>
              </w:rPr>
            </w:pPr>
            <w:r>
              <w:rPr>
                <w:rFonts w:ascii="Times New Roman" w:hAnsi="Times New Roman"/>
                <w:sz w:val="24"/>
                <w:szCs w:val="24"/>
              </w:rPr>
              <w:t>Total Reporting Burden Hours</w:t>
            </w:r>
          </w:p>
        </w:tc>
        <w:tc>
          <w:tcPr>
            <w:tcW w:w="257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51E4C92" w14:textId="3D3EC429" w:rsidR="00E1584F" w:rsidRDefault="00E1584F" w:rsidP="00E1584F">
            <w:pPr>
              <w:jc w:val="center"/>
              <w:rPr>
                <w:rFonts w:ascii="Times New Roman" w:hAnsi="Times New Roman"/>
                <w:sz w:val="24"/>
              </w:rPr>
            </w:pPr>
            <w:r>
              <w:rPr>
                <w:rFonts w:ascii="Times New Roman" w:hAnsi="Times New Roman"/>
                <w:sz w:val="24"/>
              </w:rPr>
              <w:t>327</w:t>
            </w:r>
          </w:p>
        </w:tc>
        <w:tc>
          <w:tcPr>
            <w:tcW w:w="161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66C2F76" w14:textId="77777777" w:rsidR="00E1584F" w:rsidRDefault="00E1584F" w:rsidP="00E1584F">
            <w:pPr>
              <w:jc w:val="center"/>
              <w:rPr>
                <w:rFonts w:ascii="Times New Roman" w:hAnsi="Times New Roman"/>
                <w:sz w:val="24"/>
              </w:rPr>
            </w:pPr>
          </w:p>
        </w:tc>
        <w:tc>
          <w:tcPr>
            <w:tcW w:w="18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F65CB70" w14:textId="5610C99C" w:rsidR="00E1584F" w:rsidRDefault="00E1584F" w:rsidP="00E1584F">
            <w:pPr>
              <w:jc w:val="center"/>
              <w:rPr>
                <w:rFonts w:ascii="Times New Roman" w:hAnsi="Times New Roman"/>
                <w:sz w:val="24"/>
              </w:rPr>
            </w:pPr>
            <w:r>
              <w:rPr>
                <w:rFonts w:ascii="Times New Roman" w:hAnsi="Times New Roman"/>
                <w:sz w:val="24"/>
              </w:rPr>
              <w:t>136.85</w:t>
            </w:r>
          </w:p>
        </w:tc>
      </w:tr>
    </w:tbl>
    <w:p w14:paraId="5CC55746" w14:textId="77777777" w:rsidR="00D8037D" w:rsidRPr="008A1DD3" w:rsidRDefault="00D8037D" w:rsidP="00496388">
      <w:pPr>
        <w:rPr>
          <w:rFonts w:ascii="Times New Roman" w:hAnsi="Times New Roman"/>
          <w:sz w:val="24"/>
        </w:rPr>
      </w:pPr>
    </w:p>
    <w:p w14:paraId="05542265" w14:textId="1950CFEA" w:rsidR="00D8037D" w:rsidRPr="00585058" w:rsidRDefault="00D8037D" w:rsidP="00496388">
      <w:pPr>
        <w:jc w:val="both"/>
        <w:rPr>
          <w:rFonts w:ascii="Times New Roman" w:hAnsi="Times New Roman"/>
          <w:sz w:val="24"/>
        </w:rPr>
      </w:pPr>
      <w:r w:rsidRPr="00585058">
        <w:rPr>
          <w:rFonts w:ascii="Times New Roman" w:hAnsi="Times New Roman"/>
          <w:b/>
          <w:sz w:val="24"/>
        </w:rPr>
        <w:t>REQUESTED APPROVAL DATE:</w:t>
      </w:r>
      <w:r w:rsidRPr="00585058">
        <w:rPr>
          <w:rFonts w:ascii="Times New Roman" w:hAnsi="Times New Roman"/>
          <w:sz w:val="24"/>
        </w:rPr>
        <w:t xml:space="preserve"> </w:t>
      </w:r>
      <w:r w:rsidR="000E15CB">
        <w:rPr>
          <w:rFonts w:ascii="Times New Roman" w:hAnsi="Times New Roman"/>
          <w:sz w:val="24"/>
        </w:rPr>
        <w:t>M</w:t>
      </w:r>
      <w:r w:rsidR="00CF7A98">
        <w:rPr>
          <w:rFonts w:ascii="Times New Roman" w:hAnsi="Times New Roman"/>
          <w:sz w:val="24"/>
        </w:rPr>
        <w:t>arch</w:t>
      </w:r>
      <w:r w:rsidR="002E4E3A">
        <w:rPr>
          <w:rFonts w:ascii="Times New Roman" w:hAnsi="Times New Roman"/>
          <w:sz w:val="24"/>
        </w:rPr>
        <w:t>, 201</w:t>
      </w:r>
      <w:r w:rsidR="00CE29DF">
        <w:rPr>
          <w:rFonts w:ascii="Times New Roman" w:hAnsi="Times New Roman"/>
          <w:sz w:val="24"/>
        </w:rPr>
        <w:t>8</w:t>
      </w:r>
      <w:r w:rsidR="000D181E">
        <w:rPr>
          <w:rFonts w:ascii="Times New Roman" w:hAnsi="Times New Roman"/>
          <w:sz w:val="24"/>
        </w:rPr>
        <w:t>.</w:t>
      </w:r>
      <w:r w:rsidR="00294300">
        <w:rPr>
          <w:rFonts w:ascii="Times New Roman" w:hAnsi="Times New Roman"/>
          <w:sz w:val="24"/>
        </w:rPr>
        <w:t xml:space="preserve"> </w:t>
      </w:r>
    </w:p>
    <w:p w14:paraId="3EE64143" w14:textId="77777777" w:rsidR="00093A43" w:rsidRDefault="00093A43" w:rsidP="00496388">
      <w:pPr>
        <w:rPr>
          <w:rFonts w:ascii="Times New Roman" w:hAnsi="Times New Roman"/>
          <w:b/>
          <w:sz w:val="24"/>
        </w:rPr>
      </w:pPr>
    </w:p>
    <w:p w14:paraId="35A6EE8B" w14:textId="20F51241" w:rsidR="00585058" w:rsidRPr="00585058" w:rsidRDefault="00D8037D" w:rsidP="00496388">
      <w:pPr>
        <w:rPr>
          <w:rFonts w:ascii="Times New Roman" w:hAnsi="Times New Roman"/>
          <w:sz w:val="24"/>
        </w:rPr>
      </w:pPr>
      <w:r w:rsidRPr="00585058">
        <w:rPr>
          <w:rFonts w:ascii="Times New Roman" w:hAnsi="Times New Roman"/>
          <w:b/>
          <w:sz w:val="24"/>
        </w:rPr>
        <w:t xml:space="preserve">NAME OF PRA ANALYST &amp; PROGRAM CONTACT:   </w:t>
      </w:r>
    </w:p>
    <w:p w14:paraId="601A12F3" w14:textId="4979529F" w:rsidR="00585058" w:rsidRPr="00585058" w:rsidRDefault="008A5BEA" w:rsidP="00496388">
      <w:pPr>
        <w:spacing w:before="100" w:beforeAutospacing="1" w:after="100" w:afterAutospacing="1"/>
        <w:contextualSpacing/>
        <w:rPr>
          <w:rFonts w:ascii="Times New Roman" w:hAnsi="Times New Roman"/>
          <w:sz w:val="24"/>
          <w:szCs w:val="24"/>
        </w:rPr>
      </w:pPr>
      <w:r>
        <w:rPr>
          <w:rFonts w:ascii="Times New Roman" w:hAnsi="Times New Roman"/>
          <w:sz w:val="24"/>
          <w:szCs w:val="24"/>
        </w:rPr>
        <w:t>Ila S. Mizrachi</w:t>
      </w:r>
    </w:p>
    <w:p w14:paraId="6355E6EA" w14:textId="77777777" w:rsidR="00585058" w:rsidRPr="00585058" w:rsidRDefault="00585058" w:rsidP="00496388">
      <w:pPr>
        <w:spacing w:before="100" w:beforeAutospacing="1" w:after="100" w:afterAutospacing="1"/>
        <w:contextualSpacing/>
        <w:rPr>
          <w:rFonts w:ascii="Times New Roman" w:hAnsi="Times New Roman"/>
          <w:sz w:val="24"/>
          <w:szCs w:val="24"/>
        </w:rPr>
      </w:pPr>
      <w:r w:rsidRPr="00585058">
        <w:rPr>
          <w:rFonts w:ascii="Times New Roman" w:hAnsi="Times New Roman"/>
          <w:sz w:val="24"/>
          <w:szCs w:val="24"/>
        </w:rPr>
        <w:t>Paperwork Reduction Act Staff</w:t>
      </w:r>
    </w:p>
    <w:p w14:paraId="71889BC3" w14:textId="77777777" w:rsidR="00585058" w:rsidRPr="00585058" w:rsidRDefault="00AF0F8B" w:rsidP="00496388">
      <w:pPr>
        <w:contextualSpacing/>
        <w:rPr>
          <w:rFonts w:ascii="Times New Roman" w:hAnsi="Times New Roman"/>
          <w:sz w:val="24"/>
          <w:szCs w:val="24"/>
        </w:rPr>
      </w:pPr>
      <w:hyperlink r:id="rId10" w:history="1">
        <w:r w:rsidR="00585058" w:rsidRPr="00585058">
          <w:rPr>
            <w:rStyle w:val="Hyperlink"/>
            <w:rFonts w:ascii="Times New Roman" w:hAnsi="Times New Roman"/>
            <w:sz w:val="24"/>
            <w:szCs w:val="24"/>
          </w:rPr>
          <w:t>Ila.Mizrachi@fda.hhs.gov</w:t>
        </w:r>
      </w:hyperlink>
    </w:p>
    <w:p w14:paraId="20CC723E" w14:textId="7496F05B" w:rsidR="00585058" w:rsidRPr="00585058" w:rsidRDefault="00585058" w:rsidP="00496388">
      <w:pPr>
        <w:contextualSpacing/>
        <w:rPr>
          <w:rFonts w:ascii="Times New Roman" w:hAnsi="Times New Roman"/>
          <w:sz w:val="24"/>
          <w:szCs w:val="24"/>
        </w:rPr>
      </w:pPr>
      <w:r>
        <w:rPr>
          <w:rFonts w:ascii="Times New Roman" w:hAnsi="Times New Roman"/>
          <w:sz w:val="24"/>
          <w:szCs w:val="24"/>
        </w:rPr>
        <w:t>301.796.</w:t>
      </w:r>
      <w:r w:rsidR="008A5BEA">
        <w:rPr>
          <w:rFonts w:ascii="Times New Roman" w:hAnsi="Times New Roman"/>
          <w:sz w:val="24"/>
          <w:szCs w:val="24"/>
        </w:rPr>
        <w:t>7726</w:t>
      </w:r>
    </w:p>
    <w:p w14:paraId="692A238D" w14:textId="77777777" w:rsidR="008A5BEA" w:rsidRPr="00585058" w:rsidRDefault="008A5BEA" w:rsidP="00496388">
      <w:pPr>
        <w:contextualSpacing/>
        <w:rPr>
          <w:rFonts w:ascii="Times New Roman" w:hAnsi="Times New Roman"/>
          <w:sz w:val="24"/>
          <w:szCs w:val="24"/>
        </w:rPr>
      </w:pPr>
    </w:p>
    <w:p w14:paraId="59D4165A" w14:textId="77777777" w:rsidR="008A5BEA" w:rsidRDefault="008A5BEA" w:rsidP="00496388">
      <w:pPr>
        <w:spacing w:before="100" w:beforeAutospacing="1" w:after="100" w:afterAutospacing="1"/>
        <w:contextualSpacing/>
        <w:rPr>
          <w:rFonts w:ascii="Times New Roman" w:hAnsi="Times New Roman"/>
          <w:sz w:val="24"/>
          <w:szCs w:val="24"/>
        </w:rPr>
      </w:pPr>
    </w:p>
    <w:p w14:paraId="054FC91F" w14:textId="77777777" w:rsidR="008A5BEA" w:rsidRDefault="008A5BEA" w:rsidP="00496388">
      <w:pPr>
        <w:spacing w:before="100" w:beforeAutospacing="1" w:after="100" w:afterAutospacing="1"/>
        <w:contextualSpacing/>
        <w:rPr>
          <w:rFonts w:ascii="Times New Roman" w:hAnsi="Times New Roman"/>
          <w:sz w:val="24"/>
          <w:szCs w:val="24"/>
        </w:rPr>
      </w:pPr>
    </w:p>
    <w:p w14:paraId="4C3D037E" w14:textId="77777777" w:rsidR="008A5BEA" w:rsidRDefault="008A5BEA" w:rsidP="00496388">
      <w:pPr>
        <w:spacing w:before="100" w:beforeAutospacing="1" w:after="100" w:afterAutospacing="1"/>
        <w:contextualSpacing/>
        <w:rPr>
          <w:rFonts w:ascii="Times New Roman" w:hAnsi="Times New Roman"/>
          <w:sz w:val="24"/>
          <w:szCs w:val="24"/>
        </w:rPr>
      </w:pPr>
    </w:p>
    <w:p w14:paraId="75477DC8" w14:textId="77777777" w:rsidR="008A5BEA" w:rsidRDefault="008A5BEA" w:rsidP="00496388">
      <w:pPr>
        <w:spacing w:before="100" w:beforeAutospacing="1" w:after="100" w:afterAutospacing="1"/>
        <w:contextualSpacing/>
        <w:rPr>
          <w:rFonts w:ascii="Times New Roman" w:hAnsi="Times New Roman"/>
          <w:sz w:val="24"/>
          <w:szCs w:val="24"/>
        </w:rPr>
      </w:pPr>
    </w:p>
    <w:p w14:paraId="74061E53" w14:textId="20EE6939" w:rsidR="000B29B6" w:rsidRPr="000B29B6" w:rsidRDefault="000B29B6" w:rsidP="00496388">
      <w:pPr>
        <w:spacing w:before="100" w:beforeAutospacing="1" w:after="100" w:afterAutospacing="1"/>
        <w:contextualSpacing/>
        <w:rPr>
          <w:rFonts w:ascii="Times New Roman" w:hAnsi="Times New Roman"/>
          <w:sz w:val="24"/>
          <w:szCs w:val="24"/>
        </w:rPr>
      </w:pPr>
      <w:r w:rsidRPr="000B29B6">
        <w:rPr>
          <w:rFonts w:ascii="Times New Roman" w:hAnsi="Times New Roman"/>
          <w:sz w:val="24"/>
          <w:szCs w:val="24"/>
        </w:rPr>
        <w:t>Murewa Oguntimein M.H.S, CHES</w:t>
      </w:r>
    </w:p>
    <w:p w14:paraId="29C650D0" w14:textId="77777777" w:rsidR="000B29B6" w:rsidRPr="000B29B6" w:rsidRDefault="000B29B6" w:rsidP="00496388">
      <w:pPr>
        <w:spacing w:before="100" w:beforeAutospacing="1" w:after="100" w:afterAutospacing="1"/>
        <w:contextualSpacing/>
        <w:rPr>
          <w:rFonts w:ascii="Times New Roman" w:hAnsi="Times New Roman"/>
          <w:sz w:val="24"/>
          <w:szCs w:val="24"/>
        </w:rPr>
      </w:pPr>
      <w:r w:rsidRPr="000B29B6">
        <w:rPr>
          <w:rFonts w:ascii="Times New Roman" w:hAnsi="Times New Roman"/>
          <w:sz w:val="24"/>
          <w:szCs w:val="24"/>
        </w:rPr>
        <w:t>LCDR- USPHS</w:t>
      </w:r>
    </w:p>
    <w:p w14:paraId="3816FC60" w14:textId="77777777" w:rsidR="000B29B6" w:rsidRPr="000B29B6" w:rsidRDefault="000B29B6" w:rsidP="00496388">
      <w:pPr>
        <w:spacing w:before="100" w:beforeAutospacing="1" w:after="100" w:afterAutospacing="1"/>
        <w:contextualSpacing/>
        <w:rPr>
          <w:rFonts w:ascii="Times New Roman" w:hAnsi="Times New Roman"/>
          <w:sz w:val="24"/>
          <w:szCs w:val="24"/>
        </w:rPr>
      </w:pPr>
      <w:r w:rsidRPr="000B29B6">
        <w:rPr>
          <w:rFonts w:ascii="Times New Roman" w:hAnsi="Times New Roman"/>
          <w:sz w:val="24"/>
          <w:szCs w:val="24"/>
        </w:rPr>
        <w:t>Social Scientist</w:t>
      </w:r>
    </w:p>
    <w:p w14:paraId="64DCCD48" w14:textId="77777777" w:rsidR="000B29B6" w:rsidRPr="000B29B6" w:rsidRDefault="000B29B6" w:rsidP="00496388">
      <w:pPr>
        <w:spacing w:before="100" w:beforeAutospacing="1" w:after="100" w:afterAutospacing="1"/>
        <w:contextualSpacing/>
        <w:rPr>
          <w:rFonts w:ascii="Times New Roman" w:hAnsi="Times New Roman"/>
          <w:sz w:val="24"/>
          <w:szCs w:val="24"/>
        </w:rPr>
      </w:pPr>
      <w:r w:rsidRPr="000B29B6">
        <w:rPr>
          <w:rFonts w:ascii="Times New Roman" w:hAnsi="Times New Roman"/>
          <w:sz w:val="24"/>
          <w:szCs w:val="24"/>
        </w:rPr>
        <w:t>Division of Therapeutic Performance</w:t>
      </w:r>
    </w:p>
    <w:p w14:paraId="05BC3E44" w14:textId="77777777" w:rsidR="000B29B6" w:rsidRPr="000B29B6" w:rsidRDefault="000B29B6" w:rsidP="00496388">
      <w:pPr>
        <w:spacing w:before="100" w:beforeAutospacing="1" w:after="100" w:afterAutospacing="1"/>
        <w:contextualSpacing/>
        <w:rPr>
          <w:rFonts w:ascii="Times New Roman" w:hAnsi="Times New Roman"/>
          <w:sz w:val="24"/>
          <w:szCs w:val="24"/>
        </w:rPr>
      </w:pPr>
      <w:r w:rsidRPr="000B29B6">
        <w:rPr>
          <w:rFonts w:ascii="Times New Roman" w:hAnsi="Times New Roman"/>
          <w:sz w:val="24"/>
          <w:szCs w:val="24"/>
        </w:rPr>
        <w:t>Office of Research and Standards</w:t>
      </w:r>
    </w:p>
    <w:p w14:paraId="21AD7AE4" w14:textId="77777777" w:rsidR="000B29B6" w:rsidRPr="000B29B6" w:rsidRDefault="000B29B6" w:rsidP="00496388">
      <w:pPr>
        <w:spacing w:before="100" w:beforeAutospacing="1" w:after="100" w:afterAutospacing="1"/>
        <w:contextualSpacing/>
        <w:rPr>
          <w:rFonts w:ascii="Times New Roman" w:hAnsi="Times New Roman"/>
          <w:sz w:val="24"/>
          <w:szCs w:val="24"/>
        </w:rPr>
      </w:pPr>
      <w:r w:rsidRPr="000B29B6">
        <w:rPr>
          <w:rFonts w:ascii="Times New Roman" w:hAnsi="Times New Roman"/>
          <w:sz w:val="24"/>
          <w:szCs w:val="24"/>
        </w:rPr>
        <w:t>301</w:t>
      </w:r>
      <w:r>
        <w:rPr>
          <w:rFonts w:ascii="Times New Roman" w:hAnsi="Times New Roman"/>
          <w:sz w:val="24"/>
          <w:szCs w:val="24"/>
        </w:rPr>
        <w:t>.</w:t>
      </w:r>
      <w:r w:rsidRPr="000B29B6">
        <w:rPr>
          <w:rFonts w:ascii="Times New Roman" w:hAnsi="Times New Roman"/>
          <w:sz w:val="24"/>
          <w:szCs w:val="24"/>
        </w:rPr>
        <w:t>796</w:t>
      </w:r>
      <w:r w:rsidR="007B1989">
        <w:rPr>
          <w:rFonts w:ascii="Times New Roman" w:hAnsi="Times New Roman"/>
          <w:sz w:val="24"/>
          <w:szCs w:val="24"/>
        </w:rPr>
        <w:t>.</w:t>
      </w:r>
      <w:r w:rsidRPr="000B29B6">
        <w:rPr>
          <w:rFonts w:ascii="Times New Roman" w:hAnsi="Times New Roman"/>
          <w:sz w:val="24"/>
          <w:szCs w:val="24"/>
        </w:rPr>
        <w:t>4869</w:t>
      </w:r>
    </w:p>
    <w:p w14:paraId="17503B8C" w14:textId="77777777" w:rsidR="000B29B6" w:rsidRPr="000B29B6" w:rsidRDefault="00AF0F8B" w:rsidP="00496388">
      <w:pPr>
        <w:spacing w:before="100" w:beforeAutospacing="1" w:after="100" w:afterAutospacing="1"/>
        <w:contextualSpacing/>
        <w:rPr>
          <w:rFonts w:ascii="Times New Roman" w:hAnsi="Times New Roman"/>
          <w:sz w:val="24"/>
          <w:szCs w:val="24"/>
        </w:rPr>
      </w:pPr>
      <w:hyperlink r:id="rId11" w:history="1">
        <w:r w:rsidR="00460FAF" w:rsidRPr="00F14E09">
          <w:rPr>
            <w:rStyle w:val="Hyperlink"/>
            <w:rFonts w:ascii="Times New Roman" w:hAnsi="Times New Roman"/>
            <w:sz w:val="24"/>
            <w:szCs w:val="24"/>
          </w:rPr>
          <w:t>Oluwamurewa.oguntimein@fda.hhs.gov</w:t>
        </w:r>
      </w:hyperlink>
    </w:p>
    <w:p w14:paraId="7BE2073B" w14:textId="5CF5253E" w:rsidR="005B163F" w:rsidRDefault="005B163F" w:rsidP="00496388">
      <w:pPr>
        <w:rPr>
          <w:rFonts w:ascii="Times New Roman" w:hAnsi="Times New Roman"/>
          <w:b/>
          <w:sz w:val="24"/>
        </w:rPr>
      </w:pPr>
    </w:p>
    <w:p w14:paraId="293C5FA4" w14:textId="362FBB3F" w:rsidR="009304FE" w:rsidRPr="00585058" w:rsidRDefault="00D8037D" w:rsidP="00496388">
      <w:pPr>
        <w:rPr>
          <w:rFonts w:ascii="Times New Roman" w:hAnsi="Times New Roman"/>
          <w:sz w:val="24"/>
          <w:szCs w:val="24"/>
        </w:rPr>
      </w:pPr>
      <w:r w:rsidRPr="00585058">
        <w:rPr>
          <w:rFonts w:ascii="Times New Roman" w:hAnsi="Times New Roman"/>
          <w:b/>
          <w:sz w:val="24"/>
        </w:rPr>
        <w:t>FDA CENTER:</w:t>
      </w:r>
      <w:r w:rsidRPr="00585058">
        <w:rPr>
          <w:rFonts w:ascii="Times New Roman" w:hAnsi="Times New Roman"/>
          <w:sz w:val="24"/>
        </w:rPr>
        <w:t xml:space="preserve"> </w:t>
      </w:r>
      <w:r w:rsidR="00585058" w:rsidRPr="00585058">
        <w:rPr>
          <w:rFonts w:ascii="Times New Roman" w:hAnsi="Times New Roman"/>
          <w:sz w:val="24"/>
          <w:szCs w:val="24"/>
        </w:rPr>
        <w:t>Center for Drug Research and Evaluation</w:t>
      </w:r>
      <w:r w:rsidR="008A5BEA">
        <w:rPr>
          <w:rFonts w:ascii="Times New Roman" w:hAnsi="Times New Roman"/>
          <w:sz w:val="24"/>
          <w:szCs w:val="24"/>
        </w:rPr>
        <w:t xml:space="preserve"> (FDA/CDER)</w:t>
      </w:r>
    </w:p>
    <w:sectPr w:rsidR="009304FE" w:rsidRPr="00585058">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7E82FA" w14:textId="77777777" w:rsidR="000C35CA" w:rsidRDefault="000C35CA" w:rsidP="002B12B5">
      <w:r>
        <w:separator/>
      </w:r>
    </w:p>
  </w:endnote>
  <w:endnote w:type="continuationSeparator" w:id="0">
    <w:p w14:paraId="57FF3480" w14:textId="77777777" w:rsidR="000C35CA" w:rsidRDefault="000C35CA" w:rsidP="002B1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ambria"/>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C7830" w14:textId="77777777" w:rsidR="005E1D79" w:rsidRDefault="005E1D79" w:rsidP="00F579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BB7306" w14:textId="77777777" w:rsidR="005E1D79" w:rsidRDefault="005E1D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9C909" w14:textId="4B93F965" w:rsidR="005E1D79" w:rsidRDefault="005E1D79" w:rsidP="00F579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0F8B">
      <w:rPr>
        <w:rStyle w:val="PageNumber"/>
        <w:noProof/>
      </w:rPr>
      <w:t>1</w:t>
    </w:r>
    <w:r>
      <w:rPr>
        <w:rStyle w:val="PageNumber"/>
      </w:rPr>
      <w:fldChar w:fldCharType="end"/>
    </w:r>
  </w:p>
  <w:p w14:paraId="40F22168" w14:textId="77777777" w:rsidR="005E1D79" w:rsidRDefault="005E1D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6D42FE" w14:textId="77777777" w:rsidR="000C35CA" w:rsidRDefault="000C35CA" w:rsidP="002B12B5">
      <w:r>
        <w:separator/>
      </w:r>
    </w:p>
  </w:footnote>
  <w:footnote w:type="continuationSeparator" w:id="0">
    <w:p w14:paraId="2A2D0077" w14:textId="77777777" w:rsidR="000C35CA" w:rsidRDefault="000C35CA" w:rsidP="002B12B5">
      <w:r>
        <w:continuationSeparator/>
      </w:r>
    </w:p>
  </w:footnote>
  <w:footnote w:id="1">
    <w:p w14:paraId="003712ED" w14:textId="77777777" w:rsidR="00231B1C" w:rsidRPr="00025E77" w:rsidRDefault="00231B1C">
      <w:pPr>
        <w:pStyle w:val="FootnoteText"/>
        <w:rPr>
          <w:rFonts w:ascii="Times New Roman" w:hAnsi="Times New Roman"/>
          <w:sz w:val="20"/>
          <w:szCs w:val="20"/>
        </w:rPr>
      </w:pPr>
      <w:r w:rsidRPr="00025E77">
        <w:rPr>
          <w:rStyle w:val="FootnoteReference"/>
          <w:rFonts w:ascii="Times New Roman" w:hAnsi="Times New Roman"/>
          <w:sz w:val="20"/>
          <w:szCs w:val="20"/>
        </w:rPr>
        <w:footnoteRef/>
      </w:r>
      <w:r w:rsidRPr="00025E77">
        <w:rPr>
          <w:rFonts w:ascii="Times New Roman" w:hAnsi="Times New Roman"/>
          <w:sz w:val="20"/>
          <w:szCs w:val="20"/>
        </w:rPr>
        <w:t xml:space="preserve"> </w:t>
      </w:r>
      <w:hyperlink r:id="rId1" w:history="1">
        <w:r w:rsidRPr="00025E77">
          <w:rPr>
            <w:rStyle w:val="Hyperlink"/>
            <w:rFonts w:ascii="Times New Roman" w:hAnsi="Times New Roman"/>
            <w:sz w:val="20"/>
            <w:szCs w:val="20"/>
          </w:rPr>
          <w:t>http://www.reginfo.gov/public/do/PRAViewICR?ref_nbr=201509-0910-002</w:t>
        </w:r>
      </w:hyperlink>
    </w:p>
  </w:footnote>
  <w:footnote w:id="2">
    <w:p w14:paraId="5BDDC206" w14:textId="77777777" w:rsidR="00231B1C" w:rsidRPr="00025E77" w:rsidRDefault="00231B1C">
      <w:pPr>
        <w:pStyle w:val="FootnoteText"/>
        <w:rPr>
          <w:rFonts w:ascii="Times New Roman" w:hAnsi="Times New Roman"/>
          <w:sz w:val="20"/>
          <w:szCs w:val="20"/>
        </w:rPr>
      </w:pPr>
      <w:r w:rsidRPr="00025E77">
        <w:rPr>
          <w:rStyle w:val="FootnoteReference"/>
          <w:rFonts w:ascii="Times New Roman" w:hAnsi="Times New Roman"/>
          <w:sz w:val="20"/>
          <w:szCs w:val="20"/>
        </w:rPr>
        <w:footnoteRef/>
      </w:r>
      <w:r w:rsidRPr="00025E77">
        <w:rPr>
          <w:rFonts w:ascii="Times New Roman" w:hAnsi="Times New Roman"/>
          <w:sz w:val="20"/>
          <w:szCs w:val="20"/>
        </w:rPr>
        <w:t xml:space="preserve"> </w:t>
      </w:r>
      <w:hyperlink r:id="rId2" w:history="1">
        <w:r w:rsidRPr="00025E77">
          <w:rPr>
            <w:rStyle w:val="Hyperlink"/>
            <w:rFonts w:ascii="Times New Roman" w:hAnsi="Times New Roman"/>
            <w:sz w:val="20"/>
            <w:szCs w:val="20"/>
          </w:rPr>
          <w:t>http://www.fda.gov/ForIndustry/UserFees/GenericDrugUserFees/ucm370952.htm</w:t>
        </w:r>
      </w:hyperlink>
    </w:p>
  </w:footnote>
  <w:footnote w:id="3">
    <w:p w14:paraId="623F6760" w14:textId="4EBEB31A" w:rsidR="00231B1C" w:rsidRPr="00025E77" w:rsidRDefault="00231B1C" w:rsidP="00434D8D">
      <w:pPr>
        <w:pStyle w:val="FootnoteText"/>
        <w:rPr>
          <w:rFonts w:ascii="Times New Roman" w:hAnsi="Times New Roman"/>
          <w:sz w:val="20"/>
          <w:szCs w:val="20"/>
        </w:rPr>
      </w:pPr>
      <w:r w:rsidRPr="00025E77">
        <w:rPr>
          <w:rStyle w:val="FootnoteReference"/>
          <w:rFonts w:ascii="Times New Roman" w:hAnsi="Times New Roman"/>
          <w:sz w:val="20"/>
          <w:szCs w:val="20"/>
        </w:rPr>
        <w:footnoteRef/>
      </w:r>
      <w:r w:rsidRPr="00025E77">
        <w:rPr>
          <w:rFonts w:ascii="Times New Roman" w:hAnsi="Times New Roman"/>
          <w:sz w:val="20"/>
          <w:szCs w:val="20"/>
        </w:rPr>
        <w:t xml:space="preserve"> Scher, S. (2013) The Branded Advantage. </w:t>
      </w:r>
      <w:r w:rsidRPr="00025E77">
        <w:rPr>
          <w:rFonts w:ascii="Times New Roman" w:hAnsi="Times New Roman"/>
          <w:i/>
          <w:sz w:val="20"/>
          <w:szCs w:val="20"/>
        </w:rPr>
        <w:t>Ophthamol Mgmt</w:t>
      </w:r>
      <w:r w:rsidRPr="00025E77">
        <w:rPr>
          <w:rFonts w:ascii="Times New Roman" w:hAnsi="Times New Roman"/>
          <w:sz w:val="20"/>
          <w:szCs w:val="20"/>
        </w:rPr>
        <w:t xml:space="preserve">. July: p18 </w:t>
      </w:r>
      <w:hyperlink r:id="rId3" w:history="1">
        <w:r w:rsidRPr="00025E77">
          <w:rPr>
            <w:rStyle w:val="Hyperlink"/>
            <w:rFonts w:ascii="Times New Roman" w:hAnsi="Times New Roman"/>
            <w:sz w:val="20"/>
            <w:szCs w:val="20"/>
          </w:rPr>
          <w:t>http://www.ophthalmologymanagement.com/printarticle.aspx?articleID=108618</w:t>
        </w:r>
      </w:hyperlink>
    </w:p>
  </w:footnote>
  <w:footnote w:id="4">
    <w:p w14:paraId="286056C5" w14:textId="77603A84" w:rsidR="00434D8D" w:rsidRPr="002C6D4C" w:rsidRDefault="00434D8D" w:rsidP="002C6D4C">
      <w:pPr>
        <w:autoSpaceDE/>
        <w:autoSpaceDN/>
        <w:adjustRightInd/>
        <w:rPr>
          <w:rFonts w:ascii="Times New Roman" w:hAnsi="Times New Roman"/>
        </w:rPr>
      </w:pPr>
      <w:r>
        <w:rPr>
          <w:rStyle w:val="FootnoteReference"/>
        </w:rPr>
        <w:footnoteRef/>
      </w:r>
      <w:r>
        <w:t xml:space="preserve"> </w:t>
      </w:r>
      <w:r w:rsidRPr="00025E77">
        <w:rPr>
          <w:rFonts w:ascii="Times New Roman" w:hAnsi="Times New Roman"/>
        </w:rPr>
        <w:t xml:space="preserve">Alloway, RR, Isaacs R, Lake K, Hoyer P, First R, Helderman H, Bunnapradist S, Leichtman A, Bennett MW, Tejani A, Takemoto SK. (2003) Report of the American Society of Transplantation Conference on Immunosuppressive Drugs and the Use of Generic Immunosuppressants. </w:t>
      </w:r>
      <w:r w:rsidRPr="00025E77">
        <w:rPr>
          <w:rFonts w:ascii="Times New Roman" w:hAnsi="Times New Roman"/>
          <w:i/>
        </w:rPr>
        <w:t>A J Transpl</w:t>
      </w:r>
      <w:r w:rsidRPr="00025E77">
        <w:rPr>
          <w:rFonts w:ascii="Times New Roman" w:hAnsi="Times New Roman"/>
        </w:rPr>
        <w:t xml:space="preserve"> 3: 1211.</w:t>
      </w:r>
    </w:p>
  </w:footnote>
  <w:footnote w:id="5">
    <w:p w14:paraId="6DA9314C" w14:textId="04E9CC0F" w:rsidR="00434D8D" w:rsidRDefault="00434D8D" w:rsidP="002C6D4C">
      <w:pPr>
        <w:autoSpaceDE/>
        <w:autoSpaceDN/>
        <w:adjustRightInd/>
      </w:pPr>
      <w:r>
        <w:rPr>
          <w:rStyle w:val="FootnoteReference"/>
        </w:rPr>
        <w:footnoteRef/>
      </w:r>
      <w:r>
        <w:t xml:space="preserve"> </w:t>
      </w:r>
      <w:r w:rsidRPr="00025E77">
        <w:rPr>
          <w:rFonts w:ascii="Times New Roman" w:hAnsi="Times New Roman"/>
        </w:rPr>
        <w:t xml:space="preserve">Liow K, Barkley GL, Pollard JR, Harden CL, Bazil CW. (2007) Position statement on the coverage of anticonvulsant drugs for the treatment of epilepsy. </w:t>
      </w:r>
      <w:r w:rsidRPr="00025E77">
        <w:rPr>
          <w:rFonts w:ascii="Times New Roman" w:hAnsi="Times New Roman"/>
          <w:i/>
        </w:rPr>
        <w:t>Neurology</w:t>
      </w:r>
      <w:r w:rsidRPr="00025E77">
        <w:rPr>
          <w:rFonts w:ascii="Times New Roman" w:hAnsi="Times New Roman"/>
        </w:rPr>
        <w:t xml:space="preserve"> 68: 1249.</w:t>
      </w:r>
    </w:p>
  </w:footnote>
  <w:footnote w:id="6">
    <w:p w14:paraId="06D1875C" w14:textId="1846063C" w:rsidR="00434D8D" w:rsidRDefault="00434D8D" w:rsidP="002C6D4C">
      <w:pPr>
        <w:pStyle w:val="FootnoteText"/>
      </w:pPr>
      <w:r>
        <w:rPr>
          <w:rStyle w:val="FootnoteReference"/>
        </w:rPr>
        <w:footnoteRef/>
      </w:r>
      <w:r>
        <w:t xml:space="preserve"> </w:t>
      </w:r>
      <w:r w:rsidRPr="00025E77">
        <w:rPr>
          <w:rFonts w:ascii="Times New Roman" w:hAnsi="Times New Roman"/>
          <w:sz w:val="20"/>
          <w:szCs w:val="20"/>
        </w:rPr>
        <w:t xml:space="preserve">American Thyroid Association, The Endocrine Society, and American Association of Clinical Endocrinologists. (2004) Joint Statement on the U.S. Food and Drug Administration’s Decision Regarding Bioequivalence of Levothyroxine Sodium. </w:t>
      </w:r>
      <w:r w:rsidRPr="00025E77">
        <w:rPr>
          <w:rFonts w:ascii="Times New Roman" w:hAnsi="Times New Roman"/>
          <w:i/>
          <w:sz w:val="20"/>
          <w:szCs w:val="20"/>
        </w:rPr>
        <w:t>Thyroid</w:t>
      </w:r>
      <w:r w:rsidRPr="00025E77">
        <w:rPr>
          <w:rFonts w:ascii="Times New Roman" w:hAnsi="Times New Roman"/>
          <w:sz w:val="20"/>
          <w:szCs w:val="20"/>
        </w:rPr>
        <w:t xml:space="preserve"> 14: 486.</w:t>
      </w:r>
    </w:p>
  </w:footnote>
  <w:footnote w:id="7">
    <w:p w14:paraId="356DA70A" w14:textId="77777777" w:rsidR="00231B1C" w:rsidRPr="00025E77" w:rsidRDefault="00231B1C" w:rsidP="002C6D4C">
      <w:pPr>
        <w:pStyle w:val="FootnoteText"/>
        <w:rPr>
          <w:rFonts w:ascii="Times New Roman" w:hAnsi="Times New Roman"/>
          <w:sz w:val="20"/>
          <w:szCs w:val="20"/>
        </w:rPr>
      </w:pPr>
      <w:r w:rsidRPr="00025E77">
        <w:rPr>
          <w:rStyle w:val="FootnoteReference"/>
          <w:rFonts w:ascii="Times New Roman" w:hAnsi="Times New Roman"/>
          <w:sz w:val="20"/>
          <w:szCs w:val="20"/>
        </w:rPr>
        <w:footnoteRef/>
      </w:r>
      <w:r w:rsidRPr="00025E77">
        <w:rPr>
          <w:rFonts w:ascii="Times New Roman" w:hAnsi="Times New Roman"/>
          <w:sz w:val="20"/>
          <w:szCs w:val="20"/>
        </w:rPr>
        <w:t xml:space="preserve"> </w:t>
      </w:r>
      <w:r w:rsidR="00203B18" w:rsidRPr="00025E77">
        <w:rPr>
          <w:rFonts w:ascii="Times New Roman" w:hAnsi="Times New Roman"/>
          <w:sz w:val="20"/>
          <w:szCs w:val="20"/>
        </w:rPr>
        <w:t>IMS Institute for Healthcare Informatics</w:t>
      </w:r>
      <w:r w:rsidR="00203B18">
        <w:rPr>
          <w:rFonts w:ascii="Times New Roman" w:hAnsi="Times New Roman"/>
          <w:sz w:val="20"/>
          <w:szCs w:val="20"/>
        </w:rPr>
        <w:t xml:space="preserve">. (2013) </w:t>
      </w:r>
      <w:r w:rsidRPr="00025E77">
        <w:rPr>
          <w:rFonts w:ascii="Times New Roman" w:hAnsi="Times New Roman"/>
          <w:sz w:val="20"/>
          <w:szCs w:val="20"/>
        </w:rPr>
        <w:t xml:space="preserve">Avoidable Costs in U.S. Healthcare: The $200 Billion Opportunity from Using Medicines More Responsibly. </w:t>
      </w:r>
      <w:hyperlink r:id="rId4" w:history="1">
        <w:r w:rsidRPr="00025E77">
          <w:rPr>
            <w:rStyle w:val="Hyperlink"/>
            <w:rFonts w:ascii="Times New Roman" w:hAnsi="Times New Roman"/>
            <w:sz w:val="20"/>
            <w:szCs w:val="20"/>
          </w:rPr>
          <w:t>http://www.imshealth.com/deployedfiles/imshealth/Global/Content/Corporate/IMS Institute/RUOM- 2013/IHII_Responsible_Use_Medicines_2013.pdf</w:t>
        </w:r>
      </w:hyperlink>
    </w:p>
  </w:footnote>
  <w:footnote w:id="8">
    <w:p w14:paraId="4AAE0A51" w14:textId="77777777" w:rsidR="00025E77" w:rsidRPr="00025E77" w:rsidRDefault="00025E77" w:rsidP="002C6D4C">
      <w:pPr>
        <w:pStyle w:val="FootnoteText"/>
        <w:rPr>
          <w:rFonts w:ascii="Times New Roman" w:hAnsi="Times New Roman"/>
          <w:sz w:val="20"/>
          <w:szCs w:val="20"/>
        </w:rPr>
      </w:pPr>
      <w:r w:rsidRPr="00025E77">
        <w:rPr>
          <w:rStyle w:val="FootnoteReference"/>
          <w:rFonts w:ascii="Times New Roman" w:hAnsi="Times New Roman"/>
          <w:sz w:val="20"/>
          <w:szCs w:val="20"/>
        </w:rPr>
        <w:footnoteRef/>
      </w:r>
      <w:r w:rsidRPr="00025E77">
        <w:rPr>
          <w:rFonts w:ascii="Times New Roman" w:hAnsi="Times New Roman"/>
          <w:sz w:val="20"/>
          <w:szCs w:val="20"/>
        </w:rPr>
        <w:t xml:space="preserve"> Tang Y, Gellad WF, Men A, Donohue JM. </w:t>
      </w:r>
      <w:r w:rsidR="00203B18">
        <w:rPr>
          <w:rFonts w:ascii="Times New Roman" w:hAnsi="Times New Roman"/>
          <w:sz w:val="20"/>
          <w:szCs w:val="20"/>
        </w:rPr>
        <w:t xml:space="preserve">(2014) </w:t>
      </w:r>
      <w:r w:rsidRPr="00025E77">
        <w:rPr>
          <w:rFonts w:ascii="Times New Roman" w:hAnsi="Times New Roman"/>
          <w:sz w:val="20"/>
          <w:szCs w:val="20"/>
        </w:rPr>
        <w:t xml:space="preserve">Impact of medicare part D plan features on use of generic drugs. </w:t>
      </w:r>
      <w:r w:rsidRPr="00EA417B">
        <w:rPr>
          <w:rFonts w:ascii="Times New Roman" w:hAnsi="Times New Roman"/>
          <w:i/>
          <w:sz w:val="20"/>
          <w:szCs w:val="20"/>
        </w:rPr>
        <w:t>Medical care</w:t>
      </w:r>
      <w:r w:rsidRPr="00025E77">
        <w:rPr>
          <w:rFonts w:ascii="Times New Roman" w:hAnsi="Times New Roman"/>
          <w:sz w:val="20"/>
          <w:szCs w:val="20"/>
        </w:rPr>
        <w:t>. 52(6):541-548.</w:t>
      </w:r>
    </w:p>
  </w:footnote>
  <w:footnote w:id="9">
    <w:p w14:paraId="11CE9D8B" w14:textId="77777777" w:rsidR="00025E77" w:rsidRDefault="00025E77" w:rsidP="002C6D4C">
      <w:pPr>
        <w:pStyle w:val="FootnoteText"/>
      </w:pPr>
      <w:r w:rsidRPr="00025E77">
        <w:rPr>
          <w:rStyle w:val="FootnoteReference"/>
          <w:rFonts w:ascii="Times New Roman" w:hAnsi="Times New Roman"/>
          <w:sz w:val="20"/>
          <w:szCs w:val="20"/>
        </w:rPr>
        <w:footnoteRef/>
      </w:r>
      <w:r w:rsidRPr="00025E77">
        <w:rPr>
          <w:rFonts w:ascii="Times New Roman" w:hAnsi="Times New Roman"/>
          <w:sz w:val="20"/>
          <w:szCs w:val="20"/>
        </w:rPr>
        <w:t xml:space="preserve"> Berg MJ, Gross RA, Haskins LS, Zingaro WM, Tomaszewski KJ. </w:t>
      </w:r>
      <w:r w:rsidR="00203B18">
        <w:rPr>
          <w:rFonts w:ascii="Times New Roman" w:hAnsi="Times New Roman"/>
          <w:sz w:val="20"/>
          <w:szCs w:val="20"/>
        </w:rPr>
        <w:t xml:space="preserve">(2008) </w:t>
      </w:r>
      <w:r w:rsidRPr="00025E77">
        <w:rPr>
          <w:rFonts w:ascii="Times New Roman" w:hAnsi="Times New Roman"/>
          <w:sz w:val="20"/>
          <w:szCs w:val="20"/>
        </w:rPr>
        <w:t xml:space="preserve">Generic substitution in the treatment of epilepsy: patient and physician perceptions. </w:t>
      </w:r>
      <w:r w:rsidRPr="00EA417B">
        <w:rPr>
          <w:rFonts w:ascii="Times New Roman" w:hAnsi="Times New Roman"/>
          <w:i/>
          <w:sz w:val="20"/>
          <w:szCs w:val="20"/>
        </w:rPr>
        <w:t>Epilepsy &amp; behavior</w:t>
      </w:r>
      <w:r w:rsidRPr="00025E77">
        <w:rPr>
          <w:rFonts w:ascii="Times New Roman" w:hAnsi="Times New Roman"/>
          <w:sz w:val="20"/>
          <w:szCs w:val="20"/>
        </w:rPr>
        <w:t xml:space="preserve"> 13(4):693-699.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3D0D5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833D87"/>
    <w:multiLevelType w:val="hybridMultilevel"/>
    <w:tmpl w:val="3A7619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B9973EF"/>
    <w:multiLevelType w:val="hybridMultilevel"/>
    <w:tmpl w:val="F6802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7E0728D"/>
    <w:multiLevelType w:val="hybridMultilevel"/>
    <w:tmpl w:val="A01E42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8A913EF"/>
    <w:multiLevelType w:val="hybridMultilevel"/>
    <w:tmpl w:val="F54CF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A612A7"/>
    <w:multiLevelType w:val="hybridMultilevel"/>
    <w:tmpl w:val="8EAA8A2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617464D3"/>
    <w:multiLevelType w:val="hybridMultilevel"/>
    <w:tmpl w:val="919A3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0D07D9"/>
    <w:multiLevelType w:val="hybridMultilevel"/>
    <w:tmpl w:val="6114CA80"/>
    <w:lvl w:ilvl="0" w:tplc="0409000F">
      <w:start w:val="1"/>
      <w:numFmt w:val="decimal"/>
      <w:lvlText w:val="%1."/>
      <w:lvlJc w:val="left"/>
      <w:pPr>
        <w:tabs>
          <w:tab w:val="num" w:pos="1296"/>
        </w:tabs>
        <w:ind w:left="1296" w:hanging="360"/>
      </w:p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8">
    <w:nsid w:val="7040051E"/>
    <w:multiLevelType w:val="hybridMultilevel"/>
    <w:tmpl w:val="0ACC9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8"/>
  </w:num>
  <w:num w:numId="5">
    <w:abstractNumId w:val="4"/>
  </w:num>
  <w:num w:numId="6">
    <w:abstractNumId w:val="2"/>
  </w:num>
  <w:num w:numId="7">
    <w:abstractNumId w:val="6"/>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FE"/>
    <w:rsid w:val="00002A89"/>
    <w:rsid w:val="00003A08"/>
    <w:rsid w:val="00004636"/>
    <w:rsid w:val="000101CF"/>
    <w:rsid w:val="00011131"/>
    <w:rsid w:val="00015A8A"/>
    <w:rsid w:val="00020254"/>
    <w:rsid w:val="00024997"/>
    <w:rsid w:val="00025E77"/>
    <w:rsid w:val="00032BEE"/>
    <w:rsid w:val="00032DB8"/>
    <w:rsid w:val="0003306E"/>
    <w:rsid w:val="00033391"/>
    <w:rsid w:val="000334BC"/>
    <w:rsid w:val="00033BBF"/>
    <w:rsid w:val="00035B68"/>
    <w:rsid w:val="00047444"/>
    <w:rsid w:val="00050ED0"/>
    <w:rsid w:val="000523EB"/>
    <w:rsid w:val="00052953"/>
    <w:rsid w:val="00055F81"/>
    <w:rsid w:val="000573F2"/>
    <w:rsid w:val="0006347F"/>
    <w:rsid w:val="00067516"/>
    <w:rsid w:val="00070242"/>
    <w:rsid w:val="0007182A"/>
    <w:rsid w:val="00072255"/>
    <w:rsid w:val="00073749"/>
    <w:rsid w:val="00073B9C"/>
    <w:rsid w:val="00074762"/>
    <w:rsid w:val="00077415"/>
    <w:rsid w:val="000806E7"/>
    <w:rsid w:val="00081D58"/>
    <w:rsid w:val="00083E83"/>
    <w:rsid w:val="0008506E"/>
    <w:rsid w:val="0008589A"/>
    <w:rsid w:val="00090110"/>
    <w:rsid w:val="0009121E"/>
    <w:rsid w:val="000918ED"/>
    <w:rsid w:val="00093A43"/>
    <w:rsid w:val="00094B71"/>
    <w:rsid w:val="000959A1"/>
    <w:rsid w:val="000970BD"/>
    <w:rsid w:val="000977D1"/>
    <w:rsid w:val="000A1A35"/>
    <w:rsid w:val="000A43BB"/>
    <w:rsid w:val="000A566F"/>
    <w:rsid w:val="000A69F1"/>
    <w:rsid w:val="000B29B6"/>
    <w:rsid w:val="000B3D62"/>
    <w:rsid w:val="000C25F8"/>
    <w:rsid w:val="000C35CA"/>
    <w:rsid w:val="000C6224"/>
    <w:rsid w:val="000D181E"/>
    <w:rsid w:val="000D2825"/>
    <w:rsid w:val="000D5305"/>
    <w:rsid w:val="000D6D27"/>
    <w:rsid w:val="000E040C"/>
    <w:rsid w:val="000E09B9"/>
    <w:rsid w:val="000E15CB"/>
    <w:rsid w:val="000E2758"/>
    <w:rsid w:val="000E456D"/>
    <w:rsid w:val="000E5136"/>
    <w:rsid w:val="000E664B"/>
    <w:rsid w:val="000F1B0B"/>
    <w:rsid w:val="000F464C"/>
    <w:rsid w:val="000F5777"/>
    <w:rsid w:val="000F7A8D"/>
    <w:rsid w:val="00101710"/>
    <w:rsid w:val="00102949"/>
    <w:rsid w:val="001042DE"/>
    <w:rsid w:val="00110792"/>
    <w:rsid w:val="00110894"/>
    <w:rsid w:val="00111F7E"/>
    <w:rsid w:val="001133AC"/>
    <w:rsid w:val="00113B4A"/>
    <w:rsid w:val="00114620"/>
    <w:rsid w:val="001155F6"/>
    <w:rsid w:val="001157E8"/>
    <w:rsid w:val="00117BE7"/>
    <w:rsid w:val="00117D0D"/>
    <w:rsid w:val="0012564E"/>
    <w:rsid w:val="00127A54"/>
    <w:rsid w:val="00130F57"/>
    <w:rsid w:val="00133621"/>
    <w:rsid w:val="00136CDC"/>
    <w:rsid w:val="00136FDC"/>
    <w:rsid w:val="001376D2"/>
    <w:rsid w:val="001379C7"/>
    <w:rsid w:val="001427AA"/>
    <w:rsid w:val="00143696"/>
    <w:rsid w:val="00146CE1"/>
    <w:rsid w:val="00152701"/>
    <w:rsid w:val="001536BD"/>
    <w:rsid w:val="00160566"/>
    <w:rsid w:val="0016252C"/>
    <w:rsid w:val="00165A35"/>
    <w:rsid w:val="001665E8"/>
    <w:rsid w:val="00167B07"/>
    <w:rsid w:val="00167F74"/>
    <w:rsid w:val="00170299"/>
    <w:rsid w:val="00170FB2"/>
    <w:rsid w:val="00173851"/>
    <w:rsid w:val="001803D9"/>
    <w:rsid w:val="00182CEE"/>
    <w:rsid w:val="00186A1D"/>
    <w:rsid w:val="001872BD"/>
    <w:rsid w:val="00187C08"/>
    <w:rsid w:val="00192191"/>
    <w:rsid w:val="00192DD1"/>
    <w:rsid w:val="001A14D3"/>
    <w:rsid w:val="001A5113"/>
    <w:rsid w:val="001A6223"/>
    <w:rsid w:val="001B2FB6"/>
    <w:rsid w:val="001B636E"/>
    <w:rsid w:val="001C48E1"/>
    <w:rsid w:val="001D3996"/>
    <w:rsid w:val="001D39E5"/>
    <w:rsid w:val="001D4B45"/>
    <w:rsid w:val="001D4DE0"/>
    <w:rsid w:val="001D60A4"/>
    <w:rsid w:val="001E15B1"/>
    <w:rsid w:val="001E46C0"/>
    <w:rsid w:val="001F1E3D"/>
    <w:rsid w:val="001F345F"/>
    <w:rsid w:val="001F419F"/>
    <w:rsid w:val="00200DD6"/>
    <w:rsid w:val="00201AD1"/>
    <w:rsid w:val="00203B18"/>
    <w:rsid w:val="002040F3"/>
    <w:rsid w:val="00207E14"/>
    <w:rsid w:val="00211C99"/>
    <w:rsid w:val="00211CA0"/>
    <w:rsid w:val="0021272E"/>
    <w:rsid w:val="00212E78"/>
    <w:rsid w:val="0021639B"/>
    <w:rsid w:val="0022032D"/>
    <w:rsid w:val="002221B4"/>
    <w:rsid w:val="00231B1C"/>
    <w:rsid w:val="00232757"/>
    <w:rsid w:val="00236560"/>
    <w:rsid w:val="0024124C"/>
    <w:rsid w:val="002415F9"/>
    <w:rsid w:val="00242A47"/>
    <w:rsid w:val="00242D1E"/>
    <w:rsid w:val="00244690"/>
    <w:rsid w:val="00251035"/>
    <w:rsid w:val="00263241"/>
    <w:rsid w:val="00267EAC"/>
    <w:rsid w:val="002720CD"/>
    <w:rsid w:val="0027293A"/>
    <w:rsid w:val="002740F5"/>
    <w:rsid w:val="00275665"/>
    <w:rsid w:val="00276BED"/>
    <w:rsid w:val="00276C2C"/>
    <w:rsid w:val="00283D71"/>
    <w:rsid w:val="0029092A"/>
    <w:rsid w:val="00294300"/>
    <w:rsid w:val="00294B11"/>
    <w:rsid w:val="002954F1"/>
    <w:rsid w:val="00295C0A"/>
    <w:rsid w:val="002A447C"/>
    <w:rsid w:val="002A6742"/>
    <w:rsid w:val="002B12B5"/>
    <w:rsid w:val="002B4C79"/>
    <w:rsid w:val="002B5266"/>
    <w:rsid w:val="002C0663"/>
    <w:rsid w:val="002C1796"/>
    <w:rsid w:val="002C2371"/>
    <w:rsid w:val="002C2E82"/>
    <w:rsid w:val="002C3DFA"/>
    <w:rsid w:val="002C6D4C"/>
    <w:rsid w:val="002C760E"/>
    <w:rsid w:val="002D36ED"/>
    <w:rsid w:val="002D4276"/>
    <w:rsid w:val="002E285C"/>
    <w:rsid w:val="002E36B7"/>
    <w:rsid w:val="002E4E3A"/>
    <w:rsid w:val="002E5A6D"/>
    <w:rsid w:val="002E7741"/>
    <w:rsid w:val="002F461A"/>
    <w:rsid w:val="002F51BB"/>
    <w:rsid w:val="002F628E"/>
    <w:rsid w:val="0030044C"/>
    <w:rsid w:val="0030053C"/>
    <w:rsid w:val="00302D53"/>
    <w:rsid w:val="00304BB9"/>
    <w:rsid w:val="003056F1"/>
    <w:rsid w:val="0031284D"/>
    <w:rsid w:val="00323BC2"/>
    <w:rsid w:val="00340C77"/>
    <w:rsid w:val="00346815"/>
    <w:rsid w:val="003514DF"/>
    <w:rsid w:val="00351985"/>
    <w:rsid w:val="00360B48"/>
    <w:rsid w:val="003617CC"/>
    <w:rsid w:val="00362764"/>
    <w:rsid w:val="00364061"/>
    <w:rsid w:val="0038150C"/>
    <w:rsid w:val="003832F1"/>
    <w:rsid w:val="00384760"/>
    <w:rsid w:val="003869CE"/>
    <w:rsid w:val="00386D27"/>
    <w:rsid w:val="00390254"/>
    <w:rsid w:val="00391D32"/>
    <w:rsid w:val="00392C45"/>
    <w:rsid w:val="0039532F"/>
    <w:rsid w:val="003A18A4"/>
    <w:rsid w:val="003A4AAE"/>
    <w:rsid w:val="003A522D"/>
    <w:rsid w:val="003B15F2"/>
    <w:rsid w:val="003B1FFC"/>
    <w:rsid w:val="003B6C8B"/>
    <w:rsid w:val="003D05B1"/>
    <w:rsid w:val="003D290C"/>
    <w:rsid w:val="003D5043"/>
    <w:rsid w:val="003D5465"/>
    <w:rsid w:val="003D58B2"/>
    <w:rsid w:val="003D7D49"/>
    <w:rsid w:val="003E13F6"/>
    <w:rsid w:val="003E56D2"/>
    <w:rsid w:val="003E79C6"/>
    <w:rsid w:val="003F10B0"/>
    <w:rsid w:val="003F30CD"/>
    <w:rsid w:val="003F5B2B"/>
    <w:rsid w:val="004014C1"/>
    <w:rsid w:val="00401BAA"/>
    <w:rsid w:val="004020BC"/>
    <w:rsid w:val="00403789"/>
    <w:rsid w:val="00404D95"/>
    <w:rsid w:val="00407B1C"/>
    <w:rsid w:val="004102ED"/>
    <w:rsid w:val="00410C21"/>
    <w:rsid w:val="0041191D"/>
    <w:rsid w:val="00412A82"/>
    <w:rsid w:val="00412EA9"/>
    <w:rsid w:val="004130DF"/>
    <w:rsid w:val="0042148A"/>
    <w:rsid w:val="00427C7F"/>
    <w:rsid w:val="004310B4"/>
    <w:rsid w:val="00432FF1"/>
    <w:rsid w:val="004332B3"/>
    <w:rsid w:val="00434D8D"/>
    <w:rsid w:val="00436820"/>
    <w:rsid w:val="00440D89"/>
    <w:rsid w:val="00445F7A"/>
    <w:rsid w:val="00446605"/>
    <w:rsid w:val="0045142B"/>
    <w:rsid w:val="00452F31"/>
    <w:rsid w:val="004550DF"/>
    <w:rsid w:val="0046018C"/>
    <w:rsid w:val="00460826"/>
    <w:rsid w:val="00460FAF"/>
    <w:rsid w:val="00461208"/>
    <w:rsid w:val="00461AAF"/>
    <w:rsid w:val="0046494D"/>
    <w:rsid w:val="00465BCB"/>
    <w:rsid w:val="00466EC9"/>
    <w:rsid w:val="0047014C"/>
    <w:rsid w:val="00475C5A"/>
    <w:rsid w:val="0047606A"/>
    <w:rsid w:val="0047728A"/>
    <w:rsid w:val="004828AF"/>
    <w:rsid w:val="0048293C"/>
    <w:rsid w:val="004832C9"/>
    <w:rsid w:val="00485F98"/>
    <w:rsid w:val="00492872"/>
    <w:rsid w:val="00496388"/>
    <w:rsid w:val="00496BA1"/>
    <w:rsid w:val="004970F1"/>
    <w:rsid w:val="00497315"/>
    <w:rsid w:val="004A054E"/>
    <w:rsid w:val="004A0898"/>
    <w:rsid w:val="004A176F"/>
    <w:rsid w:val="004A532B"/>
    <w:rsid w:val="004A59BF"/>
    <w:rsid w:val="004A6992"/>
    <w:rsid w:val="004B0BC7"/>
    <w:rsid w:val="004B0F2B"/>
    <w:rsid w:val="004B25C4"/>
    <w:rsid w:val="004B2D61"/>
    <w:rsid w:val="004B3FD0"/>
    <w:rsid w:val="004B5A25"/>
    <w:rsid w:val="004C0FE1"/>
    <w:rsid w:val="004C18B8"/>
    <w:rsid w:val="004C39B9"/>
    <w:rsid w:val="004C4DB1"/>
    <w:rsid w:val="004C67C0"/>
    <w:rsid w:val="004D516A"/>
    <w:rsid w:val="004D5AD1"/>
    <w:rsid w:val="004D6A3F"/>
    <w:rsid w:val="004D734E"/>
    <w:rsid w:val="004E0298"/>
    <w:rsid w:val="004E5076"/>
    <w:rsid w:val="004E7C5D"/>
    <w:rsid w:val="004F3425"/>
    <w:rsid w:val="004F3D7D"/>
    <w:rsid w:val="005023D1"/>
    <w:rsid w:val="0050465E"/>
    <w:rsid w:val="005048CB"/>
    <w:rsid w:val="00510F0C"/>
    <w:rsid w:val="0051361E"/>
    <w:rsid w:val="00513A69"/>
    <w:rsid w:val="00514FD8"/>
    <w:rsid w:val="00524321"/>
    <w:rsid w:val="00525A3F"/>
    <w:rsid w:val="00536D6E"/>
    <w:rsid w:val="00537433"/>
    <w:rsid w:val="005415EA"/>
    <w:rsid w:val="005434C6"/>
    <w:rsid w:val="00546395"/>
    <w:rsid w:val="00547464"/>
    <w:rsid w:val="005504A0"/>
    <w:rsid w:val="0055141A"/>
    <w:rsid w:val="005553CB"/>
    <w:rsid w:val="005558B6"/>
    <w:rsid w:val="00560AC8"/>
    <w:rsid w:val="0056141A"/>
    <w:rsid w:val="00563C8B"/>
    <w:rsid w:val="005662B7"/>
    <w:rsid w:val="00570492"/>
    <w:rsid w:val="005712A9"/>
    <w:rsid w:val="00571C60"/>
    <w:rsid w:val="00574346"/>
    <w:rsid w:val="00575A24"/>
    <w:rsid w:val="00577C4B"/>
    <w:rsid w:val="00585058"/>
    <w:rsid w:val="00586148"/>
    <w:rsid w:val="0059197E"/>
    <w:rsid w:val="00593E55"/>
    <w:rsid w:val="00594473"/>
    <w:rsid w:val="00597D2D"/>
    <w:rsid w:val="005A0F0C"/>
    <w:rsid w:val="005A402E"/>
    <w:rsid w:val="005B15E8"/>
    <w:rsid w:val="005B163F"/>
    <w:rsid w:val="005B42E5"/>
    <w:rsid w:val="005B556C"/>
    <w:rsid w:val="005B62D4"/>
    <w:rsid w:val="005B706E"/>
    <w:rsid w:val="005B77B2"/>
    <w:rsid w:val="005D339C"/>
    <w:rsid w:val="005D38F4"/>
    <w:rsid w:val="005D6BA1"/>
    <w:rsid w:val="005E19E0"/>
    <w:rsid w:val="005E1D79"/>
    <w:rsid w:val="005F0973"/>
    <w:rsid w:val="005F76F6"/>
    <w:rsid w:val="006023B2"/>
    <w:rsid w:val="00606FA3"/>
    <w:rsid w:val="00607E35"/>
    <w:rsid w:val="006125E9"/>
    <w:rsid w:val="006155C0"/>
    <w:rsid w:val="00616854"/>
    <w:rsid w:val="0062035C"/>
    <w:rsid w:val="0062533D"/>
    <w:rsid w:val="006268F1"/>
    <w:rsid w:val="0063039B"/>
    <w:rsid w:val="00635F07"/>
    <w:rsid w:val="006361B5"/>
    <w:rsid w:val="00637159"/>
    <w:rsid w:val="006416AF"/>
    <w:rsid w:val="00644042"/>
    <w:rsid w:val="00644691"/>
    <w:rsid w:val="006451CD"/>
    <w:rsid w:val="00650AC6"/>
    <w:rsid w:val="006511B2"/>
    <w:rsid w:val="00657786"/>
    <w:rsid w:val="00657CE7"/>
    <w:rsid w:val="006604A5"/>
    <w:rsid w:val="00662573"/>
    <w:rsid w:val="00663351"/>
    <w:rsid w:val="00663C9E"/>
    <w:rsid w:val="00664D61"/>
    <w:rsid w:val="00666249"/>
    <w:rsid w:val="00667364"/>
    <w:rsid w:val="00667826"/>
    <w:rsid w:val="00671439"/>
    <w:rsid w:val="0067201D"/>
    <w:rsid w:val="006756D2"/>
    <w:rsid w:val="00676038"/>
    <w:rsid w:val="0067691B"/>
    <w:rsid w:val="006822E2"/>
    <w:rsid w:val="0068498F"/>
    <w:rsid w:val="006861FA"/>
    <w:rsid w:val="00687F7A"/>
    <w:rsid w:val="006928DA"/>
    <w:rsid w:val="0069414B"/>
    <w:rsid w:val="0069448E"/>
    <w:rsid w:val="00695277"/>
    <w:rsid w:val="006A0B64"/>
    <w:rsid w:val="006A1F47"/>
    <w:rsid w:val="006A268C"/>
    <w:rsid w:val="006B3152"/>
    <w:rsid w:val="006B5D20"/>
    <w:rsid w:val="006C144F"/>
    <w:rsid w:val="006C3A56"/>
    <w:rsid w:val="006D15B0"/>
    <w:rsid w:val="006D5B86"/>
    <w:rsid w:val="006D7204"/>
    <w:rsid w:val="006E2904"/>
    <w:rsid w:val="006E2E87"/>
    <w:rsid w:val="006E2F56"/>
    <w:rsid w:val="006E457C"/>
    <w:rsid w:val="007061D6"/>
    <w:rsid w:val="00710731"/>
    <w:rsid w:val="00716777"/>
    <w:rsid w:val="007175CC"/>
    <w:rsid w:val="00720AE4"/>
    <w:rsid w:val="007221B5"/>
    <w:rsid w:val="00725464"/>
    <w:rsid w:val="007317B0"/>
    <w:rsid w:val="00733767"/>
    <w:rsid w:val="0073538C"/>
    <w:rsid w:val="0073614F"/>
    <w:rsid w:val="00745DF5"/>
    <w:rsid w:val="00746E3F"/>
    <w:rsid w:val="0075118C"/>
    <w:rsid w:val="00753591"/>
    <w:rsid w:val="00753D95"/>
    <w:rsid w:val="00755C4A"/>
    <w:rsid w:val="007646FF"/>
    <w:rsid w:val="0077146A"/>
    <w:rsid w:val="007714F7"/>
    <w:rsid w:val="007729B4"/>
    <w:rsid w:val="00774BCD"/>
    <w:rsid w:val="00776DC1"/>
    <w:rsid w:val="00777767"/>
    <w:rsid w:val="0078629B"/>
    <w:rsid w:val="00786DC0"/>
    <w:rsid w:val="0078736E"/>
    <w:rsid w:val="0079042E"/>
    <w:rsid w:val="0079051E"/>
    <w:rsid w:val="00796637"/>
    <w:rsid w:val="00796BE8"/>
    <w:rsid w:val="007A5483"/>
    <w:rsid w:val="007B1989"/>
    <w:rsid w:val="007B712B"/>
    <w:rsid w:val="007C01B3"/>
    <w:rsid w:val="007C3FBC"/>
    <w:rsid w:val="007C4F06"/>
    <w:rsid w:val="007C664B"/>
    <w:rsid w:val="007D1901"/>
    <w:rsid w:val="007D32A2"/>
    <w:rsid w:val="007D7A00"/>
    <w:rsid w:val="007E17C3"/>
    <w:rsid w:val="007E677A"/>
    <w:rsid w:val="007F0380"/>
    <w:rsid w:val="007F0F73"/>
    <w:rsid w:val="007F6F80"/>
    <w:rsid w:val="0080058E"/>
    <w:rsid w:val="00804A82"/>
    <w:rsid w:val="00805DF7"/>
    <w:rsid w:val="008121A6"/>
    <w:rsid w:val="0081343D"/>
    <w:rsid w:val="00813A39"/>
    <w:rsid w:val="00813E55"/>
    <w:rsid w:val="00814E7D"/>
    <w:rsid w:val="00816E1E"/>
    <w:rsid w:val="00817C5B"/>
    <w:rsid w:val="008216CE"/>
    <w:rsid w:val="0082199F"/>
    <w:rsid w:val="00822324"/>
    <w:rsid w:val="00822692"/>
    <w:rsid w:val="00825D11"/>
    <w:rsid w:val="00827346"/>
    <w:rsid w:val="00834E01"/>
    <w:rsid w:val="0084095F"/>
    <w:rsid w:val="00840B27"/>
    <w:rsid w:val="008418EA"/>
    <w:rsid w:val="00841A2E"/>
    <w:rsid w:val="00846121"/>
    <w:rsid w:val="008466B1"/>
    <w:rsid w:val="008469B4"/>
    <w:rsid w:val="00847ADD"/>
    <w:rsid w:val="008503A9"/>
    <w:rsid w:val="008522AA"/>
    <w:rsid w:val="0085333C"/>
    <w:rsid w:val="008546B0"/>
    <w:rsid w:val="00854E84"/>
    <w:rsid w:val="0085589B"/>
    <w:rsid w:val="0085708E"/>
    <w:rsid w:val="00857669"/>
    <w:rsid w:val="008614EF"/>
    <w:rsid w:val="00861A90"/>
    <w:rsid w:val="0086393E"/>
    <w:rsid w:val="00864701"/>
    <w:rsid w:val="00864B7E"/>
    <w:rsid w:val="008674B5"/>
    <w:rsid w:val="00870CC8"/>
    <w:rsid w:val="00880390"/>
    <w:rsid w:val="008850F9"/>
    <w:rsid w:val="00886867"/>
    <w:rsid w:val="008900BA"/>
    <w:rsid w:val="00897C1D"/>
    <w:rsid w:val="008A1DD3"/>
    <w:rsid w:val="008A4B5C"/>
    <w:rsid w:val="008A5BEA"/>
    <w:rsid w:val="008A67EB"/>
    <w:rsid w:val="008B1252"/>
    <w:rsid w:val="008C4CD5"/>
    <w:rsid w:val="008C50A1"/>
    <w:rsid w:val="008D1DA1"/>
    <w:rsid w:val="008D42E7"/>
    <w:rsid w:val="008E20AE"/>
    <w:rsid w:val="008E35B2"/>
    <w:rsid w:val="008E474C"/>
    <w:rsid w:val="008E475B"/>
    <w:rsid w:val="008E5781"/>
    <w:rsid w:val="008F135E"/>
    <w:rsid w:val="008F3792"/>
    <w:rsid w:val="008F588F"/>
    <w:rsid w:val="009019F5"/>
    <w:rsid w:val="0090295D"/>
    <w:rsid w:val="009117B4"/>
    <w:rsid w:val="00912136"/>
    <w:rsid w:val="00913770"/>
    <w:rsid w:val="00914558"/>
    <w:rsid w:val="00916897"/>
    <w:rsid w:val="00921F78"/>
    <w:rsid w:val="00922926"/>
    <w:rsid w:val="00926664"/>
    <w:rsid w:val="00926C44"/>
    <w:rsid w:val="009304FE"/>
    <w:rsid w:val="0093292C"/>
    <w:rsid w:val="0093464B"/>
    <w:rsid w:val="00936495"/>
    <w:rsid w:val="009369A0"/>
    <w:rsid w:val="00941269"/>
    <w:rsid w:val="00942DCA"/>
    <w:rsid w:val="00943EEE"/>
    <w:rsid w:val="00945769"/>
    <w:rsid w:val="00947CA8"/>
    <w:rsid w:val="00947D5D"/>
    <w:rsid w:val="009512D5"/>
    <w:rsid w:val="0095244E"/>
    <w:rsid w:val="00953541"/>
    <w:rsid w:val="00955CDC"/>
    <w:rsid w:val="009570F4"/>
    <w:rsid w:val="0095774B"/>
    <w:rsid w:val="00970B57"/>
    <w:rsid w:val="00971294"/>
    <w:rsid w:val="00973A12"/>
    <w:rsid w:val="00974C39"/>
    <w:rsid w:val="009761CA"/>
    <w:rsid w:val="00977C5C"/>
    <w:rsid w:val="00980C09"/>
    <w:rsid w:val="00981357"/>
    <w:rsid w:val="0098219F"/>
    <w:rsid w:val="00984580"/>
    <w:rsid w:val="009864D9"/>
    <w:rsid w:val="009867E0"/>
    <w:rsid w:val="0099007F"/>
    <w:rsid w:val="009908F1"/>
    <w:rsid w:val="00992DB4"/>
    <w:rsid w:val="00993894"/>
    <w:rsid w:val="00994DFB"/>
    <w:rsid w:val="00996E3D"/>
    <w:rsid w:val="009972D2"/>
    <w:rsid w:val="00997801"/>
    <w:rsid w:val="009A1BD7"/>
    <w:rsid w:val="009A1EAE"/>
    <w:rsid w:val="009A4EAF"/>
    <w:rsid w:val="009B2B10"/>
    <w:rsid w:val="009C1B2F"/>
    <w:rsid w:val="009C1E43"/>
    <w:rsid w:val="009C3C40"/>
    <w:rsid w:val="009C6E03"/>
    <w:rsid w:val="009D1C18"/>
    <w:rsid w:val="009D5917"/>
    <w:rsid w:val="009D6A6B"/>
    <w:rsid w:val="009D7A33"/>
    <w:rsid w:val="009F2DD0"/>
    <w:rsid w:val="00A01195"/>
    <w:rsid w:val="00A03277"/>
    <w:rsid w:val="00A10222"/>
    <w:rsid w:val="00A10939"/>
    <w:rsid w:val="00A111A0"/>
    <w:rsid w:val="00A14711"/>
    <w:rsid w:val="00A16D0A"/>
    <w:rsid w:val="00A16E21"/>
    <w:rsid w:val="00A1733D"/>
    <w:rsid w:val="00A20022"/>
    <w:rsid w:val="00A244F5"/>
    <w:rsid w:val="00A25728"/>
    <w:rsid w:val="00A267A6"/>
    <w:rsid w:val="00A302FC"/>
    <w:rsid w:val="00A30D3C"/>
    <w:rsid w:val="00A44111"/>
    <w:rsid w:val="00A4495D"/>
    <w:rsid w:val="00A47EE4"/>
    <w:rsid w:val="00A53F32"/>
    <w:rsid w:val="00A55CB8"/>
    <w:rsid w:val="00A57386"/>
    <w:rsid w:val="00A60899"/>
    <w:rsid w:val="00A63DDB"/>
    <w:rsid w:val="00A64D23"/>
    <w:rsid w:val="00A707C7"/>
    <w:rsid w:val="00A726E8"/>
    <w:rsid w:val="00A7474B"/>
    <w:rsid w:val="00A75BA8"/>
    <w:rsid w:val="00A8126C"/>
    <w:rsid w:val="00A81993"/>
    <w:rsid w:val="00A82237"/>
    <w:rsid w:val="00A830BE"/>
    <w:rsid w:val="00A83BAD"/>
    <w:rsid w:val="00A83FB5"/>
    <w:rsid w:val="00A8472A"/>
    <w:rsid w:val="00A84833"/>
    <w:rsid w:val="00A92B94"/>
    <w:rsid w:val="00A9371F"/>
    <w:rsid w:val="00A97B5E"/>
    <w:rsid w:val="00AA1FF9"/>
    <w:rsid w:val="00AA3C66"/>
    <w:rsid w:val="00AA76BA"/>
    <w:rsid w:val="00AA7B5F"/>
    <w:rsid w:val="00AB049D"/>
    <w:rsid w:val="00AB1384"/>
    <w:rsid w:val="00AB5842"/>
    <w:rsid w:val="00AC0564"/>
    <w:rsid w:val="00AC6222"/>
    <w:rsid w:val="00AC68AA"/>
    <w:rsid w:val="00AC7189"/>
    <w:rsid w:val="00AD02FB"/>
    <w:rsid w:val="00AE2D00"/>
    <w:rsid w:val="00AE434F"/>
    <w:rsid w:val="00AE7A6A"/>
    <w:rsid w:val="00AF05C4"/>
    <w:rsid w:val="00AF0F8B"/>
    <w:rsid w:val="00AF1C92"/>
    <w:rsid w:val="00AF2358"/>
    <w:rsid w:val="00AF258C"/>
    <w:rsid w:val="00AF3AC7"/>
    <w:rsid w:val="00AF6E92"/>
    <w:rsid w:val="00B0052B"/>
    <w:rsid w:val="00B00E60"/>
    <w:rsid w:val="00B054D9"/>
    <w:rsid w:val="00B0641C"/>
    <w:rsid w:val="00B065B6"/>
    <w:rsid w:val="00B14669"/>
    <w:rsid w:val="00B15E9C"/>
    <w:rsid w:val="00B16135"/>
    <w:rsid w:val="00B16CF1"/>
    <w:rsid w:val="00B17608"/>
    <w:rsid w:val="00B17696"/>
    <w:rsid w:val="00B240E6"/>
    <w:rsid w:val="00B27199"/>
    <w:rsid w:val="00B34775"/>
    <w:rsid w:val="00B36C07"/>
    <w:rsid w:val="00B40642"/>
    <w:rsid w:val="00B42464"/>
    <w:rsid w:val="00B432FF"/>
    <w:rsid w:val="00B44923"/>
    <w:rsid w:val="00B476D3"/>
    <w:rsid w:val="00B51A2B"/>
    <w:rsid w:val="00B52C75"/>
    <w:rsid w:val="00B54FAE"/>
    <w:rsid w:val="00B561AB"/>
    <w:rsid w:val="00B56C1D"/>
    <w:rsid w:val="00B6035C"/>
    <w:rsid w:val="00B60774"/>
    <w:rsid w:val="00B6158B"/>
    <w:rsid w:val="00B63E15"/>
    <w:rsid w:val="00B73B69"/>
    <w:rsid w:val="00B74C4D"/>
    <w:rsid w:val="00B76F0D"/>
    <w:rsid w:val="00B81382"/>
    <w:rsid w:val="00B8281B"/>
    <w:rsid w:val="00B84DB2"/>
    <w:rsid w:val="00B85CA8"/>
    <w:rsid w:val="00B90281"/>
    <w:rsid w:val="00B9074D"/>
    <w:rsid w:val="00B90CC4"/>
    <w:rsid w:val="00B91548"/>
    <w:rsid w:val="00B93BAF"/>
    <w:rsid w:val="00B97183"/>
    <w:rsid w:val="00BA1659"/>
    <w:rsid w:val="00BA2F20"/>
    <w:rsid w:val="00BA44A4"/>
    <w:rsid w:val="00BA795C"/>
    <w:rsid w:val="00BB5289"/>
    <w:rsid w:val="00BB5F66"/>
    <w:rsid w:val="00BB6DCA"/>
    <w:rsid w:val="00BC6147"/>
    <w:rsid w:val="00BD1733"/>
    <w:rsid w:val="00BD407D"/>
    <w:rsid w:val="00BD73AC"/>
    <w:rsid w:val="00BF20D7"/>
    <w:rsid w:val="00BF258B"/>
    <w:rsid w:val="00BF2B9C"/>
    <w:rsid w:val="00BF5071"/>
    <w:rsid w:val="00BF70C4"/>
    <w:rsid w:val="00C03195"/>
    <w:rsid w:val="00C03530"/>
    <w:rsid w:val="00C060B9"/>
    <w:rsid w:val="00C110A6"/>
    <w:rsid w:val="00C2167D"/>
    <w:rsid w:val="00C27382"/>
    <w:rsid w:val="00C27DD4"/>
    <w:rsid w:val="00C465ED"/>
    <w:rsid w:val="00C501B6"/>
    <w:rsid w:val="00C5346B"/>
    <w:rsid w:val="00C55AB9"/>
    <w:rsid w:val="00C63354"/>
    <w:rsid w:val="00C67890"/>
    <w:rsid w:val="00C67F2E"/>
    <w:rsid w:val="00C707EB"/>
    <w:rsid w:val="00C727A5"/>
    <w:rsid w:val="00C75AC0"/>
    <w:rsid w:val="00C77560"/>
    <w:rsid w:val="00C87B1C"/>
    <w:rsid w:val="00C90A40"/>
    <w:rsid w:val="00CA2463"/>
    <w:rsid w:val="00CA2A93"/>
    <w:rsid w:val="00CA3AD5"/>
    <w:rsid w:val="00CB1E8F"/>
    <w:rsid w:val="00CB5130"/>
    <w:rsid w:val="00CB71C8"/>
    <w:rsid w:val="00CB72BC"/>
    <w:rsid w:val="00CC31D1"/>
    <w:rsid w:val="00CC40B3"/>
    <w:rsid w:val="00CC433D"/>
    <w:rsid w:val="00CC5210"/>
    <w:rsid w:val="00CC627D"/>
    <w:rsid w:val="00CD02B7"/>
    <w:rsid w:val="00CD13F5"/>
    <w:rsid w:val="00CD2BB0"/>
    <w:rsid w:val="00CD3D37"/>
    <w:rsid w:val="00CD476E"/>
    <w:rsid w:val="00CD4D96"/>
    <w:rsid w:val="00CD4FFC"/>
    <w:rsid w:val="00CE222F"/>
    <w:rsid w:val="00CE29DF"/>
    <w:rsid w:val="00CE3BF9"/>
    <w:rsid w:val="00CE411F"/>
    <w:rsid w:val="00CE4310"/>
    <w:rsid w:val="00CE4946"/>
    <w:rsid w:val="00CE50D7"/>
    <w:rsid w:val="00CF22B0"/>
    <w:rsid w:val="00CF246E"/>
    <w:rsid w:val="00CF4BDB"/>
    <w:rsid w:val="00CF53AC"/>
    <w:rsid w:val="00CF5A57"/>
    <w:rsid w:val="00CF7A98"/>
    <w:rsid w:val="00CF7E73"/>
    <w:rsid w:val="00D0042F"/>
    <w:rsid w:val="00D010BF"/>
    <w:rsid w:val="00D02639"/>
    <w:rsid w:val="00D03FD2"/>
    <w:rsid w:val="00D04B61"/>
    <w:rsid w:val="00D143BA"/>
    <w:rsid w:val="00D17002"/>
    <w:rsid w:val="00D20673"/>
    <w:rsid w:val="00D2112D"/>
    <w:rsid w:val="00D26AF7"/>
    <w:rsid w:val="00D26FA7"/>
    <w:rsid w:val="00D30FB5"/>
    <w:rsid w:val="00D31FBB"/>
    <w:rsid w:val="00D34520"/>
    <w:rsid w:val="00D3568E"/>
    <w:rsid w:val="00D462B1"/>
    <w:rsid w:val="00D52BE0"/>
    <w:rsid w:val="00D540C3"/>
    <w:rsid w:val="00D557D8"/>
    <w:rsid w:val="00D57154"/>
    <w:rsid w:val="00D61C21"/>
    <w:rsid w:val="00D7388A"/>
    <w:rsid w:val="00D8037D"/>
    <w:rsid w:val="00D80445"/>
    <w:rsid w:val="00D8255B"/>
    <w:rsid w:val="00D8268F"/>
    <w:rsid w:val="00D865A3"/>
    <w:rsid w:val="00D90223"/>
    <w:rsid w:val="00D92968"/>
    <w:rsid w:val="00D93C25"/>
    <w:rsid w:val="00D95618"/>
    <w:rsid w:val="00DA106E"/>
    <w:rsid w:val="00DA3C38"/>
    <w:rsid w:val="00DB2531"/>
    <w:rsid w:val="00DB556A"/>
    <w:rsid w:val="00DC3D45"/>
    <w:rsid w:val="00DC3E8F"/>
    <w:rsid w:val="00DC72C7"/>
    <w:rsid w:val="00DD40DF"/>
    <w:rsid w:val="00DE0631"/>
    <w:rsid w:val="00DE097E"/>
    <w:rsid w:val="00DE5BF1"/>
    <w:rsid w:val="00DF1994"/>
    <w:rsid w:val="00DF1AD4"/>
    <w:rsid w:val="00DF7509"/>
    <w:rsid w:val="00E02259"/>
    <w:rsid w:val="00E0241F"/>
    <w:rsid w:val="00E0371D"/>
    <w:rsid w:val="00E04131"/>
    <w:rsid w:val="00E05CAE"/>
    <w:rsid w:val="00E06660"/>
    <w:rsid w:val="00E1177B"/>
    <w:rsid w:val="00E1584F"/>
    <w:rsid w:val="00E20302"/>
    <w:rsid w:val="00E20932"/>
    <w:rsid w:val="00E20EC2"/>
    <w:rsid w:val="00E21B35"/>
    <w:rsid w:val="00E22D46"/>
    <w:rsid w:val="00E3260E"/>
    <w:rsid w:val="00E33FCE"/>
    <w:rsid w:val="00E36995"/>
    <w:rsid w:val="00E419B0"/>
    <w:rsid w:val="00E4202F"/>
    <w:rsid w:val="00E422D3"/>
    <w:rsid w:val="00E42FF7"/>
    <w:rsid w:val="00E45047"/>
    <w:rsid w:val="00E4569F"/>
    <w:rsid w:val="00E4685B"/>
    <w:rsid w:val="00E47B37"/>
    <w:rsid w:val="00E50297"/>
    <w:rsid w:val="00E51A42"/>
    <w:rsid w:val="00E57DBB"/>
    <w:rsid w:val="00E6021A"/>
    <w:rsid w:val="00E63008"/>
    <w:rsid w:val="00E67197"/>
    <w:rsid w:val="00E712AA"/>
    <w:rsid w:val="00E72A18"/>
    <w:rsid w:val="00E83A27"/>
    <w:rsid w:val="00E84AB9"/>
    <w:rsid w:val="00E85491"/>
    <w:rsid w:val="00E85C77"/>
    <w:rsid w:val="00E868D7"/>
    <w:rsid w:val="00E90F71"/>
    <w:rsid w:val="00E91232"/>
    <w:rsid w:val="00E9665C"/>
    <w:rsid w:val="00E970CB"/>
    <w:rsid w:val="00EA2299"/>
    <w:rsid w:val="00EA417B"/>
    <w:rsid w:val="00EA68E9"/>
    <w:rsid w:val="00EB0334"/>
    <w:rsid w:val="00EB1509"/>
    <w:rsid w:val="00EB1C6D"/>
    <w:rsid w:val="00EB49FD"/>
    <w:rsid w:val="00EC3500"/>
    <w:rsid w:val="00EC41CF"/>
    <w:rsid w:val="00EC5080"/>
    <w:rsid w:val="00EC7E9C"/>
    <w:rsid w:val="00ED23C5"/>
    <w:rsid w:val="00ED428F"/>
    <w:rsid w:val="00ED7114"/>
    <w:rsid w:val="00ED7B39"/>
    <w:rsid w:val="00EE0982"/>
    <w:rsid w:val="00EE2643"/>
    <w:rsid w:val="00EE2BE8"/>
    <w:rsid w:val="00EF02DC"/>
    <w:rsid w:val="00EF5B7D"/>
    <w:rsid w:val="00EF5FA8"/>
    <w:rsid w:val="00EF771A"/>
    <w:rsid w:val="00F009AA"/>
    <w:rsid w:val="00F02014"/>
    <w:rsid w:val="00F039DB"/>
    <w:rsid w:val="00F15C32"/>
    <w:rsid w:val="00F21168"/>
    <w:rsid w:val="00F21418"/>
    <w:rsid w:val="00F23907"/>
    <w:rsid w:val="00F2535E"/>
    <w:rsid w:val="00F332B3"/>
    <w:rsid w:val="00F352D8"/>
    <w:rsid w:val="00F4381F"/>
    <w:rsid w:val="00F44869"/>
    <w:rsid w:val="00F44F81"/>
    <w:rsid w:val="00F511F6"/>
    <w:rsid w:val="00F543A9"/>
    <w:rsid w:val="00F5691F"/>
    <w:rsid w:val="00F57940"/>
    <w:rsid w:val="00F57F26"/>
    <w:rsid w:val="00F6062A"/>
    <w:rsid w:val="00F62ED7"/>
    <w:rsid w:val="00F652BA"/>
    <w:rsid w:val="00F72D5B"/>
    <w:rsid w:val="00F73391"/>
    <w:rsid w:val="00F85B07"/>
    <w:rsid w:val="00F8692D"/>
    <w:rsid w:val="00F86F75"/>
    <w:rsid w:val="00F87D41"/>
    <w:rsid w:val="00F95B95"/>
    <w:rsid w:val="00F96647"/>
    <w:rsid w:val="00FA2677"/>
    <w:rsid w:val="00FA5340"/>
    <w:rsid w:val="00FA7D82"/>
    <w:rsid w:val="00FB2A25"/>
    <w:rsid w:val="00FB2C35"/>
    <w:rsid w:val="00FB7E29"/>
    <w:rsid w:val="00FC40A2"/>
    <w:rsid w:val="00FC5609"/>
    <w:rsid w:val="00FC614E"/>
    <w:rsid w:val="00FC63CB"/>
    <w:rsid w:val="00FD426A"/>
    <w:rsid w:val="00FD550F"/>
    <w:rsid w:val="00FE05F1"/>
    <w:rsid w:val="00FE29E7"/>
    <w:rsid w:val="00FE50F7"/>
    <w:rsid w:val="00FE5D62"/>
    <w:rsid w:val="00FE71FD"/>
    <w:rsid w:val="00FF039B"/>
    <w:rsid w:val="00FF28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8C2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4FE"/>
    <w:pPr>
      <w:autoSpaceDE w:val="0"/>
      <w:autoSpaceDN w:val="0"/>
      <w:adjustRightInd w:val="0"/>
    </w:pPr>
    <w:rPr>
      <w:rFonts w:ascii="Courier 10cpi" w:hAnsi="Courier 10cpi"/>
    </w:rPr>
  </w:style>
  <w:style w:type="paragraph" w:styleId="Heading2">
    <w:name w:val="heading 2"/>
    <w:basedOn w:val="Normal"/>
    <w:next w:val="Normal"/>
    <w:qFormat/>
    <w:rsid w:val="009304FE"/>
    <w:pPr>
      <w:keepNext/>
      <w:autoSpaceDE/>
      <w:autoSpaceDN/>
      <w:adjustRightInd/>
      <w:jc w:val="center"/>
      <w:outlineLvl w:val="1"/>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4FE"/>
    <w:pPr>
      <w:autoSpaceDE/>
      <w:autoSpaceDN/>
      <w:adjustRightInd/>
      <w:ind w:left="720"/>
    </w:pPr>
    <w:rPr>
      <w:rFonts w:ascii="Times New Roman" w:hAnsi="Times New Roman"/>
      <w:sz w:val="24"/>
      <w:szCs w:val="24"/>
    </w:rPr>
  </w:style>
  <w:style w:type="paragraph" w:styleId="BalloonText">
    <w:name w:val="Balloon Text"/>
    <w:basedOn w:val="Normal"/>
    <w:semiHidden/>
    <w:rsid w:val="009019F5"/>
    <w:rPr>
      <w:rFonts w:ascii="Tahoma" w:hAnsi="Tahoma" w:cs="Tahoma"/>
      <w:sz w:val="16"/>
      <w:szCs w:val="16"/>
    </w:rPr>
  </w:style>
  <w:style w:type="character" w:styleId="Hyperlink">
    <w:name w:val="Hyperlink"/>
    <w:rsid w:val="00585058"/>
    <w:rPr>
      <w:color w:val="0000FF"/>
      <w:u w:val="single"/>
    </w:rPr>
  </w:style>
  <w:style w:type="paragraph" w:styleId="BodyTextIndent">
    <w:name w:val="Body Text Indent"/>
    <w:basedOn w:val="Normal"/>
    <w:link w:val="BodyTextIndentChar"/>
    <w:unhideWhenUsed/>
    <w:rsid w:val="00E36995"/>
    <w:pPr>
      <w:autoSpaceDE/>
      <w:autoSpaceDN/>
      <w:adjustRightInd/>
      <w:ind w:left="720"/>
    </w:pPr>
    <w:rPr>
      <w:rFonts w:ascii="Palatino" w:hAnsi="Palatino"/>
      <w:b/>
      <w:sz w:val="24"/>
    </w:rPr>
  </w:style>
  <w:style w:type="character" w:customStyle="1" w:styleId="BodyTextIndentChar">
    <w:name w:val="Body Text Indent Char"/>
    <w:link w:val="BodyTextIndent"/>
    <w:rsid w:val="00E36995"/>
    <w:rPr>
      <w:rFonts w:ascii="Palatino" w:hAnsi="Palatino"/>
      <w:b/>
      <w:sz w:val="24"/>
    </w:rPr>
  </w:style>
  <w:style w:type="paragraph" w:styleId="BodyText">
    <w:name w:val="Body Text"/>
    <w:basedOn w:val="Normal"/>
    <w:link w:val="BodyTextChar"/>
    <w:rsid w:val="00E36995"/>
    <w:pPr>
      <w:spacing w:after="120"/>
    </w:pPr>
  </w:style>
  <w:style w:type="character" w:customStyle="1" w:styleId="BodyTextChar">
    <w:name w:val="Body Text Char"/>
    <w:link w:val="BodyText"/>
    <w:rsid w:val="00E36995"/>
    <w:rPr>
      <w:rFonts w:ascii="Courier 10cpi" w:hAnsi="Courier 10cpi"/>
    </w:rPr>
  </w:style>
  <w:style w:type="paragraph" w:styleId="FootnoteText">
    <w:name w:val="footnote text"/>
    <w:basedOn w:val="Normal"/>
    <w:link w:val="FootnoteTextChar"/>
    <w:rsid w:val="002B12B5"/>
    <w:rPr>
      <w:sz w:val="24"/>
      <w:szCs w:val="24"/>
    </w:rPr>
  </w:style>
  <w:style w:type="character" w:customStyle="1" w:styleId="FootnoteTextChar">
    <w:name w:val="Footnote Text Char"/>
    <w:link w:val="FootnoteText"/>
    <w:rsid w:val="002B12B5"/>
    <w:rPr>
      <w:rFonts w:ascii="Courier 10cpi" w:hAnsi="Courier 10cpi"/>
      <w:sz w:val="24"/>
      <w:szCs w:val="24"/>
    </w:rPr>
  </w:style>
  <w:style w:type="character" w:styleId="FootnoteReference">
    <w:name w:val="footnote reference"/>
    <w:rsid w:val="002B12B5"/>
    <w:rPr>
      <w:vertAlign w:val="superscript"/>
    </w:rPr>
  </w:style>
  <w:style w:type="paragraph" w:styleId="Footer">
    <w:name w:val="footer"/>
    <w:basedOn w:val="Normal"/>
    <w:link w:val="FooterChar"/>
    <w:rsid w:val="00A9371F"/>
    <w:pPr>
      <w:tabs>
        <w:tab w:val="center" w:pos="4320"/>
        <w:tab w:val="right" w:pos="8640"/>
      </w:tabs>
    </w:pPr>
  </w:style>
  <w:style w:type="character" w:customStyle="1" w:styleId="FooterChar">
    <w:name w:val="Footer Char"/>
    <w:link w:val="Footer"/>
    <w:rsid w:val="00A9371F"/>
    <w:rPr>
      <w:rFonts w:ascii="Courier 10cpi" w:hAnsi="Courier 10cpi"/>
    </w:rPr>
  </w:style>
  <w:style w:type="character" w:styleId="PageNumber">
    <w:name w:val="page number"/>
    <w:rsid w:val="00A9371F"/>
  </w:style>
  <w:style w:type="character" w:styleId="CommentReference">
    <w:name w:val="annotation reference"/>
    <w:basedOn w:val="DefaultParagraphFont"/>
    <w:rsid w:val="00CE222F"/>
    <w:rPr>
      <w:sz w:val="18"/>
      <w:szCs w:val="18"/>
    </w:rPr>
  </w:style>
  <w:style w:type="paragraph" w:styleId="CommentText">
    <w:name w:val="annotation text"/>
    <w:basedOn w:val="Normal"/>
    <w:link w:val="CommentTextChar"/>
    <w:rsid w:val="00CE222F"/>
    <w:rPr>
      <w:sz w:val="24"/>
      <w:szCs w:val="24"/>
    </w:rPr>
  </w:style>
  <w:style w:type="character" w:customStyle="1" w:styleId="CommentTextChar">
    <w:name w:val="Comment Text Char"/>
    <w:basedOn w:val="DefaultParagraphFont"/>
    <w:link w:val="CommentText"/>
    <w:rsid w:val="00CE222F"/>
    <w:rPr>
      <w:rFonts w:ascii="Courier 10cpi" w:hAnsi="Courier 10cpi"/>
      <w:sz w:val="24"/>
      <w:szCs w:val="24"/>
    </w:rPr>
  </w:style>
  <w:style w:type="paragraph" w:styleId="CommentSubject">
    <w:name w:val="annotation subject"/>
    <w:basedOn w:val="CommentText"/>
    <w:next w:val="CommentText"/>
    <w:link w:val="CommentSubjectChar"/>
    <w:rsid w:val="00CE222F"/>
    <w:rPr>
      <w:b/>
      <w:bCs/>
      <w:sz w:val="20"/>
      <w:szCs w:val="20"/>
    </w:rPr>
  </w:style>
  <w:style w:type="character" w:customStyle="1" w:styleId="CommentSubjectChar">
    <w:name w:val="Comment Subject Char"/>
    <w:basedOn w:val="CommentTextChar"/>
    <w:link w:val="CommentSubject"/>
    <w:rsid w:val="00CE222F"/>
    <w:rPr>
      <w:rFonts w:ascii="Courier 10cpi" w:hAnsi="Courier 10cpi"/>
      <w:b/>
      <w:bCs/>
      <w:sz w:val="24"/>
      <w:szCs w:val="24"/>
    </w:rPr>
  </w:style>
  <w:style w:type="paragraph" w:styleId="NormalWeb">
    <w:name w:val="Normal (Web)"/>
    <w:basedOn w:val="Normal"/>
    <w:uiPriority w:val="99"/>
    <w:unhideWhenUsed/>
    <w:rsid w:val="00CF22B0"/>
    <w:pPr>
      <w:autoSpaceDE/>
      <w:autoSpaceDN/>
      <w:adjustRightInd/>
      <w:spacing w:before="100" w:beforeAutospacing="1" w:after="100" w:afterAutospacing="1"/>
    </w:pPr>
    <w:rPr>
      <w:rFonts w:ascii="Times" w:eastAsiaTheme="minorEastAsia" w:hAnsi="Times"/>
    </w:rPr>
  </w:style>
  <w:style w:type="paragraph" w:styleId="Revision">
    <w:name w:val="Revision"/>
    <w:hidden/>
    <w:uiPriority w:val="71"/>
    <w:rsid w:val="00FA5340"/>
    <w:rPr>
      <w:rFonts w:ascii="Courier 10cpi" w:hAnsi="Courier 10cpi"/>
    </w:rPr>
  </w:style>
  <w:style w:type="table" w:styleId="TableGrid">
    <w:name w:val="Table Grid"/>
    <w:basedOn w:val="TableNormal"/>
    <w:rsid w:val="00E41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4FE"/>
    <w:pPr>
      <w:autoSpaceDE w:val="0"/>
      <w:autoSpaceDN w:val="0"/>
      <w:adjustRightInd w:val="0"/>
    </w:pPr>
    <w:rPr>
      <w:rFonts w:ascii="Courier 10cpi" w:hAnsi="Courier 10cpi"/>
    </w:rPr>
  </w:style>
  <w:style w:type="paragraph" w:styleId="Heading2">
    <w:name w:val="heading 2"/>
    <w:basedOn w:val="Normal"/>
    <w:next w:val="Normal"/>
    <w:qFormat/>
    <w:rsid w:val="009304FE"/>
    <w:pPr>
      <w:keepNext/>
      <w:autoSpaceDE/>
      <w:autoSpaceDN/>
      <w:adjustRightInd/>
      <w:jc w:val="center"/>
      <w:outlineLvl w:val="1"/>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4FE"/>
    <w:pPr>
      <w:autoSpaceDE/>
      <w:autoSpaceDN/>
      <w:adjustRightInd/>
      <w:ind w:left="720"/>
    </w:pPr>
    <w:rPr>
      <w:rFonts w:ascii="Times New Roman" w:hAnsi="Times New Roman"/>
      <w:sz w:val="24"/>
      <w:szCs w:val="24"/>
    </w:rPr>
  </w:style>
  <w:style w:type="paragraph" w:styleId="BalloonText">
    <w:name w:val="Balloon Text"/>
    <w:basedOn w:val="Normal"/>
    <w:semiHidden/>
    <w:rsid w:val="009019F5"/>
    <w:rPr>
      <w:rFonts w:ascii="Tahoma" w:hAnsi="Tahoma" w:cs="Tahoma"/>
      <w:sz w:val="16"/>
      <w:szCs w:val="16"/>
    </w:rPr>
  </w:style>
  <w:style w:type="character" w:styleId="Hyperlink">
    <w:name w:val="Hyperlink"/>
    <w:rsid w:val="00585058"/>
    <w:rPr>
      <w:color w:val="0000FF"/>
      <w:u w:val="single"/>
    </w:rPr>
  </w:style>
  <w:style w:type="paragraph" w:styleId="BodyTextIndent">
    <w:name w:val="Body Text Indent"/>
    <w:basedOn w:val="Normal"/>
    <w:link w:val="BodyTextIndentChar"/>
    <w:unhideWhenUsed/>
    <w:rsid w:val="00E36995"/>
    <w:pPr>
      <w:autoSpaceDE/>
      <w:autoSpaceDN/>
      <w:adjustRightInd/>
      <w:ind w:left="720"/>
    </w:pPr>
    <w:rPr>
      <w:rFonts w:ascii="Palatino" w:hAnsi="Palatino"/>
      <w:b/>
      <w:sz w:val="24"/>
    </w:rPr>
  </w:style>
  <w:style w:type="character" w:customStyle="1" w:styleId="BodyTextIndentChar">
    <w:name w:val="Body Text Indent Char"/>
    <w:link w:val="BodyTextIndent"/>
    <w:rsid w:val="00E36995"/>
    <w:rPr>
      <w:rFonts w:ascii="Palatino" w:hAnsi="Palatino"/>
      <w:b/>
      <w:sz w:val="24"/>
    </w:rPr>
  </w:style>
  <w:style w:type="paragraph" w:styleId="BodyText">
    <w:name w:val="Body Text"/>
    <w:basedOn w:val="Normal"/>
    <w:link w:val="BodyTextChar"/>
    <w:rsid w:val="00E36995"/>
    <w:pPr>
      <w:spacing w:after="120"/>
    </w:pPr>
  </w:style>
  <w:style w:type="character" w:customStyle="1" w:styleId="BodyTextChar">
    <w:name w:val="Body Text Char"/>
    <w:link w:val="BodyText"/>
    <w:rsid w:val="00E36995"/>
    <w:rPr>
      <w:rFonts w:ascii="Courier 10cpi" w:hAnsi="Courier 10cpi"/>
    </w:rPr>
  </w:style>
  <w:style w:type="paragraph" w:styleId="FootnoteText">
    <w:name w:val="footnote text"/>
    <w:basedOn w:val="Normal"/>
    <w:link w:val="FootnoteTextChar"/>
    <w:rsid w:val="002B12B5"/>
    <w:rPr>
      <w:sz w:val="24"/>
      <w:szCs w:val="24"/>
    </w:rPr>
  </w:style>
  <w:style w:type="character" w:customStyle="1" w:styleId="FootnoteTextChar">
    <w:name w:val="Footnote Text Char"/>
    <w:link w:val="FootnoteText"/>
    <w:rsid w:val="002B12B5"/>
    <w:rPr>
      <w:rFonts w:ascii="Courier 10cpi" w:hAnsi="Courier 10cpi"/>
      <w:sz w:val="24"/>
      <w:szCs w:val="24"/>
    </w:rPr>
  </w:style>
  <w:style w:type="character" w:styleId="FootnoteReference">
    <w:name w:val="footnote reference"/>
    <w:rsid w:val="002B12B5"/>
    <w:rPr>
      <w:vertAlign w:val="superscript"/>
    </w:rPr>
  </w:style>
  <w:style w:type="paragraph" w:styleId="Footer">
    <w:name w:val="footer"/>
    <w:basedOn w:val="Normal"/>
    <w:link w:val="FooterChar"/>
    <w:rsid w:val="00A9371F"/>
    <w:pPr>
      <w:tabs>
        <w:tab w:val="center" w:pos="4320"/>
        <w:tab w:val="right" w:pos="8640"/>
      </w:tabs>
    </w:pPr>
  </w:style>
  <w:style w:type="character" w:customStyle="1" w:styleId="FooterChar">
    <w:name w:val="Footer Char"/>
    <w:link w:val="Footer"/>
    <w:rsid w:val="00A9371F"/>
    <w:rPr>
      <w:rFonts w:ascii="Courier 10cpi" w:hAnsi="Courier 10cpi"/>
    </w:rPr>
  </w:style>
  <w:style w:type="character" w:styleId="PageNumber">
    <w:name w:val="page number"/>
    <w:rsid w:val="00A9371F"/>
  </w:style>
  <w:style w:type="character" w:styleId="CommentReference">
    <w:name w:val="annotation reference"/>
    <w:basedOn w:val="DefaultParagraphFont"/>
    <w:rsid w:val="00CE222F"/>
    <w:rPr>
      <w:sz w:val="18"/>
      <w:szCs w:val="18"/>
    </w:rPr>
  </w:style>
  <w:style w:type="paragraph" w:styleId="CommentText">
    <w:name w:val="annotation text"/>
    <w:basedOn w:val="Normal"/>
    <w:link w:val="CommentTextChar"/>
    <w:rsid w:val="00CE222F"/>
    <w:rPr>
      <w:sz w:val="24"/>
      <w:szCs w:val="24"/>
    </w:rPr>
  </w:style>
  <w:style w:type="character" w:customStyle="1" w:styleId="CommentTextChar">
    <w:name w:val="Comment Text Char"/>
    <w:basedOn w:val="DefaultParagraphFont"/>
    <w:link w:val="CommentText"/>
    <w:rsid w:val="00CE222F"/>
    <w:rPr>
      <w:rFonts w:ascii="Courier 10cpi" w:hAnsi="Courier 10cpi"/>
      <w:sz w:val="24"/>
      <w:szCs w:val="24"/>
    </w:rPr>
  </w:style>
  <w:style w:type="paragraph" w:styleId="CommentSubject">
    <w:name w:val="annotation subject"/>
    <w:basedOn w:val="CommentText"/>
    <w:next w:val="CommentText"/>
    <w:link w:val="CommentSubjectChar"/>
    <w:rsid w:val="00CE222F"/>
    <w:rPr>
      <w:b/>
      <w:bCs/>
      <w:sz w:val="20"/>
      <w:szCs w:val="20"/>
    </w:rPr>
  </w:style>
  <w:style w:type="character" w:customStyle="1" w:styleId="CommentSubjectChar">
    <w:name w:val="Comment Subject Char"/>
    <w:basedOn w:val="CommentTextChar"/>
    <w:link w:val="CommentSubject"/>
    <w:rsid w:val="00CE222F"/>
    <w:rPr>
      <w:rFonts w:ascii="Courier 10cpi" w:hAnsi="Courier 10cpi"/>
      <w:b/>
      <w:bCs/>
      <w:sz w:val="24"/>
      <w:szCs w:val="24"/>
    </w:rPr>
  </w:style>
  <w:style w:type="paragraph" w:styleId="NormalWeb">
    <w:name w:val="Normal (Web)"/>
    <w:basedOn w:val="Normal"/>
    <w:uiPriority w:val="99"/>
    <w:unhideWhenUsed/>
    <w:rsid w:val="00CF22B0"/>
    <w:pPr>
      <w:autoSpaceDE/>
      <w:autoSpaceDN/>
      <w:adjustRightInd/>
      <w:spacing w:before="100" w:beforeAutospacing="1" w:after="100" w:afterAutospacing="1"/>
    </w:pPr>
    <w:rPr>
      <w:rFonts w:ascii="Times" w:eastAsiaTheme="minorEastAsia" w:hAnsi="Times"/>
    </w:rPr>
  </w:style>
  <w:style w:type="paragraph" w:styleId="Revision">
    <w:name w:val="Revision"/>
    <w:hidden/>
    <w:uiPriority w:val="71"/>
    <w:rsid w:val="00FA5340"/>
    <w:rPr>
      <w:rFonts w:ascii="Courier 10cpi" w:hAnsi="Courier 10cpi"/>
    </w:rPr>
  </w:style>
  <w:style w:type="table" w:styleId="TableGrid">
    <w:name w:val="Table Grid"/>
    <w:basedOn w:val="TableNormal"/>
    <w:rsid w:val="00E41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88849">
      <w:bodyDiv w:val="1"/>
      <w:marLeft w:val="0"/>
      <w:marRight w:val="0"/>
      <w:marTop w:val="0"/>
      <w:marBottom w:val="0"/>
      <w:divBdr>
        <w:top w:val="none" w:sz="0" w:space="0" w:color="auto"/>
        <w:left w:val="none" w:sz="0" w:space="0" w:color="auto"/>
        <w:bottom w:val="none" w:sz="0" w:space="0" w:color="auto"/>
        <w:right w:val="none" w:sz="0" w:space="0" w:color="auto"/>
      </w:divBdr>
    </w:div>
    <w:div w:id="407046151">
      <w:bodyDiv w:val="1"/>
      <w:marLeft w:val="0"/>
      <w:marRight w:val="0"/>
      <w:marTop w:val="0"/>
      <w:marBottom w:val="0"/>
      <w:divBdr>
        <w:top w:val="none" w:sz="0" w:space="0" w:color="auto"/>
        <w:left w:val="none" w:sz="0" w:space="0" w:color="auto"/>
        <w:bottom w:val="none" w:sz="0" w:space="0" w:color="auto"/>
        <w:right w:val="none" w:sz="0" w:space="0" w:color="auto"/>
      </w:divBdr>
    </w:div>
    <w:div w:id="704014991">
      <w:bodyDiv w:val="1"/>
      <w:marLeft w:val="0"/>
      <w:marRight w:val="0"/>
      <w:marTop w:val="0"/>
      <w:marBottom w:val="0"/>
      <w:divBdr>
        <w:top w:val="none" w:sz="0" w:space="0" w:color="auto"/>
        <w:left w:val="none" w:sz="0" w:space="0" w:color="auto"/>
        <w:bottom w:val="none" w:sz="0" w:space="0" w:color="auto"/>
        <w:right w:val="none" w:sz="0" w:space="0" w:color="auto"/>
      </w:divBdr>
    </w:div>
    <w:div w:id="828060745">
      <w:bodyDiv w:val="1"/>
      <w:marLeft w:val="0"/>
      <w:marRight w:val="0"/>
      <w:marTop w:val="0"/>
      <w:marBottom w:val="0"/>
      <w:divBdr>
        <w:top w:val="none" w:sz="0" w:space="0" w:color="auto"/>
        <w:left w:val="none" w:sz="0" w:space="0" w:color="auto"/>
        <w:bottom w:val="none" w:sz="0" w:space="0" w:color="auto"/>
        <w:right w:val="none" w:sz="0" w:space="0" w:color="auto"/>
      </w:divBdr>
    </w:div>
    <w:div w:id="834302534">
      <w:bodyDiv w:val="1"/>
      <w:marLeft w:val="0"/>
      <w:marRight w:val="0"/>
      <w:marTop w:val="0"/>
      <w:marBottom w:val="0"/>
      <w:divBdr>
        <w:top w:val="none" w:sz="0" w:space="0" w:color="auto"/>
        <w:left w:val="none" w:sz="0" w:space="0" w:color="auto"/>
        <w:bottom w:val="none" w:sz="0" w:space="0" w:color="auto"/>
        <w:right w:val="none" w:sz="0" w:space="0" w:color="auto"/>
      </w:divBdr>
    </w:div>
    <w:div w:id="1030450001">
      <w:bodyDiv w:val="1"/>
      <w:marLeft w:val="0"/>
      <w:marRight w:val="0"/>
      <w:marTop w:val="0"/>
      <w:marBottom w:val="0"/>
      <w:divBdr>
        <w:top w:val="none" w:sz="0" w:space="0" w:color="auto"/>
        <w:left w:val="none" w:sz="0" w:space="0" w:color="auto"/>
        <w:bottom w:val="none" w:sz="0" w:space="0" w:color="auto"/>
        <w:right w:val="none" w:sz="0" w:space="0" w:color="auto"/>
      </w:divBdr>
    </w:div>
    <w:div w:id="1571498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luwamurewa.oguntimein@fda.hhs.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la.Mizrachi@fda.hhs.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ophthalmologymanagement.com/printarticle.aspx?articleID=108618" TargetMode="External"/><Relationship Id="rId2" Type="http://schemas.openxmlformats.org/officeDocument/2006/relationships/hyperlink" Target="http://www.fda.gov/ForIndustry/UserFees/GenericDrugUserFees/ucm370952.htm" TargetMode="External"/><Relationship Id="rId1" Type="http://schemas.openxmlformats.org/officeDocument/2006/relationships/hyperlink" Target="http://www.reginfo.gov/public/do/PRAViewICR?ref_nbr=201509-0910-002" TargetMode="External"/><Relationship Id="rId4" Type="http://schemas.openxmlformats.org/officeDocument/2006/relationships/hyperlink" Target="http://www.imshealth.com/deployedfiles/imshealth/Global/Content/Corporate/IMS%20Institute/RUOM-%202013/IHII_Responsible_Use_Medicines_20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2333F-0550-488F-B830-19B7DC058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2918</Words>
  <Characters>16635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FDA  DOCUMENTATION FOR THE GENERIC CLEARANCE</vt:lpstr>
    </vt:vector>
  </TitlesOfParts>
  <Company>US FDA</Company>
  <LinksUpToDate>false</LinksUpToDate>
  <CharactersWithSpaces>19514</CharactersWithSpaces>
  <SharedDoc>false</SharedDoc>
  <HLinks>
    <vt:vector size="42" baseType="variant">
      <vt:variant>
        <vt:i4>3932275</vt:i4>
      </vt:variant>
      <vt:variant>
        <vt:i4>3</vt:i4>
      </vt:variant>
      <vt:variant>
        <vt:i4>0</vt:i4>
      </vt:variant>
      <vt:variant>
        <vt:i4>5</vt:i4>
      </vt:variant>
      <vt:variant>
        <vt:lpwstr>mailto:Lucie.Yang@fda.hhs.gov</vt:lpwstr>
      </vt:variant>
      <vt:variant>
        <vt:lpwstr/>
      </vt:variant>
      <vt:variant>
        <vt:i4>5701652</vt:i4>
      </vt:variant>
      <vt:variant>
        <vt:i4>0</vt:i4>
      </vt:variant>
      <vt:variant>
        <vt:i4>0</vt:i4>
      </vt:variant>
      <vt:variant>
        <vt:i4>5</vt:i4>
      </vt:variant>
      <vt:variant>
        <vt:lpwstr>mailto:Ila.Mizrachi@fda.hhs.gov</vt:lpwstr>
      </vt:variant>
      <vt:variant>
        <vt:lpwstr/>
      </vt:variant>
      <vt:variant>
        <vt:i4>3342392</vt:i4>
      </vt:variant>
      <vt:variant>
        <vt:i4>12</vt:i4>
      </vt:variant>
      <vt:variant>
        <vt:i4>0</vt:i4>
      </vt:variant>
      <vt:variant>
        <vt:i4>5</vt:i4>
      </vt:variant>
      <vt:variant>
        <vt:lpwstr>http://www.silverlink.com/assets/pdfs/silverlinknews/dbn020411.pdf</vt:lpwstr>
      </vt:variant>
      <vt:variant>
        <vt:lpwstr/>
      </vt:variant>
      <vt:variant>
        <vt:i4>3342450</vt:i4>
      </vt:variant>
      <vt:variant>
        <vt:i4>9</vt:i4>
      </vt:variant>
      <vt:variant>
        <vt:i4>0</vt:i4>
      </vt:variant>
      <vt:variant>
        <vt:i4>5</vt:i4>
      </vt:variant>
      <vt:variant>
        <vt:lpwstr>http://www.imshealth.com/deployedfiles/imshealth/Global/Content/Corporate/IMS Institute/RUOM- 2013/IHII_Responsible_Use_Medicines_2013.pdf</vt:lpwstr>
      </vt:variant>
      <vt:variant>
        <vt:lpwstr/>
      </vt:variant>
      <vt:variant>
        <vt:i4>5963878</vt:i4>
      </vt:variant>
      <vt:variant>
        <vt:i4>6</vt:i4>
      </vt:variant>
      <vt:variant>
        <vt:i4>0</vt:i4>
      </vt:variant>
      <vt:variant>
        <vt:i4>5</vt:i4>
      </vt:variant>
      <vt:variant>
        <vt:lpwstr>http://www.ophthalmologymanagement.com/printarticle.aspx?articleID=108618</vt:lpwstr>
      </vt:variant>
      <vt:variant>
        <vt:lpwstr/>
      </vt:variant>
      <vt:variant>
        <vt:i4>4718650</vt:i4>
      </vt:variant>
      <vt:variant>
        <vt:i4>3</vt:i4>
      </vt:variant>
      <vt:variant>
        <vt:i4>0</vt:i4>
      </vt:variant>
      <vt:variant>
        <vt:i4>5</vt:i4>
      </vt:variant>
      <vt:variant>
        <vt:lpwstr>http://www.fda.gov/ForIndustry/UserFees/GenericDrugUserFees/ucm370952.htm</vt:lpwstr>
      </vt:variant>
      <vt:variant>
        <vt:lpwstr/>
      </vt:variant>
      <vt:variant>
        <vt:i4>196610</vt:i4>
      </vt:variant>
      <vt:variant>
        <vt:i4>0</vt:i4>
      </vt:variant>
      <vt:variant>
        <vt:i4>0</vt:i4>
      </vt:variant>
      <vt:variant>
        <vt:i4>5</vt:i4>
      </vt:variant>
      <vt:variant>
        <vt:lpwstr>http://www.reginfo.gov/public/do/PRAViewICR?ref_nbr=201509-0910-002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FDA  DOCUMENTATION FOR THE GENERIC CLEARANCE</dc:title>
  <dc:creator>ila.mizrachi</dc:creator>
  <cp:lastModifiedBy>SYSTEM</cp:lastModifiedBy>
  <cp:revision>2</cp:revision>
  <cp:lastPrinted>2017-11-02T22:46:00Z</cp:lastPrinted>
  <dcterms:created xsi:type="dcterms:W3CDTF">2018-02-26T16:32:00Z</dcterms:created>
  <dcterms:modified xsi:type="dcterms:W3CDTF">2018-02-26T16:32:00Z</dcterms:modified>
</cp:coreProperties>
</file>