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DCA51" w14:textId="77777777" w:rsidR="006A79C8" w:rsidRPr="002015E0" w:rsidRDefault="004C62EA" w:rsidP="00B42D4A">
      <w:pPr>
        <w:pStyle w:val="BodyText"/>
        <w:contextualSpacing/>
        <w:jc w:val="center"/>
        <w:rPr>
          <w:b/>
        </w:rPr>
      </w:pPr>
      <w:bookmarkStart w:id="0" w:name="_GoBack"/>
      <w:bookmarkEnd w:id="0"/>
      <w:r w:rsidRPr="002015E0">
        <w:rPr>
          <w:b/>
        </w:rPr>
        <w:t>SUPPORTING STATEMENT</w:t>
      </w:r>
    </w:p>
    <w:p w14:paraId="7D363537" w14:textId="77777777" w:rsidR="00A06D28" w:rsidRDefault="00A06D28" w:rsidP="00B42D4A">
      <w:pPr>
        <w:contextualSpacing/>
        <w:jc w:val="center"/>
        <w:rPr>
          <w:b/>
          <w:color w:val="222222"/>
          <w:sz w:val="24"/>
          <w:szCs w:val="24"/>
          <w:shd w:val="clear" w:color="auto" w:fill="FFFFFF"/>
        </w:rPr>
      </w:pPr>
      <w:r w:rsidRPr="00A06D28">
        <w:rPr>
          <w:b/>
          <w:color w:val="222222"/>
          <w:sz w:val="24"/>
          <w:szCs w:val="24"/>
          <w:shd w:val="clear" w:color="auto" w:fill="FFFFFF"/>
        </w:rPr>
        <w:t xml:space="preserve">Individual Fishing Quotas for </w:t>
      </w:r>
    </w:p>
    <w:p w14:paraId="39774F61" w14:textId="1B112E9E" w:rsidR="006A79C8" w:rsidRPr="00C56092" w:rsidRDefault="00A06D28" w:rsidP="00B42D4A">
      <w:pPr>
        <w:contextualSpacing/>
        <w:jc w:val="center"/>
        <w:rPr>
          <w:b/>
          <w:color w:val="000000" w:themeColor="text1"/>
          <w:sz w:val="24"/>
          <w:szCs w:val="24"/>
        </w:rPr>
      </w:pPr>
      <w:r w:rsidRPr="00C56092">
        <w:rPr>
          <w:b/>
          <w:color w:val="000000" w:themeColor="text1"/>
          <w:sz w:val="24"/>
          <w:szCs w:val="24"/>
          <w:shd w:val="clear" w:color="auto" w:fill="FFFFFF"/>
        </w:rPr>
        <w:t>Pacific Halibut and Sablefish in the Alaska Fisheries</w:t>
      </w:r>
    </w:p>
    <w:p w14:paraId="312D20CB" w14:textId="36F4987C" w:rsidR="006A79C8" w:rsidRDefault="004C62EA" w:rsidP="00B42D4A">
      <w:pPr>
        <w:contextualSpacing/>
        <w:jc w:val="center"/>
        <w:rPr>
          <w:b/>
          <w:sz w:val="24"/>
        </w:rPr>
      </w:pPr>
      <w:r>
        <w:rPr>
          <w:b/>
          <w:sz w:val="24"/>
        </w:rPr>
        <w:t xml:space="preserve">OMB </w:t>
      </w:r>
      <w:r w:rsidR="00A06D28">
        <w:rPr>
          <w:b/>
          <w:sz w:val="24"/>
        </w:rPr>
        <w:t>Control No</w:t>
      </w:r>
      <w:r>
        <w:rPr>
          <w:b/>
          <w:sz w:val="24"/>
        </w:rPr>
        <w:t>. 0648-0272</w:t>
      </w:r>
    </w:p>
    <w:p w14:paraId="2B4FDC72" w14:textId="77777777" w:rsidR="006A79C8" w:rsidRDefault="006A79C8" w:rsidP="00B42D4A">
      <w:pPr>
        <w:pStyle w:val="BodyText"/>
        <w:contextualSpacing/>
        <w:rPr>
          <w:b/>
          <w:sz w:val="21"/>
        </w:rPr>
      </w:pPr>
    </w:p>
    <w:p w14:paraId="31C8CCF1" w14:textId="0CF9F0A2" w:rsidR="006A79C8" w:rsidRDefault="004C62EA" w:rsidP="00B42D4A">
      <w:pPr>
        <w:pStyle w:val="BodyText"/>
        <w:contextualSpacing/>
      </w:pPr>
      <w:r>
        <w:t xml:space="preserve">This request is for extension of an existing information collection. </w:t>
      </w:r>
    </w:p>
    <w:p w14:paraId="7F6B16FC" w14:textId="77777777" w:rsidR="006A79C8" w:rsidRDefault="006A79C8" w:rsidP="00B42D4A">
      <w:pPr>
        <w:pStyle w:val="BodyText"/>
        <w:contextualSpacing/>
      </w:pPr>
    </w:p>
    <w:p w14:paraId="4A5DAECB" w14:textId="77777777" w:rsidR="006A79C8" w:rsidRDefault="004C62EA" w:rsidP="00B42D4A">
      <w:pPr>
        <w:pStyle w:val="Heading1"/>
        <w:ind w:left="0"/>
        <w:contextualSpacing/>
        <w:rPr>
          <w:u w:val="none"/>
        </w:rPr>
      </w:pPr>
      <w:r w:rsidRPr="00A07218">
        <w:rPr>
          <w:u w:val="none"/>
        </w:rPr>
        <w:t>INTRODUCTION</w:t>
      </w:r>
    </w:p>
    <w:p w14:paraId="0707754C" w14:textId="77777777" w:rsidR="006A79C8" w:rsidRPr="009E79DE" w:rsidRDefault="006A79C8" w:rsidP="00B42D4A">
      <w:pPr>
        <w:pStyle w:val="BodyText"/>
        <w:contextualSpacing/>
        <w:rPr>
          <w:b/>
        </w:rPr>
      </w:pPr>
    </w:p>
    <w:p w14:paraId="442B8607" w14:textId="19897F53" w:rsidR="00D339B9" w:rsidRPr="009E79DE" w:rsidRDefault="00D339B9" w:rsidP="00D339B9">
      <w:pPr>
        <w:adjustRightInd w:val="0"/>
        <w:rPr>
          <w:sz w:val="24"/>
          <w:szCs w:val="24"/>
        </w:rPr>
      </w:pPr>
      <w:r w:rsidRPr="009E79DE">
        <w:rPr>
          <w:sz w:val="24"/>
          <w:szCs w:val="24"/>
        </w:rPr>
        <w:t>The International Pacific Halibut Commission (IPHC) and National Marine Fisheries Service (NMFS) Alaska Region, manage fishing for Pacific halibut (</w:t>
      </w:r>
      <w:r w:rsidRPr="009E79DE">
        <w:rPr>
          <w:i/>
          <w:sz w:val="24"/>
          <w:szCs w:val="24"/>
        </w:rPr>
        <w:t>Hippoglossus stenolepis</w:t>
      </w:r>
      <w:r w:rsidRPr="009E79DE">
        <w:rPr>
          <w:sz w:val="24"/>
          <w:szCs w:val="24"/>
        </w:rPr>
        <w:t xml:space="preserve">) through regulations established under the authority of the </w:t>
      </w:r>
      <w:hyperlink r:id="rId9" w:history="1">
        <w:r w:rsidRPr="009E79DE">
          <w:rPr>
            <w:color w:val="0000FF"/>
            <w:sz w:val="24"/>
            <w:szCs w:val="24"/>
            <w:u w:val="single"/>
          </w:rPr>
          <w:t>Northern Pacific Halibut Act of 1982</w:t>
        </w:r>
      </w:hyperlink>
      <w:r w:rsidRPr="009E79DE">
        <w:rPr>
          <w:sz w:val="24"/>
          <w:szCs w:val="24"/>
        </w:rPr>
        <w:t>.  The IPHC promulgates regulations governing the halibut fishery under the Convention between the United States and Canada for the Preservation of the Halibut Fishery of the Northern Pacific Ocean and Bering Sea</w:t>
      </w:r>
      <w:r w:rsidR="009E79DE" w:rsidRPr="009E79DE">
        <w:rPr>
          <w:sz w:val="24"/>
          <w:szCs w:val="24"/>
        </w:rPr>
        <w:t xml:space="preserve"> (Convention)</w:t>
      </w:r>
      <w:r w:rsidRPr="009E79DE">
        <w:rPr>
          <w:sz w:val="24"/>
          <w:szCs w:val="24"/>
        </w:rPr>
        <w:t>.</w:t>
      </w:r>
      <w:r w:rsidR="009E79DE" w:rsidRPr="009E79DE">
        <w:rPr>
          <w:sz w:val="24"/>
          <w:szCs w:val="24"/>
        </w:rPr>
        <w:t xml:space="preserve"> Regulations pursuant to the Convention are set forth at </w:t>
      </w:r>
      <w:hyperlink r:id="rId10">
        <w:r w:rsidR="009E79DE" w:rsidRPr="009E79DE">
          <w:rPr>
            <w:color w:val="0000FF"/>
            <w:sz w:val="24"/>
            <w:szCs w:val="24"/>
            <w:u w:val="single" w:color="0000FF"/>
          </w:rPr>
          <w:t>50 CFR Subpart E</w:t>
        </w:r>
        <w:r w:rsidR="009E79DE" w:rsidRPr="009E79DE">
          <w:rPr>
            <w:sz w:val="24"/>
            <w:szCs w:val="24"/>
          </w:rPr>
          <w:t>.</w:t>
        </w:r>
      </w:hyperlink>
    </w:p>
    <w:p w14:paraId="54C194D5" w14:textId="77777777" w:rsidR="006A79C8" w:rsidRPr="009E79DE" w:rsidRDefault="006A79C8" w:rsidP="00B42D4A">
      <w:pPr>
        <w:pStyle w:val="BodyText"/>
        <w:contextualSpacing/>
      </w:pPr>
    </w:p>
    <w:p w14:paraId="21778480" w14:textId="5695C80F" w:rsidR="006A79C8" w:rsidRPr="009E79DE" w:rsidRDefault="004C62EA" w:rsidP="00B42D4A">
      <w:pPr>
        <w:pStyle w:val="BodyText"/>
        <w:contextualSpacing/>
      </w:pPr>
      <w:r w:rsidRPr="009E79DE">
        <w:t>The North Pacific Fisher</w:t>
      </w:r>
      <w:r w:rsidR="00F922F3">
        <w:t>y</w:t>
      </w:r>
      <w:r w:rsidRPr="009E79DE">
        <w:t xml:space="preserve"> Management Council (Council), under the authority of the Halibut Act (with respect to Pacific halibut) and the </w:t>
      </w:r>
      <w:hyperlink r:id="rId11">
        <w:r w:rsidRPr="009E79DE">
          <w:rPr>
            <w:color w:val="0000FF"/>
            <w:u w:val="single" w:color="0000FF"/>
          </w:rPr>
          <w:t xml:space="preserve">Magnuson-Stevens </w:t>
        </w:r>
        <w:r w:rsidR="00D339B9" w:rsidRPr="009E79DE">
          <w:rPr>
            <w:color w:val="0000FF"/>
            <w:u w:val="single" w:color="0000FF"/>
          </w:rPr>
          <w:t xml:space="preserve">Fishery </w:t>
        </w:r>
        <w:r w:rsidRPr="009E79DE">
          <w:rPr>
            <w:color w:val="0000FF"/>
            <w:u w:val="single" w:color="0000FF"/>
          </w:rPr>
          <w:t>Conservation</w:t>
        </w:r>
        <w:r w:rsidR="00D339B9" w:rsidRPr="009E79DE">
          <w:rPr>
            <w:color w:val="0000FF"/>
            <w:u w:val="single" w:color="0000FF"/>
          </w:rPr>
          <w:t xml:space="preserve"> and Management</w:t>
        </w:r>
        <w:r w:rsidRPr="009E79DE">
          <w:rPr>
            <w:color w:val="0000FF"/>
            <w:u w:val="single" w:color="0000FF"/>
          </w:rPr>
          <w:t xml:space="preserve"> Act</w:t>
        </w:r>
      </w:hyperlink>
      <w:r w:rsidRPr="009E79DE">
        <w:t xml:space="preserve"> </w:t>
      </w:r>
      <w:r w:rsidR="00F922F3">
        <w:t>(</w:t>
      </w:r>
      <w:r w:rsidRPr="009E79DE">
        <w:t xml:space="preserve">16 U.S.C. 1801 </w:t>
      </w:r>
      <w:r w:rsidRPr="009E79DE">
        <w:rPr>
          <w:i/>
        </w:rPr>
        <w:t>et seq</w:t>
      </w:r>
      <w:r w:rsidRPr="009E79DE">
        <w:t>.</w:t>
      </w:r>
      <w:r w:rsidR="00F922F3">
        <w:t xml:space="preserve">; </w:t>
      </w:r>
      <w:r w:rsidRPr="009E79DE">
        <w:t>Magnuson-Stevens Act) (with respect to sablefish), manages the fixed gear Pacific halibut and sablefish Individual Fishing Quota (IFQ) Program. The IFQ Program provides a limited access system for Pacific halibut in Convention waters in and off Alaska and sablefish fisheries in waters of the Exclusive Economic Zone off Alaska. Fishing under the IFQ Program began on March 15, 1995, ending the open-access fisheries that preceded its implementation.</w:t>
      </w:r>
      <w:r w:rsidR="009E79DE" w:rsidRPr="009E79DE">
        <w:t xml:space="preserve"> </w:t>
      </w:r>
    </w:p>
    <w:p w14:paraId="3C081FCB" w14:textId="77777777" w:rsidR="008354B4" w:rsidRPr="009E79DE" w:rsidRDefault="008354B4" w:rsidP="002E3E38">
      <w:pPr>
        <w:pStyle w:val="BodyText"/>
      </w:pPr>
    </w:p>
    <w:p w14:paraId="6C8BE8AB" w14:textId="031D91A1" w:rsidR="006A79C8" w:rsidRDefault="00F12A75" w:rsidP="002E3E38">
      <w:pPr>
        <w:pStyle w:val="BodyText"/>
      </w:pPr>
      <w:r w:rsidRPr="00F12A75">
        <w:t xml:space="preserve">NMFS and the Council developed the IFQ Program to reduce fishing capacity that had increased during years of management as an open-access fishery. The IFQ Program provides coastal Alaska communities a source of revenue, while maintaining the social and economic character of </w:t>
      </w:r>
      <w:r>
        <w:t xml:space="preserve">the </w:t>
      </w:r>
      <w:r w:rsidRPr="00F12A75">
        <w:t xml:space="preserve">fixed-gear sablefish and halibut fisheries. The IFQ Program provides economic stability for </w:t>
      </w:r>
      <w:r>
        <w:t>these fisheries</w:t>
      </w:r>
      <w:r w:rsidRPr="00F12A75">
        <w:t xml:space="preserve"> while reducing many of the conservation and management problems commonly associated with open-access fisheries.</w:t>
      </w:r>
      <w:r>
        <w:t xml:space="preserve"> </w:t>
      </w:r>
      <w:r w:rsidR="004C62EA">
        <w:t>The IFQ Program includes several provisions, such as ownership caps and vessel use caps that protect small producers, part-time participants, and entry-level participants that otherwise could be adversely affected by excessive consolidation.</w:t>
      </w:r>
    </w:p>
    <w:p w14:paraId="4E69E2DA" w14:textId="77777777" w:rsidR="006A79C8" w:rsidRDefault="006A79C8" w:rsidP="00B42D4A">
      <w:pPr>
        <w:pStyle w:val="BodyText"/>
        <w:contextualSpacing/>
      </w:pPr>
    </w:p>
    <w:p w14:paraId="4F30B36A" w14:textId="77777777" w:rsidR="006A79C8" w:rsidRDefault="004C62EA" w:rsidP="00B42D4A">
      <w:pPr>
        <w:pStyle w:val="BodyText"/>
        <w:contextualSpacing/>
      </w:pPr>
      <w:r>
        <w:t>The IFQ Program provides each fisherman an IFQ that can be used any time during the open season to allow each fisherman to set his</w:t>
      </w:r>
      <w:r w:rsidR="004A12E7">
        <w:t xml:space="preserve"> or </w:t>
      </w:r>
      <w:r>
        <w:t>her own pace and fishing effort. Fishermen may harvest the IFQ over the entire fishing season, which extends approximately from March through November</w:t>
      </w:r>
      <w:r>
        <w:rPr>
          <w:spacing w:val="-2"/>
        </w:rPr>
        <w:t xml:space="preserve"> </w:t>
      </w:r>
      <w:r>
        <w:t>15.</w:t>
      </w:r>
    </w:p>
    <w:p w14:paraId="354895A8" w14:textId="77777777" w:rsidR="00E40B19" w:rsidRDefault="00E40B19" w:rsidP="00B42D4A">
      <w:pPr>
        <w:pStyle w:val="BodyText"/>
        <w:contextualSpacing/>
      </w:pPr>
    </w:p>
    <w:p w14:paraId="52CF1C2F" w14:textId="7757D917" w:rsidR="00E40B19" w:rsidRDefault="00E40B19" w:rsidP="00E40B19">
      <w:pPr>
        <w:pStyle w:val="BodyText"/>
        <w:contextualSpacing/>
      </w:pPr>
      <w:r w:rsidDel="008354B4">
        <w:t>An IFQ permit authorizes participation in fixed-gear harvests of Pacific halibut off Alaska and most sablefish fisheries off Alaska. The IFQ is not specific to vessels and is issued annually to persons holding fishable Pacific halibut and sablefish quota share (QS).</w:t>
      </w:r>
    </w:p>
    <w:p w14:paraId="00304431" w14:textId="77777777" w:rsidR="00285746" w:rsidDel="008354B4" w:rsidRDefault="00285746" w:rsidP="00E40B19">
      <w:pPr>
        <w:pStyle w:val="BodyText"/>
        <w:contextualSpacing/>
      </w:pPr>
    </w:p>
    <w:p w14:paraId="1A5FCAC4" w14:textId="10E6E214" w:rsidR="006A79C8" w:rsidRDefault="00E40B19" w:rsidP="00E40B19">
      <w:pPr>
        <w:pStyle w:val="BodyText"/>
        <w:contextualSpacing/>
      </w:pPr>
      <w:r w:rsidDel="008354B4">
        <w:t xml:space="preserve">NMFS initially issued QS to persons who owned or leased vessels that made legal commercial </w:t>
      </w:r>
      <w:r w:rsidRPr="002C7C05" w:rsidDel="008354B4">
        <w:t>fixed-gear landings of Pacific halibut or sablefish during 1988, 1989, or 1990 off Alaska.</w:t>
      </w:r>
      <w:r w:rsidDel="008354B4">
        <w:t xml:space="preserve"> Currently, QS may only be obtained through transfer.</w:t>
      </w:r>
    </w:p>
    <w:p w14:paraId="047BD6C9" w14:textId="77777777" w:rsidR="007A63DC" w:rsidRDefault="007A63DC" w:rsidP="00E40B19">
      <w:pPr>
        <w:pStyle w:val="BodyText"/>
        <w:contextualSpacing/>
      </w:pPr>
    </w:p>
    <w:p w14:paraId="2FEEE2E4" w14:textId="77777777" w:rsidR="008F3C8F" w:rsidRDefault="008F3C8F" w:rsidP="005E4D53">
      <w:pPr>
        <w:pStyle w:val="BodyText"/>
        <w:widowControl/>
        <w:contextualSpacing/>
      </w:pPr>
      <w:r>
        <w:t xml:space="preserve">More information on the IFQ Program can be found on the </w:t>
      </w:r>
      <w:hyperlink r:id="rId12" w:history="1">
        <w:r w:rsidRPr="008F3C8F">
          <w:rPr>
            <w:rStyle w:val="Hyperlink"/>
          </w:rPr>
          <w:t>NMFS Alaska Region website</w:t>
        </w:r>
      </w:hyperlink>
      <w:r>
        <w:t xml:space="preserve">. </w:t>
      </w:r>
      <w:r>
        <w:rPr>
          <w:rStyle w:val="FootnoteReference"/>
        </w:rPr>
        <w:footnoteReference w:id="1"/>
      </w:r>
    </w:p>
    <w:p w14:paraId="7A830A22" w14:textId="77777777" w:rsidR="00420308" w:rsidRDefault="00420308" w:rsidP="005E4D53">
      <w:pPr>
        <w:pStyle w:val="BodyText"/>
        <w:contextualSpacing/>
      </w:pPr>
    </w:p>
    <w:p w14:paraId="1028BB3B" w14:textId="77777777" w:rsidR="006A79C8" w:rsidRPr="007E67C1" w:rsidRDefault="004C62EA" w:rsidP="00DD4578">
      <w:pPr>
        <w:pStyle w:val="Heading1"/>
        <w:numPr>
          <w:ilvl w:val="0"/>
          <w:numId w:val="2"/>
        </w:numPr>
        <w:tabs>
          <w:tab w:val="left" w:pos="1799"/>
          <w:tab w:val="left" w:pos="1800"/>
        </w:tabs>
        <w:ind w:left="720"/>
        <w:contextualSpacing/>
        <w:rPr>
          <w:u w:val="none"/>
        </w:rPr>
      </w:pPr>
      <w:r w:rsidRPr="007E67C1">
        <w:rPr>
          <w:u w:val="none"/>
        </w:rPr>
        <w:t>JUSTIFICATION</w:t>
      </w:r>
    </w:p>
    <w:p w14:paraId="05A38A19" w14:textId="77777777" w:rsidR="006A79C8" w:rsidRDefault="006A79C8" w:rsidP="005E4D53">
      <w:pPr>
        <w:pStyle w:val="BodyText"/>
        <w:contextualSpacing/>
        <w:rPr>
          <w:b/>
        </w:rPr>
      </w:pPr>
    </w:p>
    <w:p w14:paraId="6DF59561" w14:textId="77777777" w:rsidR="006A79C8" w:rsidRPr="00741D7E" w:rsidRDefault="004C62EA" w:rsidP="00DD4578">
      <w:pPr>
        <w:pStyle w:val="ListParagraph"/>
        <w:numPr>
          <w:ilvl w:val="0"/>
          <w:numId w:val="1"/>
        </w:numPr>
        <w:tabs>
          <w:tab w:val="left" w:pos="360"/>
        </w:tabs>
        <w:ind w:left="0" w:firstLine="0"/>
        <w:contextualSpacing/>
        <w:rPr>
          <w:b/>
          <w:sz w:val="24"/>
        </w:rPr>
      </w:pPr>
      <w:r w:rsidRPr="00741D7E">
        <w:rPr>
          <w:b/>
          <w:sz w:val="24"/>
          <w:u w:val="thick"/>
        </w:rPr>
        <w:t>Explain the circumstances that make the collection of information</w:t>
      </w:r>
      <w:r w:rsidRPr="00741D7E">
        <w:rPr>
          <w:b/>
          <w:spacing w:val="-5"/>
          <w:sz w:val="24"/>
          <w:u w:val="thick"/>
        </w:rPr>
        <w:t xml:space="preserve"> </w:t>
      </w:r>
      <w:r w:rsidRPr="00741D7E">
        <w:rPr>
          <w:b/>
          <w:sz w:val="24"/>
          <w:u w:val="thick"/>
        </w:rPr>
        <w:t>necessary.</w:t>
      </w:r>
    </w:p>
    <w:p w14:paraId="0170A234" w14:textId="77777777" w:rsidR="006A79C8" w:rsidRDefault="006A79C8" w:rsidP="005E4D53">
      <w:pPr>
        <w:pStyle w:val="BodyText"/>
        <w:contextualSpacing/>
        <w:rPr>
          <w:b/>
          <w:sz w:val="15"/>
        </w:rPr>
      </w:pPr>
    </w:p>
    <w:p w14:paraId="62382EB7" w14:textId="77777777" w:rsidR="009E79DE" w:rsidRDefault="009E79DE" w:rsidP="009E79DE">
      <w:pPr>
        <w:pStyle w:val="BodyText"/>
      </w:pPr>
      <w:r>
        <w:t xml:space="preserve">NMFS Alaska Region administers the IFQ Program. Regulations implementing the IFQ Program are set forth at </w:t>
      </w:r>
      <w:r>
        <w:rPr>
          <w:color w:val="0000FF"/>
          <w:u w:val="single" w:color="0000FF"/>
        </w:rPr>
        <w:t>50</w:t>
      </w:r>
      <w:r>
        <w:rPr>
          <w:color w:val="0000FF"/>
        </w:rPr>
        <w:t xml:space="preserve"> </w:t>
      </w:r>
      <w:r>
        <w:rPr>
          <w:color w:val="0000FF"/>
          <w:u w:val="single" w:color="0000FF"/>
        </w:rPr>
        <w:t>CFR part 679</w:t>
      </w:r>
      <w:r>
        <w:t xml:space="preserve">. </w:t>
      </w:r>
    </w:p>
    <w:p w14:paraId="2A6569DC" w14:textId="77777777" w:rsidR="009E79DE" w:rsidRDefault="009E79DE" w:rsidP="00E40B19">
      <w:pPr>
        <w:pStyle w:val="BodyText"/>
        <w:widowControl/>
        <w:contextualSpacing/>
      </w:pPr>
    </w:p>
    <w:p w14:paraId="19FFF43C" w14:textId="4C307634" w:rsidR="00E40B19" w:rsidDel="008354B4" w:rsidRDefault="00E40B19" w:rsidP="00E40B19">
      <w:pPr>
        <w:pStyle w:val="BodyText"/>
        <w:widowControl/>
        <w:contextualSpacing/>
      </w:pPr>
      <w:r>
        <w:t xml:space="preserve">This information collection is necessary to manage the IFQ Program. The information collected is </w:t>
      </w:r>
      <w:r w:rsidR="00E536E7">
        <w:t>used</w:t>
      </w:r>
      <w:r>
        <w:t xml:space="preserve"> to identify and authorize participants in the halibut and sablefish fisheries, to track and transfer quota share, to limit transfers to authorized participants, and to monitor quota share balances and harvest in these fisheries.</w:t>
      </w:r>
    </w:p>
    <w:p w14:paraId="3F14805A" w14:textId="77777777" w:rsidR="00E40B19" w:rsidRDefault="00E40B19" w:rsidP="00C94C05">
      <w:pPr>
        <w:pStyle w:val="BodyText"/>
        <w:widowControl/>
        <w:contextualSpacing/>
      </w:pPr>
    </w:p>
    <w:p w14:paraId="22302C7F" w14:textId="64F6355F" w:rsidR="000D7FE6" w:rsidRPr="003B2819" w:rsidRDefault="004E46AC" w:rsidP="005E4D53">
      <w:pPr>
        <w:pStyle w:val="BodyText"/>
        <w:contextualSpacing/>
        <w:rPr>
          <w:b/>
        </w:rPr>
      </w:pPr>
      <w:r w:rsidRPr="003B2819">
        <w:rPr>
          <w:b/>
        </w:rPr>
        <w:t xml:space="preserve">2. </w:t>
      </w:r>
      <w:r w:rsidR="003B2819" w:rsidRPr="003B2819">
        <w:rPr>
          <w:b/>
        </w:rPr>
        <w:t xml:space="preserve"> </w:t>
      </w:r>
      <w:r w:rsidRPr="000737CC">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546A66B6" w14:textId="77777777" w:rsidR="003B2819" w:rsidRDefault="003B2819" w:rsidP="005E4D53">
      <w:pPr>
        <w:pStyle w:val="BodyText"/>
        <w:contextualSpacing/>
      </w:pPr>
    </w:p>
    <w:p w14:paraId="2D27D6DC" w14:textId="5F4FD7C9" w:rsidR="000D7FE6" w:rsidRPr="000D7FE6" w:rsidRDefault="000D7FE6" w:rsidP="000D7FE6">
      <w:pPr>
        <w:autoSpaceDE/>
        <w:autoSpaceDN/>
        <w:rPr>
          <w:sz w:val="24"/>
          <w:szCs w:val="24"/>
        </w:rPr>
      </w:pPr>
      <w:r w:rsidRPr="000D7FE6">
        <w:rPr>
          <w:sz w:val="24"/>
          <w:szCs w:val="24"/>
        </w:rPr>
        <w:t xml:space="preserve">This information collection contains the </w:t>
      </w:r>
      <w:r w:rsidR="0020110F">
        <w:rPr>
          <w:sz w:val="24"/>
          <w:szCs w:val="24"/>
        </w:rPr>
        <w:t>elements</w:t>
      </w:r>
      <w:r w:rsidRPr="000D7FE6">
        <w:rPr>
          <w:sz w:val="24"/>
          <w:szCs w:val="24"/>
        </w:rPr>
        <w:t xml:space="preserve"> listed in the following table.</w:t>
      </w:r>
    </w:p>
    <w:p w14:paraId="6C6A7DC7" w14:textId="77777777" w:rsidR="000D7FE6" w:rsidRPr="000D7FE6" w:rsidRDefault="000D7FE6" w:rsidP="000D7FE6">
      <w:pPr>
        <w:autoSpaceDE/>
        <w:autoSpaceDN/>
        <w:rPr>
          <w:sz w:val="24"/>
          <w:szCs w:val="24"/>
        </w:rPr>
      </w:pPr>
    </w:p>
    <w:tbl>
      <w:tblPr>
        <w:tblW w:w="9000" w:type="dxa"/>
        <w:tblInd w:w="96" w:type="dxa"/>
        <w:tblLayout w:type="fixed"/>
        <w:tblCellMar>
          <w:left w:w="0" w:type="dxa"/>
          <w:right w:w="0" w:type="dxa"/>
        </w:tblCellMar>
        <w:tblLook w:val="01E0" w:firstRow="1" w:lastRow="1" w:firstColumn="1" w:lastColumn="1" w:noHBand="0" w:noVBand="0"/>
      </w:tblPr>
      <w:tblGrid>
        <w:gridCol w:w="6480"/>
        <w:gridCol w:w="2520"/>
      </w:tblGrid>
      <w:tr w:rsidR="000D7FE6" w:rsidRPr="000D7FE6" w14:paraId="4ACE0D1E" w14:textId="77777777" w:rsidTr="007A63DC">
        <w:trPr>
          <w:trHeight w:hRule="exact" w:val="534"/>
        </w:trPr>
        <w:tc>
          <w:tcPr>
            <w:tcW w:w="6480" w:type="dxa"/>
            <w:tcBorders>
              <w:top w:val="single" w:sz="5" w:space="0" w:color="000000"/>
              <w:left w:val="single" w:sz="5" w:space="0" w:color="000000"/>
              <w:bottom w:val="single" w:sz="5" w:space="0" w:color="000000"/>
              <w:right w:val="single" w:sz="5" w:space="0" w:color="000000"/>
            </w:tcBorders>
            <w:vAlign w:val="center"/>
          </w:tcPr>
          <w:p w14:paraId="4C681C8D" w14:textId="19972868" w:rsidR="000D7FE6" w:rsidRPr="000D7FE6" w:rsidRDefault="001E68CE" w:rsidP="000D7FE6">
            <w:pPr>
              <w:autoSpaceDE/>
              <w:autoSpaceDN/>
              <w:jc w:val="center"/>
            </w:pPr>
            <w:r>
              <w:rPr>
                <w:rFonts w:eastAsia="Calibri" w:hAnsi="Calibri"/>
                <w:b/>
              </w:rPr>
              <w:t>Name of Form or Report</w:t>
            </w:r>
          </w:p>
        </w:tc>
        <w:tc>
          <w:tcPr>
            <w:tcW w:w="2520" w:type="dxa"/>
            <w:tcBorders>
              <w:top w:val="single" w:sz="5" w:space="0" w:color="000000"/>
              <w:left w:val="single" w:sz="5" w:space="0" w:color="000000"/>
              <w:bottom w:val="single" w:sz="5" w:space="0" w:color="000000"/>
              <w:right w:val="single" w:sz="5" w:space="0" w:color="000000"/>
            </w:tcBorders>
            <w:vAlign w:val="center"/>
          </w:tcPr>
          <w:p w14:paraId="511C1E5F" w14:textId="77777777" w:rsidR="000D7FE6" w:rsidRPr="000D7FE6" w:rsidRDefault="000D7FE6" w:rsidP="000D7FE6">
            <w:pPr>
              <w:autoSpaceDE/>
              <w:autoSpaceDN/>
              <w:ind w:hanging="257"/>
              <w:jc w:val="center"/>
              <w:rPr>
                <w:rFonts w:eastAsia="Calibri" w:hAnsi="Calibri"/>
                <w:b/>
              </w:rPr>
            </w:pPr>
            <w:r w:rsidRPr="000D7FE6">
              <w:rPr>
                <w:rFonts w:eastAsia="Calibri" w:hAnsi="Calibri"/>
                <w:b/>
              </w:rPr>
              <w:t>Regulations</w:t>
            </w:r>
          </w:p>
          <w:p w14:paraId="3EC5F17D" w14:textId="77777777" w:rsidR="000D7FE6" w:rsidRPr="000D7FE6" w:rsidRDefault="000D7FE6" w:rsidP="000D7FE6">
            <w:pPr>
              <w:autoSpaceDE/>
              <w:autoSpaceDN/>
              <w:ind w:hanging="257"/>
              <w:jc w:val="center"/>
            </w:pPr>
            <w:r w:rsidRPr="000D7FE6">
              <w:rPr>
                <w:rFonts w:eastAsia="Calibri" w:hAnsi="Calibri"/>
                <w:b/>
              </w:rPr>
              <w:t xml:space="preserve">50 CFR part </w:t>
            </w:r>
            <w:r>
              <w:rPr>
                <w:rFonts w:eastAsia="Calibri" w:hAnsi="Calibri"/>
                <w:b/>
              </w:rPr>
              <w:t>679</w:t>
            </w:r>
          </w:p>
        </w:tc>
      </w:tr>
      <w:tr w:rsidR="000D7FE6" w:rsidRPr="000D7FE6" w14:paraId="6FA58DAB"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5DDA2764" w14:textId="77777777" w:rsidR="000D7FE6" w:rsidRPr="000D7FE6" w:rsidRDefault="00DC5BB7" w:rsidP="000D7FE6">
            <w:pPr>
              <w:autoSpaceDE/>
              <w:autoSpaceDN/>
              <w:ind w:left="144"/>
              <w:jc w:val="center"/>
              <w:rPr>
                <w:rFonts w:eastAsia="Calibri"/>
              </w:rPr>
            </w:pPr>
            <w:r w:rsidRPr="00DC5BB7">
              <w:rPr>
                <w:rFonts w:eastAsia="Calibri"/>
              </w:rPr>
              <w:t>Application for Eligibility to Receive QS/IFQ by Transfer</w:t>
            </w:r>
          </w:p>
        </w:tc>
        <w:tc>
          <w:tcPr>
            <w:tcW w:w="2520" w:type="dxa"/>
            <w:tcBorders>
              <w:top w:val="single" w:sz="5" w:space="0" w:color="000000"/>
              <w:left w:val="single" w:sz="5" w:space="0" w:color="000000"/>
              <w:bottom w:val="single" w:sz="5" w:space="0" w:color="000000"/>
              <w:right w:val="single" w:sz="5" w:space="0" w:color="000000"/>
            </w:tcBorders>
            <w:vAlign w:val="center"/>
          </w:tcPr>
          <w:p w14:paraId="15260BF6" w14:textId="77777777" w:rsidR="000D7FE6" w:rsidRPr="000D7FE6" w:rsidRDefault="006E10AC" w:rsidP="000D7FE6">
            <w:pPr>
              <w:autoSpaceDE/>
              <w:autoSpaceDN/>
              <w:ind w:left="144"/>
              <w:jc w:val="center"/>
              <w:rPr>
                <w:rFonts w:eastAsia="Calibri"/>
              </w:rPr>
            </w:pPr>
            <w:r>
              <w:rPr>
                <w:rFonts w:eastAsia="Calibri"/>
              </w:rPr>
              <w:t>§ 679.41(d)</w:t>
            </w:r>
          </w:p>
        </w:tc>
      </w:tr>
      <w:tr w:rsidR="000D7FE6" w:rsidRPr="000D7FE6" w14:paraId="2C2F94D0"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D38C6E4" w14:textId="77777777" w:rsidR="000D7FE6" w:rsidRPr="000D7FE6" w:rsidRDefault="00E50A1C" w:rsidP="000D7FE6">
            <w:pPr>
              <w:autoSpaceDE/>
              <w:autoSpaceDN/>
              <w:ind w:left="144"/>
              <w:jc w:val="center"/>
              <w:rPr>
                <w:rFonts w:eastAsia="Calibri"/>
              </w:rPr>
            </w:pPr>
            <w:r w:rsidRPr="00E50A1C">
              <w:rPr>
                <w:rFonts w:eastAsia="Calibri"/>
              </w:rPr>
              <w:t>Quota Share (QS) Holder: Identification of Ownership Interest</w:t>
            </w:r>
          </w:p>
        </w:tc>
        <w:tc>
          <w:tcPr>
            <w:tcW w:w="2520" w:type="dxa"/>
            <w:tcBorders>
              <w:top w:val="single" w:sz="5" w:space="0" w:color="000000"/>
              <w:left w:val="single" w:sz="5" w:space="0" w:color="000000"/>
              <w:bottom w:val="single" w:sz="5" w:space="0" w:color="000000"/>
              <w:right w:val="single" w:sz="5" w:space="0" w:color="000000"/>
            </w:tcBorders>
            <w:vAlign w:val="center"/>
          </w:tcPr>
          <w:p w14:paraId="4632F6B7" w14:textId="77777777" w:rsidR="000D7FE6" w:rsidRPr="000D7FE6" w:rsidRDefault="00A73DCD" w:rsidP="000D7FE6">
            <w:pPr>
              <w:autoSpaceDE/>
              <w:autoSpaceDN/>
              <w:ind w:left="144"/>
              <w:jc w:val="center"/>
              <w:rPr>
                <w:rFonts w:eastAsia="Calibri"/>
              </w:rPr>
            </w:pPr>
            <w:r>
              <w:rPr>
                <w:rFonts w:eastAsia="Calibri"/>
              </w:rPr>
              <w:t>§ 679.42</w:t>
            </w:r>
          </w:p>
        </w:tc>
      </w:tr>
      <w:tr w:rsidR="00D6648E" w:rsidRPr="000D7FE6" w14:paraId="085CA73C"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86CAA3B" w14:textId="77777777" w:rsidR="00D6648E" w:rsidRDefault="00E802AF" w:rsidP="00E802AF">
            <w:pPr>
              <w:autoSpaceDE/>
              <w:autoSpaceDN/>
              <w:ind w:left="144"/>
              <w:jc w:val="center"/>
            </w:pPr>
            <w:r w:rsidRPr="00E802AF">
              <w:t xml:space="preserve">Application for IFQ/CDQ </w:t>
            </w:r>
            <w:r>
              <w:t>H</w:t>
            </w:r>
            <w:r w:rsidRPr="00E802AF">
              <w:t xml:space="preserve">ired </w:t>
            </w:r>
            <w:r>
              <w:t>M</w:t>
            </w:r>
            <w:r w:rsidRPr="00E802AF">
              <w:t xml:space="preserve">aster </w:t>
            </w:r>
            <w:r>
              <w:t>P</w:t>
            </w:r>
            <w:r w:rsidRPr="00E802AF">
              <w:t>ermit</w:t>
            </w:r>
          </w:p>
        </w:tc>
        <w:tc>
          <w:tcPr>
            <w:tcW w:w="2520" w:type="dxa"/>
            <w:tcBorders>
              <w:top w:val="single" w:sz="5" w:space="0" w:color="000000"/>
              <w:left w:val="single" w:sz="5" w:space="0" w:color="000000"/>
              <w:bottom w:val="single" w:sz="5" w:space="0" w:color="000000"/>
              <w:right w:val="single" w:sz="5" w:space="0" w:color="000000"/>
            </w:tcBorders>
            <w:vAlign w:val="center"/>
          </w:tcPr>
          <w:p w14:paraId="3BCB7BE4" w14:textId="77777777" w:rsidR="00D6648E" w:rsidRDefault="00E802AF" w:rsidP="000D7FE6">
            <w:pPr>
              <w:autoSpaceDE/>
              <w:autoSpaceDN/>
              <w:jc w:val="center"/>
            </w:pPr>
            <w:r w:rsidRPr="00E802AF">
              <w:t>679.4(d)(2) and (e)</w:t>
            </w:r>
          </w:p>
        </w:tc>
      </w:tr>
      <w:tr w:rsidR="00D6648E" w:rsidRPr="000D7FE6" w14:paraId="62CF5447"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65884E42" w14:textId="77777777" w:rsidR="00D6648E" w:rsidRDefault="00D6648E" w:rsidP="000D7FE6">
            <w:pPr>
              <w:autoSpaceDE/>
              <w:autoSpaceDN/>
              <w:ind w:left="144"/>
              <w:jc w:val="center"/>
            </w:pPr>
            <w:r w:rsidRPr="00D6648E">
              <w:t>Application for IFQ/CDQ Registered Buyer Permit</w:t>
            </w:r>
          </w:p>
        </w:tc>
        <w:tc>
          <w:tcPr>
            <w:tcW w:w="2520" w:type="dxa"/>
            <w:tcBorders>
              <w:top w:val="single" w:sz="5" w:space="0" w:color="000000"/>
              <w:left w:val="single" w:sz="5" w:space="0" w:color="000000"/>
              <w:bottom w:val="single" w:sz="5" w:space="0" w:color="000000"/>
              <w:right w:val="single" w:sz="5" w:space="0" w:color="000000"/>
            </w:tcBorders>
            <w:vAlign w:val="center"/>
          </w:tcPr>
          <w:p w14:paraId="392F3349" w14:textId="77777777" w:rsidR="00D6648E" w:rsidRDefault="00D6648E" w:rsidP="000D7FE6">
            <w:pPr>
              <w:autoSpaceDE/>
              <w:autoSpaceDN/>
              <w:jc w:val="center"/>
            </w:pPr>
            <w:r>
              <w:t>§ 679.4(d)(3)</w:t>
            </w:r>
          </w:p>
        </w:tc>
      </w:tr>
      <w:tr w:rsidR="00D6648E" w:rsidRPr="000D7FE6" w14:paraId="1B3DEA4F"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46E1230D" w14:textId="77777777" w:rsidR="00D6648E" w:rsidRDefault="008B532B" w:rsidP="000D7FE6">
            <w:pPr>
              <w:autoSpaceDE/>
              <w:autoSpaceDN/>
              <w:ind w:left="144"/>
              <w:jc w:val="center"/>
            </w:pPr>
            <w:r w:rsidRPr="008B532B">
              <w:t>QS/IFQ Beneficiary Designation Form</w:t>
            </w:r>
          </w:p>
        </w:tc>
        <w:tc>
          <w:tcPr>
            <w:tcW w:w="2520" w:type="dxa"/>
            <w:tcBorders>
              <w:top w:val="single" w:sz="5" w:space="0" w:color="000000"/>
              <w:left w:val="single" w:sz="5" w:space="0" w:color="000000"/>
              <w:bottom w:val="single" w:sz="5" w:space="0" w:color="000000"/>
              <w:right w:val="single" w:sz="5" w:space="0" w:color="000000"/>
            </w:tcBorders>
            <w:vAlign w:val="center"/>
          </w:tcPr>
          <w:p w14:paraId="460A7BD8" w14:textId="77777777" w:rsidR="00D6648E" w:rsidRDefault="008B532B" w:rsidP="000D7FE6">
            <w:pPr>
              <w:autoSpaceDE/>
              <w:autoSpaceDN/>
              <w:jc w:val="center"/>
            </w:pPr>
            <w:r>
              <w:t>§ 679.41(k)</w:t>
            </w:r>
          </w:p>
        </w:tc>
      </w:tr>
      <w:tr w:rsidR="00D6648E" w:rsidRPr="000D7FE6" w14:paraId="19220042"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1528E33" w14:textId="77777777" w:rsidR="00D6648E" w:rsidRDefault="005A25FE" w:rsidP="000D7FE6">
            <w:pPr>
              <w:autoSpaceDE/>
              <w:autoSpaceDN/>
              <w:ind w:left="144"/>
              <w:jc w:val="center"/>
            </w:pPr>
            <w:r w:rsidRPr="005A25FE">
              <w:t>Application for Transfer of QS/IFQ (includes transfer by sweep-up</w:t>
            </w:r>
            <w:r>
              <w:t>)</w:t>
            </w:r>
          </w:p>
        </w:tc>
        <w:tc>
          <w:tcPr>
            <w:tcW w:w="2520" w:type="dxa"/>
            <w:tcBorders>
              <w:top w:val="single" w:sz="5" w:space="0" w:color="000000"/>
              <w:left w:val="single" w:sz="5" w:space="0" w:color="000000"/>
              <w:bottom w:val="single" w:sz="5" w:space="0" w:color="000000"/>
              <w:right w:val="single" w:sz="5" w:space="0" w:color="000000"/>
            </w:tcBorders>
            <w:vAlign w:val="center"/>
          </w:tcPr>
          <w:p w14:paraId="47260887" w14:textId="77777777" w:rsidR="00D6648E" w:rsidRDefault="00894732" w:rsidP="000D7FE6">
            <w:pPr>
              <w:autoSpaceDE/>
              <w:autoSpaceDN/>
              <w:jc w:val="center"/>
            </w:pPr>
            <w:r w:rsidRPr="00894732">
              <w:t>§ 679.41(b)and (c)</w:t>
            </w:r>
          </w:p>
        </w:tc>
      </w:tr>
      <w:tr w:rsidR="005A25FE" w:rsidRPr="000D7FE6" w14:paraId="7C17D523"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487095F4" w14:textId="77777777" w:rsidR="005A25FE" w:rsidRDefault="004C6D9B" w:rsidP="000D7FE6">
            <w:pPr>
              <w:autoSpaceDE/>
              <w:autoSpaceDN/>
              <w:ind w:left="144"/>
              <w:jc w:val="center"/>
            </w:pPr>
            <w:r w:rsidRPr="004C6D9B">
              <w:t>Temporary Military Transfer of IFQ</w:t>
            </w:r>
          </w:p>
        </w:tc>
        <w:tc>
          <w:tcPr>
            <w:tcW w:w="2520" w:type="dxa"/>
            <w:tcBorders>
              <w:top w:val="single" w:sz="5" w:space="0" w:color="000000"/>
              <w:left w:val="single" w:sz="5" w:space="0" w:color="000000"/>
              <w:bottom w:val="single" w:sz="5" w:space="0" w:color="000000"/>
              <w:right w:val="single" w:sz="5" w:space="0" w:color="000000"/>
            </w:tcBorders>
            <w:vAlign w:val="center"/>
          </w:tcPr>
          <w:p w14:paraId="22359167" w14:textId="77777777" w:rsidR="005A25FE" w:rsidRDefault="008E0AA4" w:rsidP="000D7FE6">
            <w:pPr>
              <w:autoSpaceDE/>
              <w:autoSpaceDN/>
              <w:jc w:val="center"/>
            </w:pPr>
            <w:r>
              <w:t xml:space="preserve">§ </w:t>
            </w:r>
            <w:r w:rsidR="003E3BA0" w:rsidRPr="003E3BA0">
              <w:t>679.41(m)</w:t>
            </w:r>
          </w:p>
        </w:tc>
      </w:tr>
      <w:tr w:rsidR="000D7FE6" w:rsidRPr="000D7FE6" w14:paraId="59AC2144"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9588CD0" w14:textId="77777777" w:rsidR="000D7FE6" w:rsidRPr="000D7FE6" w:rsidRDefault="00DC310E" w:rsidP="000D7FE6">
            <w:pPr>
              <w:autoSpaceDE/>
              <w:autoSpaceDN/>
              <w:ind w:left="144"/>
              <w:jc w:val="center"/>
            </w:pPr>
            <w:r>
              <w:t>Application for Medical Transfer</w:t>
            </w:r>
          </w:p>
        </w:tc>
        <w:tc>
          <w:tcPr>
            <w:tcW w:w="2520" w:type="dxa"/>
            <w:tcBorders>
              <w:top w:val="single" w:sz="5" w:space="0" w:color="000000"/>
              <w:left w:val="single" w:sz="5" w:space="0" w:color="000000"/>
              <w:bottom w:val="single" w:sz="5" w:space="0" w:color="000000"/>
              <w:right w:val="single" w:sz="5" w:space="0" w:color="000000"/>
            </w:tcBorders>
            <w:vAlign w:val="center"/>
          </w:tcPr>
          <w:p w14:paraId="151ECD06" w14:textId="77777777" w:rsidR="000D7FE6" w:rsidRPr="000D7FE6" w:rsidRDefault="00DC310E" w:rsidP="000D7FE6">
            <w:pPr>
              <w:autoSpaceDE/>
              <w:autoSpaceDN/>
              <w:jc w:val="center"/>
            </w:pPr>
            <w:r>
              <w:t>§ 679.42(d)(2)</w:t>
            </w:r>
          </w:p>
        </w:tc>
      </w:tr>
      <w:tr w:rsidR="004C6D9B" w:rsidRPr="000D7FE6" w14:paraId="48B5F06C"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B850F7C" w14:textId="77777777" w:rsidR="004C6D9B" w:rsidRDefault="003E3BA0" w:rsidP="000D7FE6">
            <w:pPr>
              <w:autoSpaceDE/>
              <w:autoSpaceDN/>
              <w:ind w:left="144"/>
              <w:jc w:val="center"/>
              <w:rPr>
                <w:rFonts w:eastAsia="Calibri"/>
              </w:rPr>
            </w:pPr>
            <w:r w:rsidRPr="003E3BA0">
              <w:rPr>
                <w:rFonts w:eastAsia="Calibri"/>
              </w:rPr>
              <w:t>Application for Replacement of Certificates or Permits</w:t>
            </w:r>
          </w:p>
        </w:tc>
        <w:tc>
          <w:tcPr>
            <w:tcW w:w="2520" w:type="dxa"/>
            <w:tcBorders>
              <w:top w:val="single" w:sz="5" w:space="0" w:color="000000"/>
              <w:left w:val="single" w:sz="5" w:space="0" w:color="000000"/>
              <w:bottom w:val="single" w:sz="5" w:space="0" w:color="000000"/>
              <w:right w:val="single" w:sz="5" w:space="0" w:color="000000"/>
            </w:tcBorders>
            <w:vAlign w:val="center"/>
          </w:tcPr>
          <w:p w14:paraId="7AAFE375" w14:textId="77777777" w:rsidR="004C6D9B" w:rsidRDefault="00CD2459" w:rsidP="000D7FE6">
            <w:pPr>
              <w:autoSpaceDE/>
              <w:autoSpaceDN/>
              <w:jc w:val="center"/>
              <w:rPr>
                <w:rFonts w:eastAsia="Calibri"/>
              </w:rPr>
            </w:pPr>
            <w:r>
              <w:rPr>
                <w:rFonts w:eastAsia="Calibri"/>
              </w:rPr>
              <w:t>§ 679.4</w:t>
            </w:r>
          </w:p>
        </w:tc>
      </w:tr>
      <w:tr w:rsidR="004C6D9B" w:rsidRPr="000D7FE6" w14:paraId="7D2622A8"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06D52EE3" w14:textId="77777777" w:rsidR="004C6D9B" w:rsidRDefault="006F35B4" w:rsidP="00005CF7">
            <w:pPr>
              <w:autoSpaceDE/>
              <w:autoSpaceDN/>
              <w:ind w:left="144"/>
              <w:jc w:val="center"/>
              <w:rPr>
                <w:rFonts w:eastAsia="Calibri"/>
              </w:rPr>
            </w:pPr>
            <w:r w:rsidRPr="006F35B4">
              <w:rPr>
                <w:rFonts w:eastAsia="Calibri"/>
              </w:rPr>
              <w:t xml:space="preserve">Registered Buyer </w:t>
            </w:r>
            <w:r w:rsidR="00005CF7">
              <w:rPr>
                <w:rFonts w:eastAsia="Calibri"/>
              </w:rPr>
              <w:t>L</w:t>
            </w:r>
            <w:r w:rsidRPr="006F35B4">
              <w:rPr>
                <w:rFonts w:eastAsia="Calibri"/>
              </w:rPr>
              <w:t xml:space="preserve">anding </w:t>
            </w:r>
            <w:r w:rsidR="00005CF7">
              <w:rPr>
                <w:rFonts w:eastAsia="Calibri"/>
              </w:rPr>
              <w:t>R</w:t>
            </w:r>
            <w:r w:rsidRPr="006F35B4">
              <w:rPr>
                <w:rFonts w:eastAsia="Calibri"/>
              </w:rPr>
              <w:t>eport</w:t>
            </w:r>
          </w:p>
        </w:tc>
        <w:tc>
          <w:tcPr>
            <w:tcW w:w="2520" w:type="dxa"/>
            <w:tcBorders>
              <w:top w:val="single" w:sz="5" w:space="0" w:color="000000"/>
              <w:left w:val="single" w:sz="5" w:space="0" w:color="000000"/>
              <w:bottom w:val="single" w:sz="5" w:space="0" w:color="000000"/>
              <w:right w:val="single" w:sz="5" w:space="0" w:color="000000"/>
            </w:tcBorders>
            <w:vAlign w:val="center"/>
          </w:tcPr>
          <w:p w14:paraId="3B74712A" w14:textId="77777777" w:rsidR="004C6D9B" w:rsidRDefault="008E0AA4" w:rsidP="000D7FE6">
            <w:pPr>
              <w:autoSpaceDE/>
              <w:autoSpaceDN/>
              <w:jc w:val="center"/>
              <w:rPr>
                <w:rFonts w:eastAsia="Calibri"/>
              </w:rPr>
            </w:pPr>
            <w:r>
              <w:rPr>
                <w:rFonts w:eastAsia="Calibri"/>
              </w:rPr>
              <w:t xml:space="preserve">§ </w:t>
            </w:r>
            <w:r w:rsidR="006F35B4">
              <w:rPr>
                <w:rFonts w:eastAsia="Calibri"/>
              </w:rPr>
              <w:t>679.5(e)(7)</w:t>
            </w:r>
          </w:p>
        </w:tc>
      </w:tr>
      <w:tr w:rsidR="004C6D9B" w:rsidRPr="000D7FE6" w14:paraId="6E423451"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B0C9565" w14:textId="77777777" w:rsidR="004C6D9B" w:rsidRDefault="00FD348A" w:rsidP="000D7FE6">
            <w:pPr>
              <w:autoSpaceDE/>
              <w:autoSpaceDN/>
              <w:ind w:left="144"/>
              <w:jc w:val="center"/>
              <w:rPr>
                <w:rFonts w:eastAsia="Calibri"/>
              </w:rPr>
            </w:pPr>
            <w:r w:rsidRPr="00FD348A">
              <w:rPr>
                <w:rFonts w:eastAsia="Calibri"/>
              </w:rPr>
              <w:t>IFQ Administrative Waiver</w:t>
            </w:r>
          </w:p>
        </w:tc>
        <w:tc>
          <w:tcPr>
            <w:tcW w:w="2520" w:type="dxa"/>
            <w:tcBorders>
              <w:top w:val="single" w:sz="5" w:space="0" w:color="000000"/>
              <w:left w:val="single" w:sz="5" w:space="0" w:color="000000"/>
              <w:bottom w:val="single" w:sz="5" w:space="0" w:color="000000"/>
              <w:right w:val="single" w:sz="5" w:space="0" w:color="000000"/>
            </w:tcBorders>
            <w:vAlign w:val="center"/>
          </w:tcPr>
          <w:p w14:paraId="6CCC2206" w14:textId="77777777" w:rsidR="004C6D9B" w:rsidRDefault="00690BA7" w:rsidP="000D7FE6">
            <w:pPr>
              <w:autoSpaceDE/>
              <w:autoSpaceDN/>
              <w:jc w:val="center"/>
              <w:rPr>
                <w:rFonts w:eastAsia="Calibri"/>
              </w:rPr>
            </w:pPr>
            <w:r>
              <w:rPr>
                <w:rFonts w:eastAsia="Calibri"/>
              </w:rPr>
              <w:t>§ 679.5</w:t>
            </w:r>
          </w:p>
        </w:tc>
      </w:tr>
      <w:tr w:rsidR="000D7FE6" w:rsidRPr="000D7FE6" w14:paraId="321C5099"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7CDDF63E" w14:textId="77777777" w:rsidR="000D7FE6" w:rsidRPr="000D7FE6" w:rsidRDefault="00B45DBF" w:rsidP="000D7FE6">
            <w:pPr>
              <w:autoSpaceDE/>
              <w:autoSpaceDN/>
              <w:ind w:left="144"/>
              <w:jc w:val="center"/>
              <w:rPr>
                <w:rFonts w:eastAsia="Calibri"/>
              </w:rPr>
            </w:pPr>
            <w:r>
              <w:rPr>
                <w:rFonts w:eastAsia="Calibri"/>
              </w:rPr>
              <w:t>Prior Notice of Landing</w:t>
            </w:r>
          </w:p>
        </w:tc>
        <w:tc>
          <w:tcPr>
            <w:tcW w:w="2520" w:type="dxa"/>
            <w:tcBorders>
              <w:top w:val="single" w:sz="5" w:space="0" w:color="000000"/>
              <w:left w:val="single" w:sz="5" w:space="0" w:color="000000"/>
              <w:bottom w:val="single" w:sz="5" w:space="0" w:color="000000"/>
              <w:right w:val="single" w:sz="5" w:space="0" w:color="000000"/>
            </w:tcBorders>
            <w:vAlign w:val="center"/>
          </w:tcPr>
          <w:p w14:paraId="6A3C9B3D" w14:textId="77777777" w:rsidR="000D7FE6" w:rsidRPr="000D7FE6" w:rsidRDefault="00001CDE" w:rsidP="000D7FE6">
            <w:pPr>
              <w:autoSpaceDE/>
              <w:autoSpaceDN/>
              <w:jc w:val="center"/>
              <w:rPr>
                <w:rFonts w:eastAsia="Calibri"/>
              </w:rPr>
            </w:pPr>
            <w:r>
              <w:rPr>
                <w:rFonts w:eastAsia="Calibri"/>
              </w:rPr>
              <w:t xml:space="preserve">§ </w:t>
            </w:r>
            <w:r w:rsidR="00B45DBF">
              <w:rPr>
                <w:rFonts w:eastAsia="Calibri"/>
              </w:rPr>
              <w:t>679.5(l)(1)</w:t>
            </w:r>
          </w:p>
        </w:tc>
      </w:tr>
      <w:tr w:rsidR="004C6D9B" w:rsidRPr="000D7FE6" w14:paraId="0231C657"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034CC478" w14:textId="77777777" w:rsidR="004C6D9B" w:rsidRDefault="008E0AA4" w:rsidP="000D7FE6">
            <w:pPr>
              <w:autoSpaceDE/>
              <w:autoSpaceDN/>
              <w:ind w:left="144"/>
              <w:jc w:val="center"/>
              <w:rPr>
                <w:rFonts w:eastAsia="Calibri"/>
              </w:rPr>
            </w:pPr>
            <w:r>
              <w:rPr>
                <w:rFonts w:eastAsia="Calibri"/>
              </w:rPr>
              <w:t>IFQ Departure Report</w:t>
            </w:r>
          </w:p>
        </w:tc>
        <w:tc>
          <w:tcPr>
            <w:tcW w:w="2520" w:type="dxa"/>
            <w:tcBorders>
              <w:top w:val="single" w:sz="5" w:space="0" w:color="000000"/>
              <w:left w:val="single" w:sz="5" w:space="0" w:color="000000"/>
              <w:bottom w:val="single" w:sz="5" w:space="0" w:color="000000"/>
              <w:right w:val="single" w:sz="5" w:space="0" w:color="000000"/>
            </w:tcBorders>
            <w:vAlign w:val="center"/>
          </w:tcPr>
          <w:p w14:paraId="3319DCA0" w14:textId="77777777" w:rsidR="004C6D9B" w:rsidRDefault="008E0AA4" w:rsidP="000D7FE6">
            <w:pPr>
              <w:autoSpaceDE/>
              <w:autoSpaceDN/>
              <w:jc w:val="center"/>
              <w:rPr>
                <w:rFonts w:eastAsia="Calibri"/>
              </w:rPr>
            </w:pPr>
            <w:r>
              <w:rPr>
                <w:rFonts w:eastAsia="Calibri"/>
              </w:rPr>
              <w:t>§ 679.5(l)(4)</w:t>
            </w:r>
          </w:p>
        </w:tc>
      </w:tr>
      <w:tr w:rsidR="004C6D9B" w:rsidRPr="000D7FE6" w14:paraId="627BA818"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4A92A46A" w14:textId="77777777" w:rsidR="004C6D9B" w:rsidRDefault="007F70CE" w:rsidP="000D7FE6">
            <w:pPr>
              <w:autoSpaceDE/>
              <w:autoSpaceDN/>
              <w:ind w:left="144"/>
              <w:jc w:val="center"/>
              <w:rPr>
                <w:rFonts w:eastAsia="Calibri"/>
              </w:rPr>
            </w:pPr>
            <w:r>
              <w:rPr>
                <w:rFonts w:eastAsia="Calibri"/>
              </w:rPr>
              <w:t>Transshipment Authorization</w:t>
            </w:r>
          </w:p>
        </w:tc>
        <w:tc>
          <w:tcPr>
            <w:tcW w:w="2520" w:type="dxa"/>
            <w:tcBorders>
              <w:top w:val="single" w:sz="5" w:space="0" w:color="000000"/>
              <w:left w:val="single" w:sz="5" w:space="0" w:color="000000"/>
              <w:bottom w:val="single" w:sz="5" w:space="0" w:color="000000"/>
              <w:right w:val="single" w:sz="5" w:space="0" w:color="000000"/>
            </w:tcBorders>
            <w:vAlign w:val="center"/>
          </w:tcPr>
          <w:p w14:paraId="76BA41CF" w14:textId="77777777" w:rsidR="004C6D9B" w:rsidRDefault="00726CA4" w:rsidP="000D7FE6">
            <w:pPr>
              <w:autoSpaceDE/>
              <w:autoSpaceDN/>
              <w:jc w:val="center"/>
              <w:rPr>
                <w:rFonts w:eastAsia="Calibri"/>
              </w:rPr>
            </w:pPr>
            <w:r>
              <w:rPr>
                <w:rFonts w:eastAsia="Calibri"/>
              </w:rPr>
              <w:t xml:space="preserve"> § </w:t>
            </w:r>
            <w:r w:rsidR="007F70CE" w:rsidRPr="007F70CE">
              <w:rPr>
                <w:rFonts w:eastAsia="Calibri"/>
              </w:rPr>
              <w:t>679.5(l)(3)</w:t>
            </w:r>
          </w:p>
        </w:tc>
      </w:tr>
      <w:tr w:rsidR="004C6D9B" w:rsidRPr="000D7FE6" w14:paraId="714B18E9" w14:textId="77777777" w:rsidTr="007A63DC">
        <w:trPr>
          <w:trHeight w:hRule="exact" w:val="432"/>
        </w:trPr>
        <w:tc>
          <w:tcPr>
            <w:tcW w:w="6480" w:type="dxa"/>
            <w:tcBorders>
              <w:top w:val="single" w:sz="5" w:space="0" w:color="000000"/>
              <w:left w:val="single" w:sz="5" w:space="0" w:color="000000"/>
              <w:bottom w:val="single" w:sz="5" w:space="0" w:color="000000"/>
              <w:right w:val="single" w:sz="5" w:space="0" w:color="000000"/>
            </w:tcBorders>
            <w:vAlign w:val="center"/>
          </w:tcPr>
          <w:p w14:paraId="3CEC9156" w14:textId="77777777" w:rsidR="004C6D9B" w:rsidRDefault="00726CA4" w:rsidP="000D7FE6">
            <w:pPr>
              <w:autoSpaceDE/>
              <w:autoSpaceDN/>
              <w:ind w:left="144"/>
              <w:jc w:val="center"/>
              <w:rPr>
                <w:rFonts w:eastAsia="Calibri"/>
              </w:rPr>
            </w:pPr>
            <w:r>
              <w:rPr>
                <w:rFonts w:eastAsia="Calibri"/>
              </w:rPr>
              <w:t>Dockside sales</w:t>
            </w:r>
          </w:p>
        </w:tc>
        <w:tc>
          <w:tcPr>
            <w:tcW w:w="2520" w:type="dxa"/>
            <w:tcBorders>
              <w:top w:val="single" w:sz="5" w:space="0" w:color="000000"/>
              <w:left w:val="single" w:sz="5" w:space="0" w:color="000000"/>
              <w:bottom w:val="single" w:sz="5" w:space="0" w:color="000000"/>
              <w:right w:val="single" w:sz="5" w:space="0" w:color="000000"/>
            </w:tcBorders>
            <w:vAlign w:val="center"/>
          </w:tcPr>
          <w:p w14:paraId="5A906A4E" w14:textId="77777777" w:rsidR="004C6D9B" w:rsidRDefault="00726CA4" w:rsidP="000D7FE6">
            <w:pPr>
              <w:autoSpaceDE/>
              <w:autoSpaceDN/>
              <w:jc w:val="center"/>
              <w:rPr>
                <w:rFonts w:eastAsia="Calibri"/>
              </w:rPr>
            </w:pPr>
            <w:r>
              <w:rPr>
                <w:rFonts w:eastAsia="Calibri"/>
              </w:rPr>
              <w:t>§ 679.5(g)(2)(iv)</w:t>
            </w:r>
          </w:p>
        </w:tc>
      </w:tr>
    </w:tbl>
    <w:p w14:paraId="69079608" w14:textId="77777777" w:rsidR="000D7FE6" w:rsidRPr="000D7FE6" w:rsidRDefault="00001CDE" w:rsidP="000D7FE6">
      <w:pPr>
        <w:autoSpaceDE/>
        <w:autoSpaceDN/>
        <w:rPr>
          <w:sz w:val="24"/>
          <w:szCs w:val="24"/>
        </w:rPr>
      </w:pPr>
      <w:r>
        <w:rPr>
          <w:sz w:val="24"/>
          <w:szCs w:val="24"/>
        </w:rPr>
        <w:t xml:space="preserve"> </w:t>
      </w:r>
    </w:p>
    <w:p w14:paraId="6313A69E" w14:textId="77777777" w:rsidR="000D7FE6" w:rsidRDefault="000D7FE6" w:rsidP="005E4D53">
      <w:pPr>
        <w:pStyle w:val="BodyText"/>
        <w:contextualSpacing/>
      </w:pPr>
    </w:p>
    <w:p w14:paraId="213462E6" w14:textId="77777777" w:rsidR="006A79C8" w:rsidRDefault="00BA755F" w:rsidP="00BA755F">
      <w:pPr>
        <w:pStyle w:val="ListParagraph"/>
        <w:tabs>
          <w:tab w:val="left" w:pos="360"/>
        </w:tabs>
        <w:ind w:left="0" w:firstLine="0"/>
        <w:contextualSpacing/>
        <w:rPr>
          <w:b/>
          <w:sz w:val="24"/>
        </w:rPr>
      </w:pPr>
      <w:r w:rsidRPr="003765E1">
        <w:rPr>
          <w:b/>
          <w:sz w:val="24"/>
        </w:rPr>
        <w:t>a.</w:t>
      </w:r>
      <w:r w:rsidRPr="003765E1">
        <w:rPr>
          <w:b/>
          <w:sz w:val="24"/>
        </w:rPr>
        <w:tab/>
      </w:r>
      <w:r w:rsidR="004C62EA" w:rsidRPr="003765E1">
        <w:rPr>
          <w:b/>
          <w:sz w:val="24"/>
        </w:rPr>
        <w:t>Application for Eligibility to Receive QS/IFQ by</w:t>
      </w:r>
      <w:r w:rsidR="004C62EA" w:rsidRPr="003765E1">
        <w:rPr>
          <w:b/>
          <w:spacing w:val="-6"/>
          <w:sz w:val="24"/>
        </w:rPr>
        <w:t xml:space="preserve"> </w:t>
      </w:r>
      <w:r w:rsidR="004C62EA" w:rsidRPr="003765E1">
        <w:rPr>
          <w:b/>
          <w:sz w:val="24"/>
        </w:rPr>
        <w:t>Trans</w:t>
      </w:r>
      <w:r w:rsidR="004C62EA" w:rsidRPr="005F2604">
        <w:rPr>
          <w:b/>
          <w:sz w:val="24"/>
        </w:rPr>
        <w:t>fer</w:t>
      </w:r>
      <w:r w:rsidR="00556CE0" w:rsidRPr="005F2604">
        <w:rPr>
          <w:b/>
          <w:sz w:val="24"/>
        </w:rPr>
        <w:t xml:space="preserve"> [</w:t>
      </w:r>
      <w:r w:rsidR="00ED7A6C" w:rsidRPr="005F2604">
        <w:rPr>
          <w:b/>
          <w:sz w:val="24"/>
        </w:rPr>
        <w:t>adjusted</w:t>
      </w:r>
      <w:r w:rsidR="00556CE0" w:rsidRPr="005F2604">
        <w:rPr>
          <w:b/>
          <w:sz w:val="24"/>
        </w:rPr>
        <w:t>]</w:t>
      </w:r>
    </w:p>
    <w:p w14:paraId="71C2E506" w14:textId="77777777" w:rsidR="006A79C8" w:rsidRDefault="006A79C8" w:rsidP="00735EE7">
      <w:pPr>
        <w:pStyle w:val="BodyText"/>
        <w:contextualSpacing/>
        <w:rPr>
          <w:b/>
          <w:sz w:val="23"/>
        </w:rPr>
      </w:pPr>
    </w:p>
    <w:p w14:paraId="5CD8FE5B" w14:textId="6E39B5CE" w:rsidR="006A79C8" w:rsidRDefault="004C62EA" w:rsidP="00735EE7">
      <w:pPr>
        <w:pStyle w:val="BodyText"/>
        <w:contextualSpacing/>
      </w:pPr>
      <w:r>
        <w:t>Quota share represents a harvesting privilege for a person. Annually, NMFS issues IFQ to 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w:t>
      </w:r>
    </w:p>
    <w:p w14:paraId="0BA2C78C" w14:textId="77777777" w:rsidR="006A79C8" w:rsidRDefault="006A79C8" w:rsidP="00735EE7">
      <w:pPr>
        <w:pStyle w:val="BodyText"/>
        <w:contextualSpacing/>
      </w:pPr>
    </w:p>
    <w:p w14:paraId="7ECDFB34" w14:textId="77777777" w:rsidR="00D11E48" w:rsidRDefault="004C62EA" w:rsidP="00735EE7">
      <w:pPr>
        <w:pStyle w:val="BodyText"/>
        <w:contextualSpacing/>
      </w:pPr>
      <w:r>
        <w:t>An applicant must be a United States (U.S.) citizen or U.S. corporation, partnership, or other non-individual business entity to receive QS/IFQ by transfer. Those persons applying to</w:t>
      </w:r>
      <w:r>
        <w:rPr>
          <w:spacing w:val="-27"/>
        </w:rPr>
        <w:t xml:space="preserve"> </w:t>
      </w:r>
      <w:r>
        <w:t xml:space="preserve">receive QS or </w:t>
      </w:r>
      <w:r>
        <w:rPr>
          <w:spacing w:val="-2"/>
        </w:rPr>
        <w:t xml:space="preserve">IFQ </w:t>
      </w:r>
      <w:r>
        <w:t xml:space="preserve">by transfer must submit this application to obtain a Transfer Eligibility Certificate (TEC). </w:t>
      </w:r>
    </w:p>
    <w:p w14:paraId="3F2B06AE" w14:textId="77777777" w:rsidR="00D11E48" w:rsidRDefault="00D11E48" w:rsidP="00735EE7">
      <w:pPr>
        <w:pStyle w:val="BodyText"/>
        <w:contextualSpacing/>
      </w:pPr>
    </w:p>
    <w:p w14:paraId="70AC26BC" w14:textId="284F3D61" w:rsidR="006A79C8" w:rsidRDefault="004C62EA" w:rsidP="00735EE7">
      <w:pPr>
        <w:pStyle w:val="BodyText"/>
        <w:contextualSpacing/>
      </w:pPr>
      <w:r>
        <w:t xml:space="preserve">A person applies for eligibility only once. To be eligible, persons must have </w:t>
      </w:r>
      <w:r w:rsidR="00920F8B">
        <w:t xml:space="preserve">at least </w:t>
      </w:r>
      <w:r>
        <w:t>150</w:t>
      </w:r>
      <w:r w:rsidR="00920F8B">
        <w:t xml:space="preserve"> </w:t>
      </w:r>
      <w:r>
        <w:t>days of experience working as part of a harvesting crew in any U.S. commercial fishery. Work in support of harvesting but not directly related to it is not considered harvesting crew work.</w:t>
      </w:r>
    </w:p>
    <w:p w14:paraId="1756FF39" w14:textId="77777777" w:rsidR="00D11E48" w:rsidRDefault="00D11E48" w:rsidP="00735EE7">
      <w:pPr>
        <w:pStyle w:val="BodyText"/>
        <w:contextualSpacing/>
      </w:pPr>
    </w:p>
    <w:p w14:paraId="7F89EA2C" w14:textId="77777777" w:rsidR="006A79C8" w:rsidRDefault="004C62EA" w:rsidP="00D11E48">
      <w:pPr>
        <w:pStyle w:val="BodyText"/>
        <w:tabs>
          <w:tab w:val="left" w:pos="3239"/>
        </w:tabs>
        <w:contextualSpacing/>
      </w:pPr>
      <w:r>
        <w:t xml:space="preserve">An application for eligibility may be submitted </w:t>
      </w:r>
      <w:r w:rsidR="00D11E48">
        <w:t xml:space="preserve">by mail or delivery </w:t>
      </w:r>
      <w:r>
        <w:t>to</w:t>
      </w:r>
      <w:r>
        <w:rPr>
          <w:spacing w:val="-18"/>
        </w:rPr>
        <w:t xml:space="preserve"> </w:t>
      </w:r>
      <w:r>
        <w:t>NMFS</w:t>
      </w:r>
      <w:r w:rsidR="00D11E48">
        <w:t>, Alaska Region, R</w:t>
      </w:r>
      <w:r>
        <w:t>estricted Access Management (RAM)</w:t>
      </w:r>
      <w:r w:rsidR="00D11E48">
        <w:t xml:space="preserve">. </w:t>
      </w:r>
      <w:r>
        <w:t xml:space="preserve">Fax submittal is not </w:t>
      </w:r>
      <w:r w:rsidR="00D11E48">
        <w:t>accepted</w:t>
      </w:r>
      <w:r>
        <w:t xml:space="preserve"> due to the </w:t>
      </w:r>
      <w:r w:rsidR="00D11E48">
        <w:t>n</w:t>
      </w:r>
      <w:r>
        <w:t>otary requirements.</w:t>
      </w:r>
    </w:p>
    <w:p w14:paraId="68E98A3A" w14:textId="77777777" w:rsidR="006A79C8" w:rsidRPr="00EB6CE1" w:rsidRDefault="006A79C8" w:rsidP="00735EE7">
      <w:pPr>
        <w:pStyle w:val="BodyText"/>
        <w:contextualSpacing/>
      </w:pPr>
    </w:p>
    <w:p w14:paraId="6268B0CE" w14:textId="7113F8F9" w:rsidR="006A79C8" w:rsidRPr="00EB6CE1" w:rsidRDefault="004F40C0" w:rsidP="00EB6CE1">
      <w:pPr>
        <w:pStyle w:val="BodyText"/>
        <w:contextualSpacing/>
      </w:pPr>
      <w:r w:rsidRPr="00EB6CE1">
        <w:t>The following information is collected on the</w:t>
      </w:r>
      <w:r w:rsidR="00EB6CE1" w:rsidRPr="00EB6CE1">
        <w:t xml:space="preserve"> </w:t>
      </w:r>
      <w:r w:rsidR="004C62EA" w:rsidRPr="00EB6CE1">
        <w:t>Application for Eligibility to Receive QS/IFQ</w:t>
      </w:r>
      <w:r w:rsidR="00EB7983" w:rsidRPr="00EB6CE1">
        <w:t xml:space="preserve"> by Transfer</w:t>
      </w:r>
      <w:r w:rsidR="00EB6CE1" w:rsidRPr="00EB6CE1">
        <w:t>.</w:t>
      </w:r>
    </w:p>
    <w:p w14:paraId="12D0D8A5" w14:textId="77777777" w:rsidR="00EB6CE1" w:rsidRPr="00EB6CE1" w:rsidRDefault="00EB6CE1" w:rsidP="00EB6CE1">
      <w:pPr>
        <w:pStyle w:val="BodyText"/>
        <w:contextualSpacing/>
      </w:pPr>
    </w:p>
    <w:p w14:paraId="6553B197" w14:textId="77777777" w:rsidR="00AE7DCE" w:rsidRDefault="004C62EA" w:rsidP="00735EE7">
      <w:pPr>
        <w:contextualSpacing/>
        <w:rPr>
          <w:sz w:val="20"/>
        </w:rPr>
      </w:pPr>
      <w:r>
        <w:rPr>
          <w:sz w:val="20"/>
          <w:u w:val="single"/>
        </w:rPr>
        <w:t>Block A – Applicant Information</w:t>
      </w:r>
      <w:r>
        <w:rPr>
          <w:sz w:val="20"/>
        </w:rPr>
        <w:t xml:space="preserve"> </w:t>
      </w:r>
    </w:p>
    <w:p w14:paraId="56D0D721" w14:textId="77777777" w:rsidR="006A79C8" w:rsidRDefault="004C62EA" w:rsidP="00735EE7">
      <w:pPr>
        <w:contextualSpacing/>
        <w:rPr>
          <w:sz w:val="20"/>
        </w:rPr>
      </w:pPr>
      <w:r>
        <w:rPr>
          <w:sz w:val="20"/>
        </w:rPr>
        <w:t>Name and NMFS Person ID</w:t>
      </w:r>
    </w:p>
    <w:p w14:paraId="24D9EEB2" w14:textId="77777777" w:rsidR="006A79C8" w:rsidRDefault="004C62EA" w:rsidP="00735EE7">
      <w:pPr>
        <w:contextualSpacing/>
        <w:rPr>
          <w:sz w:val="20"/>
        </w:rPr>
      </w:pPr>
      <w:r>
        <w:rPr>
          <w:sz w:val="20"/>
        </w:rPr>
        <w:t>Taxpayer ID No. (Employer ID No. or SSN)</w:t>
      </w:r>
    </w:p>
    <w:p w14:paraId="57A6F71B" w14:textId="77777777" w:rsidR="006A79C8" w:rsidRDefault="004C62EA" w:rsidP="00735EE7">
      <w:pPr>
        <w:contextualSpacing/>
        <w:rPr>
          <w:sz w:val="20"/>
        </w:rPr>
      </w:pPr>
      <w:r>
        <w:rPr>
          <w:sz w:val="20"/>
        </w:rPr>
        <w:t>Business mailing address (indicate whether permanent or temporary)</w:t>
      </w:r>
    </w:p>
    <w:p w14:paraId="3B62BBD9" w14:textId="77777777" w:rsidR="00912006" w:rsidRDefault="004C62EA" w:rsidP="00735EE7">
      <w:pPr>
        <w:contextualSpacing/>
        <w:rPr>
          <w:sz w:val="20"/>
        </w:rPr>
      </w:pPr>
      <w:r>
        <w:rPr>
          <w:sz w:val="20"/>
        </w:rPr>
        <w:t>Business telephone number, business fax numb</w:t>
      </w:r>
      <w:r w:rsidR="00912006">
        <w:rPr>
          <w:sz w:val="20"/>
        </w:rPr>
        <w:t>er, and business e-mail address</w:t>
      </w:r>
    </w:p>
    <w:p w14:paraId="55CD4308" w14:textId="77777777" w:rsidR="006A79C8" w:rsidRDefault="004C62EA" w:rsidP="00735EE7">
      <w:pPr>
        <w:contextualSpacing/>
        <w:rPr>
          <w:sz w:val="20"/>
        </w:rPr>
      </w:pPr>
      <w:r>
        <w:rPr>
          <w:sz w:val="20"/>
        </w:rPr>
        <w:t>If applicant is a U.S. citizen, enter date of birth</w:t>
      </w:r>
    </w:p>
    <w:p w14:paraId="3E916385" w14:textId="77777777" w:rsidR="006A79C8" w:rsidRDefault="004C62EA" w:rsidP="00735EE7">
      <w:pPr>
        <w:contextualSpacing/>
        <w:rPr>
          <w:sz w:val="20"/>
        </w:rPr>
      </w:pPr>
      <w:r>
        <w:rPr>
          <w:sz w:val="20"/>
        </w:rPr>
        <w:t>If applicant is a U.S. corporation, partnership, association, or other non-individual business enti</w:t>
      </w:r>
      <w:r w:rsidR="00AE7DCE">
        <w:rPr>
          <w:sz w:val="20"/>
        </w:rPr>
        <w:t>ty, enter date of incorporation</w:t>
      </w:r>
    </w:p>
    <w:p w14:paraId="6AA3C872" w14:textId="77777777" w:rsidR="00AE7DCE" w:rsidRDefault="004C62EA" w:rsidP="00735EE7">
      <w:pPr>
        <w:contextualSpacing/>
        <w:rPr>
          <w:sz w:val="20"/>
        </w:rPr>
      </w:pPr>
      <w:r>
        <w:rPr>
          <w:sz w:val="20"/>
        </w:rPr>
        <w:t xml:space="preserve">If a resident of Adak, Alaska, enter date residency began </w:t>
      </w:r>
    </w:p>
    <w:p w14:paraId="284DA32B" w14:textId="77777777" w:rsidR="006A79C8" w:rsidRDefault="004C62EA" w:rsidP="00735EE7">
      <w:pPr>
        <w:contextualSpacing/>
        <w:rPr>
          <w:sz w:val="20"/>
        </w:rPr>
      </w:pPr>
      <w:r>
        <w:rPr>
          <w:sz w:val="20"/>
          <w:u w:val="single"/>
        </w:rPr>
        <w:t>Block B – Freezer Shares</w:t>
      </w:r>
    </w:p>
    <w:p w14:paraId="457975B9" w14:textId="77777777" w:rsidR="006A79C8" w:rsidRDefault="004C62EA" w:rsidP="00735EE7">
      <w:pPr>
        <w:contextualSpacing/>
        <w:rPr>
          <w:sz w:val="20"/>
        </w:rPr>
      </w:pPr>
      <w:r>
        <w:rPr>
          <w:sz w:val="20"/>
        </w:rPr>
        <w:t>If this TEC is for an entity that intends to buy or lease only category A QS</w:t>
      </w:r>
      <w:r w:rsidR="00AE7DCE">
        <w:rPr>
          <w:sz w:val="20"/>
        </w:rPr>
        <w:t xml:space="preserve"> </w:t>
      </w:r>
      <w:r>
        <w:rPr>
          <w:sz w:val="20"/>
        </w:rPr>
        <w:t>and participant is a corporation, partnership, association, or other non-individual entity,</w:t>
      </w:r>
      <w:r w:rsidR="00AE7DCE">
        <w:rPr>
          <w:sz w:val="20"/>
        </w:rPr>
        <w:t xml:space="preserve"> </w:t>
      </w:r>
      <w:r>
        <w:rPr>
          <w:b/>
          <w:sz w:val="20"/>
        </w:rPr>
        <w:t xml:space="preserve">attach </w:t>
      </w:r>
      <w:r>
        <w:rPr>
          <w:sz w:val="20"/>
        </w:rPr>
        <w:t>QS holder: Identification of Ownership Interest form.</w:t>
      </w:r>
    </w:p>
    <w:p w14:paraId="5FA61086" w14:textId="77777777" w:rsidR="00912006" w:rsidRDefault="004C62EA" w:rsidP="00735EE7">
      <w:pPr>
        <w:contextualSpacing/>
        <w:rPr>
          <w:sz w:val="20"/>
        </w:rPr>
      </w:pPr>
      <w:r>
        <w:rPr>
          <w:sz w:val="20"/>
          <w:u w:val="single"/>
        </w:rPr>
        <w:t>Block C – Commercial Fishing Experience</w:t>
      </w:r>
      <w:r>
        <w:rPr>
          <w:sz w:val="20"/>
        </w:rPr>
        <w:t xml:space="preserve"> </w:t>
      </w:r>
    </w:p>
    <w:p w14:paraId="00D4C81D" w14:textId="77777777" w:rsidR="006A79C8" w:rsidRDefault="004C62EA" w:rsidP="00735EE7">
      <w:pPr>
        <w:contextualSpacing/>
        <w:rPr>
          <w:sz w:val="20"/>
        </w:rPr>
      </w:pPr>
      <w:r>
        <w:rPr>
          <w:sz w:val="20"/>
        </w:rPr>
        <w:t>Species</w:t>
      </w:r>
    </w:p>
    <w:p w14:paraId="7E0DB56E" w14:textId="77777777" w:rsidR="00AE7DCE" w:rsidRDefault="004C62EA" w:rsidP="00735EE7">
      <w:pPr>
        <w:contextualSpacing/>
        <w:rPr>
          <w:sz w:val="20"/>
        </w:rPr>
      </w:pPr>
      <w:r>
        <w:rPr>
          <w:sz w:val="20"/>
        </w:rPr>
        <w:t xml:space="preserve">Gear type </w:t>
      </w:r>
    </w:p>
    <w:p w14:paraId="6EF6464E" w14:textId="77777777" w:rsidR="006A79C8" w:rsidRDefault="004C62EA" w:rsidP="00735EE7">
      <w:pPr>
        <w:contextualSpacing/>
        <w:rPr>
          <w:sz w:val="20"/>
        </w:rPr>
      </w:pPr>
      <w:r>
        <w:rPr>
          <w:sz w:val="20"/>
        </w:rPr>
        <w:t>Location</w:t>
      </w:r>
    </w:p>
    <w:p w14:paraId="78F401C3" w14:textId="77777777" w:rsidR="00AE7DCE" w:rsidRDefault="004C62EA" w:rsidP="00735EE7">
      <w:pPr>
        <w:contextualSpacing/>
        <w:rPr>
          <w:sz w:val="20"/>
        </w:rPr>
      </w:pPr>
      <w:r>
        <w:rPr>
          <w:sz w:val="20"/>
        </w:rPr>
        <w:t xml:space="preserve">Begin date and end date of fishing experience </w:t>
      </w:r>
    </w:p>
    <w:p w14:paraId="43F4978A" w14:textId="77777777" w:rsidR="006A79C8" w:rsidRDefault="004C62EA" w:rsidP="00735EE7">
      <w:pPr>
        <w:contextualSpacing/>
        <w:rPr>
          <w:sz w:val="20"/>
        </w:rPr>
      </w:pPr>
      <w:r>
        <w:rPr>
          <w:sz w:val="20"/>
        </w:rPr>
        <w:t>Number of actual days spent harvesting fish</w:t>
      </w:r>
    </w:p>
    <w:p w14:paraId="19667329" w14:textId="77777777" w:rsidR="00AE7DCE" w:rsidRDefault="004C62EA" w:rsidP="00735EE7">
      <w:pPr>
        <w:contextualSpacing/>
        <w:rPr>
          <w:sz w:val="20"/>
        </w:rPr>
      </w:pPr>
      <w:r>
        <w:rPr>
          <w:sz w:val="20"/>
        </w:rPr>
        <w:t xml:space="preserve">Duties performed while directly involved in the harvesting of fish </w:t>
      </w:r>
    </w:p>
    <w:p w14:paraId="0A5CA033" w14:textId="77777777" w:rsidR="006A79C8" w:rsidRDefault="004C62EA" w:rsidP="00735EE7">
      <w:pPr>
        <w:contextualSpacing/>
        <w:rPr>
          <w:sz w:val="20"/>
        </w:rPr>
      </w:pPr>
      <w:r>
        <w:rPr>
          <w:sz w:val="20"/>
        </w:rPr>
        <w:t>Vessel name</w:t>
      </w:r>
    </w:p>
    <w:p w14:paraId="1E7A6FC3" w14:textId="77777777" w:rsidR="00AE7DCE" w:rsidRDefault="004C62EA" w:rsidP="00735EE7">
      <w:pPr>
        <w:contextualSpacing/>
        <w:rPr>
          <w:sz w:val="20"/>
        </w:rPr>
      </w:pPr>
      <w:r>
        <w:rPr>
          <w:sz w:val="20"/>
        </w:rPr>
        <w:t>Alaska Department of Fish and Game (ADF&amp;G) vessel registration number or</w:t>
      </w:r>
      <w:r w:rsidR="00AE7DCE">
        <w:rPr>
          <w:sz w:val="20"/>
        </w:rPr>
        <w:t xml:space="preserve"> </w:t>
      </w:r>
      <w:r>
        <w:rPr>
          <w:sz w:val="20"/>
        </w:rPr>
        <w:t xml:space="preserve">U.S. Coast Guard (USCG) documentation number of vessel </w:t>
      </w:r>
    </w:p>
    <w:p w14:paraId="5A1E5E42" w14:textId="77777777" w:rsidR="006A79C8" w:rsidRDefault="004C62EA" w:rsidP="00735EE7">
      <w:pPr>
        <w:contextualSpacing/>
        <w:rPr>
          <w:sz w:val="20"/>
        </w:rPr>
      </w:pPr>
      <w:r>
        <w:rPr>
          <w:sz w:val="20"/>
        </w:rPr>
        <w:t xml:space="preserve">Name of vessel owner and name of </w:t>
      </w:r>
      <w:r w:rsidR="00FD3A37">
        <w:rPr>
          <w:sz w:val="20"/>
        </w:rPr>
        <w:t xml:space="preserve">vessel </w:t>
      </w:r>
      <w:r>
        <w:rPr>
          <w:sz w:val="20"/>
        </w:rPr>
        <w:t>operator</w:t>
      </w:r>
    </w:p>
    <w:p w14:paraId="5A1302AF" w14:textId="77777777" w:rsidR="006A79C8" w:rsidRDefault="004C62EA" w:rsidP="00735EE7">
      <w:pPr>
        <w:contextualSpacing/>
        <w:rPr>
          <w:sz w:val="20"/>
        </w:rPr>
      </w:pPr>
      <w:r>
        <w:rPr>
          <w:sz w:val="20"/>
        </w:rPr>
        <w:t>Reference</w:t>
      </w:r>
    </w:p>
    <w:p w14:paraId="265AE551" w14:textId="77777777" w:rsidR="006A79C8" w:rsidRDefault="004C62EA" w:rsidP="00AE7DCE">
      <w:pPr>
        <w:ind w:left="360"/>
        <w:contextualSpacing/>
        <w:rPr>
          <w:sz w:val="20"/>
        </w:rPr>
      </w:pPr>
      <w:r>
        <w:rPr>
          <w:sz w:val="20"/>
        </w:rPr>
        <w:t>Name</w:t>
      </w:r>
    </w:p>
    <w:p w14:paraId="081C23EE" w14:textId="77777777" w:rsidR="006A79C8" w:rsidRDefault="004C62EA" w:rsidP="00AE7DCE">
      <w:pPr>
        <w:ind w:left="360"/>
        <w:contextualSpacing/>
        <w:rPr>
          <w:sz w:val="20"/>
        </w:rPr>
      </w:pPr>
      <w:r>
        <w:rPr>
          <w:sz w:val="20"/>
        </w:rPr>
        <w:t>Relationship to applicant</w:t>
      </w:r>
    </w:p>
    <w:p w14:paraId="3A9B0A39" w14:textId="77777777" w:rsidR="00735EE7" w:rsidRDefault="004C62EA" w:rsidP="00AE7DCE">
      <w:pPr>
        <w:ind w:left="360"/>
        <w:contextualSpacing/>
        <w:rPr>
          <w:sz w:val="20"/>
        </w:rPr>
      </w:pPr>
      <w:r>
        <w:rPr>
          <w:sz w:val="20"/>
        </w:rPr>
        <w:t xml:space="preserve">Business mailing address and business telephone number </w:t>
      </w:r>
    </w:p>
    <w:p w14:paraId="68E3FF5A" w14:textId="77777777" w:rsidR="006A79C8" w:rsidRDefault="004C62EA" w:rsidP="00735EE7">
      <w:pPr>
        <w:contextualSpacing/>
        <w:rPr>
          <w:sz w:val="20"/>
        </w:rPr>
      </w:pPr>
      <w:r>
        <w:rPr>
          <w:sz w:val="20"/>
          <w:u w:val="single"/>
        </w:rPr>
        <w:t>Block D – Notary Certification</w:t>
      </w:r>
    </w:p>
    <w:p w14:paraId="0DC806F3" w14:textId="77777777" w:rsidR="00AE7DCE" w:rsidRDefault="004C62EA" w:rsidP="00735EE7">
      <w:pPr>
        <w:contextualSpacing/>
        <w:rPr>
          <w:sz w:val="20"/>
        </w:rPr>
      </w:pPr>
      <w:r>
        <w:rPr>
          <w:sz w:val="20"/>
        </w:rPr>
        <w:t xml:space="preserve">Printed name and signature of applicant </w:t>
      </w:r>
      <w:r w:rsidR="00FD3A37">
        <w:rPr>
          <w:sz w:val="20"/>
        </w:rPr>
        <w:t xml:space="preserve">or authorized representative </w:t>
      </w:r>
      <w:r>
        <w:rPr>
          <w:sz w:val="20"/>
        </w:rPr>
        <w:t xml:space="preserve">and date signed </w:t>
      </w:r>
    </w:p>
    <w:p w14:paraId="4DBF574B"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4084A8DF" w14:textId="77777777" w:rsidR="006A79C8" w:rsidRDefault="00912006" w:rsidP="00735EE7">
      <w:pPr>
        <w:contextualSpacing/>
        <w:rPr>
          <w:sz w:val="20"/>
        </w:rPr>
      </w:pPr>
      <w:r>
        <w:rPr>
          <w:sz w:val="20"/>
        </w:rPr>
        <w:t>Notary p</w:t>
      </w:r>
      <w:r w:rsidR="004C62EA">
        <w:rPr>
          <w:sz w:val="20"/>
        </w:rPr>
        <w:t>ublic signature, commission expiration date, and notary stamp or seal</w:t>
      </w:r>
    </w:p>
    <w:p w14:paraId="3C4F3792" w14:textId="77777777" w:rsidR="006A79C8" w:rsidRDefault="006A79C8" w:rsidP="00735EE7">
      <w:pPr>
        <w:pStyle w:val="BodyText"/>
        <w:contextualSpacing/>
        <w:rPr>
          <w:sz w:val="19"/>
        </w:rPr>
      </w:pPr>
    </w:p>
    <w:p w14:paraId="4613BD98" w14:textId="77777777" w:rsidR="006A79C8" w:rsidRDefault="006A79C8">
      <w:pPr>
        <w:pStyle w:val="BodyText"/>
        <w:spacing w:before="8" w:after="1"/>
        <w:rPr>
          <w:sz w:val="20"/>
        </w:rPr>
      </w:pPr>
    </w:p>
    <w:tbl>
      <w:tblPr>
        <w:tblW w:w="0" w:type="auto"/>
        <w:tblInd w:w="1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1"/>
        <w:gridCol w:w="989"/>
      </w:tblGrid>
      <w:tr w:rsidR="006A79C8" w14:paraId="62CED5E1" w14:textId="77777777" w:rsidTr="00735EE7">
        <w:trPr>
          <w:trHeight w:val="458"/>
        </w:trPr>
        <w:tc>
          <w:tcPr>
            <w:tcW w:w="4051" w:type="dxa"/>
            <w:tcBorders>
              <w:right w:val="nil"/>
            </w:tcBorders>
          </w:tcPr>
          <w:p w14:paraId="7E5D5D16" w14:textId="77777777" w:rsidR="006A79C8" w:rsidRDefault="004C62EA">
            <w:pPr>
              <w:pStyle w:val="TableParagraph"/>
              <w:spacing w:line="230" w:lineRule="exact"/>
              <w:ind w:left="107" w:right="19"/>
              <w:rPr>
                <w:b/>
                <w:sz w:val="20"/>
              </w:rPr>
            </w:pPr>
            <w:r>
              <w:rPr>
                <w:b/>
                <w:sz w:val="20"/>
              </w:rPr>
              <w:t>Application for Eligibility to Receive QS/IFQ</w:t>
            </w:r>
            <w:r w:rsidR="00EB7983">
              <w:rPr>
                <w:b/>
                <w:sz w:val="20"/>
              </w:rPr>
              <w:t xml:space="preserve"> by Transfer</w:t>
            </w:r>
            <w:r>
              <w:rPr>
                <w:b/>
                <w:sz w:val="20"/>
              </w:rPr>
              <w:t>, Respondent</w:t>
            </w:r>
          </w:p>
        </w:tc>
        <w:tc>
          <w:tcPr>
            <w:tcW w:w="989" w:type="dxa"/>
            <w:tcBorders>
              <w:left w:val="nil"/>
            </w:tcBorders>
          </w:tcPr>
          <w:p w14:paraId="5EC91245" w14:textId="77777777" w:rsidR="006A79C8" w:rsidRDefault="006A79C8">
            <w:pPr>
              <w:pStyle w:val="TableParagraph"/>
              <w:rPr>
                <w:sz w:val="20"/>
              </w:rPr>
            </w:pPr>
          </w:p>
        </w:tc>
      </w:tr>
      <w:tr w:rsidR="006A79C8" w14:paraId="56C4EB20" w14:textId="77777777" w:rsidTr="00735EE7">
        <w:trPr>
          <w:trHeight w:val="231"/>
        </w:trPr>
        <w:tc>
          <w:tcPr>
            <w:tcW w:w="4051" w:type="dxa"/>
            <w:tcBorders>
              <w:bottom w:val="nil"/>
            </w:tcBorders>
          </w:tcPr>
          <w:p w14:paraId="33EFF966" w14:textId="77777777" w:rsidR="006A79C8" w:rsidRDefault="004C62EA">
            <w:pPr>
              <w:pStyle w:val="TableParagraph"/>
              <w:spacing w:line="212" w:lineRule="exact"/>
              <w:ind w:left="107"/>
              <w:rPr>
                <w:b/>
                <w:sz w:val="20"/>
              </w:rPr>
            </w:pPr>
            <w:r>
              <w:rPr>
                <w:b/>
                <w:sz w:val="20"/>
              </w:rPr>
              <w:t>Total number of respondents</w:t>
            </w:r>
          </w:p>
        </w:tc>
        <w:tc>
          <w:tcPr>
            <w:tcW w:w="989" w:type="dxa"/>
            <w:tcBorders>
              <w:bottom w:val="nil"/>
            </w:tcBorders>
          </w:tcPr>
          <w:p w14:paraId="183F7DAC" w14:textId="75DF1654" w:rsidR="006A79C8" w:rsidRDefault="005A7D81">
            <w:pPr>
              <w:pStyle w:val="TableParagraph"/>
              <w:spacing w:line="212" w:lineRule="exact"/>
              <w:ind w:right="96"/>
              <w:jc w:val="right"/>
              <w:rPr>
                <w:b/>
                <w:sz w:val="20"/>
              </w:rPr>
            </w:pPr>
            <w:r>
              <w:rPr>
                <w:b/>
                <w:sz w:val="20"/>
              </w:rPr>
              <w:t>100</w:t>
            </w:r>
          </w:p>
        </w:tc>
      </w:tr>
      <w:tr w:rsidR="006A79C8" w14:paraId="59960081" w14:textId="77777777" w:rsidTr="00735EE7">
        <w:trPr>
          <w:trHeight w:val="226"/>
        </w:trPr>
        <w:tc>
          <w:tcPr>
            <w:tcW w:w="4051" w:type="dxa"/>
            <w:tcBorders>
              <w:top w:val="nil"/>
              <w:bottom w:val="nil"/>
            </w:tcBorders>
          </w:tcPr>
          <w:p w14:paraId="5B7D1AF1" w14:textId="77777777" w:rsidR="006A79C8" w:rsidRDefault="004C62EA">
            <w:pPr>
              <w:pStyle w:val="TableParagraph"/>
              <w:spacing w:line="207" w:lineRule="exact"/>
              <w:ind w:left="107"/>
              <w:rPr>
                <w:b/>
                <w:sz w:val="20"/>
              </w:rPr>
            </w:pPr>
            <w:r>
              <w:rPr>
                <w:b/>
                <w:sz w:val="20"/>
              </w:rPr>
              <w:t>Total annual responses</w:t>
            </w:r>
          </w:p>
        </w:tc>
        <w:tc>
          <w:tcPr>
            <w:tcW w:w="989" w:type="dxa"/>
            <w:tcBorders>
              <w:top w:val="nil"/>
              <w:bottom w:val="nil"/>
            </w:tcBorders>
          </w:tcPr>
          <w:p w14:paraId="697F741A" w14:textId="0A6894CC" w:rsidR="006A79C8" w:rsidRDefault="005A7D81">
            <w:pPr>
              <w:pStyle w:val="TableParagraph"/>
              <w:spacing w:line="207" w:lineRule="exact"/>
              <w:ind w:right="96"/>
              <w:jc w:val="right"/>
              <w:rPr>
                <w:b/>
                <w:sz w:val="20"/>
              </w:rPr>
            </w:pPr>
            <w:r>
              <w:rPr>
                <w:b/>
                <w:sz w:val="20"/>
              </w:rPr>
              <w:t>100</w:t>
            </w:r>
          </w:p>
        </w:tc>
      </w:tr>
      <w:tr w:rsidR="006A79C8" w14:paraId="7718E31A" w14:textId="77777777" w:rsidTr="00735EE7">
        <w:trPr>
          <w:trHeight w:val="230"/>
        </w:trPr>
        <w:tc>
          <w:tcPr>
            <w:tcW w:w="4051" w:type="dxa"/>
            <w:tcBorders>
              <w:top w:val="nil"/>
              <w:bottom w:val="nil"/>
            </w:tcBorders>
          </w:tcPr>
          <w:p w14:paraId="6A9E46C1" w14:textId="77777777" w:rsidR="006A79C8" w:rsidRDefault="004C62EA">
            <w:pPr>
              <w:pStyle w:val="TableParagraph"/>
              <w:spacing w:line="210" w:lineRule="exact"/>
              <w:ind w:left="258"/>
              <w:rPr>
                <w:sz w:val="20"/>
              </w:rPr>
            </w:pPr>
            <w:r>
              <w:rPr>
                <w:sz w:val="20"/>
              </w:rPr>
              <w:t>Number of responses per year = 1</w:t>
            </w:r>
          </w:p>
        </w:tc>
        <w:tc>
          <w:tcPr>
            <w:tcW w:w="989" w:type="dxa"/>
            <w:tcBorders>
              <w:top w:val="nil"/>
              <w:bottom w:val="nil"/>
            </w:tcBorders>
          </w:tcPr>
          <w:p w14:paraId="550D378C" w14:textId="77777777" w:rsidR="006A79C8" w:rsidRDefault="006A79C8">
            <w:pPr>
              <w:pStyle w:val="TableParagraph"/>
              <w:rPr>
                <w:sz w:val="16"/>
              </w:rPr>
            </w:pPr>
          </w:p>
        </w:tc>
      </w:tr>
      <w:tr w:rsidR="006A79C8" w14:paraId="76AE267B" w14:textId="77777777" w:rsidTr="00735EE7">
        <w:trPr>
          <w:trHeight w:val="230"/>
        </w:trPr>
        <w:tc>
          <w:tcPr>
            <w:tcW w:w="4051" w:type="dxa"/>
            <w:tcBorders>
              <w:top w:val="nil"/>
              <w:bottom w:val="nil"/>
            </w:tcBorders>
          </w:tcPr>
          <w:p w14:paraId="10CD5635" w14:textId="18F81F1C" w:rsidR="006A79C8" w:rsidRDefault="00762521">
            <w:pPr>
              <w:pStyle w:val="TableParagraph"/>
              <w:spacing w:line="210" w:lineRule="exact"/>
              <w:ind w:left="107"/>
              <w:rPr>
                <w:b/>
                <w:sz w:val="20"/>
              </w:rPr>
            </w:pPr>
            <w:r>
              <w:rPr>
                <w:b/>
                <w:sz w:val="20"/>
              </w:rPr>
              <w:t>Total t</w:t>
            </w:r>
            <w:r w:rsidR="004C62EA">
              <w:rPr>
                <w:b/>
                <w:sz w:val="20"/>
              </w:rPr>
              <w:t>ime burden</w:t>
            </w:r>
          </w:p>
        </w:tc>
        <w:tc>
          <w:tcPr>
            <w:tcW w:w="989" w:type="dxa"/>
            <w:tcBorders>
              <w:top w:val="nil"/>
              <w:bottom w:val="nil"/>
            </w:tcBorders>
          </w:tcPr>
          <w:p w14:paraId="3070E92D" w14:textId="69210862" w:rsidR="006A79C8" w:rsidRDefault="005A7D81">
            <w:pPr>
              <w:pStyle w:val="TableParagraph"/>
              <w:spacing w:line="210" w:lineRule="exact"/>
              <w:ind w:right="99"/>
              <w:jc w:val="right"/>
              <w:rPr>
                <w:b/>
                <w:sz w:val="20"/>
              </w:rPr>
            </w:pPr>
            <w:r>
              <w:rPr>
                <w:b/>
                <w:sz w:val="20"/>
              </w:rPr>
              <w:t xml:space="preserve">200 </w:t>
            </w:r>
            <w:r w:rsidR="004C62EA">
              <w:rPr>
                <w:b/>
                <w:sz w:val="20"/>
              </w:rPr>
              <w:t>hr</w:t>
            </w:r>
          </w:p>
        </w:tc>
      </w:tr>
      <w:tr w:rsidR="006A79C8" w14:paraId="0EA1DFF9" w14:textId="77777777" w:rsidTr="00735EE7">
        <w:trPr>
          <w:trHeight w:val="228"/>
        </w:trPr>
        <w:tc>
          <w:tcPr>
            <w:tcW w:w="4051" w:type="dxa"/>
            <w:tcBorders>
              <w:top w:val="nil"/>
              <w:bottom w:val="nil"/>
            </w:tcBorders>
          </w:tcPr>
          <w:p w14:paraId="1207334C" w14:textId="77777777" w:rsidR="006A79C8" w:rsidRDefault="004C62EA">
            <w:pPr>
              <w:pStyle w:val="TableParagraph"/>
              <w:spacing w:line="208" w:lineRule="exact"/>
              <w:ind w:left="256"/>
              <w:rPr>
                <w:sz w:val="20"/>
              </w:rPr>
            </w:pPr>
            <w:r>
              <w:rPr>
                <w:sz w:val="20"/>
              </w:rPr>
              <w:t>Time per response = 2 hr</w:t>
            </w:r>
          </w:p>
        </w:tc>
        <w:tc>
          <w:tcPr>
            <w:tcW w:w="989" w:type="dxa"/>
            <w:tcBorders>
              <w:top w:val="nil"/>
              <w:bottom w:val="nil"/>
            </w:tcBorders>
          </w:tcPr>
          <w:p w14:paraId="3947B2C4" w14:textId="77777777" w:rsidR="006A79C8" w:rsidRDefault="006A79C8">
            <w:pPr>
              <w:pStyle w:val="TableParagraph"/>
              <w:rPr>
                <w:sz w:val="16"/>
              </w:rPr>
            </w:pPr>
          </w:p>
        </w:tc>
      </w:tr>
      <w:tr w:rsidR="006A79C8" w14:paraId="378F6A81" w14:textId="77777777" w:rsidTr="00735EE7">
        <w:trPr>
          <w:trHeight w:val="231"/>
        </w:trPr>
        <w:tc>
          <w:tcPr>
            <w:tcW w:w="4051" w:type="dxa"/>
            <w:tcBorders>
              <w:top w:val="nil"/>
              <w:bottom w:val="nil"/>
            </w:tcBorders>
          </w:tcPr>
          <w:p w14:paraId="731A13F8" w14:textId="334B933C" w:rsidR="006A79C8" w:rsidRDefault="004C62EA" w:rsidP="005A7D81">
            <w:pPr>
              <w:pStyle w:val="TableParagraph"/>
              <w:spacing w:line="212" w:lineRule="exact"/>
              <w:ind w:left="107"/>
              <w:rPr>
                <w:sz w:val="20"/>
              </w:rPr>
            </w:pPr>
            <w:r>
              <w:rPr>
                <w:b/>
                <w:sz w:val="20"/>
              </w:rPr>
              <w:t xml:space="preserve">Total personnel cost </w:t>
            </w:r>
            <w:r>
              <w:rPr>
                <w:sz w:val="20"/>
              </w:rPr>
              <w:t xml:space="preserve">($37/hr x </w:t>
            </w:r>
            <w:r w:rsidR="005A7D81">
              <w:rPr>
                <w:sz w:val="20"/>
              </w:rPr>
              <w:t>200</w:t>
            </w:r>
            <w:r>
              <w:rPr>
                <w:sz w:val="20"/>
              </w:rPr>
              <w:t>)</w:t>
            </w:r>
          </w:p>
        </w:tc>
        <w:tc>
          <w:tcPr>
            <w:tcW w:w="989" w:type="dxa"/>
            <w:tcBorders>
              <w:top w:val="nil"/>
              <w:bottom w:val="nil"/>
            </w:tcBorders>
          </w:tcPr>
          <w:p w14:paraId="4A7CF9FE" w14:textId="755C3365" w:rsidR="006A79C8" w:rsidRPr="00DF4A40" w:rsidRDefault="004C62EA" w:rsidP="00771145">
            <w:pPr>
              <w:pStyle w:val="TableParagraph"/>
              <w:spacing w:line="211" w:lineRule="exact"/>
              <w:ind w:right="97"/>
              <w:jc w:val="right"/>
              <w:rPr>
                <w:b/>
                <w:sz w:val="20"/>
                <w:szCs w:val="20"/>
              </w:rPr>
            </w:pPr>
            <w:r w:rsidRPr="00232D88">
              <w:rPr>
                <w:b/>
                <w:sz w:val="20"/>
                <w:szCs w:val="20"/>
              </w:rPr>
              <w:t>$</w:t>
            </w:r>
            <w:r w:rsidR="00771145" w:rsidRPr="00232D88">
              <w:rPr>
                <w:b/>
                <w:sz w:val="20"/>
                <w:szCs w:val="20"/>
              </w:rPr>
              <w:t>7,400</w:t>
            </w:r>
          </w:p>
        </w:tc>
      </w:tr>
      <w:tr w:rsidR="006A79C8" w14:paraId="247F5DFD" w14:textId="77777777" w:rsidTr="00735EE7">
        <w:trPr>
          <w:trHeight w:val="229"/>
        </w:trPr>
        <w:tc>
          <w:tcPr>
            <w:tcW w:w="4051" w:type="dxa"/>
            <w:tcBorders>
              <w:top w:val="nil"/>
              <w:bottom w:val="nil"/>
            </w:tcBorders>
          </w:tcPr>
          <w:p w14:paraId="13F5998D" w14:textId="6D2C9848" w:rsidR="006A79C8" w:rsidRDefault="004C62EA" w:rsidP="00771145">
            <w:pPr>
              <w:pStyle w:val="TableParagraph"/>
              <w:spacing w:line="209" w:lineRule="exact"/>
              <w:ind w:left="107"/>
              <w:rPr>
                <w:sz w:val="20"/>
              </w:rPr>
            </w:pPr>
            <w:r>
              <w:rPr>
                <w:b/>
                <w:sz w:val="20"/>
              </w:rPr>
              <w:t xml:space="preserve">Total miscellaneous cost </w:t>
            </w:r>
            <w:r>
              <w:rPr>
                <w:sz w:val="20"/>
              </w:rPr>
              <w:t>(</w:t>
            </w:r>
            <w:r w:rsidR="00771145">
              <w:rPr>
                <w:sz w:val="20"/>
              </w:rPr>
              <w:t>564</w:t>
            </w:r>
            <w:r>
              <w:rPr>
                <w:sz w:val="20"/>
              </w:rPr>
              <w:t>)</w:t>
            </w:r>
          </w:p>
        </w:tc>
        <w:tc>
          <w:tcPr>
            <w:tcW w:w="989" w:type="dxa"/>
            <w:tcBorders>
              <w:top w:val="nil"/>
              <w:bottom w:val="nil"/>
            </w:tcBorders>
          </w:tcPr>
          <w:p w14:paraId="50108306" w14:textId="62DB0641" w:rsidR="006A79C8" w:rsidRPr="00F152D7" w:rsidRDefault="004C62EA" w:rsidP="00843517">
            <w:pPr>
              <w:pStyle w:val="TableParagraph"/>
              <w:spacing w:line="209" w:lineRule="exact"/>
              <w:ind w:right="96"/>
              <w:jc w:val="right"/>
              <w:rPr>
                <w:b/>
                <w:sz w:val="20"/>
              </w:rPr>
            </w:pPr>
            <w:r w:rsidRPr="00843517">
              <w:rPr>
                <w:b/>
                <w:sz w:val="20"/>
              </w:rPr>
              <w:t>$</w:t>
            </w:r>
            <w:r w:rsidR="00771145" w:rsidRPr="00843517">
              <w:rPr>
                <w:b/>
                <w:sz w:val="20"/>
              </w:rPr>
              <w:t>5</w:t>
            </w:r>
            <w:r w:rsidR="00771145" w:rsidRPr="00142E8C">
              <w:rPr>
                <w:b/>
                <w:sz w:val="20"/>
              </w:rPr>
              <w:t>64</w:t>
            </w:r>
          </w:p>
        </w:tc>
      </w:tr>
      <w:tr w:rsidR="006A79C8" w14:paraId="307DF98E" w14:textId="77777777" w:rsidTr="00735EE7">
        <w:trPr>
          <w:trHeight w:val="228"/>
        </w:trPr>
        <w:tc>
          <w:tcPr>
            <w:tcW w:w="4051" w:type="dxa"/>
            <w:tcBorders>
              <w:top w:val="nil"/>
              <w:bottom w:val="nil"/>
            </w:tcBorders>
          </w:tcPr>
          <w:p w14:paraId="45458076" w14:textId="39E6DBD5" w:rsidR="006A79C8" w:rsidRDefault="004C62EA" w:rsidP="00771145">
            <w:pPr>
              <w:pStyle w:val="TableParagraph"/>
              <w:spacing w:line="208" w:lineRule="exact"/>
              <w:ind w:left="258"/>
              <w:rPr>
                <w:sz w:val="20"/>
              </w:rPr>
            </w:pPr>
            <w:r>
              <w:rPr>
                <w:sz w:val="20"/>
              </w:rPr>
              <w:t>Postage (0.</w:t>
            </w:r>
            <w:r w:rsidR="00B35F83">
              <w:rPr>
                <w:sz w:val="20"/>
              </w:rPr>
              <w:t xml:space="preserve">49 </w:t>
            </w:r>
            <w:r>
              <w:rPr>
                <w:sz w:val="20"/>
              </w:rPr>
              <w:t xml:space="preserve">x </w:t>
            </w:r>
            <w:r w:rsidR="00771145">
              <w:rPr>
                <w:sz w:val="20"/>
              </w:rPr>
              <w:t xml:space="preserve">100 </w:t>
            </w:r>
            <w:r>
              <w:rPr>
                <w:sz w:val="20"/>
              </w:rPr>
              <w:t xml:space="preserve">= </w:t>
            </w:r>
            <w:r w:rsidR="00771145">
              <w:rPr>
                <w:sz w:val="20"/>
              </w:rPr>
              <w:t>49</w:t>
            </w:r>
            <w:r>
              <w:rPr>
                <w:sz w:val="20"/>
              </w:rPr>
              <w:t>)</w:t>
            </w:r>
          </w:p>
        </w:tc>
        <w:tc>
          <w:tcPr>
            <w:tcW w:w="989" w:type="dxa"/>
            <w:tcBorders>
              <w:top w:val="nil"/>
              <w:bottom w:val="nil"/>
            </w:tcBorders>
          </w:tcPr>
          <w:p w14:paraId="165E08A2" w14:textId="77777777" w:rsidR="006A79C8" w:rsidRDefault="006A79C8">
            <w:pPr>
              <w:pStyle w:val="TableParagraph"/>
              <w:rPr>
                <w:sz w:val="16"/>
              </w:rPr>
            </w:pPr>
          </w:p>
        </w:tc>
      </w:tr>
      <w:tr w:rsidR="006A79C8" w14:paraId="1B19662D" w14:textId="77777777" w:rsidTr="00735EE7">
        <w:trPr>
          <w:trHeight w:val="230"/>
        </w:trPr>
        <w:tc>
          <w:tcPr>
            <w:tcW w:w="4051" w:type="dxa"/>
            <w:tcBorders>
              <w:top w:val="nil"/>
              <w:bottom w:val="nil"/>
            </w:tcBorders>
          </w:tcPr>
          <w:p w14:paraId="6BDB9A18" w14:textId="69C722AE" w:rsidR="006A79C8" w:rsidRDefault="004C62EA" w:rsidP="00771145">
            <w:pPr>
              <w:pStyle w:val="TableParagraph"/>
              <w:spacing w:line="210" w:lineRule="exact"/>
              <w:ind w:left="258"/>
              <w:rPr>
                <w:sz w:val="20"/>
              </w:rPr>
            </w:pPr>
            <w:r>
              <w:rPr>
                <w:sz w:val="20"/>
              </w:rPr>
              <w:t xml:space="preserve">Photocopy (0.05 x 3pp x </w:t>
            </w:r>
            <w:r w:rsidR="00771145">
              <w:rPr>
                <w:sz w:val="20"/>
              </w:rPr>
              <w:t xml:space="preserve">100 </w:t>
            </w:r>
            <w:r>
              <w:rPr>
                <w:sz w:val="20"/>
              </w:rPr>
              <w:t xml:space="preserve">= </w:t>
            </w:r>
            <w:r w:rsidR="00771145">
              <w:rPr>
                <w:sz w:val="20"/>
              </w:rPr>
              <w:t>15</w:t>
            </w:r>
            <w:r>
              <w:rPr>
                <w:sz w:val="20"/>
              </w:rPr>
              <w:t>)</w:t>
            </w:r>
          </w:p>
        </w:tc>
        <w:tc>
          <w:tcPr>
            <w:tcW w:w="989" w:type="dxa"/>
            <w:tcBorders>
              <w:top w:val="nil"/>
              <w:bottom w:val="nil"/>
            </w:tcBorders>
          </w:tcPr>
          <w:p w14:paraId="62B37EEE" w14:textId="77777777" w:rsidR="006A79C8" w:rsidRDefault="006A79C8">
            <w:pPr>
              <w:pStyle w:val="TableParagraph"/>
              <w:rPr>
                <w:sz w:val="16"/>
              </w:rPr>
            </w:pPr>
          </w:p>
        </w:tc>
      </w:tr>
      <w:tr w:rsidR="006A79C8" w14:paraId="44136289" w14:textId="77777777" w:rsidTr="00735EE7">
        <w:trPr>
          <w:trHeight w:val="232"/>
        </w:trPr>
        <w:tc>
          <w:tcPr>
            <w:tcW w:w="4051" w:type="dxa"/>
            <w:tcBorders>
              <w:top w:val="nil"/>
            </w:tcBorders>
          </w:tcPr>
          <w:p w14:paraId="38718D89" w14:textId="2FE5A31C" w:rsidR="006A79C8" w:rsidRDefault="004C62EA" w:rsidP="00771145">
            <w:pPr>
              <w:pStyle w:val="TableParagraph"/>
              <w:spacing w:line="212" w:lineRule="exact"/>
              <w:ind w:left="259"/>
              <w:rPr>
                <w:sz w:val="20"/>
              </w:rPr>
            </w:pPr>
            <w:r>
              <w:rPr>
                <w:sz w:val="20"/>
              </w:rPr>
              <w:t>Notary (</w:t>
            </w:r>
            <w:r w:rsidRPr="00BF1857">
              <w:rPr>
                <w:sz w:val="20"/>
              </w:rPr>
              <w:t>5</w:t>
            </w:r>
            <w:r>
              <w:rPr>
                <w:sz w:val="20"/>
              </w:rPr>
              <w:t xml:space="preserve"> x </w:t>
            </w:r>
            <w:r w:rsidR="00771145">
              <w:rPr>
                <w:sz w:val="20"/>
              </w:rPr>
              <w:t xml:space="preserve">100 </w:t>
            </w:r>
            <w:r>
              <w:rPr>
                <w:sz w:val="20"/>
              </w:rPr>
              <w:t xml:space="preserve">= </w:t>
            </w:r>
            <w:r w:rsidR="00771145">
              <w:rPr>
                <w:sz w:val="20"/>
              </w:rPr>
              <w:t>500</w:t>
            </w:r>
            <w:r>
              <w:rPr>
                <w:sz w:val="20"/>
              </w:rPr>
              <w:t>)</w:t>
            </w:r>
          </w:p>
        </w:tc>
        <w:tc>
          <w:tcPr>
            <w:tcW w:w="989" w:type="dxa"/>
            <w:tcBorders>
              <w:top w:val="nil"/>
            </w:tcBorders>
          </w:tcPr>
          <w:p w14:paraId="774F9BA8" w14:textId="77777777" w:rsidR="006A79C8" w:rsidRDefault="006A79C8">
            <w:pPr>
              <w:pStyle w:val="TableParagraph"/>
              <w:rPr>
                <w:sz w:val="16"/>
              </w:rPr>
            </w:pPr>
          </w:p>
        </w:tc>
      </w:tr>
    </w:tbl>
    <w:p w14:paraId="76DB52AC" w14:textId="0A1A4F71" w:rsidR="00EB7983" w:rsidRDefault="00EB7983" w:rsidP="00DD4578">
      <w:pPr>
        <w:pStyle w:val="Heading1"/>
        <w:tabs>
          <w:tab w:val="left" w:pos="1395"/>
        </w:tabs>
        <w:ind w:left="0"/>
        <w:contextualSpacing/>
        <w:rPr>
          <w:u w:val="none"/>
        </w:rPr>
      </w:pPr>
    </w:p>
    <w:p w14:paraId="2E6652C1" w14:textId="77777777" w:rsidR="003E7539" w:rsidRDefault="003E7539" w:rsidP="00DD4578">
      <w:pPr>
        <w:pStyle w:val="Heading1"/>
        <w:tabs>
          <w:tab w:val="left" w:pos="1395"/>
        </w:tabs>
        <w:ind w:left="0"/>
        <w:contextualSpacing/>
        <w:rPr>
          <w:u w:val="none"/>
        </w:rPr>
      </w:pPr>
    </w:p>
    <w:p w14:paraId="56FF77D9" w14:textId="77777777" w:rsidR="006A79C8" w:rsidRPr="00735EE7" w:rsidRDefault="00DD4578" w:rsidP="00DD4578">
      <w:pPr>
        <w:pStyle w:val="Heading1"/>
        <w:tabs>
          <w:tab w:val="left" w:pos="360"/>
        </w:tabs>
        <w:ind w:left="0"/>
        <w:contextualSpacing/>
        <w:rPr>
          <w:u w:val="none"/>
        </w:rPr>
      </w:pPr>
      <w:r w:rsidRPr="00741490">
        <w:rPr>
          <w:u w:val="none"/>
        </w:rPr>
        <w:t>b.</w:t>
      </w:r>
      <w:r w:rsidRPr="00741490">
        <w:rPr>
          <w:u w:val="none"/>
        </w:rPr>
        <w:tab/>
      </w:r>
      <w:r w:rsidR="004C62EA" w:rsidRPr="00741490">
        <w:rPr>
          <w:u w:val="none"/>
        </w:rPr>
        <w:t>Quota Share (QS) Holder: Identification of Ownership</w:t>
      </w:r>
      <w:r w:rsidR="004C62EA" w:rsidRPr="00741490">
        <w:rPr>
          <w:spacing w:val="-6"/>
          <w:u w:val="none"/>
        </w:rPr>
        <w:t xml:space="preserve"> </w:t>
      </w:r>
      <w:r w:rsidR="004C62EA" w:rsidRPr="00F24FE9">
        <w:rPr>
          <w:u w:val="none"/>
        </w:rPr>
        <w:t>Interest</w:t>
      </w:r>
      <w:r w:rsidR="00CE0E15" w:rsidRPr="00F24FE9">
        <w:rPr>
          <w:u w:val="none"/>
        </w:rPr>
        <w:t xml:space="preserve"> [</w:t>
      </w:r>
      <w:r w:rsidR="00ED7A6C" w:rsidRPr="00F24FE9">
        <w:rPr>
          <w:u w:val="none"/>
        </w:rPr>
        <w:t>adjusted</w:t>
      </w:r>
      <w:r w:rsidR="00CE0E15" w:rsidRPr="00F24FE9">
        <w:rPr>
          <w:u w:val="none"/>
        </w:rPr>
        <w:t>]</w:t>
      </w:r>
    </w:p>
    <w:p w14:paraId="21A59C85" w14:textId="77777777" w:rsidR="006A79C8" w:rsidRDefault="006A79C8" w:rsidP="00735EE7">
      <w:pPr>
        <w:pStyle w:val="BodyText"/>
        <w:contextualSpacing/>
        <w:rPr>
          <w:b/>
          <w:sz w:val="23"/>
        </w:rPr>
      </w:pPr>
    </w:p>
    <w:p w14:paraId="6972683D" w14:textId="77777777" w:rsidR="00B934FB" w:rsidRPr="00C958C5" w:rsidRDefault="004C62EA" w:rsidP="00735EE7">
      <w:pPr>
        <w:pStyle w:val="BodyText"/>
        <w:contextualSpacing/>
      </w:pPr>
      <w:r>
        <w:t xml:space="preserve">This form must be submitted annually to NMFS by corporations, partnerships, associations, and </w:t>
      </w:r>
      <w:r w:rsidRPr="00C958C5">
        <w:t xml:space="preserve">other non-individual entities that hold QS. </w:t>
      </w:r>
    </w:p>
    <w:p w14:paraId="6515E8C4" w14:textId="77777777" w:rsidR="00B934FB" w:rsidRPr="00C958C5" w:rsidRDefault="00B934FB" w:rsidP="00735EE7">
      <w:pPr>
        <w:pStyle w:val="BodyText"/>
        <w:contextualSpacing/>
      </w:pPr>
    </w:p>
    <w:p w14:paraId="148F83AB" w14:textId="63B3021E" w:rsidR="006A79C8" w:rsidRPr="00C958C5" w:rsidRDefault="004C62EA" w:rsidP="00735EE7">
      <w:pPr>
        <w:pStyle w:val="BodyText"/>
        <w:contextualSpacing/>
      </w:pPr>
      <w:r w:rsidRPr="00C958C5">
        <w:t>The information requested is needed by</w:t>
      </w:r>
      <w:r w:rsidRPr="00C958C5">
        <w:rPr>
          <w:spacing w:val="-23"/>
        </w:rPr>
        <w:t xml:space="preserve"> </w:t>
      </w:r>
      <w:r w:rsidRPr="00C958C5">
        <w:t xml:space="preserve">NMFS to determine compliance with </w:t>
      </w:r>
      <w:r w:rsidRPr="00C958C5">
        <w:rPr>
          <w:spacing w:val="-2"/>
        </w:rPr>
        <w:t xml:space="preserve">IFQ </w:t>
      </w:r>
      <w:r w:rsidR="00920F8B" w:rsidRPr="00C958C5">
        <w:t>P</w:t>
      </w:r>
      <w:r w:rsidRPr="00C958C5">
        <w:t>rogram requirements</w:t>
      </w:r>
      <w:r w:rsidR="006A5BAB" w:rsidRPr="00C958C5">
        <w:t xml:space="preserve"> that include the following</w:t>
      </w:r>
      <w:r w:rsidRPr="00C958C5">
        <w:t>:</w:t>
      </w:r>
    </w:p>
    <w:p w14:paraId="7E9B77AE" w14:textId="4BEEC6A7" w:rsidR="006A79C8" w:rsidRPr="00C958C5" w:rsidRDefault="004C62EA" w:rsidP="00552FEF">
      <w:pPr>
        <w:pStyle w:val="ListParagraph"/>
        <w:numPr>
          <w:ilvl w:val="0"/>
          <w:numId w:val="3"/>
        </w:numPr>
        <w:tabs>
          <w:tab w:val="left" w:pos="360"/>
        </w:tabs>
        <w:contextualSpacing/>
        <w:rPr>
          <w:sz w:val="24"/>
          <w:szCs w:val="24"/>
        </w:rPr>
      </w:pPr>
      <w:r w:rsidRPr="00C958C5">
        <w:rPr>
          <w:sz w:val="24"/>
          <w:szCs w:val="24"/>
        </w:rPr>
        <w:t>determine if persons who hold QS have exceeded their allowable use limits under the “individually and collectively” language set out in the IFQ regulations at 50 CFR 679.42(e) and (f);</w:t>
      </w:r>
    </w:p>
    <w:p w14:paraId="3D4587AB" w14:textId="0072968C" w:rsidR="006A79C8" w:rsidRPr="00C958C5" w:rsidRDefault="004C62EA" w:rsidP="00552FEF">
      <w:pPr>
        <w:pStyle w:val="ListParagraph"/>
        <w:numPr>
          <w:ilvl w:val="0"/>
          <w:numId w:val="3"/>
        </w:numPr>
        <w:tabs>
          <w:tab w:val="left" w:pos="360"/>
        </w:tabs>
        <w:contextualSpacing/>
        <w:rPr>
          <w:sz w:val="24"/>
          <w:szCs w:val="24"/>
        </w:rPr>
      </w:pPr>
      <w:r w:rsidRPr="00C958C5">
        <w:rPr>
          <w:sz w:val="24"/>
          <w:szCs w:val="24"/>
        </w:rPr>
        <w:t>determine if a corporation or partnership that holds catcher vessel QS has changed (i.e., the addition of a new member</w:t>
      </w:r>
      <w:r w:rsidR="00D2020E" w:rsidRPr="00C958C5">
        <w:rPr>
          <w:sz w:val="24"/>
          <w:szCs w:val="24"/>
        </w:rPr>
        <w:t>);</w:t>
      </w:r>
    </w:p>
    <w:p w14:paraId="2F7285C9" w14:textId="520DDA5B"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i</w:t>
      </w:r>
      <w:r w:rsidR="00B934FB" w:rsidRPr="00C958C5">
        <w:rPr>
          <w:sz w:val="24"/>
          <w:szCs w:val="24"/>
        </w:rPr>
        <w:t>dentify first-time applicants</w:t>
      </w:r>
      <w:r w:rsidRPr="00C958C5">
        <w:rPr>
          <w:sz w:val="24"/>
          <w:szCs w:val="24"/>
        </w:rPr>
        <w:t>;</w:t>
      </w:r>
    </w:p>
    <w:p w14:paraId="5783419E" w14:textId="2FC636B1"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a</w:t>
      </w:r>
      <w:r w:rsidR="00B934FB" w:rsidRPr="00C958C5">
        <w:rPr>
          <w:sz w:val="24"/>
          <w:szCs w:val="24"/>
        </w:rPr>
        <w:t>ffirm an entity’s continuing existence</w:t>
      </w:r>
      <w:r w:rsidRPr="00C958C5">
        <w:rPr>
          <w:sz w:val="24"/>
          <w:szCs w:val="24"/>
        </w:rPr>
        <w:t>;</w:t>
      </w:r>
    </w:p>
    <w:p w14:paraId="61791CD1" w14:textId="72890379"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e</w:t>
      </w:r>
      <w:r w:rsidR="00B934FB" w:rsidRPr="00C958C5">
        <w:rPr>
          <w:sz w:val="24"/>
          <w:szCs w:val="24"/>
        </w:rPr>
        <w:t>nsure corporations and partnerships are not erroneously issued annual IFQ resulting from the collectively held QS</w:t>
      </w:r>
      <w:r w:rsidRPr="00C958C5">
        <w:rPr>
          <w:sz w:val="24"/>
          <w:szCs w:val="24"/>
        </w:rPr>
        <w:t>;</w:t>
      </w:r>
    </w:p>
    <w:p w14:paraId="7E5376A2" w14:textId="0D5728D4" w:rsidR="00B934FB" w:rsidRPr="00C958C5" w:rsidRDefault="00D2020E" w:rsidP="00B934F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determine i</w:t>
      </w:r>
      <w:r w:rsidR="00B934FB" w:rsidRPr="00C958C5">
        <w:rPr>
          <w:sz w:val="24"/>
          <w:szCs w:val="24"/>
        </w:rPr>
        <w:t>ndirect ownership of vessels for purposes of the hired master provisions of the IFQ Program.</w:t>
      </w:r>
    </w:p>
    <w:p w14:paraId="62FB1697" w14:textId="77777777" w:rsidR="006A79C8" w:rsidRPr="00C958C5" w:rsidRDefault="006A79C8" w:rsidP="00735EE7">
      <w:pPr>
        <w:pStyle w:val="BodyText"/>
        <w:contextualSpacing/>
      </w:pPr>
    </w:p>
    <w:p w14:paraId="559E94DE" w14:textId="77777777" w:rsidR="006A79C8" w:rsidRPr="00C958C5" w:rsidRDefault="004C62EA" w:rsidP="00735EE7">
      <w:pPr>
        <w:pStyle w:val="BodyText"/>
        <w:contextualSpacing/>
      </w:pPr>
      <w:r w:rsidRPr="00C958C5">
        <w:t>An entity must notify NMFS of any change within 15 days of its effective date and must then transfer its QS to a qualified individual.</w:t>
      </w:r>
    </w:p>
    <w:p w14:paraId="3FC1E5B6" w14:textId="77777777" w:rsidR="006A79C8" w:rsidRDefault="006A79C8" w:rsidP="00735EE7">
      <w:pPr>
        <w:pStyle w:val="BodyText"/>
        <w:contextualSpacing/>
      </w:pPr>
    </w:p>
    <w:p w14:paraId="0C964186" w14:textId="01F9068D" w:rsidR="006A79C8" w:rsidRDefault="004C62EA" w:rsidP="00735EE7">
      <w:pPr>
        <w:pStyle w:val="BodyText"/>
        <w:contextualSpacing/>
      </w:pPr>
      <w:r>
        <w:t>Proof of vessel ownership must be submitted by non-individual respondents each year. Federal regulations at 50 CFR 679.42(i) and (j) define acceptable proof of ownership as</w:t>
      </w:r>
      <w:r w:rsidR="006A5BAB">
        <w:t xml:space="preserve"> follows</w:t>
      </w:r>
      <w:r>
        <w:t>:</w:t>
      </w:r>
    </w:p>
    <w:p w14:paraId="7B5C7350" w14:textId="77777777" w:rsidR="006A79C8" w:rsidRDefault="004C62EA" w:rsidP="00DE0F16">
      <w:pPr>
        <w:pStyle w:val="BodyText"/>
        <w:numPr>
          <w:ilvl w:val="0"/>
          <w:numId w:val="14"/>
        </w:numPr>
        <w:contextualSpacing/>
      </w:pPr>
      <w:r>
        <w:t>For a documented vessel, owns a minimum 20</w:t>
      </w:r>
      <w:r w:rsidR="00DE0F16">
        <w:t>-</w:t>
      </w:r>
      <w:r>
        <w:t>percent interest in the vessel as shown</w:t>
      </w:r>
      <w:r w:rsidRPr="00DE0F16">
        <w:rPr>
          <w:spacing w:val="-17"/>
        </w:rPr>
        <w:t xml:space="preserve"> </w:t>
      </w:r>
      <w:r>
        <w:t>by the U.S. Abstract of Title issued by the USCG that lists the permit holder as</w:t>
      </w:r>
      <w:r w:rsidRPr="00DE0F16">
        <w:rPr>
          <w:spacing w:val="-14"/>
        </w:rPr>
        <w:t xml:space="preserve"> </w:t>
      </w:r>
      <w:r>
        <w:t>an</w:t>
      </w:r>
      <w:r w:rsidR="00DE0F16">
        <w:t xml:space="preserve"> </w:t>
      </w:r>
      <w:r>
        <w:t>owner and, if necessary to prove the required percentage ownership, other written documentation;</w:t>
      </w:r>
    </w:p>
    <w:p w14:paraId="24C0C8C3" w14:textId="77777777" w:rsidR="006A79C8" w:rsidRDefault="004C62EA" w:rsidP="00DE0F16">
      <w:pPr>
        <w:pStyle w:val="ListParagraph"/>
        <w:numPr>
          <w:ilvl w:val="0"/>
          <w:numId w:val="14"/>
        </w:numPr>
        <w:tabs>
          <w:tab w:val="left" w:pos="1799"/>
          <w:tab w:val="left" w:pos="1800"/>
        </w:tabs>
        <w:contextualSpacing/>
        <w:rPr>
          <w:sz w:val="24"/>
        </w:rPr>
      </w:pPr>
      <w:r>
        <w:rPr>
          <w:sz w:val="24"/>
        </w:rPr>
        <w:t>For an undocumented vessel, owns a minimum 20</w:t>
      </w:r>
      <w:r w:rsidR="00DE0F16">
        <w:rPr>
          <w:sz w:val="24"/>
        </w:rPr>
        <w:t>-</w:t>
      </w:r>
      <w:r>
        <w:rPr>
          <w:sz w:val="24"/>
        </w:rPr>
        <w:t>percent interest in the vessel as</w:t>
      </w:r>
      <w:r>
        <w:rPr>
          <w:spacing w:val="-18"/>
          <w:sz w:val="24"/>
        </w:rPr>
        <w:t xml:space="preserve"> </w:t>
      </w:r>
      <w:r>
        <w:rPr>
          <w:sz w:val="24"/>
        </w:rPr>
        <w:t>shown by a State of Alaska vessel license or registration that lists the permit holder as an owner and, if necessary to show the required percentage ownership</w:t>
      </w:r>
      <w:r>
        <w:rPr>
          <w:spacing w:val="-8"/>
          <w:sz w:val="24"/>
        </w:rPr>
        <w:t xml:space="preserve"> </w:t>
      </w:r>
      <w:r>
        <w:rPr>
          <w:sz w:val="24"/>
        </w:rPr>
        <w:t>interest</w:t>
      </w:r>
      <w:r w:rsidR="00DE0F16">
        <w:rPr>
          <w:sz w:val="24"/>
        </w:rPr>
        <w:t>.</w:t>
      </w:r>
    </w:p>
    <w:p w14:paraId="12E2AEB2" w14:textId="77777777" w:rsidR="006A79C8" w:rsidRDefault="006A79C8" w:rsidP="00735EE7">
      <w:pPr>
        <w:pStyle w:val="BodyText"/>
        <w:contextualSpacing/>
      </w:pPr>
    </w:p>
    <w:p w14:paraId="1D548B94" w14:textId="77777777" w:rsidR="006A79C8" w:rsidRDefault="004C62EA" w:rsidP="00735EE7">
      <w:pPr>
        <w:pStyle w:val="BodyText"/>
        <w:contextualSpacing/>
      </w:pPr>
      <w:r>
        <w:t xml:space="preserve">An ownership interest application may be submitted to NMFS </w:t>
      </w:r>
      <w:r w:rsidR="00DE0F16">
        <w:t xml:space="preserve">RAM </w:t>
      </w:r>
      <w:r>
        <w:t>by mail</w:t>
      </w:r>
      <w:r w:rsidR="00DE0F16">
        <w:t>,</w:t>
      </w:r>
      <w:r>
        <w:t xml:space="preserve"> delivery</w:t>
      </w:r>
      <w:r w:rsidR="00DE0F16">
        <w:t>, or fax</w:t>
      </w:r>
      <w:r>
        <w:t>.</w:t>
      </w:r>
      <w:r w:rsidR="00DE0F16" w:rsidRPr="00DE0F16">
        <w:t xml:space="preserve"> </w:t>
      </w:r>
    </w:p>
    <w:p w14:paraId="1A081DCA" w14:textId="77777777" w:rsidR="00464D0E" w:rsidRDefault="00464D0E" w:rsidP="00464D0E">
      <w:pPr>
        <w:pStyle w:val="BodyText"/>
        <w:contextualSpacing/>
      </w:pPr>
    </w:p>
    <w:p w14:paraId="4C2AB08E" w14:textId="0B3D5936" w:rsidR="006A79C8" w:rsidRPr="00464D0E" w:rsidRDefault="00464D0E" w:rsidP="00464D0E">
      <w:pPr>
        <w:pStyle w:val="BodyText"/>
        <w:contextualSpacing/>
      </w:pPr>
      <w:r w:rsidRPr="00464D0E">
        <w:t xml:space="preserve">The following information is collected on the form Quota Share </w:t>
      </w:r>
      <w:r w:rsidR="004C62EA" w:rsidRPr="00464D0E">
        <w:t>Holder: Identification of Ownership Interest</w:t>
      </w:r>
      <w:r>
        <w:t>.</w:t>
      </w:r>
    </w:p>
    <w:p w14:paraId="0CF417AF" w14:textId="77777777" w:rsidR="00464D0E" w:rsidRPr="00464D0E" w:rsidRDefault="00464D0E" w:rsidP="00464D0E">
      <w:pPr>
        <w:pStyle w:val="BodyText"/>
        <w:contextualSpacing/>
        <w:rPr>
          <w:b/>
        </w:rPr>
      </w:pPr>
    </w:p>
    <w:p w14:paraId="1CC41DB7" w14:textId="77777777" w:rsidR="00DE0F16" w:rsidRDefault="004C62EA" w:rsidP="00735EE7">
      <w:pPr>
        <w:contextualSpacing/>
        <w:rPr>
          <w:sz w:val="20"/>
        </w:rPr>
      </w:pPr>
      <w:r>
        <w:rPr>
          <w:sz w:val="20"/>
          <w:u w:val="single"/>
        </w:rPr>
        <w:t>Block A – Identification of QS holder</w:t>
      </w:r>
      <w:r>
        <w:rPr>
          <w:sz w:val="20"/>
        </w:rPr>
        <w:t xml:space="preserve"> </w:t>
      </w:r>
    </w:p>
    <w:p w14:paraId="2AB4BF10" w14:textId="77777777" w:rsidR="006A79C8" w:rsidRDefault="004C62EA" w:rsidP="00735EE7">
      <w:pPr>
        <w:contextualSpacing/>
        <w:rPr>
          <w:sz w:val="20"/>
        </w:rPr>
      </w:pPr>
      <w:r>
        <w:rPr>
          <w:sz w:val="20"/>
        </w:rPr>
        <w:t>Name of QS holder</w:t>
      </w:r>
    </w:p>
    <w:p w14:paraId="73128A86" w14:textId="77777777" w:rsidR="006A79C8" w:rsidRDefault="004C62EA" w:rsidP="00735EE7">
      <w:pPr>
        <w:contextualSpacing/>
        <w:rPr>
          <w:sz w:val="20"/>
        </w:rPr>
      </w:pPr>
      <w:r>
        <w:rPr>
          <w:sz w:val="20"/>
        </w:rPr>
        <w:t>Indicate whether this business is a publicly held corporation</w:t>
      </w:r>
    </w:p>
    <w:p w14:paraId="29591BFC" w14:textId="77777777" w:rsidR="006A79C8" w:rsidRDefault="004C62EA" w:rsidP="00735EE7">
      <w:pPr>
        <w:contextualSpacing/>
        <w:rPr>
          <w:sz w:val="20"/>
        </w:rPr>
      </w:pPr>
      <w:r>
        <w:rPr>
          <w:sz w:val="20"/>
        </w:rPr>
        <w:t>If a corporation, association, partnership, or other non-individual entity indicate whether still active</w:t>
      </w:r>
    </w:p>
    <w:p w14:paraId="5A935C33" w14:textId="77777777" w:rsidR="006A79C8" w:rsidRDefault="004C62EA" w:rsidP="00735EE7">
      <w:pPr>
        <w:contextualSpacing/>
        <w:rPr>
          <w:sz w:val="20"/>
        </w:rPr>
      </w:pPr>
      <w:r>
        <w:rPr>
          <w:sz w:val="20"/>
        </w:rPr>
        <w:t>If an estate that has been probated, provide date probate was finalized</w:t>
      </w:r>
    </w:p>
    <w:p w14:paraId="6244FF92" w14:textId="77777777" w:rsidR="006A79C8" w:rsidRDefault="004C62EA" w:rsidP="00735EE7">
      <w:pPr>
        <w:contextualSpacing/>
        <w:rPr>
          <w:sz w:val="20"/>
        </w:rPr>
      </w:pPr>
      <w:r>
        <w:rPr>
          <w:sz w:val="20"/>
          <w:u w:val="single"/>
        </w:rPr>
        <w:t>Block B – Identification of Members, Shareholders, Partners, Joint Venturers, Successors-In-Interest</w:t>
      </w:r>
    </w:p>
    <w:p w14:paraId="0C0D6539" w14:textId="77777777" w:rsidR="006A79C8" w:rsidRDefault="004C62EA" w:rsidP="00735EE7">
      <w:pPr>
        <w:contextualSpacing/>
        <w:rPr>
          <w:sz w:val="20"/>
        </w:rPr>
      </w:pPr>
      <w:r>
        <w:rPr>
          <w:sz w:val="20"/>
        </w:rPr>
        <w:t>If ownership consists of separate or additional corporations or partnerships, the individual owners of those entities and the percentage of interest those individuals hold in their respective corporations/partnerships must be listed</w:t>
      </w:r>
    </w:p>
    <w:p w14:paraId="78F105BC" w14:textId="77777777" w:rsidR="00DE0F16" w:rsidRDefault="004C62EA" w:rsidP="00DE0F16">
      <w:pPr>
        <w:ind w:left="360"/>
        <w:contextualSpacing/>
        <w:rPr>
          <w:sz w:val="20"/>
        </w:rPr>
      </w:pPr>
      <w:r>
        <w:rPr>
          <w:sz w:val="20"/>
        </w:rPr>
        <w:t xml:space="preserve">Name of owner(s) </w:t>
      </w:r>
    </w:p>
    <w:p w14:paraId="5175E8D1" w14:textId="77777777" w:rsidR="006A79C8" w:rsidRDefault="004C62EA" w:rsidP="00DE0F16">
      <w:pPr>
        <w:ind w:left="360"/>
        <w:contextualSpacing/>
        <w:rPr>
          <w:sz w:val="20"/>
        </w:rPr>
      </w:pPr>
      <w:r>
        <w:rPr>
          <w:sz w:val="20"/>
        </w:rPr>
        <w:t>Percent of interest held</w:t>
      </w:r>
    </w:p>
    <w:p w14:paraId="33718CF1" w14:textId="77777777" w:rsidR="00AB51E4" w:rsidRDefault="004C62EA" w:rsidP="00AB51E4">
      <w:pPr>
        <w:ind w:left="360"/>
        <w:contextualSpacing/>
        <w:rPr>
          <w:sz w:val="20"/>
        </w:rPr>
      </w:pPr>
      <w:r>
        <w:rPr>
          <w:sz w:val="20"/>
        </w:rPr>
        <w:t>Indicate whether ownership percentages represent the addition of any new owners since QS was initially issued</w:t>
      </w:r>
    </w:p>
    <w:p w14:paraId="2638CC6C" w14:textId="77777777" w:rsidR="006A79C8" w:rsidRDefault="004C62EA" w:rsidP="00AB51E4">
      <w:pPr>
        <w:contextualSpacing/>
        <w:rPr>
          <w:sz w:val="20"/>
        </w:rPr>
      </w:pPr>
      <w:r>
        <w:rPr>
          <w:sz w:val="20"/>
          <w:u w:val="single"/>
        </w:rPr>
        <w:t>Block C – Certification</w:t>
      </w:r>
    </w:p>
    <w:p w14:paraId="6C072106" w14:textId="77777777" w:rsidR="006A79C8" w:rsidRDefault="00D11BBC" w:rsidP="00735EE7">
      <w:pPr>
        <w:contextualSpacing/>
        <w:rPr>
          <w:sz w:val="20"/>
        </w:rPr>
      </w:pPr>
      <w:r>
        <w:rPr>
          <w:sz w:val="20"/>
        </w:rPr>
        <w:t>P</w:t>
      </w:r>
      <w:r w:rsidR="004C62EA">
        <w:rPr>
          <w:sz w:val="20"/>
        </w:rPr>
        <w:t>rinted name</w:t>
      </w:r>
      <w:r>
        <w:rPr>
          <w:sz w:val="20"/>
        </w:rPr>
        <w:t xml:space="preserve"> and signature of applicant </w:t>
      </w:r>
      <w:r w:rsidR="00443BE5">
        <w:rPr>
          <w:sz w:val="20"/>
        </w:rPr>
        <w:t xml:space="preserve">or authorized representative </w:t>
      </w:r>
      <w:r>
        <w:rPr>
          <w:sz w:val="20"/>
        </w:rPr>
        <w:t>and date signed</w:t>
      </w:r>
      <w:r w:rsidR="00443BE5">
        <w:rPr>
          <w:sz w:val="20"/>
        </w:rPr>
        <w:t>. Authorized representatives must submit proof of authorization from QS owner and state title.</w:t>
      </w:r>
    </w:p>
    <w:p w14:paraId="688AE28E" w14:textId="77777777" w:rsidR="006A79C8" w:rsidRDefault="006A79C8" w:rsidP="00735EE7">
      <w:pPr>
        <w:pStyle w:val="BodyText"/>
        <w:contextualSpacing/>
        <w:rPr>
          <w:sz w:val="19"/>
        </w:rPr>
      </w:pPr>
    </w:p>
    <w:p w14:paraId="332259B2"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900"/>
      </w:tblGrid>
      <w:tr w:rsidR="006A79C8" w14:paraId="4006CA49" w14:textId="77777777" w:rsidTr="00A70496">
        <w:trPr>
          <w:trHeight w:val="460"/>
          <w:jc w:val="center"/>
        </w:trPr>
        <w:tc>
          <w:tcPr>
            <w:tcW w:w="4500" w:type="dxa"/>
            <w:gridSpan w:val="2"/>
          </w:tcPr>
          <w:p w14:paraId="47D7E206" w14:textId="77777777" w:rsidR="006A79C8" w:rsidRDefault="004C62EA" w:rsidP="00735EE7">
            <w:pPr>
              <w:pStyle w:val="TableParagraph"/>
              <w:contextualSpacing/>
              <w:rPr>
                <w:b/>
                <w:sz w:val="20"/>
              </w:rPr>
            </w:pPr>
            <w:r>
              <w:rPr>
                <w:b/>
                <w:sz w:val="20"/>
              </w:rPr>
              <w:t>QS Holder Form: Identification of Ownership Interest, Respondent</w:t>
            </w:r>
          </w:p>
        </w:tc>
      </w:tr>
      <w:tr w:rsidR="006A79C8" w14:paraId="13638A76" w14:textId="77777777" w:rsidTr="00A70496">
        <w:trPr>
          <w:trHeight w:val="2298"/>
          <w:jc w:val="center"/>
        </w:trPr>
        <w:tc>
          <w:tcPr>
            <w:tcW w:w="3600" w:type="dxa"/>
          </w:tcPr>
          <w:p w14:paraId="5F8B1EA5" w14:textId="77777777" w:rsidR="00F152D7" w:rsidRDefault="004C62EA" w:rsidP="00735EE7">
            <w:pPr>
              <w:pStyle w:val="TableParagraph"/>
              <w:contextualSpacing/>
              <w:rPr>
                <w:b/>
                <w:sz w:val="20"/>
              </w:rPr>
            </w:pPr>
            <w:r>
              <w:rPr>
                <w:b/>
                <w:sz w:val="20"/>
              </w:rPr>
              <w:t xml:space="preserve">Estimated number of respondents </w:t>
            </w:r>
          </w:p>
          <w:p w14:paraId="77238EC2" w14:textId="77777777" w:rsidR="006A79C8" w:rsidRDefault="004C62EA" w:rsidP="00735EE7">
            <w:pPr>
              <w:pStyle w:val="TableParagraph"/>
              <w:contextualSpacing/>
              <w:rPr>
                <w:b/>
                <w:sz w:val="20"/>
              </w:rPr>
            </w:pPr>
            <w:r>
              <w:rPr>
                <w:b/>
                <w:sz w:val="20"/>
              </w:rPr>
              <w:t>Total annual responses</w:t>
            </w:r>
          </w:p>
          <w:p w14:paraId="2A289B1E" w14:textId="77777777" w:rsidR="006A79C8" w:rsidRDefault="004C62EA" w:rsidP="00735EE7">
            <w:pPr>
              <w:pStyle w:val="TableParagraph"/>
              <w:contextualSpacing/>
              <w:rPr>
                <w:sz w:val="20"/>
              </w:rPr>
            </w:pPr>
            <w:r>
              <w:rPr>
                <w:sz w:val="20"/>
              </w:rPr>
              <w:t>Number of responses per year = 1</w:t>
            </w:r>
          </w:p>
          <w:p w14:paraId="72D3A470" w14:textId="5188FF93" w:rsidR="006A79C8" w:rsidRDefault="00762521" w:rsidP="00735EE7">
            <w:pPr>
              <w:pStyle w:val="TableParagraph"/>
              <w:contextualSpacing/>
              <w:rPr>
                <w:b/>
                <w:sz w:val="20"/>
              </w:rPr>
            </w:pPr>
            <w:r>
              <w:rPr>
                <w:b/>
                <w:sz w:val="20"/>
              </w:rPr>
              <w:t>Total t</w:t>
            </w:r>
            <w:r w:rsidR="004C62EA">
              <w:rPr>
                <w:b/>
                <w:sz w:val="20"/>
              </w:rPr>
              <w:t>ime burden</w:t>
            </w:r>
          </w:p>
          <w:p w14:paraId="3C585506" w14:textId="77777777" w:rsidR="006A79C8" w:rsidRDefault="004C62EA" w:rsidP="00735EE7">
            <w:pPr>
              <w:pStyle w:val="TableParagraph"/>
              <w:contextualSpacing/>
              <w:rPr>
                <w:sz w:val="20"/>
              </w:rPr>
            </w:pPr>
            <w:r>
              <w:rPr>
                <w:sz w:val="20"/>
              </w:rPr>
              <w:t>Time per response = 2 hr</w:t>
            </w:r>
          </w:p>
          <w:p w14:paraId="23C2963B" w14:textId="6E6A13F2" w:rsidR="006A79C8" w:rsidRDefault="004C62EA" w:rsidP="00735EE7">
            <w:pPr>
              <w:pStyle w:val="TableParagraph"/>
              <w:contextualSpacing/>
              <w:rPr>
                <w:sz w:val="20"/>
              </w:rPr>
            </w:pPr>
            <w:r>
              <w:rPr>
                <w:b/>
                <w:sz w:val="20"/>
              </w:rPr>
              <w:t xml:space="preserve">Total personnel cost </w:t>
            </w:r>
            <w:r>
              <w:rPr>
                <w:sz w:val="20"/>
              </w:rPr>
              <w:t xml:space="preserve">($37/hr x </w:t>
            </w:r>
            <w:r w:rsidR="007D3DDA">
              <w:rPr>
                <w:sz w:val="20"/>
              </w:rPr>
              <w:t>300</w:t>
            </w:r>
            <w:r>
              <w:rPr>
                <w:sz w:val="20"/>
              </w:rPr>
              <w:t>)</w:t>
            </w:r>
          </w:p>
          <w:p w14:paraId="7B0A211C" w14:textId="768C2977" w:rsidR="006A79C8" w:rsidRDefault="004C62EA" w:rsidP="00735EE7">
            <w:pPr>
              <w:pStyle w:val="TableParagraph"/>
              <w:contextualSpacing/>
              <w:rPr>
                <w:b/>
                <w:sz w:val="20"/>
              </w:rPr>
            </w:pPr>
            <w:r>
              <w:rPr>
                <w:b/>
                <w:sz w:val="20"/>
              </w:rPr>
              <w:t>Total miscellaneous cost</w:t>
            </w:r>
            <w:r w:rsidR="00165566">
              <w:rPr>
                <w:b/>
                <w:sz w:val="20"/>
              </w:rPr>
              <w:t xml:space="preserve"> </w:t>
            </w:r>
            <w:r w:rsidR="00165566" w:rsidRPr="00165566">
              <w:rPr>
                <w:sz w:val="20"/>
              </w:rPr>
              <w:t>(</w:t>
            </w:r>
            <w:r w:rsidR="007D3DDA">
              <w:rPr>
                <w:sz w:val="20"/>
              </w:rPr>
              <w:t>474.20</w:t>
            </w:r>
            <w:r w:rsidR="00165566" w:rsidRPr="00165566">
              <w:rPr>
                <w:sz w:val="20"/>
              </w:rPr>
              <w:t>)</w:t>
            </w:r>
          </w:p>
          <w:p w14:paraId="4EA51A8B" w14:textId="709FAC09" w:rsidR="006A79C8" w:rsidRDefault="004C62EA" w:rsidP="00735EE7">
            <w:pPr>
              <w:pStyle w:val="TableParagraph"/>
              <w:contextualSpacing/>
              <w:rPr>
                <w:sz w:val="20"/>
              </w:rPr>
            </w:pPr>
            <w:r>
              <w:rPr>
                <w:sz w:val="20"/>
              </w:rPr>
              <w:t>Postage (0.</w:t>
            </w:r>
            <w:r w:rsidR="000C5C81">
              <w:rPr>
                <w:sz w:val="20"/>
              </w:rPr>
              <w:t xml:space="preserve">49 </w:t>
            </w:r>
            <w:r>
              <w:rPr>
                <w:sz w:val="20"/>
              </w:rPr>
              <w:t xml:space="preserve">x </w:t>
            </w:r>
            <w:r w:rsidR="007D3DDA">
              <w:rPr>
                <w:sz w:val="20"/>
              </w:rPr>
              <w:t xml:space="preserve">80 </w:t>
            </w:r>
            <w:r>
              <w:rPr>
                <w:sz w:val="20"/>
              </w:rPr>
              <w:t xml:space="preserve">= </w:t>
            </w:r>
            <w:r w:rsidR="007D3DDA">
              <w:rPr>
                <w:sz w:val="20"/>
              </w:rPr>
              <w:t>39.20</w:t>
            </w:r>
            <w:r>
              <w:rPr>
                <w:sz w:val="20"/>
              </w:rPr>
              <w:t>)</w:t>
            </w:r>
          </w:p>
          <w:p w14:paraId="2EF82B93" w14:textId="2FAC8555" w:rsidR="006A79C8" w:rsidRDefault="004C62EA" w:rsidP="00735EE7">
            <w:pPr>
              <w:pStyle w:val="TableParagraph"/>
              <w:contextualSpacing/>
              <w:rPr>
                <w:sz w:val="20"/>
              </w:rPr>
            </w:pPr>
            <w:r>
              <w:rPr>
                <w:sz w:val="20"/>
              </w:rPr>
              <w:t xml:space="preserve">Photocopy (0.05 x 2pp x </w:t>
            </w:r>
            <w:r w:rsidR="007D3DDA">
              <w:rPr>
                <w:sz w:val="20"/>
              </w:rPr>
              <w:t xml:space="preserve">150 </w:t>
            </w:r>
            <w:r>
              <w:rPr>
                <w:sz w:val="20"/>
              </w:rPr>
              <w:t xml:space="preserve">= </w:t>
            </w:r>
            <w:r w:rsidR="007D3DDA">
              <w:rPr>
                <w:sz w:val="20"/>
              </w:rPr>
              <w:t>15</w:t>
            </w:r>
            <w:r>
              <w:rPr>
                <w:sz w:val="20"/>
              </w:rPr>
              <w:t>)</w:t>
            </w:r>
          </w:p>
          <w:p w14:paraId="01AC8185" w14:textId="44D68C9D" w:rsidR="006A79C8" w:rsidRDefault="00165566" w:rsidP="007D3DDA">
            <w:pPr>
              <w:pStyle w:val="TableParagraph"/>
              <w:contextualSpacing/>
              <w:rPr>
                <w:sz w:val="20"/>
              </w:rPr>
            </w:pPr>
            <w:r>
              <w:rPr>
                <w:sz w:val="20"/>
              </w:rPr>
              <w:t xml:space="preserve">Fax ($6 x </w:t>
            </w:r>
            <w:r w:rsidR="007D3DDA">
              <w:rPr>
                <w:sz w:val="20"/>
              </w:rPr>
              <w:t xml:space="preserve">70 </w:t>
            </w:r>
            <w:r>
              <w:rPr>
                <w:sz w:val="20"/>
              </w:rPr>
              <w:t xml:space="preserve">= </w:t>
            </w:r>
            <w:r w:rsidR="007D3DDA">
              <w:rPr>
                <w:sz w:val="20"/>
              </w:rPr>
              <w:t>420</w:t>
            </w:r>
            <w:r>
              <w:rPr>
                <w:sz w:val="20"/>
              </w:rPr>
              <w:t>)</w:t>
            </w:r>
          </w:p>
        </w:tc>
        <w:tc>
          <w:tcPr>
            <w:tcW w:w="900" w:type="dxa"/>
          </w:tcPr>
          <w:p w14:paraId="51F179FF" w14:textId="75DD42F1" w:rsidR="006A79C8" w:rsidRDefault="007D3DDA" w:rsidP="00837E21">
            <w:pPr>
              <w:pStyle w:val="TableParagraph"/>
              <w:contextualSpacing/>
              <w:jc w:val="right"/>
              <w:rPr>
                <w:b/>
                <w:sz w:val="20"/>
              </w:rPr>
            </w:pPr>
            <w:r>
              <w:rPr>
                <w:b/>
                <w:sz w:val="20"/>
              </w:rPr>
              <w:t>150</w:t>
            </w:r>
          </w:p>
          <w:p w14:paraId="37E20BB3" w14:textId="445E0492" w:rsidR="006A79C8" w:rsidRDefault="007D3DDA" w:rsidP="00837E21">
            <w:pPr>
              <w:pStyle w:val="TableParagraph"/>
              <w:contextualSpacing/>
              <w:jc w:val="right"/>
              <w:rPr>
                <w:b/>
                <w:sz w:val="20"/>
              </w:rPr>
            </w:pPr>
            <w:r>
              <w:rPr>
                <w:b/>
                <w:sz w:val="20"/>
              </w:rPr>
              <w:t>150</w:t>
            </w:r>
          </w:p>
          <w:p w14:paraId="75E79742" w14:textId="77777777" w:rsidR="006A79C8" w:rsidRDefault="006A79C8" w:rsidP="00837E21">
            <w:pPr>
              <w:pStyle w:val="TableParagraph"/>
              <w:contextualSpacing/>
              <w:jc w:val="right"/>
              <w:rPr>
                <w:sz w:val="19"/>
              </w:rPr>
            </w:pPr>
          </w:p>
          <w:p w14:paraId="50A2B8E2" w14:textId="65E239F7" w:rsidR="006A79C8" w:rsidRDefault="007D3DDA" w:rsidP="00837E21">
            <w:pPr>
              <w:pStyle w:val="TableParagraph"/>
              <w:contextualSpacing/>
              <w:jc w:val="right"/>
              <w:rPr>
                <w:b/>
                <w:sz w:val="20"/>
              </w:rPr>
            </w:pPr>
            <w:r>
              <w:rPr>
                <w:b/>
                <w:sz w:val="20"/>
              </w:rPr>
              <w:t xml:space="preserve">300 </w:t>
            </w:r>
            <w:r w:rsidR="004C62EA">
              <w:rPr>
                <w:b/>
                <w:sz w:val="20"/>
              </w:rPr>
              <w:t>hr</w:t>
            </w:r>
          </w:p>
          <w:p w14:paraId="0D9BA453" w14:textId="77777777" w:rsidR="006A79C8" w:rsidRDefault="006A79C8" w:rsidP="00837E21">
            <w:pPr>
              <w:pStyle w:val="TableParagraph"/>
              <w:contextualSpacing/>
              <w:jc w:val="right"/>
              <w:rPr>
                <w:sz w:val="20"/>
              </w:rPr>
            </w:pPr>
          </w:p>
          <w:p w14:paraId="26FBBF0C" w14:textId="32D6AC45" w:rsidR="006A79C8" w:rsidRDefault="004C62EA" w:rsidP="00837E21">
            <w:pPr>
              <w:pStyle w:val="TableParagraph"/>
              <w:contextualSpacing/>
              <w:jc w:val="right"/>
              <w:rPr>
                <w:b/>
                <w:sz w:val="20"/>
              </w:rPr>
            </w:pPr>
            <w:r>
              <w:rPr>
                <w:b/>
                <w:sz w:val="20"/>
              </w:rPr>
              <w:t>$</w:t>
            </w:r>
            <w:r w:rsidR="007D3DDA">
              <w:rPr>
                <w:b/>
                <w:sz w:val="20"/>
              </w:rPr>
              <w:t>11,100</w:t>
            </w:r>
          </w:p>
          <w:p w14:paraId="22DD005C" w14:textId="709BB059" w:rsidR="006A79C8" w:rsidRDefault="004C62EA" w:rsidP="00837E21">
            <w:pPr>
              <w:pStyle w:val="TableParagraph"/>
              <w:contextualSpacing/>
              <w:jc w:val="right"/>
              <w:rPr>
                <w:b/>
                <w:sz w:val="20"/>
              </w:rPr>
            </w:pPr>
            <w:r>
              <w:rPr>
                <w:b/>
                <w:sz w:val="20"/>
              </w:rPr>
              <w:t>$</w:t>
            </w:r>
            <w:r w:rsidR="007D3DDA">
              <w:rPr>
                <w:b/>
                <w:sz w:val="20"/>
              </w:rPr>
              <w:t>474</w:t>
            </w:r>
          </w:p>
        </w:tc>
      </w:tr>
    </w:tbl>
    <w:p w14:paraId="5315DB02" w14:textId="77777777" w:rsidR="006A79C8" w:rsidRDefault="006A79C8" w:rsidP="00735EE7">
      <w:pPr>
        <w:pStyle w:val="BodyText"/>
        <w:contextualSpacing/>
        <w:rPr>
          <w:sz w:val="23"/>
        </w:rPr>
      </w:pPr>
    </w:p>
    <w:p w14:paraId="087FABC1" w14:textId="77777777" w:rsidR="008F6264" w:rsidRDefault="008F6264" w:rsidP="00735EE7">
      <w:pPr>
        <w:pStyle w:val="BodyText"/>
        <w:contextualSpacing/>
        <w:rPr>
          <w:sz w:val="23"/>
        </w:rPr>
      </w:pPr>
    </w:p>
    <w:p w14:paraId="24ECBE4B" w14:textId="3D533C44" w:rsidR="006A79C8" w:rsidRDefault="00DD4578" w:rsidP="00DD4578">
      <w:pPr>
        <w:pStyle w:val="Heading1"/>
        <w:tabs>
          <w:tab w:val="left" w:pos="360"/>
        </w:tabs>
        <w:ind w:left="0"/>
        <w:contextualSpacing/>
        <w:rPr>
          <w:u w:val="none"/>
        </w:rPr>
      </w:pPr>
      <w:r w:rsidRPr="00D1291A">
        <w:rPr>
          <w:u w:val="none"/>
        </w:rPr>
        <w:t>c.</w:t>
      </w:r>
      <w:r w:rsidRPr="00D1291A">
        <w:rPr>
          <w:u w:val="none"/>
        </w:rPr>
        <w:tab/>
      </w:r>
      <w:r w:rsidR="004C62EA" w:rsidRPr="00D1291A">
        <w:rPr>
          <w:u w:val="none"/>
        </w:rPr>
        <w:t xml:space="preserve">Application for IFQ/CDQ </w:t>
      </w:r>
      <w:r w:rsidR="00373119" w:rsidRPr="00D1291A">
        <w:rPr>
          <w:u w:val="none"/>
        </w:rPr>
        <w:t>Hired Master</w:t>
      </w:r>
      <w:r w:rsidR="00373119" w:rsidRPr="00D1291A">
        <w:rPr>
          <w:spacing w:val="-3"/>
          <w:u w:val="none"/>
        </w:rPr>
        <w:t xml:space="preserve"> </w:t>
      </w:r>
      <w:r w:rsidR="00373119" w:rsidRPr="00D1291A">
        <w:rPr>
          <w:u w:val="none"/>
        </w:rPr>
        <w:t xml:space="preserve">Permit </w:t>
      </w:r>
      <w:r w:rsidR="008F6264" w:rsidRPr="00F24FE9">
        <w:rPr>
          <w:u w:val="none"/>
        </w:rPr>
        <w:t>[</w:t>
      </w:r>
      <w:r w:rsidR="00F24FE9" w:rsidRPr="00F24FE9">
        <w:rPr>
          <w:u w:val="none"/>
        </w:rPr>
        <w:t>adjusted</w:t>
      </w:r>
      <w:r w:rsidR="008F6264" w:rsidRPr="00F24FE9">
        <w:rPr>
          <w:u w:val="none"/>
        </w:rPr>
        <w:t>]</w:t>
      </w:r>
    </w:p>
    <w:p w14:paraId="294CF90C" w14:textId="77777777" w:rsidR="006A79C8" w:rsidRDefault="006A79C8" w:rsidP="00735EE7">
      <w:pPr>
        <w:pStyle w:val="BodyText"/>
        <w:contextualSpacing/>
        <w:rPr>
          <w:b/>
          <w:sz w:val="23"/>
        </w:rPr>
      </w:pPr>
    </w:p>
    <w:p w14:paraId="08FB04E0" w14:textId="3C794128" w:rsidR="00D31F05" w:rsidRDefault="00D31F05" w:rsidP="00735EE7">
      <w:pPr>
        <w:pStyle w:val="BodyText"/>
        <w:contextualSpacing/>
      </w:pPr>
      <w:r w:rsidRPr="00D31F05">
        <w:t xml:space="preserve">A hired master permit is required for harvest of IFQ halibut, IFQ sablefish, or </w:t>
      </w:r>
      <w:r w:rsidR="00FB0E66">
        <w:t>Western Alaska Community Development Quota (</w:t>
      </w:r>
      <w:r w:rsidRPr="00D31F05">
        <w:t>CDQ</w:t>
      </w:r>
      <w:r w:rsidR="00FB0E66">
        <w:t>)</w:t>
      </w:r>
      <w:r w:rsidRPr="00D31F05">
        <w:t xml:space="preserve"> halibut on behalf of a permit holder.  </w:t>
      </w:r>
      <w:r w:rsidR="004C62EA">
        <w:t xml:space="preserve">Non-individual IFQ permit holders </w:t>
      </w:r>
      <w:r w:rsidR="006939D2" w:rsidRPr="006939D2">
        <w:t>(corporations, partnerships, associations, and other non-individuals)</w:t>
      </w:r>
      <w:r w:rsidR="006939D2">
        <w:t xml:space="preserve"> </w:t>
      </w:r>
      <w:r w:rsidR="004C62EA">
        <w:t xml:space="preserve">must designate a hired master to fish their IFQ or obtain a permit to access their account. </w:t>
      </w:r>
    </w:p>
    <w:p w14:paraId="20F6ABBE" w14:textId="77777777" w:rsidR="00D31F05" w:rsidRDefault="00D31F05" w:rsidP="00735EE7">
      <w:pPr>
        <w:pStyle w:val="BodyText"/>
        <w:contextualSpacing/>
      </w:pPr>
    </w:p>
    <w:p w14:paraId="32274B80" w14:textId="126A6700" w:rsidR="006A79C8" w:rsidRDefault="004C62EA" w:rsidP="00735EE7">
      <w:pPr>
        <w:pStyle w:val="BodyText"/>
        <w:contextualSpacing/>
      </w:pPr>
      <w:r>
        <w:t xml:space="preserve">To obtain a hired master, non-individual permit holders must own (either directly or indirectly) at least 20 percent of the vessel their hired master will </w:t>
      </w:r>
      <w:r w:rsidR="00FB0E66">
        <w:t xml:space="preserve">use to </w:t>
      </w:r>
      <w:r>
        <w:t>fish the IFQ.</w:t>
      </w:r>
      <w:r w:rsidR="00D31F05">
        <w:t xml:space="preserve">  </w:t>
      </w:r>
      <w:r>
        <w:t>The applicant must complete a separate application for each vessel, each IFQ permit number, and each CDQ permit number.</w:t>
      </w:r>
    </w:p>
    <w:p w14:paraId="28883F2C" w14:textId="77777777" w:rsidR="006A79C8" w:rsidRDefault="006A79C8" w:rsidP="00735EE7">
      <w:pPr>
        <w:pStyle w:val="BodyText"/>
        <w:contextualSpacing/>
      </w:pPr>
    </w:p>
    <w:p w14:paraId="0DEC5461" w14:textId="77777777" w:rsidR="006A79C8" w:rsidRDefault="004C62EA" w:rsidP="00735EE7">
      <w:pPr>
        <w:pStyle w:val="BodyText"/>
        <w:contextualSpacing/>
      </w:pPr>
      <w:r>
        <w:t>To demonstrate percent of vessel ownership by IFQ permit holder</w:t>
      </w:r>
      <w:r w:rsidR="006939D2">
        <w:t>,</w:t>
      </w:r>
      <w:r>
        <w:t xml:space="preserve"> documentation of ownership must be included with this application, except for Category A IFQ permit holders and CDQ permit holders.</w:t>
      </w:r>
    </w:p>
    <w:p w14:paraId="3E6DB51A" w14:textId="77777777" w:rsidR="006A79C8" w:rsidRDefault="004C62EA" w:rsidP="00DD4578">
      <w:pPr>
        <w:pStyle w:val="BodyText"/>
        <w:numPr>
          <w:ilvl w:val="0"/>
          <w:numId w:val="3"/>
        </w:numPr>
      </w:pPr>
      <w:r>
        <w:t>Proof of vessel ownership by the IFQ permit</w:t>
      </w:r>
      <w:r>
        <w:rPr>
          <w:spacing w:val="-8"/>
        </w:rPr>
        <w:t xml:space="preserve"> </w:t>
      </w:r>
      <w:r>
        <w:t>holder:</w:t>
      </w:r>
    </w:p>
    <w:p w14:paraId="11C97233" w14:textId="77777777" w:rsidR="006A79C8" w:rsidRDefault="004C62EA" w:rsidP="006939D2">
      <w:pPr>
        <w:pStyle w:val="BodyText"/>
        <w:numPr>
          <w:ilvl w:val="1"/>
          <w:numId w:val="15"/>
        </w:numPr>
      </w:pPr>
      <w:r>
        <w:t>For USCG documented vessels, a complete copy of the USCG Abstract of</w:t>
      </w:r>
      <w:r>
        <w:rPr>
          <w:spacing w:val="-12"/>
        </w:rPr>
        <w:t xml:space="preserve"> </w:t>
      </w:r>
      <w:r>
        <w:t>Title</w:t>
      </w:r>
    </w:p>
    <w:p w14:paraId="782EDA80" w14:textId="77777777" w:rsidR="006A79C8" w:rsidRDefault="004C62EA" w:rsidP="006939D2">
      <w:pPr>
        <w:pStyle w:val="BodyText"/>
        <w:numPr>
          <w:ilvl w:val="1"/>
          <w:numId w:val="15"/>
        </w:numPr>
      </w:pPr>
      <w:r>
        <w:t>For an undocumented vessel, a copy of the State of Alaska vessel license</w:t>
      </w:r>
      <w:r>
        <w:rPr>
          <w:spacing w:val="-19"/>
        </w:rPr>
        <w:t xml:space="preserve"> </w:t>
      </w:r>
      <w:r>
        <w:t>or registration</w:t>
      </w:r>
    </w:p>
    <w:p w14:paraId="388167BF" w14:textId="77777777" w:rsidR="006A79C8" w:rsidRDefault="004C62EA" w:rsidP="00DD4578">
      <w:pPr>
        <w:pStyle w:val="BodyText"/>
        <w:numPr>
          <w:ilvl w:val="0"/>
          <w:numId w:val="3"/>
        </w:numPr>
      </w:pPr>
      <w:r>
        <w:t>If the IFQ permit holder is not the person named on the USCG Abstract of Title or</w:t>
      </w:r>
      <w:r>
        <w:rPr>
          <w:spacing w:val="-22"/>
        </w:rPr>
        <w:t xml:space="preserve"> </w:t>
      </w:r>
      <w:r>
        <w:t>State of Alaska vessel license or registration, documentation establishing indirect ownership</w:t>
      </w:r>
      <w:r w:rsidR="0062636A">
        <w:t>,</w:t>
      </w:r>
      <w:r>
        <w:t xml:space="preserve"> such as corporate annual reports, meeting minutes, </w:t>
      </w:r>
      <w:r w:rsidR="0062636A">
        <w:t xml:space="preserve">or </w:t>
      </w:r>
      <w:r>
        <w:t>stock certificates.</w:t>
      </w:r>
    </w:p>
    <w:p w14:paraId="5775DEFB" w14:textId="77777777" w:rsidR="006A79C8" w:rsidRDefault="006A79C8" w:rsidP="00735EE7">
      <w:pPr>
        <w:pStyle w:val="BodyText"/>
        <w:contextualSpacing/>
      </w:pPr>
    </w:p>
    <w:p w14:paraId="5FF81FCB" w14:textId="77777777" w:rsidR="006060B8" w:rsidRDefault="006060B8" w:rsidP="00735EE7">
      <w:pPr>
        <w:pStyle w:val="BodyText"/>
        <w:contextualSpacing/>
      </w:pPr>
      <w:r>
        <w:t xml:space="preserve">A hired master permit is in effect from the date of issue through the end of the specified fishing year. </w:t>
      </w:r>
    </w:p>
    <w:p w14:paraId="4CE89C11" w14:textId="77777777" w:rsidR="006060B8" w:rsidRDefault="006060B8" w:rsidP="00735EE7">
      <w:pPr>
        <w:pStyle w:val="BodyText"/>
        <w:contextualSpacing/>
      </w:pPr>
    </w:p>
    <w:p w14:paraId="12B8128B" w14:textId="77777777" w:rsidR="006A79C8" w:rsidRDefault="004C62EA" w:rsidP="00735EE7">
      <w:pPr>
        <w:pStyle w:val="BodyText"/>
        <w:contextualSpacing/>
      </w:pPr>
      <w:r>
        <w:t xml:space="preserve">The application for a hired master permit may be submitted </w:t>
      </w:r>
      <w:r w:rsidR="00024CD0">
        <w:t>to NMFS RAM by mail, delivery,</w:t>
      </w:r>
      <w:r>
        <w:t xml:space="preserve"> or </w:t>
      </w:r>
      <w:r w:rsidR="00024CD0">
        <w:t>fax</w:t>
      </w:r>
      <w:r>
        <w:t>.</w:t>
      </w:r>
    </w:p>
    <w:p w14:paraId="384E5B60" w14:textId="77777777" w:rsidR="00D334B8" w:rsidRDefault="00D334B8" w:rsidP="00735EE7">
      <w:pPr>
        <w:pStyle w:val="BodyText"/>
        <w:contextualSpacing/>
      </w:pPr>
    </w:p>
    <w:p w14:paraId="76908B3F" w14:textId="78802E76" w:rsidR="006A79C8" w:rsidRPr="00D334B8" w:rsidRDefault="00D334B8" w:rsidP="00D334B8">
      <w:pPr>
        <w:pStyle w:val="BodyText"/>
        <w:contextualSpacing/>
      </w:pPr>
      <w:r w:rsidRPr="00D334B8">
        <w:t xml:space="preserve">The following information is collected on the </w:t>
      </w:r>
      <w:r w:rsidR="004C62EA" w:rsidRPr="00D334B8">
        <w:t>Application for IFQ/CDQ Hired Master Permit</w:t>
      </w:r>
      <w:r w:rsidRPr="00D334B8">
        <w:t>.</w:t>
      </w:r>
    </w:p>
    <w:p w14:paraId="42ACC14B" w14:textId="77777777" w:rsidR="00D334B8" w:rsidRPr="00D334B8" w:rsidRDefault="00D334B8" w:rsidP="00D334B8">
      <w:pPr>
        <w:pStyle w:val="BodyText"/>
        <w:contextualSpacing/>
      </w:pPr>
    </w:p>
    <w:p w14:paraId="223AE71A" w14:textId="77777777" w:rsidR="006939D2" w:rsidRDefault="004C62EA" w:rsidP="00735EE7">
      <w:pPr>
        <w:contextualSpacing/>
        <w:rPr>
          <w:sz w:val="20"/>
        </w:rPr>
      </w:pPr>
      <w:r>
        <w:rPr>
          <w:sz w:val="20"/>
          <w:u w:val="single"/>
        </w:rPr>
        <w:t xml:space="preserve">Block </w:t>
      </w:r>
      <w:r w:rsidR="007465F2">
        <w:rPr>
          <w:sz w:val="20"/>
          <w:u w:val="single"/>
        </w:rPr>
        <w:t>A</w:t>
      </w:r>
      <w:r>
        <w:rPr>
          <w:sz w:val="20"/>
          <w:u w:val="single"/>
        </w:rPr>
        <w:t xml:space="preserve"> – IFQ/CDQ Permit Holder Information</w:t>
      </w:r>
      <w:r>
        <w:rPr>
          <w:sz w:val="20"/>
        </w:rPr>
        <w:t xml:space="preserve"> </w:t>
      </w:r>
    </w:p>
    <w:p w14:paraId="48C0839F" w14:textId="77777777" w:rsidR="006A79C8" w:rsidRDefault="004C62EA" w:rsidP="00735EE7">
      <w:pPr>
        <w:contextualSpacing/>
        <w:rPr>
          <w:sz w:val="20"/>
        </w:rPr>
      </w:pPr>
      <w:r>
        <w:rPr>
          <w:sz w:val="20"/>
        </w:rPr>
        <w:t>Name and NMFS person ID</w:t>
      </w:r>
      <w:r w:rsidR="00275F65">
        <w:rPr>
          <w:sz w:val="20"/>
        </w:rPr>
        <w:t xml:space="preserve"> of IFQ permit holder</w:t>
      </w:r>
    </w:p>
    <w:p w14:paraId="1C8646ED" w14:textId="77777777" w:rsidR="006A79C8" w:rsidRDefault="004C62EA" w:rsidP="00735EE7">
      <w:pPr>
        <w:contextualSpacing/>
        <w:rPr>
          <w:sz w:val="20"/>
        </w:rPr>
      </w:pPr>
      <w:r>
        <w:rPr>
          <w:sz w:val="20"/>
        </w:rPr>
        <w:t>Business mailing address (indicate whether temporary or permanent)</w:t>
      </w:r>
    </w:p>
    <w:p w14:paraId="665BB59B" w14:textId="77777777" w:rsidR="006A79C8" w:rsidRDefault="004C62EA" w:rsidP="00735EE7">
      <w:pPr>
        <w:contextualSpacing/>
        <w:rPr>
          <w:sz w:val="20"/>
        </w:rPr>
      </w:pPr>
      <w:r>
        <w:rPr>
          <w:sz w:val="20"/>
        </w:rPr>
        <w:t>Business telephone number, business fax number, and business e-mail address</w:t>
      </w:r>
    </w:p>
    <w:p w14:paraId="6752EE65" w14:textId="77777777" w:rsidR="007465F2" w:rsidRDefault="007465F2" w:rsidP="007465F2">
      <w:pPr>
        <w:contextualSpacing/>
        <w:rPr>
          <w:sz w:val="20"/>
        </w:rPr>
      </w:pPr>
      <w:r>
        <w:rPr>
          <w:sz w:val="20"/>
          <w:u w:val="single"/>
        </w:rPr>
        <w:t>Block B – Purpose of Application</w:t>
      </w:r>
    </w:p>
    <w:p w14:paraId="739098E4" w14:textId="77777777" w:rsidR="007465F2" w:rsidRDefault="007465F2" w:rsidP="007465F2">
      <w:pPr>
        <w:contextualSpacing/>
        <w:rPr>
          <w:sz w:val="20"/>
        </w:rPr>
      </w:pPr>
      <w:r>
        <w:rPr>
          <w:sz w:val="20"/>
        </w:rPr>
        <w:t>Indicate if adding or removing hired master</w:t>
      </w:r>
    </w:p>
    <w:p w14:paraId="0D465ADE" w14:textId="77777777" w:rsidR="007465F2" w:rsidRDefault="007465F2" w:rsidP="007465F2">
      <w:pPr>
        <w:contextualSpacing/>
        <w:rPr>
          <w:sz w:val="20"/>
        </w:rPr>
      </w:pPr>
      <w:r>
        <w:rPr>
          <w:sz w:val="20"/>
        </w:rPr>
        <w:t xml:space="preserve">Indicate whether the hired master permit should be mailed directly to the hired master </w:t>
      </w:r>
    </w:p>
    <w:p w14:paraId="5F18A9D3" w14:textId="77777777" w:rsidR="007465F2" w:rsidRDefault="007465F2" w:rsidP="007465F2">
      <w:pPr>
        <w:contextualSpacing/>
        <w:rPr>
          <w:sz w:val="20"/>
        </w:rPr>
      </w:pPr>
      <w:r>
        <w:rPr>
          <w:sz w:val="20"/>
        </w:rPr>
        <w:t>Indicate permit number(s) and categories to which this action applies</w:t>
      </w:r>
    </w:p>
    <w:p w14:paraId="5037DFD0" w14:textId="77777777" w:rsidR="006A79C8" w:rsidRDefault="004C62EA" w:rsidP="00735EE7">
      <w:pPr>
        <w:contextualSpacing/>
        <w:rPr>
          <w:sz w:val="20"/>
        </w:rPr>
      </w:pPr>
      <w:r>
        <w:rPr>
          <w:sz w:val="20"/>
          <w:u w:val="single"/>
        </w:rPr>
        <w:t>Block C – Identification of Vessel upon which IFQ/CDQ Halibut or Sablefish Will be Fished</w:t>
      </w:r>
    </w:p>
    <w:p w14:paraId="0A921871" w14:textId="77777777" w:rsidR="006939D2" w:rsidRDefault="004C62EA" w:rsidP="00735EE7">
      <w:pPr>
        <w:contextualSpacing/>
        <w:rPr>
          <w:sz w:val="20"/>
        </w:rPr>
      </w:pPr>
      <w:r>
        <w:rPr>
          <w:sz w:val="20"/>
        </w:rPr>
        <w:t xml:space="preserve">Vessel name, length overall, ADF&amp;G vessel registration number, and USCG documentation number of vessel </w:t>
      </w:r>
    </w:p>
    <w:p w14:paraId="21C04D6B" w14:textId="77777777" w:rsidR="006A79C8" w:rsidRDefault="004C62EA" w:rsidP="00735EE7">
      <w:pPr>
        <w:contextualSpacing/>
        <w:rPr>
          <w:sz w:val="20"/>
        </w:rPr>
      </w:pPr>
      <w:r>
        <w:rPr>
          <w:sz w:val="20"/>
        </w:rPr>
        <w:t>If IFQ permit holder holds an ownership interest of at least 20% in the named vessel, attachments are required</w:t>
      </w:r>
      <w:r w:rsidR="006939D2">
        <w:rPr>
          <w:sz w:val="20"/>
        </w:rPr>
        <w:t>.</w:t>
      </w:r>
    </w:p>
    <w:p w14:paraId="6966B558" w14:textId="77777777" w:rsidR="007465F2" w:rsidRDefault="007465F2" w:rsidP="00735EE7">
      <w:pPr>
        <w:contextualSpacing/>
        <w:rPr>
          <w:sz w:val="20"/>
          <w:u w:val="single"/>
        </w:rPr>
      </w:pPr>
      <w:r>
        <w:rPr>
          <w:sz w:val="20"/>
          <w:u w:val="single"/>
        </w:rPr>
        <w:t>Block D – IFQ Permit Holder for Quota Share in Category B, C, or D</w:t>
      </w:r>
    </w:p>
    <w:p w14:paraId="2447E902" w14:textId="77777777" w:rsidR="007465F2" w:rsidRPr="007465F2" w:rsidRDefault="007465F2" w:rsidP="00735EE7">
      <w:pPr>
        <w:contextualSpacing/>
        <w:rPr>
          <w:sz w:val="20"/>
        </w:rPr>
      </w:pPr>
      <w:r w:rsidRPr="007465F2">
        <w:rPr>
          <w:sz w:val="20"/>
        </w:rPr>
        <w:t>Indicate</w:t>
      </w:r>
      <w:r w:rsidRPr="007465F2">
        <w:t xml:space="preserve"> </w:t>
      </w:r>
      <w:r>
        <w:t xml:space="preserve">if </w:t>
      </w:r>
      <w:r w:rsidRPr="007465F2">
        <w:rPr>
          <w:sz w:val="20"/>
        </w:rPr>
        <w:t>IFQ Permit Holder hold an ownership interest of at least 20% in the vessel</w:t>
      </w:r>
      <w:r>
        <w:rPr>
          <w:sz w:val="20"/>
        </w:rPr>
        <w:t xml:space="preserve"> named in Block C.</w:t>
      </w:r>
    </w:p>
    <w:p w14:paraId="75C2A4C0" w14:textId="77777777" w:rsidR="007465F2" w:rsidRDefault="007465F2" w:rsidP="00735EE7">
      <w:pPr>
        <w:contextualSpacing/>
        <w:rPr>
          <w:sz w:val="20"/>
        </w:rPr>
      </w:pPr>
      <w:r>
        <w:rPr>
          <w:sz w:val="20"/>
        </w:rPr>
        <w:t xml:space="preserve">Attach documentation </w:t>
      </w:r>
      <w:r w:rsidRPr="007465F2">
        <w:rPr>
          <w:sz w:val="20"/>
        </w:rPr>
        <w:t>in support of your ownership interest in the vessel</w:t>
      </w:r>
    </w:p>
    <w:p w14:paraId="47374E57" w14:textId="77777777" w:rsidR="007465F2" w:rsidRPr="00275F65" w:rsidRDefault="00275F65" w:rsidP="00735EE7">
      <w:pPr>
        <w:contextualSpacing/>
        <w:rPr>
          <w:sz w:val="20"/>
          <w:u w:val="single"/>
        </w:rPr>
      </w:pPr>
      <w:r w:rsidRPr="00275F65">
        <w:rPr>
          <w:sz w:val="20"/>
          <w:u w:val="single"/>
        </w:rPr>
        <w:t>Block E -- IFQ Permit Holders for Quota Share in Category B, C, or D: Individuals Only</w:t>
      </w:r>
    </w:p>
    <w:p w14:paraId="2FC52B5C" w14:textId="77777777" w:rsidR="00275F65" w:rsidRDefault="00275F65" w:rsidP="00735EE7">
      <w:pPr>
        <w:contextualSpacing/>
        <w:rPr>
          <w:sz w:val="20"/>
        </w:rPr>
      </w:pPr>
      <w:r>
        <w:rPr>
          <w:sz w:val="20"/>
        </w:rPr>
        <w:t xml:space="preserve">Indicate if </w:t>
      </w:r>
      <w:r w:rsidRPr="00275F65">
        <w:rPr>
          <w:sz w:val="20"/>
        </w:rPr>
        <w:t>the IFQ permit holder held an ownership interest of at least 20% in the vessel named in Block C for the 12 months immediately preceding the date of this application</w:t>
      </w:r>
      <w:r>
        <w:rPr>
          <w:sz w:val="20"/>
        </w:rPr>
        <w:t>.</w:t>
      </w:r>
    </w:p>
    <w:p w14:paraId="3A1D3466" w14:textId="77777777" w:rsidR="007465F2" w:rsidRPr="007465F2" w:rsidRDefault="00275F65" w:rsidP="00735EE7">
      <w:pPr>
        <w:contextualSpacing/>
        <w:rPr>
          <w:sz w:val="20"/>
        </w:rPr>
      </w:pPr>
      <w:r w:rsidRPr="00275F65">
        <w:rPr>
          <w:sz w:val="20"/>
        </w:rPr>
        <w:t xml:space="preserve">If NO, </w:t>
      </w:r>
      <w:r>
        <w:rPr>
          <w:sz w:val="20"/>
        </w:rPr>
        <w:t xml:space="preserve">indicate if </w:t>
      </w:r>
      <w:r w:rsidRPr="00275F65">
        <w:rPr>
          <w:sz w:val="20"/>
        </w:rPr>
        <w:t>the permit holder owner applying for a hired master permit and seeking an exemption from the 12-month vessel ownership requirement</w:t>
      </w:r>
      <w:r>
        <w:rPr>
          <w:sz w:val="20"/>
        </w:rPr>
        <w:t>.</w:t>
      </w:r>
    </w:p>
    <w:p w14:paraId="0D700DF1" w14:textId="77777777" w:rsidR="006939D2" w:rsidRDefault="004C62EA" w:rsidP="00735EE7">
      <w:pPr>
        <w:contextualSpacing/>
        <w:rPr>
          <w:sz w:val="20"/>
        </w:rPr>
      </w:pPr>
      <w:r>
        <w:rPr>
          <w:sz w:val="20"/>
          <w:u w:val="single"/>
        </w:rPr>
        <w:t xml:space="preserve">Block </w:t>
      </w:r>
      <w:r w:rsidR="00275F65">
        <w:rPr>
          <w:sz w:val="20"/>
          <w:u w:val="single"/>
        </w:rPr>
        <w:t>F</w:t>
      </w:r>
      <w:r>
        <w:rPr>
          <w:sz w:val="20"/>
          <w:u w:val="single"/>
        </w:rPr>
        <w:t xml:space="preserve"> – Hired Master Information</w:t>
      </w:r>
      <w:r>
        <w:rPr>
          <w:sz w:val="20"/>
        </w:rPr>
        <w:t xml:space="preserve"> </w:t>
      </w:r>
    </w:p>
    <w:p w14:paraId="1ED384B5" w14:textId="77777777" w:rsidR="006A79C8" w:rsidRDefault="004C62EA" w:rsidP="00735EE7">
      <w:pPr>
        <w:contextualSpacing/>
        <w:rPr>
          <w:sz w:val="20"/>
        </w:rPr>
      </w:pPr>
      <w:r>
        <w:rPr>
          <w:sz w:val="20"/>
        </w:rPr>
        <w:t>Name and NMFS person ID</w:t>
      </w:r>
      <w:r w:rsidR="00275F65">
        <w:rPr>
          <w:sz w:val="20"/>
        </w:rPr>
        <w:t xml:space="preserve"> of hired master permit holder</w:t>
      </w:r>
    </w:p>
    <w:p w14:paraId="3396E966" w14:textId="77777777" w:rsidR="006A79C8" w:rsidRDefault="004C62EA" w:rsidP="00735EE7">
      <w:pPr>
        <w:contextualSpacing/>
        <w:rPr>
          <w:sz w:val="20"/>
        </w:rPr>
      </w:pPr>
      <w:r>
        <w:rPr>
          <w:sz w:val="20"/>
        </w:rPr>
        <w:t>Business mailing address (indicate whether temporary or permanent)</w:t>
      </w:r>
    </w:p>
    <w:p w14:paraId="3F84B922" w14:textId="77777777" w:rsidR="00DD4578" w:rsidRDefault="004C62EA" w:rsidP="00735EE7">
      <w:pPr>
        <w:contextualSpacing/>
        <w:rPr>
          <w:sz w:val="20"/>
        </w:rPr>
      </w:pPr>
      <w:r>
        <w:rPr>
          <w:sz w:val="20"/>
        </w:rPr>
        <w:t xml:space="preserve">Business telephone number, business fax number, and business e-mail address </w:t>
      </w:r>
    </w:p>
    <w:p w14:paraId="61BF2757" w14:textId="77777777" w:rsidR="00CC3C7A" w:rsidRDefault="00CC3C7A" w:rsidP="00735EE7">
      <w:pPr>
        <w:contextualSpacing/>
        <w:rPr>
          <w:sz w:val="20"/>
          <w:u w:val="single"/>
        </w:rPr>
      </w:pPr>
      <w:r>
        <w:rPr>
          <w:sz w:val="20"/>
          <w:u w:val="single"/>
        </w:rPr>
        <w:t>Block G – 12-month Ownership Exemption Request</w:t>
      </w:r>
    </w:p>
    <w:p w14:paraId="7D551436" w14:textId="77777777" w:rsidR="00CC3C7A" w:rsidRDefault="00CC3C7A" w:rsidP="00735EE7">
      <w:pPr>
        <w:contextualSpacing/>
        <w:rPr>
          <w:sz w:val="20"/>
        </w:rPr>
      </w:pPr>
      <w:r>
        <w:rPr>
          <w:sz w:val="20"/>
        </w:rPr>
        <w:t>Indicate type of exemption you are seeking</w:t>
      </w:r>
    </w:p>
    <w:p w14:paraId="43F55321" w14:textId="77777777" w:rsidR="00CC3C7A" w:rsidRDefault="00CC3C7A" w:rsidP="00735EE7">
      <w:pPr>
        <w:contextualSpacing/>
        <w:rPr>
          <w:sz w:val="20"/>
        </w:rPr>
      </w:pPr>
      <w:r>
        <w:rPr>
          <w:sz w:val="20"/>
        </w:rPr>
        <w:t>For Claim of Vessel Los or Irreparable Vessel Damage:</w:t>
      </w:r>
    </w:p>
    <w:p w14:paraId="3582E80A" w14:textId="77777777" w:rsidR="00CC3C7A" w:rsidRDefault="00CC3C7A" w:rsidP="003862B5">
      <w:pPr>
        <w:ind w:left="360"/>
        <w:contextualSpacing/>
        <w:rPr>
          <w:sz w:val="20"/>
        </w:rPr>
      </w:pPr>
      <w:r>
        <w:rPr>
          <w:sz w:val="20"/>
        </w:rPr>
        <w:t>Name, ADF&amp;G number, and USCG number of vessel</w:t>
      </w:r>
    </w:p>
    <w:p w14:paraId="7A0C934F" w14:textId="77777777" w:rsidR="00CC3C7A" w:rsidRDefault="00CC3C7A" w:rsidP="003862B5">
      <w:pPr>
        <w:ind w:left="360"/>
        <w:contextualSpacing/>
        <w:rPr>
          <w:sz w:val="20"/>
        </w:rPr>
      </w:pPr>
      <w:r>
        <w:rPr>
          <w:sz w:val="20"/>
        </w:rPr>
        <w:t>Date vessel lost or irreparably damaged</w:t>
      </w:r>
    </w:p>
    <w:p w14:paraId="4F7C2912" w14:textId="77777777" w:rsidR="00CC3C7A" w:rsidRDefault="00CC3C7A" w:rsidP="003862B5">
      <w:pPr>
        <w:ind w:left="360"/>
        <w:contextualSpacing/>
        <w:rPr>
          <w:sz w:val="20"/>
        </w:rPr>
      </w:pPr>
      <w:r>
        <w:rPr>
          <w:sz w:val="20"/>
        </w:rPr>
        <w:t>Indicate</w:t>
      </w:r>
      <w:r w:rsidR="003862B5">
        <w:rPr>
          <w:sz w:val="20"/>
        </w:rPr>
        <w:t xml:space="preserve"> if USCG For</w:t>
      </w:r>
      <w:r w:rsidR="006D47BF">
        <w:rPr>
          <w:sz w:val="20"/>
        </w:rPr>
        <w:t>m</w:t>
      </w:r>
      <w:r w:rsidR="003862B5">
        <w:rPr>
          <w:sz w:val="20"/>
        </w:rPr>
        <w:t xml:space="preserve"> 2692</w:t>
      </w:r>
      <w:r w:rsidR="006D47BF">
        <w:rPr>
          <w:sz w:val="20"/>
        </w:rPr>
        <w:t xml:space="preserve"> “Report of Marine Casualty”</w:t>
      </w:r>
      <w:r w:rsidR="003862B5">
        <w:rPr>
          <w:sz w:val="20"/>
        </w:rPr>
        <w:t xml:space="preserve"> was submitted for the incident</w:t>
      </w:r>
    </w:p>
    <w:p w14:paraId="69407C9D" w14:textId="77777777" w:rsidR="003862B5" w:rsidRDefault="003862B5" w:rsidP="003862B5">
      <w:pPr>
        <w:ind w:left="360"/>
        <w:contextualSpacing/>
        <w:rPr>
          <w:sz w:val="20"/>
        </w:rPr>
      </w:pPr>
      <w:r>
        <w:rPr>
          <w:sz w:val="20"/>
        </w:rPr>
        <w:t>Cause of vessel loss or damage (check all that apply)</w:t>
      </w:r>
    </w:p>
    <w:p w14:paraId="69F99482" w14:textId="77777777" w:rsidR="00CC3C7A" w:rsidRDefault="003862B5" w:rsidP="003862B5">
      <w:pPr>
        <w:ind w:left="360"/>
        <w:contextualSpacing/>
        <w:rPr>
          <w:sz w:val="20"/>
        </w:rPr>
      </w:pPr>
      <w:r>
        <w:rPr>
          <w:sz w:val="20"/>
        </w:rPr>
        <w:t>W</w:t>
      </w:r>
      <w:r w:rsidRPr="003862B5">
        <w:rPr>
          <w:sz w:val="20"/>
        </w:rPr>
        <w:t>as the vessel used to harvest halibut or sablefish QS</w:t>
      </w:r>
      <w:r>
        <w:rPr>
          <w:sz w:val="20"/>
        </w:rPr>
        <w:t xml:space="preserve"> </w:t>
      </w:r>
      <w:r w:rsidRPr="003862B5">
        <w:rPr>
          <w:sz w:val="20"/>
        </w:rPr>
        <w:t>belonging to the IFQ permit holder</w:t>
      </w:r>
      <w:r>
        <w:rPr>
          <w:sz w:val="20"/>
        </w:rPr>
        <w:t xml:space="preserve"> before the </w:t>
      </w:r>
      <w:r w:rsidRPr="003862B5">
        <w:rPr>
          <w:sz w:val="20"/>
        </w:rPr>
        <w:t>vessel was lost or irreparably damaged</w:t>
      </w:r>
      <w:r>
        <w:rPr>
          <w:sz w:val="20"/>
        </w:rPr>
        <w:t>?</w:t>
      </w:r>
    </w:p>
    <w:p w14:paraId="26C33AA3" w14:textId="77777777" w:rsidR="003862B5" w:rsidRDefault="003862B5" w:rsidP="003862B5">
      <w:pPr>
        <w:contextualSpacing/>
        <w:rPr>
          <w:sz w:val="20"/>
        </w:rPr>
      </w:pPr>
      <w:r>
        <w:rPr>
          <w:sz w:val="20"/>
        </w:rPr>
        <w:t>For Claim of Temporary Vessel Disablement</w:t>
      </w:r>
    </w:p>
    <w:p w14:paraId="2AAD38E9" w14:textId="77777777" w:rsidR="003862B5" w:rsidRDefault="003862B5" w:rsidP="003862B5">
      <w:pPr>
        <w:ind w:left="360"/>
        <w:contextualSpacing/>
        <w:rPr>
          <w:sz w:val="20"/>
        </w:rPr>
      </w:pPr>
      <w:r>
        <w:rPr>
          <w:sz w:val="20"/>
        </w:rPr>
        <w:t>Name, ADF&amp;G number, and USCG number of vessel</w:t>
      </w:r>
    </w:p>
    <w:p w14:paraId="526D173D" w14:textId="77777777" w:rsidR="003862B5" w:rsidRDefault="003862B5" w:rsidP="003862B5">
      <w:pPr>
        <w:ind w:left="360"/>
        <w:contextualSpacing/>
        <w:rPr>
          <w:sz w:val="20"/>
        </w:rPr>
      </w:pPr>
      <w:r>
        <w:rPr>
          <w:sz w:val="20"/>
        </w:rPr>
        <w:t>Date vessel temporarily disabled</w:t>
      </w:r>
    </w:p>
    <w:p w14:paraId="3E215BC6" w14:textId="77777777" w:rsidR="003862B5" w:rsidRDefault="003862B5" w:rsidP="003862B5">
      <w:pPr>
        <w:ind w:left="360"/>
        <w:contextualSpacing/>
        <w:rPr>
          <w:sz w:val="20"/>
        </w:rPr>
      </w:pPr>
      <w:r>
        <w:rPr>
          <w:sz w:val="20"/>
        </w:rPr>
        <w:t>Indicate if USCG For</w:t>
      </w:r>
      <w:r w:rsidR="006D47BF">
        <w:rPr>
          <w:sz w:val="20"/>
        </w:rPr>
        <w:t>m</w:t>
      </w:r>
      <w:r>
        <w:rPr>
          <w:sz w:val="20"/>
        </w:rPr>
        <w:t xml:space="preserve"> 2692</w:t>
      </w:r>
      <w:r w:rsidR="006D47BF" w:rsidRPr="006D47BF">
        <w:t xml:space="preserve"> </w:t>
      </w:r>
      <w:r w:rsidR="006D47BF">
        <w:t>“</w:t>
      </w:r>
      <w:r w:rsidR="006D47BF" w:rsidRPr="006D47BF">
        <w:rPr>
          <w:sz w:val="20"/>
        </w:rPr>
        <w:t>Report of Marine Casualty</w:t>
      </w:r>
      <w:r w:rsidR="006D47BF">
        <w:rPr>
          <w:sz w:val="20"/>
        </w:rPr>
        <w:t>”</w:t>
      </w:r>
      <w:r>
        <w:rPr>
          <w:sz w:val="20"/>
        </w:rPr>
        <w:t xml:space="preserve"> was submitted for the incident</w:t>
      </w:r>
    </w:p>
    <w:p w14:paraId="20CA81E4" w14:textId="77777777" w:rsidR="003862B5" w:rsidRDefault="003862B5" w:rsidP="003862B5">
      <w:pPr>
        <w:ind w:left="360"/>
        <w:contextualSpacing/>
        <w:rPr>
          <w:sz w:val="20"/>
        </w:rPr>
      </w:pPr>
      <w:r w:rsidRPr="003862B5">
        <w:rPr>
          <w:sz w:val="20"/>
        </w:rPr>
        <w:t>Was the vessel temporarily disabled by an accident</w:t>
      </w:r>
      <w:r>
        <w:rPr>
          <w:sz w:val="20"/>
        </w:rPr>
        <w:t xml:space="preserve"> </w:t>
      </w:r>
      <w:r w:rsidRPr="003862B5">
        <w:rPr>
          <w:sz w:val="20"/>
        </w:rPr>
        <w:t>that materially and adversely affected the vessel’s seaworthiness or fitness for service</w:t>
      </w:r>
      <w:r>
        <w:rPr>
          <w:sz w:val="20"/>
        </w:rPr>
        <w:t>?</w:t>
      </w:r>
    </w:p>
    <w:p w14:paraId="13E5BBD5" w14:textId="77777777" w:rsidR="003862B5" w:rsidRDefault="003862B5" w:rsidP="003862B5">
      <w:pPr>
        <w:ind w:left="360"/>
        <w:contextualSpacing/>
        <w:rPr>
          <w:sz w:val="20"/>
        </w:rPr>
      </w:pPr>
      <w:r w:rsidRPr="003862B5">
        <w:rPr>
          <w:sz w:val="20"/>
        </w:rPr>
        <w:t>Does the vessel require repairs from this incident</w:t>
      </w:r>
      <w:r>
        <w:rPr>
          <w:sz w:val="20"/>
        </w:rPr>
        <w:t xml:space="preserve"> </w:t>
      </w:r>
      <w:r w:rsidRPr="003862B5">
        <w:rPr>
          <w:sz w:val="20"/>
        </w:rPr>
        <w:t>that require at least 60 days to complete?</w:t>
      </w:r>
    </w:p>
    <w:p w14:paraId="6F63901A" w14:textId="77777777" w:rsidR="003862B5" w:rsidRDefault="003862B5" w:rsidP="003862B5">
      <w:pPr>
        <w:ind w:left="360"/>
        <w:contextualSpacing/>
        <w:rPr>
          <w:sz w:val="20"/>
        </w:rPr>
      </w:pPr>
      <w:r>
        <w:rPr>
          <w:sz w:val="20"/>
        </w:rPr>
        <w:t>W</w:t>
      </w:r>
      <w:r w:rsidRPr="003862B5">
        <w:rPr>
          <w:sz w:val="20"/>
        </w:rPr>
        <w:t>as the vessel used to harvest halibut or sablefish QS</w:t>
      </w:r>
      <w:r>
        <w:rPr>
          <w:sz w:val="20"/>
        </w:rPr>
        <w:t xml:space="preserve"> </w:t>
      </w:r>
      <w:r w:rsidRPr="003862B5">
        <w:rPr>
          <w:sz w:val="20"/>
        </w:rPr>
        <w:t>belonging to the IFQ permit holder</w:t>
      </w:r>
      <w:r>
        <w:rPr>
          <w:sz w:val="20"/>
        </w:rPr>
        <w:t xml:space="preserve"> before the </w:t>
      </w:r>
      <w:r w:rsidRPr="003862B5">
        <w:rPr>
          <w:sz w:val="20"/>
        </w:rPr>
        <w:t xml:space="preserve">vessel was </w:t>
      </w:r>
      <w:r>
        <w:rPr>
          <w:sz w:val="20"/>
        </w:rPr>
        <w:t>temporarily disabled?</w:t>
      </w:r>
    </w:p>
    <w:p w14:paraId="599C1859" w14:textId="77777777" w:rsidR="006A79C8" w:rsidRDefault="004C62EA" w:rsidP="00735EE7">
      <w:pPr>
        <w:contextualSpacing/>
        <w:rPr>
          <w:sz w:val="20"/>
        </w:rPr>
      </w:pPr>
      <w:r>
        <w:rPr>
          <w:sz w:val="20"/>
          <w:u w:val="single"/>
        </w:rPr>
        <w:t xml:space="preserve">Block </w:t>
      </w:r>
      <w:r w:rsidR="00964373">
        <w:rPr>
          <w:sz w:val="20"/>
          <w:u w:val="single"/>
        </w:rPr>
        <w:t>H</w:t>
      </w:r>
      <w:r>
        <w:rPr>
          <w:sz w:val="20"/>
          <w:u w:val="single"/>
        </w:rPr>
        <w:t xml:space="preserve"> – Certification of Permit Holder</w:t>
      </w:r>
    </w:p>
    <w:p w14:paraId="545F058B" w14:textId="77777777" w:rsidR="006939D2" w:rsidRDefault="004C62EA" w:rsidP="00735EE7">
      <w:pPr>
        <w:contextualSpacing/>
        <w:rPr>
          <w:sz w:val="20"/>
        </w:rPr>
      </w:pPr>
      <w:r>
        <w:rPr>
          <w:sz w:val="20"/>
        </w:rPr>
        <w:t>Signature and printed name of applicant</w:t>
      </w:r>
      <w:r w:rsidR="00964373">
        <w:rPr>
          <w:sz w:val="20"/>
        </w:rPr>
        <w:t xml:space="preserve"> or authorized representative</w:t>
      </w:r>
      <w:r>
        <w:rPr>
          <w:sz w:val="20"/>
        </w:rPr>
        <w:t>, and date signed</w:t>
      </w:r>
    </w:p>
    <w:p w14:paraId="5C647EF6" w14:textId="77777777" w:rsidR="006A79C8" w:rsidRDefault="004C62EA" w:rsidP="00735EE7">
      <w:pPr>
        <w:contextualSpacing/>
        <w:rPr>
          <w:sz w:val="20"/>
        </w:rPr>
      </w:pPr>
      <w:r>
        <w:rPr>
          <w:sz w:val="20"/>
        </w:rPr>
        <w:t xml:space="preserve">If representative, </w:t>
      </w:r>
      <w:r>
        <w:rPr>
          <w:b/>
          <w:sz w:val="20"/>
        </w:rPr>
        <w:t xml:space="preserve">attach </w:t>
      </w:r>
      <w:r>
        <w:rPr>
          <w:sz w:val="20"/>
        </w:rPr>
        <w:t>authorization</w:t>
      </w:r>
    </w:p>
    <w:p w14:paraId="16677890" w14:textId="77777777" w:rsidR="006A79C8" w:rsidRDefault="006A79C8" w:rsidP="00735EE7">
      <w:pPr>
        <w:pStyle w:val="BodyText"/>
        <w:contextualSpacing/>
        <w:rPr>
          <w:sz w:val="20"/>
        </w:rPr>
      </w:pPr>
    </w:p>
    <w:p w14:paraId="1A88F3F2" w14:textId="2A4978E7" w:rsidR="006A79C8" w:rsidRDefault="00ED7A6C" w:rsidP="00735EE7">
      <w:pPr>
        <w:pStyle w:val="BodyText"/>
        <w:contextualSpacing/>
      </w:pPr>
      <w:r>
        <w:t xml:space="preserve">In 2014, new fields were added to the application due to a final rule. The public reporting burden statement on the application was revised from 30 minutes to 1 hour, but the time per response in subsequent supporting statements </w:t>
      </w:r>
      <w:r w:rsidRPr="008462C0">
        <w:t xml:space="preserve">inadvertently </w:t>
      </w:r>
      <w:r>
        <w:t xml:space="preserve">was </w:t>
      </w:r>
      <w:r w:rsidRPr="008462C0">
        <w:t>not revised.</w:t>
      </w:r>
      <w:r>
        <w:t xml:space="preserve"> </w:t>
      </w:r>
      <w:r w:rsidR="00005862">
        <w:t xml:space="preserve">The </w:t>
      </w:r>
      <w:r>
        <w:t xml:space="preserve">respondent time per response in the table below has been </w:t>
      </w:r>
      <w:r w:rsidR="00AB6F74">
        <w:t>changed</w:t>
      </w:r>
      <w:r>
        <w:t xml:space="preserve"> to 1 hour.</w:t>
      </w:r>
      <w:r w:rsidR="00005862">
        <w:t xml:space="preserve"> </w:t>
      </w:r>
    </w:p>
    <w:p w14:paraId="13035745" w14:textId="77777777" w:rsidR="007174ED" w:rsidRDefault="007174ED"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01"/>
        <w:gridCol w:w="1104"/>
      </w:tblGrid>
      <w:tr w:rsidR="006A79C8" w14:paraId="2C5DB117" w14:textId="77777777" w:rsidTr="00A70496">
        <w:trPr>
          <w:trHeight w:val="460"/>
          <w:jc w:val="center"/>
        </w:trPr>
        <w:tc>
          <w:tcPr>
            <w:tcW w:w="5105" w:type="dxa"/>
            <w:gridSpan w:val="2"/>
          </w:tcPr>
          <w:p w14:paraId="0237A911" w14:textId="77777777" w:rsidR="006A79C8" w:rsidRDefault="004C62EA" w:rsidP="00735EE7">
            <w:pPr>
              <w:pStyle w:val="TableParagraph"/>
              <w:contextualSpacing/>
              <w:rPr>
                <w:b/>
                <w:sz w:val="20"/>
              </w:rPr>
            </w:pPr>
            <w:r>
              <w:rPr>
                <w:b/>
                <w:sz w:val="20"/>
              </w:rPr>
              <w:t>Application for IFQ/CDQ Hired Master Permit, Respondent</w:t>
            </w:r>
          </w:p>
        </w:tc>
      </w:tr>
      <w:tr w:rsidR="006A79C8" w14:paraId="0D3764D2" w14:textId="77777777" w:rsidTr="00A70496">
        <w:trPr>
          <w:trHeight w:val="232"/>
          <w:jc w:val="center"/>
        </w:trPr>
        <w:tc>
          <w:tcPr>
            <w:tcW w:w="4001" w:type="dxa"/>
            <w:tcBorders>
              <w:bottom w:val="nil"/>
            </w:tcBorders>
          </w:tcPr>
          <w:p w14:paraId="215F96E0" w14:textId="77777777" w:rsidR="006A79C8" w:rsidRDefault="004C62EA" w:rsidP="00735EE7">
            <w:pPr>
              <w:pStyle w:val="TableParagraph"/>
              <w:contextualSpacing/>
              <w:rPr>
                <w:b/>
                <w:sz w:val="20"/>
              </w:rPr>
            </w:pPr>
            <w:r>
              <w:rPr>
                <w:b/>
                <w:sz w:val="20"/>
              </w:rPr>
              <w:t>Estimated number of respondents</w:t>
            </w:r>
          </w:p>
        </w:tc>
        <w:tc>
          <w:tcPr>
            <w:tcW w:w="1104" w:type="dxa"/>
            <w:tcBorders>
              <w:bottom w:val="nil"/>
            </w:tcBorders>
          </w:tcPr>
          <w:p w14:paraId="6B2BDFD8" w14:textId="17C9365C" w:rsidR="006A79C8" w:rsidRDefault="007753DC" w:rsidP="00837E21">
            <w:pPr>
              <w:pStyle w:val="TableParagraph"/>
              <w:contextualSpacing/>
              <w:jc w:val="right"/>
              <w:rPr>
                <w:b/>
                <w:sz w:val="20"/>
              </w:rPr>
            </w:pPr>
            <w:r>
              <w:rPr>
                <w:b/>
                <w:sz w:val="20"/>
              </w:rPr>
              <w:t>200</w:t>
            </w:r>
          </w:p>
        </w:tc>
      </w:tr>
      <w:tr w:rsidR="006A79C8" w14:paraId="6620165D" w14:textId="77777777" w:rsidTr="00A70496">
        <w:trPr>
          <w:trHeight w:val="228"/>
          <w:jc w:val="center"/>
        </w:trPr>
        <w:tc>
          <w:tcPr>
            <w:tcW w:w="4001" w:type="dxa"/>
            <w:tcBorders>
              <w:top w:val="nil"/>
              <w:bottom w:val="nil"/>
            </w:tcBorders>
          </w:tcPr>
          <w:p w14:paraId="21238FCD" w14:textId="77777777" w:rsidR="006A79C8" w:rsidRDefault="004C62EA" w:rsidP="00735EE7">
            <w:pPr>
              <w:pStyle w:val="TableParagraph"/>
              <w:contextualSpacing/>
              <w:rPr>
                <w:b/>
                <w:sz w:val="20"/>
              </w:rPr>
            </w:pPr>
            <w:r>
              <w:rPr>
                <w:b/>
                <w:sz w:val="20"/>
              </w:rPr>
              <w:t>Total annual responses</w:t>
            </w:r>
          </w:p>
        </w:tc>
        <w:tc>
          <w:tcPr>
            <w:tcW w:w="1104" w:type="dxa"/>
            <w:tcBorders>
              <w:top w:val="nil"/>
              <w:bottom w:val="nil"/>
            </w:tcBorders>
          </w:tcPr>
          <w:p w14:paraId="6C507832" w14:textId="1D372AB6" w:rsidR="006A79C8" w:rsidRDefault="007753DC" w:rsidP="00837E21">
            <w:pPr>
              <w:pStyle w:val="TableParagraph"/>
              <w:contextualSpacing/>
              <w:jc w:val="right"/>
              <w:rPr>
                <w:b/>
                <w:sz w:val="20"/>
              </w:rPr>
            </w:pPr>
            <w:r>
              <w:rPr>
                <w:b/>
                <w:sz w:val="20"/>
              </w:rPr>
              <w:t>200</w:t>
            </w:r>
          </w:p>
        </w:tc>
      </w:tr>
      <w:tr w:rsidR="006A79C8" w14:paraId="2C07857A" w14:textId="77777777" w:rsidTr="00A70496">
        <w:trPr>
          <w:trHeight w:val="228"/>
          <w:jc w:val="center"/>
        </w:trPr>
        <w:tc>
          <w:tcPr>
            <w:tcW w:w="4001" w:type="dxa"/>
            <w:tcBorders>
              <w:top w:val="nil"/>
              <w:bottom w:val="nil"/>
            </w:tcBorders>
          </w:tcPr>
          <w:p w14:paraId="7806E5E4" w14:textId="77777777" w:rsidR="006A79C8" w:rsidRDefault="004C62EA" w:rsidP="00735EE7">
            <w:pPr>
              <w:pStyle w:val="TableParagraph"/>
              <w:contextualSpacing/>
              <w:rPr>
                <w:sz w:val="20"/>
              </w:rPr>
            </w:pPr>
            <w:r>
              <w:rPr>
                <w:sz w:val="20"/>
              </w:rPr>
              <w:t>Number of responses per year = 1</w:t>
            </w:r>
          </w:p>
        </w:tc>
        <w:tc>
          <w:tcPr>
            <w:tcW w:w="1104" w:type="dxa"/>
            <w:tcBorders>
              <w:top w:val="nil"/>
              <w:bottom w:val="nil"/>
            </w:tcBorders>
          </w:tcPr>
          <w:p w14:paraId="3BAE628D" w14:textId="77777777" w:rsidR="006A79C8" w:rsidRDefault="006A79C8" w:rsidP="00837E21">
            <w:pPr>
              <w:pStyle w:val="TableParagraph"/>
              <w:contextualSpacing/>
              <w:jc w:val="right"/>
              <w:rPr>
                <w:sz w:val="16"/>
              </w:rPr>
            </w:pPr>
          </w:p>
        </w:tc>
      </w:tr>
      <w:tr w:rsidR="006A79C8" w14:paraId="0CF67ABE" w14:textId="77777777" w:rsidTr="00A70496">
        <w:trPr>
          <w:trHeight w:val="232"/>
          <w:jc w:val="center"/>
        </w:trPr>
        <w:tc>
          <w:tcPr>
            <w:tcW w:w="4001" w:type="dxa"/>
            <w:tcBorders>
              <w:top w:val="nil"/>
              <w:bottom w:val="nil"/>
            </w:tcBorders>
          </w:tcPr>
          <w:p w14:paraId="37987363" w14:textId="26CEF7B9" w:rsidR="006A79C8" w:rsidRDefault="00762521" w:rsidP="007753DC">
            <w:pPr>
              <w:pStyle w:val="TableParagraph"/>
              <w:contextualSpacing/>
              <w:rPr>
                <w:sz w:val="20"/>
              </w:rPr>
            </w:pPr>
            <w:r>
              <w:rPr>
                <w:b/>
                <w:sz w:val="20"/>
              </w:rPr>
              <w:t>Total t</w:t>
            </w:r>
            <w:r w:rsidR="004C62EA">
              <w:rPr>
                <w:b/>
                <w:sz w:val="20"/>
              </w:rPr>
              <w:t xml:space="preserve">ime burden </w:t>
            </w:r>
            <w:r w:rsidR="004C62EA">
              <w:rPr>
                <w:sz w:val="20"/>
              </w:rPr>
              <w:t>(</w:t>
            </w:r>
            <w:r w:rsidR="007753DC">
              <w:rPr>
                <w:sz w:val="20"/>
              </w:rPr>
              <w:t>200</w:t>
            </w:r>
            <w:r w:rsidR="004C62EA">
              <w:rPr>
                <w:sz w:val="20"/>
              </w:rPr>
              <w:t>)</w:t>
            </w:r>
          </w:p>
        </w:tc>
        <w:tc>
          <w:tcPr>
            <w:tcW w:w="1104" w:type="dxa"/>
            <w:tcBorders>
              <w:top w:val="nil"/>
              <w:bottom w:val="nil"/>
            </w:tcBorders>
          </w:tcPr>
          <w:p w14:paraId="6E8F5D2D" w14:textId="20BC8CE1" w:rsidR="006A79C8" w:rsidRDefault="007753DC" w:rsidP="00837E21">
            <w:pPr>
              <w:pStyle w:val="TableParagraph"/>
              <w:contextualSpacing/>
              <w:jc w:val="right"/>
              <w:rPr>
                <w:b/>
                <w:sz w:val="20"/>
              </w:rPr>
            </w:pPr>
            <w:r>
              <w:rPr>
                <w:b/>
                <w:sz w:val="20"/>
              </w:rPr>
              <w:t xml:space="preserve">200 </w:t>
            </w:r>
            <w:r w:rsidR="004C62EA">
              <w:rPr>
                <w:b/>
                <w:sz w:val="20"/>
              </w:rPr>
              <w:t>hr</w:t>
            </w:r>
          </w:p>
        </w:tc>
      </w:tr>
      <w:tr w:rsidR="006A79C8" w14:paraId="522176AE" w14:textId="77777777" w:rsidTr="00A70496">
        <w:trPr>
          <w:trHeight w:val="228"/>
          <w:jc w:val="center"/>
        </w:trPr>
        <w:tc>
          <w:tcPr>
            <w:tcW w:w="4001" w:type="dxa"/>
            <w:tcBorders>
              <w:top w:val="nil"/>
              <w:bottom w:val="nil"/>
            </w:tcBorders>
          </w:tcPr>
          <w:p w14:paraId="66CF7402" w14:textId="7C755153" w:rsidR="006A79C8" w:rsidRDefault="004C62EA" w:rsidP="00E431AE">
            <w:pPr>
              <w:pStyle w:val="TableParagraph"/>
              <w:contextualSpacing/>
              <w:rPr>
                <w:sz w:val="20"/>
              </w:rPr>
            </w:pPr>
            <w:r>
              <w:rPr>
                <w:sz w:val="20"/>
              </w:rPr>
              <w:t xml:space="preserve">Time per response = </w:t>
            </w:r>
            <w:r w:rsidR="00E431AE">
              <w:rPr>
                <w:sz w:val="20"/>
              </w:rPr>
              <w:t>1 hour</w:t>
            </w:r>
          </w:p>
        </w:tc>
        <w:tc>
          <w:tcPr>
            <w:tcW w:w="1104" w:type="dxa"/>
            <w:tcBorders>
              <w:top w:val="nil"/>
              <w:bottom w:val="nil"/>
            </w:tcBorders>
          </w:tcPr>
          <w:p w14:paraId="3FA25847" w14:textId="77777777" w:rsidR="006A79C8" w:rsidRDefault="006A79C8" w:rsidP="00837E21">
            <w:pPr>
              <w:pStyle w:val="TableParagraph"/>
              <w:contextualSpacing/>
              <w:jc w:val="right"/>
              <w:rPr>
                <w:sz w:val="16"/>
              </w:rPr>
            </w:pPr>
          </w:p>
        </w:tc>
      </w:tr>
      <w:tr w:rsidR="006A79C8" w14:paraId="4F6D7A9A" w14:textId="77777777" w:rsidTr="00A70496">
        <w:trPr>
          <w:trHeight w:val="231"/>
          <w:jc w:val="center"/>
        </w:trPr>
        <w:tc>
          <w:tcPr>
            <w:tcW w:w="4001" w:type="dxa"/>
            <w:tcBorders>
              <w:top w:val="nil"/>
              <w:bottom w:val="nil"/>
            </w:tcBorders>
          </w:tcPr>
          <w:p w14:paraId="68D2D7B6" w14:textId="3BBDE932" w:rsidR="006A79C8" w:rsidRDefault="004C62EA" w:rsidP="008E4AEB">
            <w:pPr>
              <w:pStyle w:val="TableParagraph"/>
              <w:contextualSpacing/>
              <w:rPr>
                <w:sz w:val="20"/>
              </w:rPr>
            </w:pPr>
            <w:r>
              <w:rPr>
                <w:b/>
                <w:sz w:val="20"/>
              </w:rPr>
              <w:t xml:space="preserve">Total personnel cost </w:t>
            </w:r>
            <w:r>
              <w:rPr>
                <w:sz w:val="20"/>
              </w:rPr>
              <w:t xml:space="preserve">($37/hr x </w:t>
            </w:r>
            <w:r w:rsidR="008E4AEB">
              <w:rPr>
                <w:sz w:val="20"/>
              </w:rPr>
              <w:t>200</w:t>
            </w:r>
            <w:r>
              <w:rPr>
                <w:sz w:val="20"/>
              </w:rPr>
              <w:t>)</w:t>
            </w:r>
          </w:p>
        </w:tc>
        <w:tc>
          <w:tcPr>
            <w:tcW w:w="1104" w:type="dxa"/>
            <w:tcBorders>
              <w:top w:val="nil"/>
              <w:bottom w:val="nil"/>
            </w:tcBorders>
          </w:tcPr>
          <w:p w14:paraId="7BAA4D89" w14:textId="0332904F" w:rsidR="006A79C8" w:rsidRDefault="00890893" w:rsidP="00837E21">
            <w:pPr>
              <w:pStyle w:val="TableParagraph"/>
              <w:contextualSpacing/>
              <w:jc w:val="right"/>
              <w:rPr>
                <w:b/>
                <w:sz w:val="20"/>
              </w:rPr>
            </w:pPr>
            <w:r>
              <w:rPr>
                <w:b/>
                <w:sz w:val="20"/>
              </w:rPr>
              <w:t>$</w:t>
            </w:r>
            <w:r w:rsidR="008E4AEB">
              <w:rPr>
                <w:b/>
                <w:sz w:val="20"/>
              </w:rPr>
              <w:t>7,400</w:t>
            </w:r>
          </w:p>
        </w:tc>
      </w:tr>
      <w:tr w:rsidR="006A79C8" w14:paraId="2D847B03" w14:textId="77777777" w:rsidTr="00A70496">
        <w:trPr>
          <w:trHeight w:val="229"/>
          <w:jc w:val="center"/>
        </w:trPr>
        <w:tc>
          <w:tcPr>
            <w:tcW w:w="4001" w:type="dxa"/>
            <w:tcBorders>
              <w:top w:val="nil"/>
              <w:bottom w:val="nil"/>
            </w:tcBorders>
          </w:tcPr>
          <w:p w14:paraId="36054D46" w14:textId="45D6DF7F" w:rsidR="006A79C8" w:rsidRDefault="004C62EA" w:rsidP="00005862">
            <w:pPr>
              <w:pStyle w:val="TableParagraph"/>
              <w:contextualSpacing/>
              <w:rPr>
                <w:sz w:val="20"/>
              </w:rPr>
            </w:pPr>
            <w:r>
              <w:rPr>
                <w:b/>
                <w:sz w:val="20"/>
              </w:rPr>
              <w:t xml:space="preserve">Total miscellaneous cost </w:t>
            </w:r>
            <w:r>
              <w:rPr>
                <w:sz w:val="20"/>
              </w:rPr>
              <w:t>(</w:t>
            </w:r>
            <w:r w:rsidR="0036304A">
              <w:rPr>
                <w:sz w:val="20"/>
              </w:rPr>
              <w:t>170.04</w:t>
            </w:r>
            <w:r>
              <w:rPr>
                <w:sz w:val="20"/>
              </w:rPr>
              <w:t>)</w:t>
            </w:r>
          </w:p>
        </w:tc>
        <w:tc>
          <w:tcPr>
            <w:tcW w:w="1104" w:type="dxa"/>
            <w:tcBorders>
              <w:top w:val="nil"/>
              <w:bottom w:val="nil"/>
            </w:tcBorders>
          </w:tcPr>
          <w:p w14:paraId="04723C6B" w14:textId="5F48D8D7" w:rsidR="006A79C8" w:rsidRDefault="004C62EA" w:rsidP="00005862">
            <w:pPr>
              <w:pStyle w:val="TableParagraph"/>
              <w:contextualSpacing/>
              <w:jc w:val="right"/>
              <w:rPr>
                <w:b/>
                <w:sz w:val="20"/>
              </w:rPr>
            </w:pPr>
            <w:r>
              <w:rPr>
                <w:b/>
                <w:sz w:val="20"/>
              </w:rPr>
              <w:t>$</w:t>
            </w:r>
            <w:r w:rsidR="0036304A">
              <w:rPr>
                <w:b/>
                <w:sz w:val="20"/>
              </w:rPr>
              <w:t>170</w:t>
            </w:r>
          </w:p>
        </w:tc>
      </w:tr>
      <w:tr w:rsidR="006A79C8" w14:paraId="0694A940" w14:textId="77777777" w:rsidTr="00A70496">
        <w:trPr>
          <w:trHeight w:val="228"/>
          <w:jc w:val="center"/>
        </w:trPr>
        <w:tc>
          <w:tcPr>
            <w:tcW w:w="4001" w:type="dxa"/>
            <w:tcBorders>
              <w:top w:val="nil"/>
              <w:bottom w:val="nil"/>
            </w:tcBorders>
          </w:tcPr>
          <w:p w14:paraId="4E6FE706" w14:textId="0DC89B48" w:rsidR="006A79C8" w:rsidRDefault="004C62EA" w:rsidP="00005862">
            <w:pPr>
              <w:pStyle w:val="TableParagraph"/>
              <w:contextualSpacing/>
              <w:rPr>
                <w:sz w:val="20"/>
              </w:rPr>
            </w:pPr>
            <w:r>
              <w:rPr>
                <w:sz w:val="20"/>
              </w:rPr>
              <w:t>Postage (0.</w:t>
            </w:r>
            <w:r w:rsidR="006939D2">
              <w:rPr>
                <w:sz w:val="20"/>
              </w:rPr>
              <w:t xml:space="preserve">49 </w:t>
            </w:r>
            <w:r>
              <w:rPr>
                <w:sz w:val="20"/>
              </w:rPr>
              <w:t xml:space="preserve">x </w:t>
            </w:r>
            <w:r w:rsidR="0036304A">
              <w:rPr>
                <w:sz w:val="20"/>
              </w:rPr>
              <w:t>196</w:t>
            </w:r>
            <w:r w:rsidR="00762521">
              <w:rPr>
                <w:sz w:val="20"/>
              </w:rPr>
              <w:t xml:space="preserve"> </w:t>
            </w:r>
            <w:r w:rsidR="00890893">
              <w:rPr>
                <w:sz w:val="20"/>
              </w:rPr>
              <w:t>=</w:t>
            </w:r>
            <w:r w:rsidR="00762521">
              <w:rPr>
                <w:sz w:val="20"/>
              </w:rPr>
              <w:t xml:space="preserve"> </w:t>
            </w:r>
            <w:r w:rsidR="0036304A">
              <w:rPr>
                <w:sz w:val="20"/>
              </w:rPr>
              <w:t>96.04</w:t>
            </w:r>
            <w:r>
              <w:rPr>
                <w:sz w:val="20"/>
              </w:rPr>
              <w:t>)</w:t>
            </w:r>
          </w:p>
        </w:tc>
        <w:tc>
          <w:tcPr>
            <w:tcW w:w="1104" w:type="dxa"/>
            <w:tcBorders>
              <w:top w:val="nil"/>
              <w:bottom w:val="nil"/>
            </w:tcBorders>
          </w:tcPr>
          <w:p w14:paraId="35FEAF37" w14:textId="77777777" w:rsidR="006A79C8" w:rsidRDefault="006A79C8" w:rsidP="00735EE7">
            <w:pPr>
              <w:pStyle w:val="TableParagraph"/>
              <w:contextualSpacing/>
              <w:rPr>
                <w:sz w:val="16"/>
              </w:rPr>
            </w:pPr>
          </w:p>
        </w:tc>
      </w:tr>
      <w:tr w:rsidR="006A79C8" w14:paraId="7A5C0D71" w14:textId="77777777" w:rsidTr="00A70496">
        <w:trPr>
          <w:trHeight w:val="230"/>
          <w:jc w:val="center"/>
        </w:trPr>
        <w:tc>
          <w:tcPr>
            <w:tcW w:w="4001" w:type="dxa"/>
            <w:tcBorders>
              <w:top w:val="nil"/>
              <w:bottom w:val="nil"/>
            </w:tcBorders>
          </w:tcPr>
          <w:p w14:paraId="102DAEAE" w14:textId="515F27EA" w:rsidR="006A79C8" w:rsidRDefault="004C62EA" w:rsidP="00005862">
            <w:pPr>
              <w:pStyle w:val="TableParagraph"/>
              <w:contextualSpacing/>
              <w:rPr>
                <w:sz w:val="20"/>
              </w:rPr>
            </w:pPr>
            <w:r>
              <w:rPr>
                <w:sz w:val="20"/>
              </w:rPr>
              <w:t xml:space="preserve">Fax ($6 x </w:t>
            </w:r>
            <w:r w:rsidR="0036304A">
              <w:rPr>
                <w:sz w:val="20"/>
              </w:rPr>
              <w:t xml:space="preserve">4 </w:t>
            </w:r>
            <w:r>
              <w:rPr>
                <w:sz w:val="20"/>
              </w:rPr>
              <w:t xml:space="preserve">= </w:t>
            </w:r>
            <w:r w:rsidR="0036304A">
              <w:rPr>
                <w:sz w:val="20"/>
              </w:rPr>
              <w:t>24</w:t>
            </w:r>
            <w:r>
              <w:rPr>
                <w:sz w:val="20"/>
              </w:rPr>
              <w:t>)</w:t>
            </w:r>
          </w:p>
        </w:tc>
        <w:tc>
          <w:tcPr>
            <w:tcW w:w="1104" w:type="dxa"/>
            <w:tcBorders>
              <w:top w:val="nil"/>
              <w:bottom w:val="nil"/>
            </w:tcBorders>
          </w:tcPr>
          <w:p w14:paraId="4393060E" w14:textId="77777777" w:rsidR="006A79C8" w:rsidRDefault="006A79C8" w:rsidP="00735EE7">
            <w:pPr>
              <w:pStyle w:val="TableParagraph"/>
              <w:contextualSpacing/>
              <w:rPr>
                <w:sz w:val="16"/>
              </w:rPr>
            </w:pPr>
          </w:p>
        </w:tc>
      </w:tr>
      <w:tr w:rsidR="006A79C8" w14:paraId="198E5341" w14:textId="77777777" w:rsidTr="00A70496">
        <w:trPr>
          <w:trHeight w:val="232"/>
          <w:jc w:val="center"/>
        </w:trPr>
        <w:tc>
          <w:tcPr>
            <w:tcW w:w="4001" w:type="dxa"/>
            <w:tcBorders>
              <w:top w:val="nil"/>
            </w:tcBorders>
          </w:tcPr>
          <w:p w14:paraId="387C9765" w14:textId="3F38C1AA" w:rsidR="006A79C8" w:rsidRDefault="004C62EA" w:rsidP="0079508A">
            <w:pPr>
              <w:pStyle w:val="TableParagraph"/>
              <w:contextualSpacing/>
              <w:rPr>
                <w:sz w:val="20"/>
              </w:rPr>
            </w:pPr>
            <w:r>
              <w:rPr>
                <w:sz w:val="20"/>
              </w:rPr>
              <w:t xml:space="preserve">Photocopy (0.05 x </w:t>
            </w:r>
            <w:r w:rsidR="0079508A">
              <w:rPr>
                <w:sz w:val="20"/>
              </w:rPr>
              <w:t xml:space="preserve">5pp </w:t>
            </w:r>
            <w:r>
              <w:rPr>
                <w:sz w:val="20"/>
              </w:rPr>
              <w:t xml:space="preserve">x </w:t>
            </w:r>
            <w:r w:rsidR="0079508A">
              <w:rPr>
                <w:sz w:val="20"/>
              </w:rPr>
              <w:t>200</w:t>
            </w:r>
            <w:r w:rsidR="00DF1982">
              <w:rPr>
                <w:sz w:val="20"/>
              </w:rPr>
              <w:t xml:space="preserve"> = </w:t>
            </w:r>
            <w:r w:rsidR="0079508A">
              <w:rPr>
                <w:sz w:val="20"/>
              </w:rPr>
              <w:t>50</w:t>
            </w:r>
            <w:r>
              <w:rPr>
                <w:sz w:val="20"/>
              </w:rPr>
              <w:t>)</w:t>
            </w:r>
          </w:p>
        </w:tc>
        <w:tc>
          <w:tcPr>
            <w:tcW w:w="1104" w:type="dxa"/>
            <w:tcBorders>
              <w:top w:val="nil"/>
            </w:tcBorders>
          </w:tcPr>
          <w:p w14:paraId="1EC8D489" w14:textId="77777777" w:rsidR="006A79C8" w:rsidRDefault="006A79C8" w:rsidP="00735EE7">
            <w:pPr>
              <w:pStyle w:val="TableParagraph"/>
              <w:contextualSpacing/>
              <w:rPr>
                <w:sz w:val="16"/>
              </w:rPr>
            </w:pPr>
          </w:p>
        </w:tc>
      </w:tr>
    </w:tbl>
    <w:p w14:paraId="041CA308" w14:textId="77777777" w:rsidR="006A79C8" w:rsidRDefault="006A79C8" w:rsidP="00735EE7">
      <w:pPr>
        <w:pStyle w:val="BodyText"/>
        <w:contextualSpacing/>
        <w:rPr>
          <w:sz w:val="20"/>
        </w:rPr>
      </w:pPr>
    </w:p>
    <w:p w14:paraId="6D627F5E" w14:textId="77777777" w:rsidR="0018755B" w:rsidRDefault="0018755B" w:rsidP="00735EE7">
      <w:pPr>
        <w:pStyle w:val="BodyText"/>
        <w:contextualSpacing/>
        <w:rPr>
          <w:sz w:val="23"/>
        </w:rPr>
      </w:pPr>
    </w:p>
    <w:p w14:paraId="76BD3574" w14:textId="523C0B3E" w:rsidR="006A79C8" w:rsidRPr="0018755B" w:rsidRDefault="00DD4578" w:rsidP="00DD4578">
      <w:pPr>
        <w:pStyle w:val="Heading1"/>
        <w:tabs>
          <w:tab w:val="left" w:pos="360"/>
        </w:tabs>
        <w:ind w:left="0"/>
        <w:contextualSpacing/>
        <w:rPr>
          <w:u w:val="none"/>
        </w:rPr>
      </w:pPr>
      <w:r w:rsidRPr="00E14563">
        <w:rPr>
          <w:u w:val="none"/>
        </w:rPr>
        <w:t>d.</w:t>
      </w:r>
      <w:r w:rsidRPr="00E14563">
        <w:rPr>
          <w:u w:val="none"/>
        </w:rPr>
        <w:tab/>
      </w:r>
      <w:r w:rsidR="004C62EA" w:rsidRPr="00E14563">
        <w:rPr>
          <w:u w:val="none"/>
        </w:rPr>
        <w:t>Application for IFQ/CDQ Registered Buyer</w:t>
      </w:r>
      <w:r w:rsidR="004C62EA" w:rsidRPr="00E14563">
        <w:rPr>
          <w:spacing w:val="-3"/>
          <w:u w:val="none"/>
        </w:rPr>
        <w:t xml:space="preserve"> </w:t>
      </w:r>
      <w:r w:rsidR="004C62EA" w:rsidRPr="00E14563">
        <w:rPr>
          <w:u w:val="none"/>
        </w:rPr>
        <w:t>Permit</w:t>
      </w:r>
      <w:r w:rsidR="0018755B" w:rsidRPr="004D17C3">
        <w:rPr>
          <w:u w:val="none"/>
        </w:rPr>
        <w:t xml:space="preserve"> </w:t>
      </w:r>
      <w:r w:rsidR="00F24FE9">
        <w:rPr>
          <w:u w:val="none"/>
        </w:rPr>
        <w:t>[adjusted]</w:t>
      </w:r>
    </w:p>
    <w:p w14:paraId="53B88A2B" w14:textId="77777777" w:rsidR="006A79C8" w:rsidRDefault="006A79C8" w:rsidP="00735EE7">
      <w:pPr>
        <w:pStyle w:val="BodyText"/>
        <w:contextualSpacing/>
        <w:rPr>
          <w:b/>
          <w:sz w:val="23"/>
        </w:rPr>
      </w:pPr>
    </w:p>
    <w:p w14:paraId="6999642B" w14:textId="7D32DB29" w:rsidR="006A79C8" w:rsidRDefault="0082132A" w:rsidP="00735EE7">
      <w:pPr>
        <w:pStyle w:val="BodyText"/>
        <w:contextualSpacing/>
      </w:pPr>
      <w:r>
        <w:t xml:space="preserve">The Application for IFQ/CDQ Registered Buyer Permit is used to apply for, amend, or renew a </w:t>
      </w:r>
      <w:r w:rsidR="00920F8B">
        <w:t>registered buyer</w:t>
      </w:r>
      <w:r>
        <w:t xml:space="preserve"> permit under the IFQ Program and the CDQ Program. </w:t>
      </w:r>
      <w:r w:rsidR="004C62EA">
        <w:t xml:space="preserve">A </w:t>
      </w:r>
      <w:r w:rsidR="00920F8B">
        <w:t>registered buyer</w:t>
      </w:r>
      <w:r w:rsidR="004C62EA">
        <w:t xml:space="preserve"> permit authorizes the person identified on the permit to receive and make an IFQ landing by an IFQ permit holder or IFQ hired master permit holder</w:t>
      </w:r>
      <w:r w:rsidR="003B4025">
        <w:t>, or to receive</w:t>
      </w:r>
      <w:r w:rsidR="004C62EA">
        <w:t xml:space="preserve"> and </w:t>
      </w:r>
      <w:r w:rsidR="003B4025">
        <w:t xml:space="preserve">make </w:t>
      </w:r>
      <w:r w:rsidR="004C62EA">
        <w:t>a CDQ halibut landing by a CDQ permit holder or CDQ hired master permit holder.</w:t>
      </w:r>
    </w:p>
    <w:p w14:paraId="3CA4A993" w14:textId="77777777" w:rsidR="006A79C8" w:rsidRDefault="006A79C8" w:rsidP="00735EE7">
      <w:pPr>
        <w:pStyle w:val="BodyText"/>
        <w:contextualSpacing/>
      </w:pPr>
    </w:p>
    <w:p w14:paraId="140A5215" w14:textId="383C68A1" w:rsidR="006A79C8" w:rsidRDefault="004C62EA" w:rsidP="00735EE7">
      <w:pPr>
        <w:pStyle w:val="BodyText"/>
        <w:contextualSpacing/>
      </w:pPr>
      <w:r>
        <w:t xml:space="preserve">A </w:t>
      </w:r>
      <w:r w:rsidR="00920F8B">
        <w:t>registered buyer</w:t>
      </w:r>
      <w:r>
        <w:t xml:space="preserve"> permit is required of</w:t>
      </w:r>
      <w:r w:rsidR="00D7706E">
        <w:t xml:space="preserve"> the following</w:t>
      </w:r>
      <w:r>
        <w:t>:</w:t>
      </w:r>
    </w:p>
    <w:p w14:paraId="6AFBB5C2" w14:textId="77777777" w:rsidR="006A79C8" w:rsidRDefault="004C62EA" w:rsidP="00DD4578">
      <w:pPr>
        <w:pStyle w:val="BodyText"/>
        <w:numPr>
          <w:ilvl w:val="0"/>
          <w:numId w:val="3"/>
        </w:numPr>
      </w:pPr>
      <w:r>
        <w:t xml:space="preserve">Any person who receives </w:t>
      </w:r>
      <w:r>
        <w:rPr>
          <w:spacing w:val="-2"/>
        </w:rPr>
        <w:t xml:space="preserve">IFQ </w:t>
      </w:r>
      <w:r>
        <w:t xml:space="preserve">halibut, CDQ halibut, or </w:t>
      </w:r>
      <w:r>
        <w:rPr>
          <w:spacing w:val="-2"/>
        </w:rPr>
        <w:t xml:space="preserve">IFQ </w:t>
      </w:r>
      <w:r>
        <w:t>sablefish from the person(s) who harvested the</w:t>
      </w:r>
      <w:r>
        <w:rPr>
          <w:spacing w:val="-2"/>
        </w:rPr>
        <w:t xml:space="preserve"> </w:t>
      </w:r>
      <w:r>
        <w:t>fish.</w:t>
      </w:r>
    </w:p>
    <w:p w14:paraId="5578D447" w14:textId="77777777" w:rsidR="006A79C8" w:rsidRDefault="004C62EA" w:rsidP="00DD4578">
      <w:pPr>
        <w:pStyle w:val="BodyText"/>
        <w:numPr>
          <w:ilvl w:val="0"/>
          <w:numId w:val="3"/>
        </w:numPr>
      </w:pPr>
      <w:r>
        <w:t xml:space="preserve">Any person who harvests </w:t>
      </w:r>
      <w:r>
        <w:rPr>
          <w:spacing w:val="-2"/>
        </w:rPr>
        <w:t xml:space="preserve">IFQ </w:t>
      </w:r>
      <w:r>
        <w:t xml:space="preserve">halibut, CDQ halibut, or </w:t>
      </w:r>
      <w:r>
        <w:rPr>
          <w:spacing w:val="-2"/>
        </w:rPr>
        <w:t xml:space="preserve">IFQ </w:t>
      </w:r>
      <w:r>
        <w:t>sablefish and transfers such fish in a dockside sale, outside of an IFQ regulatory area, or outside the State of</w:t>
      </w:r>
      <w:r>
        <w:rPr>
          <w:spacing w:val="-24"/>
        </w:rPr>
        <w:t xml:space="preserve"> </w:t>
      </w:r>
      <w:r>
        <w:t>Alaska.</w:t>
      </w:r>
    </w:p>
    <w:p w14:paraId="17748AED" w14:textId="62DAD21F" w:rsidR="006A79C8" w:rsidRDefault="004C62EA" w:rsidP="00DD4578">
      <w:pPr>
        <w:pStyle w:val="BodyText"/>
        <w:numPr>
          <w:ilvl w:val="0"/>
          <w:numId w:val="3"/>
        </w:numPr>
      </w:pPr>
      <w:r>
        <w:t>A vessel operator who submits a</w:t>
      </w:r>
      <w:r w:rsidR="00500624">
        <w:t>n IFQ</w:t>
      </w:r>
      <w:r>
        <w:t xml:space="preserve"> Departure Report (see </w:t>
      </w:r>
      <w:r w:rsidR="00500624">
        <w:t xml:space="preserve">description of this report </w:t>
      </w:r>
      <w:r w:rsidR="00DB3FAB">
        <w:t>below at</w:t>
      </w:r>
      <w:r w:rsidR="00500624">
        <w:t xml:space="preserve"> subsection m</w:t>
      </w:r>
      <w:r>
        <w:t>).</w:t>
      </w:r>
    </w:p>
    <w:p w14:paraId="6D02657C" w14:textId="77777777" w:rsidR="006A79C8" w:rsidRDefault="006A79C8" w:rsidP="00735EE7">
      <w:pPr>
        <w:pStyle w:val="BodyText"/>
        <w:contextualSpacing/>
      </w:pPr>
    </w:p>
    <w:p w14:paraId="0FFC3984" w14:textId="3F431C86" w:rsidR="006A79C8" w:rsidRDefault="004C62EA" w:rsidP="00735EE7">
      <w:pPr>
        <w:pStyle w:val="BodyText"/>
        <w:contextualSpacing/>
      </w:pPr>
      <w:r>
        <w:t xml:space="preserve">NMFS does not issue a </w:t>
      </w:r>
      <w:r w:rsidR="00920F8B">
        <w:t>registered buyer</w:t>
      </w:r>
      <w:r>
        <w:t xml:space="preserve"> permit to entities receiving IFQ Pacific halibut, IFQ sablefish, or CDQ Pacific halibut at locations outside Alaska. In such cases, the vessel operator must be a </w:t>
      </w:r>
      <w:r w:rsidR="00920F8B">
        <w:t>registered buyer</w:t>
      </w:r>
      <w:r>
        <w:t>.</w:t>
      </w:r>
    </w:p>
    <w:p w14:paraId="5A372CFB" w14:textId="77777777" w:rsidR="00D7706E" w:rsidRDefault="00D7706E" w:rsidP="00D7706E">
      <w:pPr>
        <w:widowControl/>
        <w:adjustRightInd w:val="0"/>
        <w:rPr>
          <w:sz w:val="24"/>
          <w:szCs w:val="24"/>
        </w:rPr>
      </w:pPr>
    </w:p>
    <w:p w14:paraId="11C58396" w14:textId="27AC369D" w:rsidR="00D7706E" w:rsidRPr="00393401" w:rsidRDefault="00D7706E" w:rsidP="00D7706E">
      <w:pPr>
        <w:widowControl/>
        <w:adjustRightInd w:val="0"/>
        <w:rPr>
          <w:color w:val="000000"/>
          <w:sz w:val="24"/>
          <w:szCs w:val="24"/>
        </w:rPr>
      </w:pPr>
      <w:r w:rsidRPr="00393401">
        <w:rPr>
          <w:sz w:val="24"/>
          <w:szCs w:val="24"/>
        </w:rPr>
        <w:t xml:space="preserve">A </w:t>
      </w:r>
      <w:r w:rsidR="00920F8B">
        <w:rPr>
          <w:sz w:val="24"/>
          <w:szCs w:val="24"/>
        </w:rPr>
        <w:t>registered buyer</w:t>
      </w:r>
      <w:r w:rsidRPr="00393401">
        <w:rPr>
          <w:sz w:val="24"/>
          <w:szCs w:val="24"/>
        </w:rPr>
        <w:t xml:space="preserve"> permit is non</w:t>
      </w:r>
      <w:r>
        <w:rPr>
          <w:sz w:val="24"/>
          <w:szCs w:val="24"/>
        </w:rPr>
        <w:t xml:space="preserve">-transferable and is issued </w:t>
      </w:r>
      <w:r w:rsidR="0085550E">
        <w:rPr>
          <w:sz w:val="24"/>
          <w:szCs w:val="24"/>
        </w:rPr>
        <w:t xml:space="preserve">annually </w:t>
      </w:r>
      <w:r w:rsidRPr="00393401">
        <w:rPr>
          <w:sz w:val="24"/>
          <w:szCs w:val="24"/>
        </w:rPr>
        <w:t xml:space="preserve">on request at no cost.  </w:t>
      </w:r>
      <w:r w:rsidRPr="00393401">
        <w:rPr>
          <w:color w:val="000000"/>
          <w:sz w:val="24"/>
          <w:szCs w:val="24"/>
        </w:rPr>
        <w:t xml:space="preserve">Many </w:t>
      </w:r>
      <w:r w:rsidR="00920F8B">
        <w:rPr>
          <w:color w:val="000000"/>
          <w:sz w:val="24"/>
          <w:szCs w:val="24"/>
        </w:rPr>
        <w:t>registered buyer</w:t>
      </w:r>
      <w:r w:rsidRPr="00393401">
        <w:rPr>
          <w:color w:val="000000"/>
          <w:sz w:val="24"/>
          <w:szCs w:val="24"/>
        </w:rPr>
        <w:t xml:space="preserve">s hold more than one permit. </w:t>
      </w:r>
    </w:p>
    <w:p w14:paraId="6155C245" w14:textId="77777777" w:rsidR="006A79C8" w:rsidRDefault="006A79C8" w:rsidP="00735EE7">
      <w:pPr>
        <w:pStyle w:val="BodyText"/>
        <w:contextualSpacing/>
      </w:pPr>
    </w:p>
    <w:p w14:paraId="320AB46C" w14:textId="21334279" w:rsidR="006A79C8" w:rsidRDefault="004C62EA" w:rsidP="00735EE7">
      <w:pPr>
        <w:pStyle w:val="BodyText"/>
        <w:contextualSpacing/>
      </w:pPr>
      <w:r>
        <w:t xml:space="preserve">A </w:t>
      </w:r>
      <w:r w:rsidR="00920F8B">
        <w:t>registered buyer</w:t>
      </w:r>
      <w:r>
        <w:t xml:space="preserve"> permit is in effect from the first day of the year for which it is issued or from the date of issuance, whichever is later, through the end of the 1-year cycle</w:t>
      </w:r>
      <w:r w:rsidR="0005649D">
        <w:t xml:space="preserve"> that</w:t>
      </w:r>
      <w:r w:rsidR="006B5976">
        <w:t xml:space="preserve"> </w:t>
      </w:r>
      <w:r w:rsidR="00C641B7">
        <w:t>run</w:t>
      </w:r>
      <w:r w:rsidR="006B5976">
        <w:t>s</w:t>
      </w:r>
      <w:r w:rsidR="00C641B7">
        <w:t xml:space="preserve"> from March 1 through the last day of February</w:t>
      </w:r>
      <w:r w:rsidR="006B5976">
        <w:t>,</w:t>
      </w:r>
      <w:r w:rsidR="00C641B7">
        <w:t xml:space="preserve"> </w:t>
      </w:r>
      <w:r>
        <w:t>unless it is revoked, suspended, surrendered, or modified.</w:t>
      </w:r>
    </w:p>
    <w:p w14:paraId="5FB86787" w14:textId="77777777" w:rsidR="006A79C8" w:rsidRDefault="006A79C8" w:rsidP="00735EE7">
      <w:pPr>
        <w:pStyle w:val="BodyText"/>
        <w:contextualSpacing/>
      </w:pPr>
    </w:p>
    <w:p w14:paraId="40688D25" w14:textId="313C53D4" w:rsidR="005264E1" w:rsidRDefault="00136C84" w:rsidP="00735EE7">
      <w:pPr>
        <w:pStyle w:val="BodyText"/>
        <w:contextualSpacing/>
      </w:pPr>
      <w:r>
        <w:t xml:space="preserve">The </w:t>
      </w:r>
      <w:r w:rsidR="004C62EA">
        <w:t xml:space="preserve">application may be submitted to NMFS </w:t>
      </w:r>
      <w:r>
        <w:t xml:space="preserve">RAM </w:t>
      </w:r>
      <w:r w:rsidR="004C62EA">
        <w:t xml:space="preserve">by mail, fax, </w:t>
      </w:r>
      <w:r w:rsidR="003B7DA3">
        <w:t xml:space="preserve">or </w:t>
      </w:r>
      <w:r w:rsidR="004C62EA">
        <w:t>delivery</w:t>
      </w:r>
      <w:r w:rsidR="003B7DA3">
        <w:t xml:space="preserve">. </w:t>
      </w:r>
      <w:r w:rsidR="0030622A">
        <w:t xml:space="preserve">An application to </w:t>
      </w:r>
      <w:r w:rsidR="003B7DA3">
        <w:t xml:space="preserve">renew or amend </w:t>
      </w:r>
      <w:r w:rsidR="0030622A">
        <w:t xml:space="preserve">the permit may </w:t>
      </w:r>
      <w:r w:rsidR="00887D60">
        <w:t xml:space="preserve">also </w:t>
      </w:r>
      <w:r w:rsidR="0030622A">
        <w:t xml:space="preserve">be submitted online using </w:t>
      </w:r>
      <w:hyperlink r:id="rId13" w:history="1">
        <w:r w:rsidR="001026B7" w:rsidRPr="001026B7">
          <w:rPr>
            <w:rStyle w:val="Hyperlink"/>
          </w:rPr>
          <w:t>eFISH</w:t>
        </w:r>
      </w:hyperlink>
      <w:r w:rsidR="001026B7">
        <w:t xml:space="preserve">, </w:t>
      </w:r>
      <w:r w:rsidR="0030622A">
        <w:t xml:space="preserve">the </w:t>
      </w:r>
      <w:r w:rsidR="007D5F3F" w:rsidRPr="007D5F3F">
        <w:t>NMFS-approved electronic reporting system</w:t>
      </w:r>
      <w:r w:rsidR="0030622A">
        <w:t>.</w:t>
      </w:r>
    </w:p>
    <w:p w14:paraId="05FB9BE3" w14:textId="77777777" w:rsidR="006B5976" w:rsidRDefault="006B5976" w:rsidP="00735EE7">
      <w:pPr>
        <w:pStyle w:val="BodyText"/>
        <w:contextualSpacing/>
      </w:pPr>
    </w:p>
    <w:p w14:paraId="209805F8" w14:textId="5CA4ECD0" w:rsidR="006A79C8" w:rsidRDefault="004C62EA" w:rsidP="00735EE7">
      <w:pPr>
        <w:pStyle w:val="BodyText"/>
        <w:contextualSpacing/>
      </w:pPr>
      <w:r>
        <w:t xml:space="preserve">If the application is submitted to NMFS online using </w:t>
      </w:r>
      <w:r w:rsidR="001026B7" w:rsidRPr="001026B7">
        <w:t>eFISH</w:t>
      </w:r>
      <w:r w:rsidR="00136C84">
        <w:t xml:space="preserve">, </w:t>
      </w:r>
      <w:r>
        <w:t>the NMFS Person ID, password, and transfer key take the place of a signature and certify that all information is true, correct, and complete.</w:t>
      </w:r>
    </w:p>
    <w:p w14:paraId="0329BEE8" w14:textId="77777777" w:rsidR="00D4188F" w:rsidRDefault="00D4188F" w:rsidP="00735EE7">
      <w:pPr>
        <w:pStyle w:val="BodyText"/>
        <w:contextualSpacing/>
      </w:pPr>
    </w:p>
    <w:p w14:paraId="738D8C84" w14:textId="259D1321" w:rsidR="00D4188F" w:rsidRDefault="00D4188F" w:rsidP="00735EE7">
      <w:pPr>
        <w:pStyle w:val="BodyText"/>
        <w:contextualSpacing/>
      </w:pPr>
      <w:r>
        <w:t xml:space="preserve">Upon acceptance by NMFS of an online submission, the </w:t>
      </w:r>
      <w:r w:rsidR="00920F8B">
        <w:t>registered buyer</w:t>
      </w:r>
      <w:r>
        <w:t xml:space="preserve"> may print a paper copy of the new permit and maintain this copy for inspection. NMFS will mail permits to applicants applying by mail, delivery, or fax.</w:t>
      </w:r>
    </w:p>
    <w:p w14:paraId="185493AD" w14:textId="77777777" w:rsidR="00980E50" w:rsidRDefault="00980E50" w:rsidP="00735EE7">
      <w:pPr>
        <w:pStyle w:val="BodyText"/>
        <w:contextualSpacing/>
      </w:pPr>
    </w:p>
    <w:p w14:paraId="7FB217A7" w14:textId="27B7D138" w:rsidR="00980E50" w:rsidRDefault="00980E50" w:rsidP="00980E50">
      <w:pPr>
        <w:pStyle w:val="BodyText"/>
        <w:contextualSpacing/>
      </w:pPr>
      <w:r>
        <w:t>For the application to be considered complete, all observer fees due to NMFS (see §</w:t>
      </w:r>
      <w:r w:rsidR="00341F2E">
        <w:t xml:space="preserve"> </w:t>
      </w:r>
      <w:r>
        <w:t>679.55) must be paid</w:t>
      </w:r>
      <w:r w:rsidR="006569C9">
        <w:t xml:space="preserve">. Observer fees are </w:t>
      </w:r>
      <w:r>
        <w:t xml:space="preserve">authorized under OMB </w:t>
      </w:r>
      <w:r w:rsidR="008B16A0">
        <w:t>control</w:t>
      </w:r>
      <w:r w:rsidR="006569C9">
        <w:t xml:space="preserve"> number </w:t>
      </w:r>
      <w:r>
        <w:t>0648-0711.</w:t>
      </w:r>
    </w:p>
    <w:p w14:paraId="6E4270A1" w14:textId="77777777" w:rsidR="006A79C8" w:rsidRPr="00AB3B75" w:rsidRDefault="006A79C8" w:rsidP="00735EE7">
      <w:pPr>
        <w:pStyle w:val="BodyText"/>
        <w:contextualSpacing/>
      </w:pPr>
    </w:p>
    <w:p w14:paraId="05E7C036" w14:textId="6804C8FD" w:rsidR="006A79C8" w:rsidRPr="00AB3B75" w:rsidRDefault="00AB3B75" w:rsidP="00735EE7">
      <w:pPr>
        <w:contextualSpacing/>
        <w:rPr>
          <w:sz w:val="24"/>
          <w:szCs w:val="24"/>
        </w:rPr>
      </w:pPr>
      <w:r w:rsidRPr="00AB3B75">
        <w:rPr>
          <w:sz w:val="24"/>
          <w:szCs w:val="24"/>
        </w:rPr>
        <w:t xml:space="preserve">The following information is collected on the </w:t>
      </w:r>
      <w:r w:rsidR="004C62EA" w:rsidRPr="00AB3B75">
        <w:rPr>
          <w:sz w:val="24"/>
          <w:szCs w:val="24"/>
        </w:rPr>
        <w:t xml:space="preserve">Application for </w:t>
      </w:r>
      <w:r w:rsidR="006569C9">
        <w:rPr>
          <w:sz w:val="24"/>
          <w:szCs w:val="24"/>
        </w:rPr>
        <w:t xml:space="preserve">IFQ/CDQ </w:t>
      </w:r>
      <w:r w:rsidR="004C62EA" w:rsidRPr="00AB3B75">
        <w:rPr>
          <w:sz w:val="24"/>
          <w:szCs w:val="24"/>
        </w:rPr>
        <w:t>Registered Buyer Permit</w:t>
      </w:r>
      <w:r w:rsidRPr="00AB3B75">
        <w:rPr>
          <w:sz w:val="24"/>
          <w:szCs w:val="24"/>
        </w:rPr>
        <w:t>.</w:t>
      </w:r>
    </w:p>
    <w:p w14:paraId="6D14DFEA" w14:textId="77777777" w:rsidR="00AB3B75" w:rsidRPr="00AB3B75" w:rsidRDefault="00AB3B75" w:rsidP="00735EE7">
      <w:pPr>
        <w:contextualSpacing/>
        <w:rPr>
          <w:sz w:val="24"/>
          <w:szCs w:val="24"/>
        </w:rPr>
      </w:pPr>
    </w:p>
    <w:p w14:paraId="26C58480" w14:textId="77777777" w:rsidR="000D3A80" w:rsidRDefault="000D3A80" w:rsidP="00735EE7">
      <w:pPr>
        <w:contextualSpacing/>
        <w:rPr>
          <w:sz w:val="20"/>
        </w:rPr>
      </w:pPr>
      <w:r>
        <w:rPr>
          <w:sz w:val="20"/>
        </w:rPr>
        <w:t>Indicate type of permit requested: New, Renew, or Amended</w:t>
      </w:r>
    </w:p>
    <w:p w14:paraId="0278F4C6" w14:textId="2789BBE9" w:rsidR="007475C7" w:rsidRDefault="004C62EA" w:rsidP="00735EE7">
      <w:pPr>
        <w:contextualSpacing/>
        <w:rPr>
          <w:sz w:val="20"/>
        </w:rPr>
      </w:pPr>
      <w:r>
        <w:rPr>
          <w:sz w:val="20"/>
        </w:rPr>
        <w:t xml:space="preserve">If </w:t>
      </w:r>
      <w:r w:rsidR="000D3A80">
        <w:rPr>
          <w:sz w:val="20"/>
        </w:rPr>
        <w:t>renewing or amending a</w:t>
      </w:r>
      <w:r>
        <w:rPr>
          <w:sz w:val="20"/>
        </w:rPr>
        <w:t xml:space="preserve"> permit, enter </w:t>
      </w:r>
      <w:r w:rsidR="00920F8B">
        <w:rPr>
          <w:sz w:val="20"/>
        </w:rPr>
        <w:t>registered buyer</w:t>
      </w:r>
      <w:r>
        <w:rPr>
          <w:sz w:val="20"/>
        </w:rPr>
        <w:t xml:space="preserve"> permit number </w:t>
      </w:r>
    </w:p>
    <w:p w14:paraId="75531456" w14:textId="77777777" w:rsidR="006A79C8" w:rsidRDefault="004C62EA" w:rsidP="00735EE7">
      <w:pPr>
        <w:contextualSpacing/>
        <w:rPr>
          <w:sz w:val="20"/>
        </w:rPr>
      </w:pPr>
      <w:r>
        <w:rPr>
          <w:sz w:val="20"/>
          <w:u w:val="single"/>
        </w:rPr>
        <w:t>Block A -- Applicant Identification</w:t>
      </w:r>
    </w:p>
    <w:p w14:paraId="0F40213B" w14:textId="006D807F" w:rsidR="007475C7" w:rsidRDefault="004C62EA" w:rsidP="00735EE7">
      <w:pPr>
        <w:contextualSpacing/>
        <w:rPr>
          <w:sz w:val="20"/>
        </w:rPr>
      </w:pPr>
      <w:r>
        <w:rPr>
          <w:sz w:val="20"/>
        </w:rPr>
        <w:t xml:space="preserve">Name and NMFS Person ID of </w:t>
      </w:r>
      <w:r w:rsidR="00920F8B">
        <w:rPr>
          <w:sz w:val="20"/>
        </w:rPr>
        <w:t>registered buyer</w:t>
      </w:r>
      <w:r>
        <w:rPr>
          <w:sz w:val="20"/>
        </w:rPr>
        <w:t xml:space="preserve"> </w:t>
      </w:r>
    </w:p>
    <w:p w14:paraId="2A4793E6" w14:textId="77777777" w:rsidR="006A79C8" w:rsidRDefault="004C62EA" w:rsidP="00735EE7">
      <w:pPr>
        <w:contextualSpacing/>
        <w:rPr>
          <w:sz w:val="20"/>
        </w:rPr>
      </w:pPr>
      <w:r>
        <w:rPr>
          <w:sz w:val="20"/>
        </w:rPr>
        <w:t>Name of contact person</w:t>
      </w:r>
    </w:p>
    <w:p w14:paraId="1701B2A1" w14:textId="77777777" w:rsidR="007475C7" w:rsidRDefault="004C62EA" w:rsidP="00735EE7">
      <w:pPr>
        <w:contextualSpacing/>
        <w:rPr>
          <w:sz w:val="20"/>
        </w:rPr>
      </w:pPr>
      <w:r>
        <w:rPr>
          <w:sz w:val="20"/>
        </w:rPr>
        <w:t xml:space="preserve">Business mailing address (indicate whether permanent or temporary) </w:t>
      </w:r>
    </w:p>
    <w:p w14:paraId="372E7652" w14:textId="77777777" w:rsidR="006A79C8" w:rsidRDefault="004C62EA" w:rsidP="00735EE7">
      <w:pPr>
        <w:contextualSpacing/>
        <w:rPr>
          <w:sz w:val="20"/>
        </w:rPr>
      </w:pPr>
      <w:r>
        <w:rPr>
          <w:sz w:val="20"/>
        </w:rPr>
        <w:t>Physical location of facility</w:t>
      </w:r>
    </w:p>
    <w:p w14:paraId="0C7E0B99" w14:textId="77777777" w:rsidR="007475C7" w:rsidRDefault="004C62EA" w:rsidP="00735EE7">
      <w:pPr>
        <w:contextualSpacing/>
        <w:rPr>
          <w:sz w:val="20"/>
        </w:rPr>
      </w:pPr>
      <w:r>
        <w:rPr>
          <w:sz w:val="20"/>
        </w:rPr>
        <w:t xml:space="preserve">Business telephone number, fax number, and e-mail address </w:t>
      </w:r>
    </w:p>
    <w:p w14:paraId="5A8F9DF5" w14:textId="77777777" w:rsidR="006A79C8" w:rsidRDefault="004C62EA" w:rsidP="00735EE7">
      <w:pPr>
        <w:contextualSpacing/>
        <w:rPr>
          <w:sz w:val="20"/>
        </w:rPr>
      </w:pPr>
      <w:r>
        <w:rPr>
          <w:sz w:val="20"/>
          <w:u w:val="single"/>
        </w:rPr>
        <w:t>Block B – Type of Activity</w:t>
      </w:r>
    </w:p>
    <w:p w14:paraId="52ABB4BE" w14:textId="77777777" w:rsidR="00DD4578" w:rsidRDefault="004C62EA" w:rsidP="00735EE7">
      <w:pPr>
        <w:contextualSpacing/>
        <w:rPr>
          <w:sz w:val="20"/>
        </w:rPr>
      </w:pPr>
      <w:r>
        <w:rPr>
          <w:sz w:val="20"/>
        </w:rPr>
        <w:t>Check all activities that apply</w:t>
      </w:r>
    </w:p>
    <w:p w14:paraId="2041B6B7" w14:textId="77777777" w:rsidR="006A79C8" w:rsidRDefault="004C62EA" w:rsidP="00735EE7">
      <w:pPr>
        <w:contextualSpacing/>
        <w:rPr>
          <w:sz w:val="20"/>
        </w:rPr>
      </w:pPr>
      <w:r>
        <w:rPr>
          <w:sz w:val="20"/>
          <w:u w:val="single"/>
        </w:rPr>
        <w:t>Block C – Signature</w:t>
      </w:r>
    </w:p>
    <w:p w14:paraId="140B4E38" w14:textId="77777777" w:rsidR="007475C7" w:rsidRDefault="004C62EA" w:rsidP="00735EE7">
      <w:pPr>
        <w:contextualSpacing/>
        <w:rPr>
          <w:sz w:val="20"/>
        </w:rPr>
      </w:pPr>
      <w:r>
        <w:rPr>
          <w:sz w:val="20"/>
        </w:rPr>
        <w:t xml:space="preserve">Signature and printed name of applicant or authorized representative and date signed </w:t>
      </w:r>
    </w:p>
    <w:p w14:paraId="10C4759E"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5BE0D582" w14:textId="77777777" w:rsidR="006A79C8" w:rsidRDefault="006A79C8" w:rsidP="00735EE7">
      <w:pPr>
        <w:pStyle w:val="BodyText"/>
        <w:contextualSpacing/>
        <w:rPr>
          <w:sz w:val="19"/>
        </w:rPr>
      </w:pPr>
    </w:p>
    <w:p w14:paraId="5B6BD562"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900"/>
      </w:tblGrid>
      <w:tr w:rsidR="006A79C8" w14:paraId="5D78F384" w14:textId="77777777" w:rsidTr="00A70496">
        <w:trPr>
          <w:trHeight w:val="230"/>
          <w:jc w:val="center"/>
        </w:trPr>
        <w:tc>
          <w:tcPr>
            <w:tcW w:w="5220" w:type="dxa"/>
            <w:gridSpan w:val="2"/>
          </w:tcPr>
          <w:p w14:paraId="52E605CA" w14:textId="29EB7AD6" w:rsidR="006A79C8" w:rsidRDefault="004C62EA" w:rsidP="00887D60">
            <w:pPr>
              <w:pStyle w:val="TableParagraph"/>
              <w:keepNext/>
              <w:contextualSpacing/>
              <w:rPr>
                <w:b/>
                <w:sz w:val="20"/>
              </w:rPr>
            </w:pPr>
            <w:r>
              <w:rPr>
                <w:b/>
                <w:sz w:val="20"/>
              </w:rPr>
              <w:t xml:space="preserve">Application for </w:t>
            </w:r>
            <w:r w:rsidR="006569C9">
              <w:rPr>
                <w:b/>
                <w:sz w:val="20"/>
              </w:rPr>
              <w:t xml:space="preserve">IFQ/CDQ </w:t>
            </w:r>
            <w:r>
              <w:rPr>
                <w:b/>
                <w:sz w:val="20"/>
              </w:rPr>
              <w:t>Registered Buyer Permit, Respondent</w:t>
            </w:r>
          </w:p>
        </w:tc>
      </w:tr>
      <w:tr w:rsidR="006A79C8" w14:paraId="14981488" w14:textId="77777777" w:rsidTr="00A70496">
        <w:trPr>
          <w:trHeight w:val="2600"/>
          <w:jc w:val="center"/>
        </w:trPr>
        <w:tc>
          <w:tcPr>
            <w:tcW w:w="4320" w:type="dxa"/>
          </w:tcPr>
          <w:p w14:paraId="042306B1" w14:textId="77777777" w:rsidR="003333DA" w:rsidRDefault="004C62EA" w:rsidP="00887D60">
            <w:pPr>
              <w:pStyle w:val="TableParagraph"/>
              <w:keepNext/>
              <w:contextualSpacing/>
              <w:rPr>
                <w:b/>
                <w:sz w:val="20"/>
              </w:rPr>
            </w:pPr>
            <w:r>
              <w:rPr>
                <w:b/>
                <w:sz w:val="20"/>
              </w:rPr>
              <w:t xml:space="preserve">Estimated number of respondents </w:t>
            </w:r>
          </w:p>
          <w:p w14:paraId="4EC471D1" w14:textId="77777777" w:rsidR="006A79C8" w:rsidRDefault="004C62EA" w:rsidP="00887D60">
            <w:pPr>
              <w:pStyle w:val="TableParagraph"/>
              <w:keepNext/>
              <w:contextualSpacing/>
              <w:rPr>
                <w:b/>
                <w:sz w:val="20"/>
              </w:rPr>
            </w:pPr>
            <w:r>
              <w:rPr>
                <w:b/>
                <w:sz w:val="20"/>
              </w:rPr>
              <w:t>Total annual responses</w:t>
            </w:r>
          </w:p>
          <w:p w14:paraId="614F3DA2" w14:textId="05631A7A" w:rsidR="006A79C8" w:rsidRDefault="003333DA" w:rsidP="00887D60">
            <w:pPr>
              <w:pStyle w:val="TableParagraph"/>
              <w:keepNext/>
              <w:contextualSpacing/>
              <w:rPr>
                <w:sz w:val="20"/>
              </w:rPr>
            </w:pPr>
            <w:r>
              <w:rPr>
                <w:sz w:val="20"/>
              </w:rPr>
              <w:t xml:space="preserve">  </w:t>
            </w:r>
            <w:r w:rsidR="004C62EA">
              <w:rPr>
                <w:sz w:val="20"/>
              </w:rPr>
              <w:t>Number of responses per year</w:t>
            </w:r>
            <w:r w:rsidR="00A87C62">
              <w:rPr>
                <w:sz w:val="20"/>
              </w:rPr>
              <w:t xml:space="preserve"> =</w:t>
            </w:r>
            <w:r w:rsidR="004C62EA">
              <w:rPr>
                <w:sz w:val="20"/>
              </w:rPr>
              <w:t xml:space="preserve"> </w:t>
            </w:r>
            <w:r>
              <w:rPr>
                <w:sz w:val="20"/>
              </w:rPr>
              <w:t>1</w:t>
            </w:r>
          </w:p>
          <w:p w14:paraId="37FC6078" w14:textId="229BC6E6" w:rsidR="003333DA" w:rsidRDefault="002109A5" w:rsidP="00887D60">
            <w:pPr>
              <w:pStyle w:val="TableParagraph"/>
              <w:keepNext/>
              <w:contextualSpacing/>
              <w:rPr>
                <w:sz w:val="20"/>
              </w:rPr>
            </w:pPr>
            <w:r>
              <w:rPr>
                <w:b/>
                <w:sz w:val="20"/>
              </w:rPr>
              <w:t>Total t</w:t>
            </w:r>
            <w:r w:rsidR="004C62EA">
              <w:rPr>
                <w:b/>
                <w:sz w:val="20"/>
              </w:rPr>
              <w:t xml:space="preserve">ime burden </w:t>
            </w:r>
            <w:r w:rsidR="004C62EA">
              <w:rPr>
                <w:sz w:val="20"/>
              </w:rPr>
              <w:t>(</w:t>
            </w:r>
            <w:r w:rsidR="00C641B7">
              <w:rPr>
                <w:sz w:val="20"/>
              </w:rPr>
              <w:t>117.5</w:t>
            </w:r>
            <w:r w:rsidR="004C62EA">
              <w:rPr>
                <w:sz w:val="20"/>
              </w:rPr>
              <w:t xml:space="preserve">) </w:t>
            </w:r>
          </w:p>
          <w:p w14:paraId="680DB5A8" w14:textId="77777777" w:rsidR="006A79C8" w:rsidRDefault="003333DA" w:rsidP="00887D60">
            <w:pPr>
              <w:pStyle w:val="TableParagraph"/>
              <w:keepNext/>
              <w:contextualSpacing/>
              <w:rPr>
                <w:sz w:val="20"/>
              </w:rPr>
            </w:pPr>
            <w:r>
              <w:rPr>
                <w:sz w:val="20"/>
              </w:rPr>
              <w:t xml:space="preserve">  </w:t>
            </w:r>
            <w:r w:rsidR="004C62EA">
              <w:rPr>
                <w:sz w:val="20"/>
              </w:rPr>
              <w:t>Time per response = 30 min</w:t>
            </w:r>
          </w:p>
          <w:p w14:paraId="70FED49B" w14:textId="767E3024" w:rsidR="006A79C8" w:rsidRDefault="004C62EA" w:rsidP="00887D60">
            <w:pPr>
              <w:pStyle w:val="TableParagraph"/>
              <w:keepNext/>
              <w:contextualSpacing/>
              <w:rPr>
                <w:sz w:val="20"/>
              </w:rPr>
            </w:pPr>
            <w:r>
              <w:rPr>
                <w:b/>
                <w:sz w:val="20"/>
              </w:rPr>
              <w:t xml:space="preserve">Total personnel cost </w:t>
            </w:r>
            <w:r>
              <w:rPr>
                <w:sz w:val="20"/>
              </w:rPr>
              <w:t xml:space="preserve">($37/hr x </w:t>
            </w:r>
            <w:r w:rsidR="00F06343">
              <w:rPr>
                <w:sz w:val="20"/>
              </w:rPr>
              <w:t>118</w:t>
            </w:r>
            <w:r>
              <w:rPr>
                <w:sz w:val="20"/>
              </w:rPr>
              <w:t>)</w:t>
            </w:r>
          </w:p>
          <w:p w14:paraId="7B2F31B2" w14:textId="57D60878" w:rsidR="00B5722B" w:rsidRDefault="004C62EA" w:rsidP="00887D60">
            <w:pPr>
              <w:pStyle w:val="TableParagraph"/>
              <w:keepNext/>
              <w:contextualSpacing/>
              <w:rPr>
                <w:sz w:val="20"/>
              </w:rPr>
            </w:pPr>
            <w:r>
              <w:rPr>
                <w:b/>
                <w:sz w:val="20"/>
              </w:rPr>
              <w:t xml:space="preserve">Total miscellaneous cost </w:t>
            </w:r>
            <w:r>
              <w:rPr>
                <w:sz w:val="20"/>
              </w:rPr>
              <w:t>(</w:t>
            </w:r>
            <w:r w:rsidR="009667AD">
              <w:rPr>
                <w:sz w:val="20"/>
              </w:rPr>
              <w:t>68</w:t>
            </w:r>
            <w:r w:rsidR="00F41D35">
              <w:rPr>
                <w:sz w:val="20"/>
              </w:rPr>
              <w:t>.82</w:t>
            </w:r>
            <w:r>
              <w:rPr>
                <w:sz w:val="20"/>
              </w:rPr>
              <w:t xml:space="preserve">) </w:t>
            </w:r>
          </w:p>
          <w:p w14:paraId="5C926F60" w14:textId="305B24EC" w:rsidR="006A79C8" w:rsidRDefault="003333DA" w:rsidP="00887D60">
            <w:pPr>
              <w:pStyle w:val="TableParagraph"/>
              <w:keepNext/>
              <w:contextualSpacing/>
              <w:rPr>
                <w:sz w:val="20"/>
              </w:rPr>
            </w:pPr>
            <w:r>
              <w:rPr>
                <w:sz w:val="20"/>
              </w:rPr>
              <w:t xml:space="preserve">  </w:t>
            </w:r>
            <w:r w:rsidR="004C62EA">
              <w:rPr>
                <w:sz w:val="20"/>
              </w:rPr>
              <w:t>Postage (0.</w:t>
            </w:r>
            <w:r>
              <w:rPr>
                <w:sz w:val="20"/>
              </w:rPr>
              <w:t xml:space="preserve">49 </w:t>
            </w:r>
            <w:r w:rsidR="004C62EA">
              <w:rPr>
                <w:sz w:val="20"/>
              </w:rPr>
              <w:t xml:space="preserve">x </w:t>
            </w:r>
            <w:r w:rsidR="00F41D35">
              <w:rPr>
                <w:sz w:val="20"/>
              </w:rPr>
              <w:t>68</w:t>
            </w:r>
            <w:r w:rsidR="004C62EA">
              <w:rPr>
                <w:sz w:val="20"/>
              </w:rPr>
              <w:t xml:space="preserve"> = </w:t>
            </w:r>
            <w:r w:rsidR="00F41D35">
              <w:rPr>
                <w:sz w:val="20"/>
              </w:rPr>
              <w:t>33.32</w:t>
            </w:r>
            <w:r w:rsidR="004C62EA">
              <w:rPr>
                <w:sz w:val="20"/>
              </w:rPr>
              <w:t>)</w:t>
            </w:r>
          </w:p>
          <w:p w14:paraId="78C79D7F" w14:textId="3C878B07" w:rsidR="006A79C8" w:rsidRDefault="003333DA" w:rsidP="00887D60">
            <w:pPr>
              <w:pStyle w:val="TableParagraph"/>
              <w:keepNext/>
              <w:contextualSpacing/>
              <w:rPr>
                <w:sz w:val="20"/>
              </w:rPr>
            </w:pPr>
            <w:r>
              <w:rPr>
                <w:sz w:val="20"/>
              </w:rPr>
              <w:t xml:space="preserve">  </w:t>
            </w:r>
            <w:r w:rsidR="004C62EA">
              <w:rPr>
                <w:sz w:val="20"/>
              </w:rPr>
              <w:t xml:space="preserve">Fax ($6 x </w:t>
            </w:r>
            <w:r w:rsidR="00F41D35">
              <w:rPr>
                <w:sz w:val="20"/>
              </w:rPr>
              <w:t>2</w:t>
            </w:r>
            <w:r w:rsidR="00885352">
              <w:rPr>
                <w:sz w:val="20"/>
              </w:rPr>
              <w:t xml:space="preserve"> </w:t>
            </w:r>
            <w:r w:rsidR="004C62EA">
              <w:rPr>
                <w:sz w:val="20"/>
              </w:rPr>
              <w:t xml:space="preserve">= </w:t>
            </w:r>
            <w:r w:rsidR="00F41D35">
              <w:rPr>
                <w:sz w:val="20"/>
              </w:rPr>
              <w:t>12</w:t>
            </w:r>
            <w:r w:rsidR="004C62EA">
              <w:rPr>
                <w:sz w:val="20"/>
              </w:rPr>
              <w:t>)</w:t>
            </w:r>
          </w:p>
          <w:p w14:paraId="1CF2195C" w14:textId="3432AF54" w:rsidR="006A79C8" w:rsidRDefault="003333DA" w:rsidP="00887D60">
            <w:pPr>
              <w:pStyle w:val="TableParagraph"/>
              <w:keepNext/>
              <w:contextualSpacing/>
              <w:rPr>
                <w:sz w:val="20"/>
              </w:rPr>
            </w:pPr>
            <w:r>
              <w:rPr>
                <w:sz w:val="20"/>
              </w:rPr>
              <w:t xml:space="preserve">  </w:t>
            </w:r>
            <w:r w:rsidR="004C62EA">
              <w:rPr>
                <w:sz w:val="20"/>
              </w:rPr>
              <w:t xml:space="preserve">Online (0 x </w:t>
            </w:r>
            <w:r w:rsidR="00F41D35">
              <w:rPr>
                <w:sz w:val="20"/>
              </w:rPr>
              <w:t>165</w:t>
            </w:r>
            <w:r w:rsidR="00885352">
              <w:rPr>
                <w:sz w:val="20"/>
              </w:rPr>
              <w:t xml:space="preserve"> </w:t>
            </w:r>
            <w:r w:rsidR="004C62EA">
              <w:rPr>
                <w:sz w:val="20"/>
              </w:rPr>
              <w:t xml:space="preserve">= </w:t>
            </w:r>
            <w:r w:rsidR="00885352">
              <w:rPr>
                <w:sz w:val="20"/>
              </w:rPr>
              <w:t>0</w:t>
            </w:r>
            <w:r w:rsidR="004C62EA">
              <w:rPr>
                <w:sz w:val="20"/>
              </w:rPr>
              <w:t>)</w:t>
            </w:r>
          </w:p>
          <w:p w14:paraId="0EC39A98" w14:textId="2DB51CBF" w:rsidR="006A79C8" w:rsidRDefault="003333DA" w:rsidP="00887D60">
            <w:pPr>
              <w:pStyle w:val="TableParagraph"/>
              <w:keepNext/>
              <w:contextualSpacing/>
              <w:rPr>
                <w:sz w:val="20"/>
              </w:rPr>
            </w:pPr>
            <w:r>
              <w:rPr>
                <w:sz w:val="20"/>
              </w:rPr>
              <w:t xml:space="preserve">  </w:t>
            </w:r>
            <w:r w:rsidR="004C62EA">
              <w:rPr>
                <w:sz w:val="20"/>
              </w:rPr>
              <w:t xml:space="preserve">Photocopy (0.05 x 2pp x </w:t>
            </w:r>
            <w:r w:rsidR="00885352">
              <w:rPr>
                <w:sz w:val="20"/>
              </w:rPr>
              <w:t>235</w:t>
            </w:r>
            <w:r w:rsidR="00B64CB9">
              <w:rPr>
                <w:sz w:val="20"/>
              </w:rPr>
              <w:t xml:space="preserve"> </w:t>
            </w:r>
            <w:r w:rsidR="004C62EA">
              <w:rPr>
                <w:sz w:val="20"/>
              </w:rPr>
              <w:t xml:space="preserve">= </w:t>
            </w:r>
            <w:r w:rsidR="00B64CB9">
              <w:rPr>
                <w:sz w:val="20"/>
              </w:rPr>
              <w:t>23.50</w:t>
            </w:r>
            <w:r w:rsidR="004C62EA">
              <w:rPr>
                <w:sz w:val="20"/>
              </w:rPr>
              <w:t>)</w:t>
            </w:r>
          </w:p>
        </w:tc>
        <w:tc>
          <w:tcPr>
            <w:tcW w:w="900" w:type="dxa"/>
          </w:tcPr>
          <w:p w14:paraId="010E673B" w14:textId="181C99C4" w:rsidR="006A79C8" w:rsidRDefault="00A93D3E" w:rsidP="00887D60">
            <w:pPr>
              <w:pStyle w:val="TableParagraph"/>
              <w:keepNext/>
              <w:contextualSpacing/>
              <w:jc w:val="right"/>
              <w:rPr>
                <w:b/>
                <w:sz w:val="20"/>
              </w:rPr>
            </w:pPr>
            <w:r>
              <w:rPr>
                <w:b/>
                <w:sz w:val="20"/>
              </w:rPr>
              <w:t>235</w:t>
            </w:r>
          </w:p>
          <w:p w14:paraId="209AE3C7" w14:textId="1C43A788" w:rsidR="006A79C8" w:rsidRDefault="00C641B7" w:rsidP="00887D60">
            <w:pPr>
              <w:pStyle w:val="TableParagraph"/>
              <w:keepNext/>
              <w:contextualSpacing/>
              <w:jc w:val="right"/>
              <w:rPr>
                <w:b/>
                <w:sz w:val="20"/>
              </w:rPr>
            </w:pPr>
            <w:r>
              <w:rPr>
                <w:b/>
                <w:sz w:val="20"/>
              </w:rPr>
              <w:t>235</w:t>
            </w:r>
          </w:p>
          <w:p w14:paraId="71211C9D" w14:textId="77777777" w:rsidR="003333DA" w:rsidRDefault="003333DA" w:rsidP="00887D60">
            <w:pPr>
              <w:pStyle w:val="TableParagraph"/>
              <w:keepNext/>
              <w:contextualSpacing/>
              <w:jc w:val="right"/>
              <w:rPr>
                <w:b/>
                <w:sz w:val="20"/>
              </w:rPr>
            </w:pPr>
          </w:p>
          <w:p w14:paraId="15C73051" w14:textId="6A7ED024" w:rsidR="006A79C8" w:rsidRDefault="00B5722B" w:rsidP="00887D60">
            <w:pPr>
              <w:pStyle w:val="TableParagraph"/>
              <w:keepNext/>
              <w:contextualSpacing/>
              <w:jc w:val="right"/>
              <w:rPr>
                <w:b/>
                <w:sz w:val="20"/>
              </w:rPr>
            </w:pPr>
            <w:r>
              <w:rPr>
                <w:b/>
                <w:sz w:val="20"/>
              </w:rPr>
              <w:t>118</w:t>
            </w:r>
            <w:r w:rsidR="004C62EA">
              <w:rPr>
                <w:b/>
                <w:sz w:val="20"/>
              </w:rPr>
              <w:t xml:space="preserve"> hr</w:t>
            </w:r>
          </w:p>
          <w:p w14:paraId="15955225" w14:textId="77777777" w:rsidR="006A79C8" w:rsidRDefault="006A79C8" w:rsidP="00887D60">
            <w:pPr>
              <w:pStyle w:val="TableParagraph"/>
              <w:keepNext/>
              <w:contextualSpacing/>
              <w:jc w:val="right"/>
              <w:rPr>
                <w:sz w:val="20"/>
              </w:rPr>
            </w:pPr>
          </w:p>
          <w:p w14:paraId="1C7D0A32" w14:textId="4C997347" w:rsidR="006A79C8" w:rsidRDefault="004C62EA" w:rsidP="00887D60">
            <w:pPr>
              <w:pStyle w:val="TableParagraph"/>
              <w:keepNext/>
              <w:contextualSpacing/>
              <w:jc w:val="right"/>
              <w:rPr>
                <w:b/>
                <w:sz w:val="20"/>
              </w:rPr>
            </w:pPr>
            <w:r>
              <w:rPr>
                <w:b/>
                <w:sz w:val="20"/>
              </w:rPr>
              <w:t>$</w:t>
            </w:r>
            <w:r w:rsidR="00F06343">
              <w:rPr>
                <w:b/>
                <w:sz w:val="20"/>
              </w:rPr>
              <w:t>4,366</w:t>
            </w:r>
          </w:p>
          <w:p w14:paraId="03FCCED9" w14:textId="1B95EC04" w:rsidR="006A79C8" w:rsidRDefault="004C62EA" w:rsidP="00887D60">
            <w:pPr>
              <w:pStyle w:val="TableParagraph"/>
              <w:keepNext/>
              <w:contextualSpacing/>
              <w:jc w:val="right"/>
              <w:rPr>
                <w:b/>
                <w:sz w:val="20"/>
              </w:rPr>
            </w:pPr>
            <w:r>
              <w:rPr>
                <w:b/>
                <w:sz w:val="20"/>
              </w:rPr>
              <w:t>$</w:t>
            </w:r>
            <w:r w:rsidR="009667AD">
              <w:rPr>
                <w:b/>
                <w:sz w:val="20"/>
              </w:rPr>
              <w:t>69</w:t>
            </w:r>
          </w:p>
        </w:tc>
      </w:tr>
    </w:tbl>
    <w:p w14:paraId="295853A4" w14:textId="77777777" w:rsidR="006A79C8" w:rsidRDefault="006A79C8" w:rsidP="00735EE7">
      <w:pPr>
        <w:pStyle w:val="BodyText"/>
        <w:contextualSpacing/>
        <w:rPr>
          <w:sz w:val="14"/>
        </w:rPr>
      </w:pPr>
    </w:p>
    <w:p w14:paraId="56968FE4" w14:textId="77777777" w:rsidR="006A7FD0" w:rsidRPr="006A7FD0" w:rsidRDefault="006A7FD0" w:rsidP="00735EE7">
      <w:pPr>
        <w:pStyle w:val="BodyText"/>
        <w:contextualSpacing/>
      </w:pPr>
    </w:p>
    <w:p w14:paraId="691B11BD" w14:textId="33011773" w:rsidR="006A79C8" w:rsidRDefault="00DD4578" w:rsidP="00DD4578">
      <w:pPr>
        <w:pStyle w:val="Heading1"/>
        <w:tabs>
          <w:tab w:val="left" w:pos="360"/>
        </w:tabs>
        <w:ind w:left="0"/>
        <w:contextualSpacing/>
        <w:rPr>
          <w:u w:val="none"/>
        </w:rPr>
      </w:pPr>
      <w:r w:rsidRPr="00371862">
        <w:rPr>
          <w:u w:val="none"/>
        </w:rPr>
        <w:t>e.</w:t>
      </w:r>
      <w:r w:rsidRPr="00371862">
        <w:rPr>
          <w:u w:val="none"/>
        </w:rPr>
        <w:tab/>
      </w:r>
      <w:r w:rsidR="004C62EA" w:rsidRPr="00371862">
        <w:rPr>
          <w:u w:val="none"/>
        </w:rPr>
        <w:t>QS/IFQ Beneficiary</w:t>
      </w:r>
      <w:r w:rsidR="003357AA" w:rsidRPr="00371862">
        <w:rPr>
          <w:u w:val="none"/>
        </w:rPr>
        <w:t xml:space="preserve"> Designation</w:t>
      </w:r>
      <w:r w:rsidR="004C62EA" w:rsidRPr="00371862">
        <w:rPr>
          <w:spacing w:val="1"/>
          <w:u w:val="none"/>
        </w:rPr>
        <w:t xml:space="preserve"> </w:t>
      </w:r>
      <w:r w:rsidR="004C62EA" w:rsidRPr="00371862">
        <w:rPr>
          <w:u w:val="none"/>
        </w:rPr>
        <w:t>Form</w:t>
      </w:r>
      <w:r w:rsidR="00F24FE9">
        <w:rPr>
          <w:u w:val="none"/>
        </w:rPr>
        <w:t xml:space="preserve"> [adjusted]</w:t>
      </w:r>
    </w:p>
    <w:p w14:paraId="4E847FC9" w14:textId="77777777" w:rsidR="006A79C8" w:rsidRDefault="006A79C8" w:rsidP="00735EE7">
      <w:pPr>
        <w:pStyle w:val="BodyText"/>
        <w:contextualSpacing/>
        <w:rPr>
          <w:b/>
          <w:sz w:val="23"/>
        </w:rPr>
      </w:pPr>
    </w:p>
    <w:p w14:paraId="4C273316" w14:textId="59E33AE7" w:rsidR="006A79C8" w:rsidRDefault="004C62EA" w:rsidP="00735EE7">
      <w:pPr>
        <w:pStyle w:val="BodyText"/>
        <w:contextualSpacing/>
      </w:pPr>
      <w:r>
        <w:t>QS holders may provide NMFS with the name of a designated beneficiary to receive survivorship transfer privileges in the event of the QS holder’s death. If the QS holder does not leave a surviving spouse, he</w:t>
      </w:r>
      <w:r w:rsidR="0066093F">
        <w:t xml:space="preserve"> or </w:t>
      </w:r>
      <w:r>
        <w:t>she may name an immediate family member to be the beneficiary.</w:t>
      </w:r>
    </w:p>
    <w:p w14:paraId="16DFB081" w14:textId="77777777" w:rsidR="006A79C8" w:rsidRDefault="006A79C8" w:rsidP="00735EE7">
      <w:pPr>
        <w:pStyle w:val="BodyText"/>
        <w:contextualSpacing/>
      </w:pPr>
    </w:p>
    <w:p w14:paraId="1E8312B7" w14:textId="77777777" w:rsidR="006A79C8" w:rsidRDefault="004C62EA" w:rsidP="00735EE7">
      <w:pPr>
        <w:pStyle w:val="BodyText"/>
        <w:contextualSpacing/>
      </w:pPr>
      <w:r>
        <w:t>NMFS allows the transfer of IFQ only (lease) of any QS/IFQ transferred to the beneficiary by right of survivorship, for a period of 3 years following the death of the original QS holder. This information is necessary to provide temporary transfer privileges to families of deceased QS holders in the absence of a surviving spouse.</w:t>
      </w:r>
    </w:p>
    <w:p w14:paraId="2571C5C2" w14:textId="77777777" w:rsidR="006A79C8" w:rsidRDefault="006A79C8" w:rsidP="00735EE7">
      <w:pPr>
        <w:pStyle w:val="BodyText"/>
        <w:contextualSpacing/>
      </w:pPr>
    </w:p>
    <w:p w14:paraId="18BC5DB3" w14:textId="77777777" w:rsidR="006A79C8" w:rsidRDefault="004C62EA" w:rsidP="00735EE7">
      <w:pPr>
        <w:pStyle w:val="BodyText"/>
        <w:contextualSpacing/>
      </w:pPr>
      <w:r>
        <w:t>A designated beneficiary form may be submitted to NMFS by mail or delivery. Fax submitta</w:t>
      </w:r>
      <w:r w:rsidR="00C03DA8">
        <w:t>l is not accepted</w:t>
      </w:r>
      <w:r>
        <w:t xml:space="preserve"> due to the Notary requirements.</w:t>
      </w:r>
    </w:p>
    <w:p w14:paraId="0D6354AD" w14:textId="77777777" w:rsidR="006A79C8" w:rsidRDefault="006A79C8" w:rsidP="00735EE7">
      <w:pPr>
        <w:pStyle w:val="BodyText"/>
        <w:contextualSpacing/>
      </w:pPr>
    </w:p>
    <w:p w14:paraId="36B4309D" w14:textId="4718F95C" w:rsidR="006A79C8" w:rsidRPr="00C0621B" w:rsidRDefault="00C0621B" w:rsidP="00C0621B">
      <w:pPr>
        <w:pStyle w:val="BodyText"/>
        <w:contextualSpacing/>
      </w:pPr>
      <w:r w:rsidRPr="00C0621B">
        <w:t xml:space="preserve">The following information is collected on the </w:t>
      </w:r>
      <w:r w:rsidR="004C62EA" w:rsidRPr="00C0621B">
        <w:t>QS/IFQ Beneficiary</w:t>
      </w:r>
      <w:r w:rsidR="00104061" w:rsidRPr="00C0621B">
        <w:t xml:space="preserve"> Designation</w:t>
      </w:r>
      <w:r w:rsidR="004C62EA" w:rsidRPr="00C0621B">
        <w:t xml:space="preserve"> Form</w:t>
      </w:r>
      <w:r w:rsidRPr="00C0621B">
        <w:t>.</w:t>
      </w:r>
    </w:p>
    <w:p w14:paraId="2B03AD38" w14:textId="77777777" w:rsidR="00C0621B" w:rsidRPr="00C0621B" w:rsidRDefault="00C0621B" w:rsidP="00C0621B">
      <w:pPr>
        <w:pStyle w:val="BodyText"/>
        <w:contextualSpacing/>
      </w:pPr>
    </w:p>
    <w:p w14:paraId="39B9C09E" w14:textId="77777777" w:rsidR="00943D0A" w:rsidRDefault="004C62EA" w:rsidP="00735EE7">
      <w:pPr>
        <w:contextualSpacing/>
        <w:rPr>
          <w:sz w:val="20"/>
        </w:rPr>
      </w:pPr>
      <w:r>
        <w:rPr>
          <w:sz w:val="20"/>
          <w:u w:val="single"/>
        </w:rPr>
        <w:t>Block A – Identification of QS holder</w:t>
      </w:r>
      <w:r>
        <w:rPr>
          <w:sz w:val="20"/>
        </w:rPr>
        <w:t xml:space="preserve"> </w:t>
      </w:r>
    </w:p>
    <w:p w14:paraId="261F2F1D" w14:textId="77777777" w:rsidR="00943D0A" w:rsidRDefault="004C62EA" w:rsidP="00735EE7">
      <w:pPr>
        <w:contextualSpacing/>
        <w:rPr>
          <w:sz w:val="20"/>
        </w:rPr>
      </w:pPr>
      <w:r>
        <w:rPr>
          <w:sz w:val="20"/>
        </w:rPr>
        <w:t xml:space="preserve">Name and NMFS Person ID </w:t>
      </w:r>
    </w:p>
    <w:p w14:paraId="155F2A7A" w14:textId="77777777" w:rsidR="006A79C8" w:rsidRDefault="004C62EA" w:rsidP="00735EE7">
      <w:pPr>
        <w:contextualSpacing/>
        <w:rPr>
          <w:sz w:val="20"/>
        </w:rPr>
      </w:pPr>
      <w:r>
        <w:rPr>
          <w:sz w:val="20"/>
        </w:rPr>
        <w:t>Business mailing address</w:t>
      </w:r>
    </w:p>
    <w:p w14:paraId="7EED53F9" w14:textId="77777777" w:rsidR="00DD4578" w:rsidRDefault="004C62EA" w:rsidP="00735EE7">
      <w:pPr>
        <w:contextualSpacing/>
        <w:rPr>
          <w:sz w:val="20"/>
        </w:rPr>
      </w:pPr>
      <w:r>
        <w:rPr>
          <w:sz w:val="20"/>
        </w:rPr>
        <w:t xml:space="preserve">Business telephone number, business fax number, and business e-mail address </w:t>
      </w:r>
    </w:p>
    <w:p w14:paraId="71BB6680" w14:textId="77777777" w:rsidR="00DD4578" w:rsidRPr="00DD4578" w:rsidRDefault="004C62EA" w:rsidP="00735EE7">
      <w:pPr>
        <w:contextualSpacing/>
        <w:rPr>
          <w:sz w:val="20"/>
          <w:u w:val="single"/>
        </w:rPr>
      </w:pPr>
      <w:r>
        <w:rPr>
          <w:sz w:val="20"/>
          <w:u w:val="single"/>
        </w:rPr>
        <w:t>Block B – Identification of beneficiary</w:t>
      </w:r>
    </w:p>
    <w:p w14:paraId="3D581DD5" w14:textId="77777777" w:rsidR="00943D0A" w:rsidRDefault="004C62EA" w:rsidP="00735EE7">
      <w:pPr>
        <w:contextualSpacing/>
        <w:rPr>
          <w:sz w:val="20"/>
        </w:rPr>
      </w:pPr>
      <w:r>
        <w:rPr>
          <w:sz w:val="20"/>
        </w:rPr>
        <w:t xml:space="preserve">Name and NMFS person ID </w:t>
      </w:r>
    </w:p>
    <w:p w14:paraId="787D4C6B" w14:textId="77777777" w:rsidR="006A79C8" w:rsidRDefault="004C62EA" w:rsidP="00735EE7">
      <w:pPr>
        <w:contextualSpacing/>
        <w:rPr>
          <w:sz w:val="20"/>
        </w:rPr>
      </w:pPr>
      <w:r>
        <w:rPr>
          <w:sz w:val="20"/>
        </w:rPr>
        <w:t>Business mailing address</w:t>
      </w:r>
    </w:p>
    <w:p w14:paraId="79E98F1E" w14:textId="77777777" w:rsidR="00647F1E" w:rsidRDefault="00647F1E" w:rsidP="00735EE7">
      <w:pPr>
        <w:contextualSpacing/>
        <w:rPr>
          <w:sz w:val="20"/>
        </w:rPr>
      </w:pPr>
      <w:r w:rsidRPr="00647F1E">
        <w:rPr>
          <w:sz w:val="20"/>
        </w:rPr>
        <w:t xml:space="preserve">Business telephone number, business fax number, and business e-mail address </w:t>
      </w:r>
    </w:p>
    <w:p w14:paraId="1024619F" w14:textId="77777777" w:rsidR="006A79C8" w:rsidRDefault="004C62EA" w:rsidP="00735EE7">
      <w:pPr>
        <w:contextualSpacing/>
        <w:rPr>
          <w:sz w:val="20"/>
        </w:rPr>
      </w:pPr>
      <w:r>
        <w:rPr>
          <w:sz w:val="20"/>
          <w:u w:val="single"/>
        </w:rPr>
        <w:t>Block C – Relationship of Beneficiary to QS Holder</w:t>
      </w:r>
    </w:p>
    <w:p w14:paraId="5EC1BDA4" w14:textId="77777777" w:rsidR="006A79C8" w:rsidRDefault="004C62EA" w:rsidP="00735EE7">
      <w:pPr>
        <w:contextualSpacing/>
        <w:rPr>
          <w:sz w:val="20"/>
        </w:rPr>
      </w:pPr>
      <w:r>
        <w:rPr>
          <w:sz w:val="20"/>
        </w:rPr>
        <w:t xml:space="preserve">If beneficiary is not the spouse of the QS holder, explain </w:t>
      </w:r>
      <w:r w:rsidR="008B532B">
        <w:rPr>
          <w:sz w:val="20"/>
        </w:rPr>
        <w:t>family</w:t>
      </w:r>
      <w:r>
        <w:rPr>
          <w:sz w:val="20"/>
        </w:rPr>
        <w:t xml:space="preserve"> relationship of the beneficiary to the QS holder</w:t>
      </w:r>
    </w:p>
    <w:p w14:paraId="49953536" w14:textId="77777777" w:rsidR="006A79C8" w:rsidRDefault="004C62EA" w:rsidP="00735EE7">
      <w:pPr>
        <w:contextualSpacing/>
        <w:rPr>
          <w:sz w:val="20"/>
        </w:rPr>
      </w:pPr>
      <w:r>
        <w:rPr>
          <w:sz w:val="20"/>
          <w:u w:val="single"/>
        </w:rPr>
        <w:t>Block D – Signature</w:t>
      </w:r>
    </w:p>
    <w:p w14:paraId="7C274363" w14:textId="77777777" w:rsidR="008830D3" w:rsidRDefault="004C62EA" w:rsidP="00735EE7">
      <w:pPr>
        <w:contextualSpacing/>
        <w:rPr>
          <w:sz w:val="20"/>
        </w:rPr>
      </w:pPr>
      <w:r>
        <w:rPr>
          <w:sz w:val="20"/>
        </w:rPr>
        <w:t xml:space="preserve">Signature and printed name of beneficiary, and date signed </w:t>
      </w:r>
    </w:p>
    <w:p w14:paraId="095126F4" w14:textId="77777777" w:rsidR="006A79C8" w:rsidRDefault="004C62EA" w:rsidP="008830D3">
      <w:pPr>
        <w:ind w:left="360"/>
        <w:contextualSpacing/>
        <w:rPr>
          <w:sz w:val="20"/>
        </w:rPr>
      </w:pPr>
      <w:r>
        <w:rPr>
          <w:sz w:val="20"/>
        </w:rPr>
        <w:t xml:space="preserve">If authorized representative, </w:t>
      </w:r>
      <w:r>
        <w:rPr>
          <w:b/>
          <w:sz w:val="20"/>
        </w:rPr>
        <w:t xml:space="preserve">attach </w:t>
      </w:r>
      <w:r>
        <w:rPr>
          <w:sz w:val="20"/>
        </w:rPr>
        <w:t>authorization</w:t>
      </w:r>
    </w:p>
    <w:p w14:paraId="09500708" w14:textId="77777777" w:rsidR="006A79C8" w:rsidRDefault="004C62EA" w:rsidP="00735EE7">
      <w:pPr>
        <w:contextualSpacing/>
        <w:rPr>
          <w:sz w:val="20"/>
        </w:rPr>
      </w:pPr>
      <w:r>
        <w:rPr>
          <w:sz w:val="20"/>
        </w:rPr>
        <w:t>Signature, commission expiration date, and stamp or seal of notary public</w:t>
      </w:r>
    </w:p>
    <w:p w14:paraId="5E2A6DB6" w14:textId="77777777" w:rsidR="006A79C8" w:rsidRDefault="006A79C8" w:rsidP="00735EE7">
      <w:pPr>
        <w:pStyle w:val="BodyText"/>
        <w:contextualSpacing/>
        <w:rPr>
          <w:sz w:val="19"/>
        </w:rPr>
      </w:pPr>
    </w:p>
    <w:p w14:paraId="1CBFB49D" w14:textId="77777777" w:rsidR="006A79C8" w:rsidRPr="00866506" w:rsidRDefault="006A79C8"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1"/>
        <w:gridCol w:w="1529"/>
      </w:tblGrid>
      <w:tr w:rsidR="006A79C8" w14:paraId="3FC0A894" w14:textId="77777777" w:rsidTr="007172D8">
        <w:trPr>
          <w:trHeight w:val="229"/>
          <w:jc w:val="center"/>
        </w:trPr>
        <w:tc>
          <w:tcPr>
            <w:tcW w:w="5400" w:type="dxa"/>
            <w:gridSpan w:val="2"/>
          </w:tcPr>
          <w:p w14:paraId="0180A82E" w14:textId="77777777" w:rsidR="006A79C8" w:rsidRDefault="004C62EA" w:rsidP="006569C9">
            <w:pPr>
              <w:pStyle w:val="TableParagraph"/>
              <w:keepNext/>
              <w:contextualSpacing/>
              <w:rPr>
                <w:b/>
                <w:sz w:val="20"/>
              </w:rPr>
            </w:pPr>
            <w:r>
              <w:rPr>
                <w:b/>
                <w:sz w:val="20"/>
              </w:rPr>
              <w:t>QS/IFQ Beneficiary</w:t>
            </w:r>
            <w:r w:rsidR="003357AA">
              <w:rPr>
                <w:b/>
                <w:sz w:val="20"/>
              </w:rPr>
              <w:t xml:space="preserve"> Designation</w:t>
            </w:r>
            <w:r>
              <w:rPr>
                <w:b/>
                <w:sz w:val="20"/>
              </w:rPr>
              <w:t xml:space="preserve"> Form, Respondent</w:t>
            </w:r>
          </w:p>
        </w:tc>
      </w:tr>
      <w:tr w:rsidR="006A79C8" w14:paraId="4CC0BF76" w14:textId="77777777" w:rsidTr="007172D8">
        <w:trPr>
          <w:trHeight w:val="232"/>
          <w:jc w:val="center"/>
        </w:trPr>
        <w:tc>
          <w:tcPr>
            <w:tcW w:w="3871" w:type="dxa"/>
            <w:tcBorders>
              <w:bottom w:val="nil"/>
            </w:tcBorders>
          </w:tcPr>
          <w:p w14:paraId="5D1014A0" w14:textId="77777777" w:rsidR="006A79C8" w:rsidRDefault="004C62EA" w:rsidP="006569C9">
            <w:pPr>
              <w:pStyle w:val="TableParagraph"/>
              <w:keepNext/>
              <w:contextualSpacing/>
              <w:rPr>
                <w:b/>
                <w:sz w:val="20"/>
              </w:rPr>
            </w:pPr>
            <w:r>
              <w:rPr>
                <w:b/>
                <w:sz w:val="20"/>
              </w:rPr>
              <w:t>Estimated number of respondents</w:t>
            </w:r>
          </w:p>
        </w:tc>
        <w:tc>
          <w:tcPr>
            <w:tcW w:w="1529" w:type="dxa"/>
            <w:tcBorders>
              <w:bottom w:val="nil"/>
            </w:tcBorders>
          </w:tcPr>
          <w:p w14:paraId="4CF421C7" w14:textId="00699F2E" w:rsidR="006A79C8" w:rsidRDefault="008151F1" w:rsidP="006569C9">
            <w:pPr>
              <w:pStyle w:val="TableParagraph"/>
              <w:keepNext/>
              <w:contextualSpacing/>
              <w:jc w:val="right"/>
              <w:rPr>
                <w:b/>
                <w:sz w:val="20"/>
              </w:rPr>
            </w:pPr>
            <w:r>
              <w:rPr>
                <w:b/>
                <w:sz w:val="20"/>
              </w:rPr>
              <w:t>12</w:t>
            </w:r>
          </w:p>
        </w:tc>
      </w:tr>
      <w:tr w:rsidR="006A79C8" w14:paraId="2FEE75B1" w14:textId="77777777" w:rsidTr="007172D8">
        <w:trPr>
          <w:trHeight w:val="228"/>
          <w:jc w:val="center"/>
        </w:trPr>
        <w:tc>
          <w:tcPr>
            <w:tcW w:w="3871" w:type="dxa"/>
            <w:tcBorders>
              <w:top w:val="nil"/>
              <w:bottom w:val="nil"/>
            </w:tcBorders>
          </w:tcPr>
          <w:p w14:paraId="197DE87D" w14:textId="77777777" w:rsidR="006A79C8" w:rsidRDefault="004C62EA" w:rsidP="006569C9">
            <w:pPr>
              <w:pStyle w:val="TableParagraph"/>
              <w:keepNext/>
              <w:contextualSpacing/>
              <w:rPr>
                <w:b/>
                <w:sz w:val="20"/>
              </w:rPr>
            </w:pPr>
            <w:r>
              <w:rPr>
                <w:b/>
                <w:sz w:val="20"/>
              </w:rPr>
              <w:t>Total annual responses</w:t>
            </w:r>
          </w:p>
        </w:tc>
        <w:tc>
          <w:tcPr>
            <w:tcW w:w="1529" w:type="dxa"/>
            <w:tcBorders>
              <w:top w:val="nil"/>
              <w:bottom w:val="nil"/>
            </w:tcBorders>
          </w:tcPr>
          <w:p w14:paraId="0E4CB5FD" w14:textId="47FC1325" w:rsidR="006A79C8" w:rsidRDefault="008151F1" w:rsidP="006569C9">
            <w:pPr>
              <w:pStyle w:val="TableParagraph"/>
              <w:keepNext/>
              <w:contextualSpacing/>
              <w:jc w:val="right"/>
              <w:rPr>
                <w:b/>
                <w:sz w:val="20"/>
              </w:rPr>
            </w:pPr>
            <w:r>
              <w:rPr>
                <w:b/>
                <w:sz w:val="20"/>
              </w:rPr>
              <w:t>12</w:t>
            </w:r>
          </w:p>
        </w:tc>
      </w:tr>
      <w:tr w:rsidR="006A79C8" w14:paraId="7A74DFC3" w14:textId="77777777" w:rsidTr="007172D8">
        <w:trPr>
          <w:trHeight w:val="229"/>
          <w:jc w:val="center"/>
        </w:trPr>
        <w:tc>
          <w:tcPr>
            <w:tcW w:w="3871" w:type="dxa"/>
            <w:tcBorders>
              <w:top w:val="nil"/>
              <w:bottom w:val="nil"/>
            </w:tcBorders>
          </w:tcPr>
          <w:p w14:paraId="7D2ED647" w14:textId="7A8DFED1" w:rsidR="006A79C8" w:rsidRDefault="002109A5" w:rsidP="006569C9">
            <w:pPr>
              <w:pStyle w:val="TableParagraph"/>
              <w:keepNext/>
              <w:contextualSpacing/>
              <w:rPr>
                <w:b/>
                <w:sz w:val="20"/>
              </w:rPr>
            </w:pPr>
            <w:r>
              <w:rPr>
                <w:b/>
                <w:sz w:val="20"/>
              </w:rPr>
              <w:t>Total t</w:t>
            </w:r>
            <w:r w:rsidR="004C62EA">
              <w:rPr>
                <w:b/>
                <w:sz w:val="20"/>
              </w:rPr>
              <w:t>ime burden</w:t>
            </w:r>
          </w:p>
        </w:tc>
        <w:tc>
          <w:tcPr>
            <w:tcW w:w="1529" w:type="dxa"/>
            <w:tcBorders>
              <w:top w:val="nil"/>
              <w:bottom w:val="nil"/>
            </w:tcBorders>
          </w:tcPr>
          <w:p w14:paraId="08DF52B7" w14:textId="1F6DB033" w:rsidR="006A79C8" w:rsidRDefault="008151F1" w:rsidP="006569C9">
            <w:pPr>
              <w:pStyle w:val="TableParagraph"/>
              <w:keepNext/>
              <w:contextualSpacing/>
              <w:jc w:val="right"/>
              <w:rPr>
                <w:b/>
                <w:sz w:val="20"/>
              </w:rPr>
            </w:pPr>
            <w:r>
              <w:rPr>
                <w:b/>
                <w:sz w:val="20"/>
              </w:rPr>
              <w:t>6</w:t>
            </w:r>
            <w:r w:rsidR="004C62EA">
              <w:rPr>
                <w:b/>
                <w:sz w:val="20"/>
              </w:rPr>
              <w:t xml:space="preserve"> hr</w:t>
            </w:r>
          </w:p>
        </w:tc>
      </w:tr>
      <w:tr w:rsidR="006A79C8" w14:paraId="21A759A1" w14:textId="77777777" w:rsidTr="007172D8">
        <w:trPr>
          <w:trHeight w:val="228"/>
          <w:jc w:val="center"/>
        </w:trPr>
        <w:tc>
          <w:tcPr>
            <w:tcW w:w="3871" w:type="dxa"/>
            <w:tcBorders>
              <w:top w:val="nil"/>
              <w:bottom w:val="nil"/>
            </w:tcBorders>
          </w:tcPr>
          <w:p w14:paraId="70B93F43" w14:textId="77777777" w:rsidR="006A79C8" w:rsidRDefault="004C62EA" w:rsidP="006569C9">
            <w:pPr>
              <w:pStyle w:val="TableParagraph"/>
              <w:keepNext/>
              <w:contextualSpacing/>
              <w:rPr>
                <w:sz w:val="20"/>
              </w:rPr>
            </w:pPr>
            <w:r>
              <w:rPr>
                <w:sz w:val="20"/>
              </w:rPr>
              <w:t>Time per response = 30 minutes</w:t>
            </w:r>
          </w:p>
        </w:tc>
        <w:tc>
          <w:tcPr>
            <w:tcW w:w="1529" w:type="dxa"/>
            <w:tcBorders>
              <w:top w:val="nil"/>
              <w:bottom w:val="nil"/>
            </w:tcBorders>
          </w:tcPr>
          <w:p w14:paraId="0DBCDE43" w14:textId="77777777" w:rsidR="006A79C8" w:rsidRDefault="006A79C8" w:rsidP="006569C9">
            <w:pPr>
              <w:pStyle w:val="TableParagraph"/>
              <w:keepNext/>
              <w:contextualSpacing/>
              <w:jc w:val="right"/>
              <w:rPr>
                <w:sz w:val="16"/>
              </w:rPr>
            </w:pPr>
          </w:p>
        </w:tc>
      </w:tr>
      <w:tr w:rsidR="006A79C8" w14:paraId="1525DB1C" w14:textId="77777777" w:rsidTr="007172D8">
        <w:trPr>
          <w:trHeight w:val="232"/>
          <w:jc w:val="center"/>
        </w:trPr>
        <w:tc>
          <w:tcPr>
            <w:tcW w:w="3871" w:type="dxa"/>
            <w:tcBorders>
              <w:top w:val="nil"/>
              <w:bottom w:val="nil"/>
            </w:tcBorders>
          </w:tcPr>
          <w:p w14:paraId="2C262C30" w14:textId="6FDF7FEA" w:rsidR="006A79C8" w:rsidRPr="00C10443" w:rsidRDefault="004C62EA" w:rsidP="006569C9">
            <w:pPr>
              <w:pStyle w:val="TableParagraph"/>
              <w:keepNext/>
              <w:contextualSpacing/>
              <w:rPr>
                <w:sz w:val="20"/>
              </w:rPr>
            </w:pPr>
            <w:r w:rsidRPr="00383125">
              <w:rPr>
                <w:b/>
                <w:sz w:val="20"/>
              </w:rPr>
              <w:t xml:space="preserve">Total personnel cost </w:t>
            </w:r>
            <w:r w:rsidRPr="00383125">
              <w:rPr>
                <w:sz w:val="20"/>
              </w:rPr>
              <w:t xml:space="preserve">($37/hr x </w:t>
            </w:r>
            <w:r w:rsidR="008151F1">
              <w:rPr>
                <w:sz w:val="20"/>
              </w:rPr>
              <w:t>6</w:t>
            </w:r>
            <w:r w:rsidRPr="00C10443">
              <w:rPr>
                <w:sz w:val="20"/>
              </w:rPr>
              <w:t>)</w:t>
            </w:r>
          </w:p>
        </w:tc>
        <w:tc>
          <w:tcPr>
            <w:tcW w:w="1529" w:type="dxa"/>
            <w:tcBorders>
              <w:top w:val="nil"/>
              <w:bottom w:val="nil"/>
            </w:tcBorders>
          </w:tcPr>
          <w:p w14:paraId="4F79F7D7" w14:textId="5C450160" w:rsidR="006A79C8" w:rsidRPr="00383125" w:rsidRDefault="004C62EA" w:rsidP="006569C9">
            <w:pPr>
              <w:pStyle w:val="TableParagraph"/>
              <w:keepNext/>
              <w:contextualSpacing/>
              <w:jc w:val="right"/>
              <w:rPr>
                <w:b/>
                <w:sz w:val="20"/>
              </w:rPr>
            </w:pPr>
            <w:r w:rsidRPr="00383125">
              <w:rPr>
                <w:b/>
                <w:sz w:val="20"/>
              </w:rPr>
              <w:t>$</w:t>
            </w:r>
            <w:r w:rsidR="008151F1">
              <w:rPr>
                <w:b/>
                <w:sz w:val="20"/>
              </w:rPr>
              <w:t>222</w:t>
            </w:r>
          </w:p>
        </w:tc>
      </w:tr>
      <w:tr w:rsidR="006A79C8" w14:paraId="7AD482A5" w14:textId="77777777" w:rsidTr="007172D8">
        <w:trPr>
          <w:trHeight w:val="230"/>
          <w:jc w:val="center"/>
        </w:trPr>
        <w:tc>
          <w:tcPr>
            <w:tcW w:w="3871" w:type="dxa"/>
            <w:tcBorders>
              <w:top w:val="nil"/>
              <w:bottom w:val="nil"/>
            </w:tcBorders>
          </w:tcPr>
          <w:p w14:paraId="68537924" w14:textId="22640D35" w:rsidR="006A79C8" w:rsidRDefault="004C62EA" w:rsidP="006569C9">
            <w:pPr>
              <w:pStyle w:val="TableParagraph"/>
              <w:keepNext/>
              <w:contextualSpacing/>
              <w:rPr>
                <w:sz w:val="20"/>
              </w:rPr>
            </w:pPr>
            <w:r>
              <w:rPr>
                <w:b/>
                <w:sz w:val="20"/>
              </w:rPr>
              <w:t xml:space="preserve">Total miscellaneous cost </w:t>
            </w:r>
            <w:r>
              <w:rPr>
                <w:sz w:val="20"/>
              </w:rPr>
              <w:t>(</w:t>
            </w:r>
            <w:r w:rsidR="008151F1">
              <w:rPr>
                <w:sz w:val="20"/>
              </w:rPr>
              <w:t>67.08</w:t>
            </w:r>
            <w:r>
              <w:rPr>
                <w:sz w:val="20"/>
              </w:rPr>
              <w:t>)</w:t>
            </w:r>
          </w:p>
        </w:tc>
        <w:tc>
          <w:tcPr>
            <w:tcW w:w="1529" w:type="dxa"/>
            <w:tcBorders>
              <w:top w:val="nil"/>
              <w:bottom w:val="nil"/>
            </w:tcBorders>
          </w:tcPr>
          <w:p w14:paraId="655B4E37" w14:textId="136C9D81" w:rsidR="006A79C8" w:rsidRDefault="004C62EA" w:rsidP="006569C9">
            <w:pPr>
              <w:pStyle w:val="TableParagraph"/>
              <w:keepNext/>
              <w:contextualSpacing/>
              <w:jc w:val="right"/>
              <w:rPr>
                <w:b/>
                <w:sz w:val="20"/>
              </w:rPr>
            </w:pPr>
            <w:r>
              <w:rPr>
                <w:b/>
                <w:sz w:val="20"/>
              </w:rPr>
              <w:t>$</w:t>
            </w:r>
            <w:r w:rsidR="008151F1">
              <w:rPr>
                <w:b/>
                <w:sz w:val="20"/>
              </w:rPr>
              <w:t>67</w:t>
            </w:r>
          </w:p>
        </w:tc>
      </w:tr>
      <w:tr w:rsidR="006A79C8" w14:paraId="23148913" w14:textId="77777777" w:rsidTr="007172D8">
        <w:trPr>
          <w:trHeight w:val="228"/>
          <w:jc w:val="center"/>
        </w:trPr>
        <w:tc>
          <w:tcPr>
            <w:tcW w:w="3871" w:type="dxa"/>
            <w:tcBorders>
              <w:top w:val="nil"/>
              <w:bottom w:val="nil"/>
            </w:tcBorders>
          </w:tcPr>
          <w:p w14:paraId="45A4FF02" w14:textId="420FF549" w:rsidR="006A79C8" w:rsidRDefault="004C62EA" w:rsidP="006569C9">
            <w:pPr>
              <w:pStyle w:val="TableParagraph"/>
              <w:keepNext/>
              <w:contextualSpacing/>
              <w:rPr>
                <w:sz w:val="20"/>
              </w:rPr>
            </w:pPr>
            <w:r>
              <w:rPr>
                <w:sz w:val="20"/>
              </w:rPr>
              <w:t>Postage (0.</w:t>
            </w:r>
            <w:r w:rsidR="004419A0">
              <w:rPr>
                <w:sz w:val="20"/>
              </w:rPr>
              <w:t xml:space="preserve">49 </w:t>
            </w:r>
            <w:r>
              <w:rPr>
                <w:sz w:val="20"/>
              </w:rPr>
              <w:t xml:space="preserve">x </w:t>
            </w:r>
            <w:r w:rsidR="008151F1">
              <w:rPr>
                <w:sz w:val="20"/>
              </w:rPr>
              <w:t xml:space="preserve">12 </w:t>
            </w:r>
            <w:r>
              <w:rPr>
                <w:sz w:val="20"/>
              </w:rPr>
              <w:t xml:space="preserve">= </w:t>
            </w:r>
            <w:r w:rsidR="008151F1">
              <w:rPr>
                <w:sz w:val="20"/>
              </w:rPr>
              <w:t>5.88</w:t>
            </w:r>
            <w:r>
              <w:rPr>
                <w:sz w:val="20"/>
              </w:rPr>
              <w:t>)</w:t>
            </w:r>
          </w:p>
        </w:tc>
        <w:tc>
          <w:tcPr>
            <w:tcW w:w="1529" w:type="dxa"/>
            <w:tcBorders>
              <w:top w:val="nil"/>
              <w:bottom w:val="nil"/>
            </w:tcBorders>
          </w:tcPr>
          <w:p w14:paraId="65D7CE5C" w14:textId="77777777" w:rsidR="006A79C8" w:rsidRDefault="006A79C8" w:rsidP="006569C9">
            <w:pPr>
              <w:pStyle w:val="TableParagraph"/>
              <w:keepNext/>
              <w:contextualSpacing/>
              <w:jc w:val="right"/>
              <w:rPr>
                <w:sz w:val="16"/>
              </w:rPr>
            </w:pPr>
          </w:p>
        </w:tc>
      </w:tr>
      <w:tr w:rsidR="006A79C8" w14:paraId="526F0CB1" w14:textId="77777777" w:rsidTr="007172D8">
        <w:trPr>
          <w:trHeight w:val="228"/>
          <w:jc w:val="center"/>
        </w:trPr>
        <w:tc>
          <w:tcPr>
            <w:tcW w:w="3871" w:type="dxa"/>
            <w:tcBorders>
              <w:top w:val="nil"/>
              <w:bottom w:val="nil"/>
            </w:tcBorders>
          </w:tcPr>
          <w:p w14:paraId="65DB55B9" w14:textId="6D204EB6" w:rsidR="006A79C8" w:rsidRDefault="004C62EA" w:rsidP="006569C9">
            <w:pPr>
              <w:pStyle w:val="TableParagraph"/>
              <w:keepNext/>
              <w:contextualSpacing/>
              <w:rPr>
                <w:sz w:val="20"/>
              </w:rPr>
            </w:pPr>
            <w:r>
              <w:rPr>
                <w:sz w:val="20"/>
              </w:rPr>
              <w:t xml:space="preserve">Photocopy (0.05 x 2pp x </w:t>
            </w:r>
            <w:r w:rsidR="008151F1">
              <w:rPr>
                <w:sz w:val="20"/>
              </w:rPr>
              <w:t xml:space="preserve">12 </w:t>
            </w:r>
            <w:r>
              <w:rPr>
                <w:sz w:val="20"/>
              </w:rPr>
              <w:t xml:space="preserve">= </w:t>
            </w:r>
            <w:r w:rsidR="008151F1">
              <w:rPr>
                <w:sz w:val="20"/>
              </w:rPr>
              <w:t>1.20</w:t>
            </w:r>
            <w:r>
              <w:rPr>
                <w:sz w:val="20"/>
              </w:rPr>
              <w:t>)</w:t>
            </w:r>
          </w:p>
        </w:tc>
        <w:tc>
          <w:tcPr>
            <w:tcW w:w="1529" w:type="dxa"/>
            <w:tcBorders>
              <w:top w:val="nil"/>
              <w:bottom w:val="nil"/>
            </w:tcBorders>
          </w:tcPr>
          <w:p w14:paraId="2A748069" w14:textId="77777777" w:rsidR="006A79C8" w:rsidRDefault="006A79C8" w:rsidP="006569C9">
            <w:pPr>
              <w:pStyle w:val="TableParagraph"/>
              <w:keepNext/>
              <w:contextualSpacing/>
              <w:rPr>
                <w:sz w:val="16"/>
              </w:rPr>
            </w:pPr>
          </w:p>
        </w:tc>
      </w:tr>
      <w:tr w:rsidR="006A79C8" w14:paraId="1142B062" w14:textId="77777777" w:rsidTr="007172D8">
        <w:trPr>
          <w:trHeight w:val="231"/>
          <w:jc w:val="center"/>
        </w:trPr>
        <w:tc>
          <w:tcPr>
            <w:tcW w:w="3871" w:type="dxa"/>
            <w:tcBorders>
              <w:top w:val="nil"/>
            </w:tcBorders>
          </w:tcPr>
          <w:p w14:paraId="0946C642" w14:textId="2A6B660F" w:rsidR="006A79C8" w:rsidRDefault="004C62EA" w:rsidP="006569C9">
            <w:pPr>
              <w:pStyle w:val="TableParagraph"/>
              <w:keepNext/>
              <w:contextualSpacing/>
              <w:rPr>
                <w:sz w:val="20"/>
              </w:rPr>
            </w:pPr>
            <w:r>
              <w:rPr>
                <w:sz w:val="20"/>
              </w:rPr>
              <w:t xml:space="preserve">Notary (5 x </w:t>
            </w:r>
            <w:r w:rsidR="008151F1">
              <w:rPr>
                <w:sz w:val="20"/>
              </w:rPr>
              <w:t xml:space="preserve">12 </w:t>
            </w:r>
            <w:r>
              <w:rPr>
                <w:sz w:val="20"/>
              </w:rPr>
              <w:t xml:space="preserve">= </w:t>
            </w:r>
            <w:r w:rsidR="008151F1">
              <w:rPr>
                <w:sz w:val="20"/>
              </w:rPr>
              <w:t>60</w:t>
            </w:r>
            <w:r>
              <w:rPr>
                <w:sz w:val="20"/>
              </w:rPr>
              <w:t>)</w:t>
            </w:r>
          </w:p>
        </w:tc>
        <w:tc>
          <w:tcPr>
            <w:tcW w:w="1529" w:type="dxa"/>
            <w:tcBorders>
              <w:top w:val="nil"/>
            </w:tcBorders>
          </w:tcPr>
          <w:p w14:paraId="7B30914A" w14:textId="77777777" w:rsidR="006A79C8" w:rsidRDefault="006A79C8" w:rsidP="006569C9">
            <w:pPr>
              <w:pStyle w:val="TableParagraph"/>
              <w:keepNext/>
              <w:contextualSpacing/>
              <w:rPr>
                <w:sz w:val="16"/>
              </w:rPr>
            </w:pPr>
          </w:p>
        </w:tc>
      </w:tr>
    </w:tbl>
    <w:p w14:paraId="467553AD" w14:textId="77777777" w:rsidR="006A79C8" w:rsidRDefault="006A79C8" w:rsidP="00735EE7">
      <w:pPr>
        <w:pStyle w:val="BodyText"/>
        <w:contextualSpacing/>
        <w:rPr>
          <w:sz w:val="20"/>
        </w:rPr>
      </w:pPr>
    </w:p>
    <w:p w14:paraId="773EB9E6" w14:textId="77777777" w:rsidR="003A1FD4" w:rsidRPr="003A1FD4" w:rsidRDefault="003A1FD4" w:rsidP="00735EE7">
      <w:pPr>
        <w:pStyle w:val="BodyText"/>
        <w:contextualSpacing/>
      </w:pPr>
    </w:p>
    <w:p w14:paraId="3C6E9C20" w14:textId="43B23BA8" w:rsidR="006A79C8" w:rsidRDefault="00DD4578" w:rsidP="00DD4578">
      <w:pPr>
        <w:pStyle w:val="Heading1"/>
        <w:tabs>
          <w:tab w:val="left" w:pos="360"/>
        </w:tabs>
        <w:ind w:left="0"/>
        <w:contextualSpacing/>
        <w:rPr>
          <w:u w:val="none"/>
        </w:rPr>
      </w:pPr>
      <w:r w:rsidRPr="002D4E47">
        <w:rPr>
          <w:u w:val="none"/>
        </w:rPr>
        <w:t>f.</w:t>
      </w:r>
      <w:r w:rsidRPr="002D4E47">
        <w:rPr>
          <w:u w:val="none"/>
        </w:rPr>
        <w:tab/>
      </w:r>
      <w:r w:rsidR="004C62EA" w:rsidRPr="002D4E47">
        <w:rPr>
          <w:u w:val="none"/>
        </w:rPr>
        <w:t xml:space="preserve">Application for Transfer of QS/IFQ </w:t>
      </w:r>
      <w:r w:rsidR="004C62EA" w:rsidRPr="000F78B1">
        <w:rPr>
          <w:u w:val="none"/>
        </w:rPr>
        <w:t>(includes transfer by sweep-up)</w:t>
      </w:r>
      <w:r w:rsidR="003A1FD4" w:rsidRPr="003A1FD4">
        <w:rPr>
          <w:u w:val="none"/>
        </w:rPr>
        <w:t xml:space="preserve"> </w:t>
      </w:r>
      <w:r w:rsidR="003A1FD4" w:rsidRPr="007E1336">
        <w:rPr>
          <w:u w:val="none"/>
        </w:rPr>
        <w:t>[</w:t>
      </w:r>
      <w:r w:rsidR="005E4384">
        <w:rPr>
          <w:u w:val="none"/>
        </w:rPr>
        <w:t>adjusted</w:t>
      </w:r>
      <w:r w:rsidR="003A1FD4" w:rsidRPr="007E1336">
        <w:rPr>
          <w:u w:val="none"/>
        </w:rPr>
        <w:t>]</w:t>
      </w:r>
    </w:p>
    <w:p w14:paraId="7A683CEE" w14:textId="77777777" w:rsidR="006A79C8" w:rsidRDefault="006A79C8" w:rsidP="00735EE7">
      <w:pPr>
        <w:pStyle w:val="BodyText"/>
        <w:contextualSpacing/>
        <w:rPr>
          <w:b/>
          <w:sz w:val="15"/>
        </w:rPr>
      </w:pPr>
    </w:p>
    <w:p w14:paraId="0BF67757" w14:textId="77777777" w:rsidR="00C03DA8" w:rsidRDefault="004C62EA" w:rsidP="00735EE7">
      <w:pPr>
        <w:pStyle w:val="BodyText"/>
        <w:contextualSpacing/>
      </w:pPr>
      <w:r>
        <w:t xml:space="preserve">Any person that received Quota Share/Individual Fishing Quota (QS/IFQ) as an Initial Issue or that holds a Transfer Eligibility Certificate (TEC) is eligible to receive QS/IFQ by transfer. </w:t>
      </w:r>
      <w:r w:rsidR="00C03DA8" w:rsidRPr="00C03DA8">
        <w:t>IFQ resulting from category B, C, or D QS may not be transferred separately from its originating QS, except as provided in 50 CFR 679.41(k).  The IFQ Program does not permit transfer of QS subject to any conditions of repossession or resale to the transferor except by court order, operation of law, or security agreement</w:t>
      </w:r>
      <w:r w:rsidR="00C03DA8">
        <w:t>.</w:t>
      </w:r>
    </w:p>
    <w:p w14:paraId="094D0845" w14:textId="77777777" w:rsidR="00C03DA8" w:rsidRDefault="00C03DA8" w:rsidP="00735EE7">
      <w:pPr>
        <w:pStyle w:val="BodyText"/>
        <w:contextualSpacing/>
      </w:pPr>
    </w:p>
    <w:p w14:paraId="6B42F35D" w14:textId="77777777" w:rsidR="006A79C8" w:rsidRDefault="004C62EA" w:rsidP="00735EE7">
      <w:pPr>
        <w:pStyle w:val="BodyText"/>
        <w:contextualSpacing/>
      </w:pPr>
      <w:r>
        <w:t>An Application for Transfer of QS/IFQ must be approved by NMFS before a person may use IFQ that results from a direct transfer to harvest IFQ halibut or IFQ sablefish. Collectively held QS must be transferred to a qualified individual upon any change in a corporation or partnership.</w:t>
      </w:r>
    </w:p>
    <w:p w14:paraId="027F2EC0" w14:textId="77777777" w:rsidR="006A79C8" w:rsidRDefault="006A79C8" w:rsidP="00735EE7">
      <w:pPr>
        <w:pStyle w:val="BodyText"/>
        <w:contextualSpacing/>
      </w:pPr>
    </w:p>
    <w:p w14:paraId="643127E2" w14:textId="77777777" w:rsidR="006A79C8" w:rsidRDefault="004C62EA" w:rsidP="00735EE7">
      <w:pPr>
        <w:pStyle w:val="BodyText"/>
        <w:contextualSpacing/>
      </w:pPr>
      <w:r>
        <w:t>The information required by this application is necessary to ensure that QS and IFQ are transferred in compliance with the regulations governing the buying and selling of QS and the leasing of IFQ.</w:t>
      </w:r>
    </w:p>
    <w:p w14:paraId="4CD3E26B" w14:textId="77777777" w:rsidR="006A79C8" w:rsidRDefault="006A79C8" w:rsidP="00735EE7">
      <w:pPr>
        <w:pStyle w:val="BodyText"/>
        <w:contextualSpacing/>
      </w:pPr>
    </w:p>
    <w:p w14:paraId="77A20121" w14:textId="77777777" w:rsidR="00C03DA8" w:rsidRPr="00C03DA8" w:rsidRDefault="00C03DA8" w:rsidP="00C03DA8">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right="360"/>
        <w:rPr>
          <w:sz w:val="24"/>
          <w:szCs w:val="24"/>
        </w:rPr>
      </w:pPr>
      <w:r w:rsidRPr="00D81DCF">
        <w:rPr>
          <w:sz w:val="24"/>
          <w:szCs w:val="24"/>
        </w:rPr>
        <w:t xml:space="preserve">If this is a transfer of Catcher Vessel CDQ compensation QS, there is a </w:t>
      </w:r>
      <w:r w:rsidRPr="00D81DCF">
        <w:rPr>
          <w:bCs/>
          <w:sz w:val="24"/>
          <w:szCs w:val="24"/>
        </w:rPr>
        <w:t>one-time</w:t>
      </w:r>
      <w:r w:rsidRPr="00D81DCF">
        <w:rPr>
          <w:sz w:val="24"/>
          <w:szCs w:val="24"/>
        </w:rPr>
        <w:t xml:space="preserve"> opportunity at the time of the first transfer to</w:t>
      </w:r>
      <w:r w:rsidRPr="00D81DCF">
        <w:rPr>
          <w:bCs/>
          <w:sz w:val="24"/>
          <w:szCs w:val="24"/>
        </w:rPr>
        <w:t xml:space="preserve"> permanently</w:t>
      </w:r>
      <w:r w:rsidRPr="00D81DCF">
        <w:rPr>
          <w:sz w:val="24"/>
          <w:szCs w:val="24"/>
        </w:rPr>
        <w:t xml:space="preserve"> designate the catcher vessel category of the</w:t>
      </w:r>
      <w:r w:rsidRPr="00C03DA8">
        <w:rPr>
          <w:sz w:val="24"/>
          <w:szCs w:val="24"/>
        </w:rPr>
        <w:t xml:space="preserve"> QS being transferred.  CDQ compensation QS is QS issued as compensation for halibut and sablefish harvest privileges foregone due to the CDQ Program.</w:t>
      </w:r>
    </w:p>
    <w:p w14:paraId="1D123C29" w14:textId="77777777" w:rsidR="006A79C8" w:rsidRDefault="006A79C8" w:rsidP="00735EE7">
      <w:pPr>
        <w:pStyle w:val="BodyText"/>
        <w:contextualSpacing/>
      </w:pPr>
    </w:p>
    <w:p w14:paraId="5F9ABD65" w14:textId="77777777" w:rsidR="006A79C8" w:rsidRDefault="00C03DA8" w:rsidP="00735EE7">
      <w:pPr>
        <w:pStyle w:val="BodyText"/>
        <w:contextualSpacing/>
      </w:pPr>
      <w:r w:rsidRPr="00C03DA8">
        <w:t>Persons issued CDQ compensation QS in a catcher vessel category and in an IFQ regulatory area in which they do not hold QS other than CDQ compensation QS, may use that CDQ compensation QS on any catcher vessel. This exemption from catcher vessel categories ends upon the first transfer of the CDQ compensation QS. CDQ compensation QS being transferred will be permanently assigned to a specific catcher vessel category as designated by the person receiving the transfer.</w:t>
      </w:r>
    </w:p>
    <w:p w14:paraId="4E60B6FD" w14:textId="77777777" w:rsidR="00C03DA8" w:rsidRDefault="00C03DA8" w:rsidP="00735EE7">
      <w:pPr>
        <w:pStyle w:val="BodyText"/>
        <w:contextualSpacing/>
      </w:pPr>
    </w:p>
    <w:p w14:paraId="6F58E5F1" w14:textId="77777777" w:rsidR="00804969" w:rsidRDefault="00804969" w:rsidP="00735EE7">
      <w:pPr>
        <w:pStyle w:val="BodyText"/>
        <w:contextualSpacing/>
      </w:pPr>
      <w:r>
        <w:t>A separate application must be submitted for each QS or IFQ transfer.</w:t>
      </w:r>
    </w:p>
    <w:p w14:paraId="407A4D2E" w14:textId="77777777" w:rsidR="00804969" w:rsidRDefault="00804969" w:rsidP="00735EE7">
      <w:pPr>
        <w:pStyle w:val="BodyText"/>
        <w:contextualSpacing/>
      </w:pPr>
    </w:p>
    <w:p w14:paraId="2EEFB6A7" w14:textId="2B9A10ED" w:rsidR="006A79C8" w:rsidRDefault="004C62EA" w:rsidP="00735EE7">
      <w:pPr>
        <w:pStyle w:val="BodyText"/>
        <w:contextualSpacing/>
      </w:pPr>
      <w:r>
        <w:t xml:space="preserve">An application for transfer may be submitted to NMFS </w:t>
      </w:r>
      <w:r w:rsidR="00AD5AA3">
        <w:t xml:space="preserve">RAM </w:t>
      </w:r>
      <w:r>
        <w:t>by mail or delivery. Fax submittal is not</w:t>
      </w:r>
      <w:r w:rsidR="00AD5AA3">
        <w:t xml:space="preserve"> </w:t>
      </w:r>
      <w:r w:rsidR="00C03DA8">
        <w:t>accepted</w:t>
      </w:r>
      <w:r>
        <w:t xml:space="preserve"> due to the Notary requirements.</w:t>
      </w:r>
    </w:p>
    <w:p w14:paraId="3D3EEF72" w14:textId="77777777" w:rsidR="006A79C8" w:rsidRDefault="006A79C8" w:rsidP="00735EE7">
      <w:pPr>
        <w:pStyle w:val="BodyText"/>
        <w:contextualSpacing/>
      </w:pPr>
    </w:p>
    <w:p w14:paraId="0D77820D" w14:textId="3514F7C7" w:rsidR="007B0A65" w:rsidRPr="007B0A65" w:rsidRDefault="007B0A65" w:rsidP="007B0A65">
      <w:pPr>
        <w:pStyle w:val="BodyText"/>
        <w:contextualSpacing/>
      </w:pPr>
      <w:r w:rsidRPr="007B0A65">
        <w:t xml:space="preserve">The following information is collected on the </w:t>
      </w:r>
      <w:r w:rsidR="004C62EA" w:rsidRPr="007B0A65">
        <w:t>Application for Transfer of QS</w:t>
      </w:r>
      <w:r w:rsidR="006569C9">
        <w:t>/</w:t>
      </w:r>
      <w:r w:rsidR="004C62EA" w:rsidRPr="007B0A65">
        <w:t>IFQ</w:t>
      </w:r>
      <w:r w:rsidRPr="007B0A65">
        <w:t>.</w:t>
      </w:r>
    </w:p>
    <w:p w14:paraId="3274CCE5" w14:textId="3CC4F33B" w:rsidR="00C475AB" w:rsidRPr="007B0A65" w:rsidRDefault="004C62EA" w:rsidP="007B0A65">
      <w:pPr>
        <w:pStyle w:val="BodyText"/>
        <w:contextualSpacing/>
      </w:pPr>
      <w:r w:rsidRPr="007B0A65">
        <w:t xml:space="preserve"> </w:t>
      </w:r>
    </w:p>
    <w:p w14:paraId="45E536EC" w14:textId="77777777" w:rsidR="00C475AB" w:rsidRDefault="004C62EA" w:rsidP="00735EE7">
      <w:pPr>
        <w:contextualSpacing/>
        <w:rPr>
          <w:sz w:val="20"/>
        </w:rPr>
      </w:pPr>
      <w:r>
        <w:rPr>
          <w:sz w:val="20"/>
        </w:rPr>
        <w:t xml:space="preserve">Indicate whether transferee has a TEC </w:t>
      </w:r>
    </w:p>
    <w:p w14:paraId="0578CB63" w14:textId="77777777" w:rsidR="006A79C8" w:rsidRDefault="004C62EA" w:rsidP="00735EE7">
      <w:pPr>
        <w:contextualSpacing/>
        <w:rPr>
          <w:sz w:val="20"/>
        </w:rPr>
      </w:pPr>
      <w:r>
        <w:rPr>
          <w:sz w:val="20"/>
          <w:u w:val="single"/>
        </w:rPr>
        <w:t>Checklist</w:t>
      </w:r>
    </w:p>
    <w:p w14:paraId="061F4BAB" w14:textId="77777777" w:rsidR="006A79C8" w:rsidRDefault="004C62EA" w:rsidP="00735EE7">
      <w:pPr>
        <w:contextualSpacing/>
        <w:rPr>
          <w:sz w:val="20"/>
        </w:rPr>
      </w:pPr>
      <w:r>
        <w:rPr>
          <w:sz w:val="20"/>
        </w:rPr>
        <w:t>Use this list to ensure application is complete.</w:t>
      </w:r>
    </w:p>
    <w:p w14:paraId="79A68329" w14:textId="77777777" w:rsidR="006A79C8" w:rsidRDefault="004C62EA" w:rsidP="00735EE7">
      <w:pPr>
        <w:contextualSpacing/>
        <w:rPr>
          <w:sz w:val="20"/>
        </w:rPr>
      </w:pPr>
      <w:r>
        <w:rPr>
          <w:sz w:val="20"/>
          <w:u w:val="single"/>
        </w:rPr>
        <w:t>Block A – Identification of Transferor (Seller)</w:t>
      </w:r>
    </w:p>
    <w:p w14:paraId="0402A3E6" w14:textId="77777777" w:rsidR="00C475AB" w:rsidRDefault="004C62EA" w:rsidP="00735EE7">
      <w:pPr>
        <w:contextualSpacing/>
        <w:rPr>
          <w:sz w:val="20"/>
        </w:rPr>
      </w:pPr>
      <w:r>
        <w:rPr>
          <w:sz w:val="20"/>
        </w:rPr>
        <w:t xml:space="preserve">Full name as it appears on QS Holder Summary Report or TEC </w:t>
      </w:r>
    </w:p>
    <w:p w14:paraId="74566686" w14:textId="77777777" w:rsidR="006A79C8" w:rsidRDefault="004C62EA" w:rsidP="00735EE7">
      <w:pPr>
        <w:contextualSpacing/>
        <w:rPr>
          <w:sz w:val="20"/>
        </w:rPr>
      </w:pPr>
      <w:r>
        <w:rPr>
          <w:sz w:val="20"/>
        </w:rPr>
        <w:t>NMFS Person ID</w:t>
      </w:r>
    </w:p>
    <w:p w14:paraId="31A816D2" w14:textId="77777777" w:rsidR="006A79C8" w:rsidRDefault="004C62EA" w:rsidP="00735EE7">
      <w:pPr>
        <w:contextualSpacing/>
        <w:rPr>
          <w:sz w:val="20"/>
        </w:rPr>
      </w:pPr>
      <w:r>
        <w:rPr>
          <w:sz w:val="20"/>
        </w:rPr>
        <w:t>Date of birth</w:t>
      </w:r>
    </w:p>
    <w:p w14:paraId="18803EBF" w14:textId="77777777" w:rsidR="006A79C8" w:rsidRDefault="004C62EA" w:rsidP="00735EE7">
      <w:pPr>
        <w:contextualSpacing/>
        <w:rPr>
          <w:sz w:val="20"/>
        </w:rPr>
      </w:pPr>
      <w:r>
        <w:rPr>
          <w:sz w:val="20"/>
        </w:rPr>
        <w:t>Business mailing address (indicate whether permanent or temporary)</w:t>
      </w:r>
    </w:p>
    <w:p w14:paraId="0AF3F1AB" w14:textId="77777777" w:rsidR="00C475AB" w:rsidRDefault="004C62EA" w:rsidP="00735EE7">
      <w:pPr>
        <w:contextualSpacing/>
        <w:rPr>
          <w:sz w:val="20"/>
        </w:rPr>
      </w:pPr>
      <w:r>
        <w:rPr>
          <w:sz w:val="20"/>
        </w:rPr>
        <w:t xml:space="preserve">Business telephone number, Business fax number, and business e-mail address </w:t>
      </w:r>
    </w:p>
    <w:p w14:paraId="4B8ADD26" w14:textId="77777777" w:rsidR="006A79C8" w:rsidRDefault="004C62EA" w:rsidP="00735EE7">
      <w:pPr>
        <w:contextualSpacing/>
        <w:rPr>
          <w:sz w:val="20"/>
        </w:rPr>
      </w:pPr>
      <w:r>
        <w:rPr>
          <w:sz w:val="20"/>
          <w:u w:val="single"/>
        </w:rPr>
        <w:t>Block B – Identification of Transferee (Buyer)</w:t>
      </w:r>
    </w:p>
    <w:p w14:paraId="2952E534" w14:textId="77777777" w:rsidR="00C475AB" w:rsidRDefault="004C62EA" w:rsidP="00735EE7">
      <w:pPr>
        <w:contextualSpacing/>
        <w:rPr>
          <w:sz w:val="20"/>
        </w:rPr>
      </w:pPr>
      <w:r>
        <w:rPr>
          <w:sz w:val="20"/>
        </w:rPr>
        <w:t xml:space="preserve">Indicate whether transferee holds a TEC </w:t>
      </w:r>
    </w:p>
    <w:p w14:paraId="6C2FD308" w14:textId="77777777" w:rsidR="006A79C8" w:rsidRDefault="004C62EA" w:rsidP="00735EE7">
      <w:pPr>
        <w:contextualSpacing/>
        <w:rPr>
          <w:sz w:val="20"/>
        </w:rPr>
      </w:pPr>
      <w:r>
        <w:rPr>
          <w:sz w:val="20"/>
        </w:rPr>
        <w:t>Name and NMFS Person ID</w:t>
      </w:r>
    </w:p>
    <w:p w14:paraId="01BFBD44" w14:textId="77777777" w:rsidR="006A79C8" w:rsidRDefault="004C62EA" w:rsidP="00735EE7">
      <w:pPr>
        <w:contextualSpacing/>
        <w:rPr>
          <w:sz w:val="20"/>
        </w:rPr>
      </w:pPr>
      <w:r>
        <w:rPr>
          <w:sz w:val="20"/>
        </w:rPr>
        <w:t>Date of birth</w:t>
      </w:r>
    </w:p>
    <w:p w14:paraId="33CC87C9" w14:textId="77777777" w:rsidR="006A79C8" w:rsidRDefault="004C62EA" w:rsidP="00735EE7">
      <w:pPr>
        <w:contextualSpacing/>
        <w:rPr>
          <w:sz w:val="20"/>
        </w:rPr>
      </w:pPr>
      <w:r>
        <w:rPr>
          <w:sz w:val="20"/>
        </w:rPr>
        <w:t>Business mailing address (indicate whether permanent or temporary)</w:t>
      </w:r>
    </w:p>
    <w:p w14:paraId="4881F8B2" w14:textId="77777777" w:rsidR="00DD4578" w:rsidRDefault="004C62EA" w:rsidP="00735EE7">
      <w:pPr>
        <w:contextualSpacing/>
        <w:rPr>
          <w:sz w:val="20"/>
        </w:rPr>
      </w:pPr>
      <w:r>
        <w:rPr>
          <w:sz w:val="20"/>
        </w:rPr>
        <w:t xml:space="preserve">Business telephone number, business fax number, and business e-mail address </w:t>
      </w:r>
    </w:p>
    <w:p w14:paraId="3D2EAADE" w14:textId="77777777" w:rsidR="006A79C8" w:rsidRDefault="004C62EA" w:rsidP="00735EE7">
      <w:pPr>
        <w:contextualSpacing/>
        <w:rPr>
          <w:sz w:val="20"/>
        </w:rPr>
      </w:pPr>
      <w:r>
        <w:rPr>
          <w:sz w:val="20"/>
          <w:u w:val="single"/>
        </w:rPr>
        <w:t>Block C – QS Questions for Transferee</w:t>
      </w:r>
    </w:p>
    <w:p w14:paraId="425DD732" w14:textId="77777777" w:rsidR="006A79C8" w:rsidRDefault="004C62EA" w:rsidP="00735EE7">
      <w:pPr>
        <w:contextualSpacing/>
        <w:rPr>
          <w:sz w:val="20"/>
        </w:rPr>
      </w:pPr>
      <w:r>
        <w:rPr>
          <w:sz w:val="20"/>
        </w:rPr>
        <w:t>If QS is to be included in a sweep-up, list the QS Group Number on the QS Holder Summary Report into which this new piece should be combined</w:t>
      </w:r>
      <w:r w:rsidR="00DD5B20">
        <w:rPr>
          <w:sz w:val="20"/>
        </w:rPr>
        <w:t>.</w:t>
      </w:r>
    </w:p>
    <w:p w14:paraId="25157D1F" w14:textId="77777777" w:rsidR="006A79C8" w:rsidRDefault="004C62EA" w:rsidP="00735EE7">
      <w:pPr>
        <w:contextualSpacing/>
        <w:rPr>
          <w:sz w:val="20"/>
        </w:rPr>
      </w:pPr>
      <w:r>
        <w:rPr>
          <w:sz w:val="20"/>
        </w:rPr>
        <w:t xml:space="preserve">If this is a transfer of Catcher </w:t>
      </w:r>
      <w:r w:rsidR="00DD5B20">
        <w:rPr>
          <w:sz w:val="20"/>
        </w:rPr>
        <w:t xml:space="preserve">Vessel </w:t>
      </w:r>
      <w:r>
        <w:rPr>
          <w:sz w:val="20"/>
        </w:rPr>
        <w:t xml:space="preserve">CDQ </w:t>
      </w:r>
      <w:r w:rsidR="00DD5B20">
        <w:rPr>
          <w:sz w:val="20"/>
        </w:rPr>
        <w:t>C</w:t>
      </w:r>
      <w:r>
        <w:rPr>
          <w:sz w:val="20"/>
        </w:rPr>
        <w:t>ompensation QS and the vessel category was never declared, indicate the vessel category in which you would like to have your QS issued</w:t>
      </w:r>
      <w:r w:rsidR="00DD5B20">
        <w:rPr>
          <w:sz w:val="20"/>
        </w:rPr>
        <w:t>.</w:t>
      </w:r>
    </w:p>
    <w:p w14:paraId="446DCD94" w14:textId="77777777" w:rsidR="006A79C8" w:rsidRDefault="004C62EA" w:rsidP="00735EE7">
      <w:pPr>
        <w:contextualSpacing/>
        <w:rPr>
          <w:sz w:val="20"/>
        </w:rPr>
      </w:pPr>
      <w:r>
        <w:rPr>
          <w:sz w:val="20"/>
          <w:u w:val="single"/>
        </w:rPr>
        <w:t>Block D – Identification of QS and IFQ to be Transferred</w:t>
      </w:r>
    </w:p>
    <w:p w14:paraId="43746CE6" w14:textId="77777777" w:rsidR="006A79C8" w:rsidRDefault="004C62EA" w:rsidP="00735EE7">
      <w:pPr>
        <w:contextualSpacing/>
        <w:rPr>
          <w:sz w:val="20"/>
        </w:rPr>
      </w:pPr>
      <w:r>
        <w:rPr>
          <w:sz w:val="20"/>
        </w:rPr>
        <w:t>Complete Block D if QS and IFQ are to be transferred together or to transfer QS only.</w:t>
      </w:r>
    </w:p>
    <w:p w14:paraId="64828DFE" w14:textId="77777777" w:rsidR="006A26C4" w:rsidRDefault="00181C62" w:rsidP="00C475AB">
      <w:pPr>
        <w:ind w:left="360"/>
        <w:contextualSpacing/>
        <w:rPr>
          <w:sz w:val="20"/>
        </w:rPr>
      </w:pPr>
      <w:r>
        <w:rPr>
          <w:sz w:val="20"/>
        </w:rPr>
        <w:t>Whether h</w:t>
      </w:r>
      <w:r w:rsidR="004C62EA">
        <w:rPr>
          <w:sz w:val="20"/>
        </w:rPr>
        <w:t xml:space="preserve">alibut or sablefish </w:t>
      </w:r>
    </w:p>
    <w:p w14:paraId="7F8E2C53" w14:textId="77777777" w:rsidR="006A79C8" w:rsidRDefault="004C62EA" w:rsidP="00C475AB">
      <w:pPr>
        <w:ind w:left="360"/>
        <w:contextualSpacing/>
        <w:rPr>
          <w:sz w:val="20"/>
        </w:rPr>
      </w:pPr>
      <w:r>
        <w:rPr>
          <w:sz w:val="20"/>
        </w:rPr>
        <w:t>IFQ Regulatory area</w:t>
      </w:r>
    </w:p>
    <w:p w14:paraId="0C47714E" w14:textId="77777777" w:rsidR="006A79C8" w:rsidRDefault="004C62EA" w:rsidP="00C475AB">
      <w:pPr>
        <w:ind w:left="360"/>
        <w:contextualSpacing/>
        <w:rPr>
          <w:sz w:val="20"/>
        </w:rPr>
      </w:pPr>
      <w:r>
        <w:rPr>
          <w:sz w:val="20"/>
        </w:rPr>
        <w:t>Vessel category</w:t>
      </w:r>
    </w:p>
    <w:p w14:paraId="2BD26845" w14:textId="77777777" w:rsidR="006A26C4" w:rsidRDefault="004C62EA" w:rsidP="00C475AB">
      <w:pPr>
        <w:ind w:left="360"/>
        <w:contextualSpacing/>
        <w:rPr>
          <w:sz w:val="20"/>
        </w:rPr>
      </w:pPr>
      <w:r>
        <w:rPr>
          <w:sz w:val="20"/>
        </w:rPr>
        <w:t xml:space="preserve">Number of QS units to be transferred </w:t>
      </w:r>
    </w:p>
    <w:p w14:paraId="41F6FBFA" w14:textId="77777777" w:rsidR="006A79C8" w:rsidRDefault="004C62EA" w:rsidP="00C475AB">
      <w:pPr>
        <w:ind w:left="360"/>
        <w:contextualSpacing/>
        <w:rPr>
          <w:sz w:val="20"/>
        </w:rPr>
      </w:pPr>
      <w:r>
        <w:rPr>
          <w:sz w:val="20"/>
        </w:rPr>
        <w:t>Transferor IFQ permit number</w:t>
      </w:r>
    </w:p>
    <w:p w14:paraId="3B2D88A7" w14:textId="77777777" w:rsidR="006A79C8" w:rsidRDefault="004C62EA" w:rsidP="00C475AB">
      <w:pPr>
        <w:ind w:left="360"/>
        <w:contextualSpacing/>
        <w:rPr>
          <w:sz w:val="20"/>
        </w:rPr>
      </w:pPr>
      <w:r>
        <w:rPr>
          <w:sz w:val="20"/>
        </w:rPr>
        <w:t>Start and end serial numbers of QS to be transferred</w:t>
      </w:r>
    </w:p>
    <w:p w14:paraId="5CE0388C" w14:textId="77777777" w:rsidR="006A79C8" w:rsidRDefault="004C62EA" w:rsidP="00C475AB">
      <w:pPr>
        <w:ind w:left="360"/>
        <w:contextualSpacing/>
        <w:rPr>
          <w:sz w:val="20"/>
        </w:rPr>
      </w:pPr>
      <w:r>
        <w:rPr>
          <w:sz w:val="20"/>
        </w:rPr>
        <w:t>Indicate whether all remaining pounds for the current fishing year should be transferred</w:t>
      </w:r>
    </w:p>
    <w:p w14:paraId="20E63072" w14:textId="77777777" w:rsidR="00DD4578" w:rsidRDefault="004C62EA" w:rsidP="00C475AB">
      <w:pPr>
        <w:ind w:left="720"/>
        <w:contextualSpacing/>
        <w:rPr>
          <w:sz w:val="20"/>
        </w:rPr>
      </w:pPr>
      <w:r>
        <w:rPr>
          <w:b/>
          <w:sz w:val="20"/>
        </w:rPr>
        <w:t>If NO</w:t>
      </w:r>
      <w:r>
        <w:rPr>
          <w:sz w:val="20"/>
        </w:rPr>
        <w:t xml:space="preserve">, number of pounds to be transferred </w:t>
      </w:r>
    </w:p>
    <w:p w14:paraId="39DD5A3C" w14:textId="77777777" w:rsidR="006A79C8" w:rsidRDefault="004C62EA" w:rsidP="00735EE7">
      <w:pPr>
        <w:contextualSpacing/>
        <w:rPr>
          <w:sz w:val="20"/>
        </w:rPr>
      </w:pPr>
      <w:r>
        <w:rPr>
          <w:sz w:val="20"/>
          <w:u w:val="single"/>
        </w:rPr>
        <w:t>Block E – Transfer of IFQ only</w:t>
      </w:r>
    </w:p>
    <w:p w14:paraId="7BDB7AF2" w14:textId="77777777" w:rsidR="00DD5B20" w:rsidRDefault="004C62EA" w:rsidP="00DD5B20">
      <w:pPr>
        <w:contextualSpacing/>
        <w:rPr>
          <w:sz w:val="20"/>
        </w:rPr>
      </w:pPr>
      <w:r>
        <w:rPr>
          <w:sz w:val="20"/>
        </w:rPr>
        <w:t xml:space="preserve">Complete Block E if requesting transfer of IFQ only (applies only to Category A and surviving Spouse IFQ) </w:t>
      </w:r>
    </w:p>
    <w:p w14:paraId="2E089D3C" w14:textId="77777777" w:rsidR="006A79C8" w:rsidRDefault="00DD5B20" w:rsidP="00DD5B20">
      <w:pPr>
        <w:ind w:left="360"/>
        <w:contextualSpacing/>
        <w:rPr>
          <w:sz w:val="20"/>
        </w:rPr>
      </w:pPr>
      <w:r>
        <w:rPr>
          <w:sz w:val="20"/>
        </w:rPr>
        <w:t>W</w:t>
      </w:r>
      <w:r w:rsidR="00181C62">
        <w:rPr>
          <w:sz w:val="20"/>
        </w:rPr>
        <w:t>hether h</w:t>
      </w:r>
      <w:r w:rsidR="004C62EA">
        <w:rPr>
          <w:sz w:val="20"/>
        </w:rPr>
        <w:t>alibut or sablefish</w:t>
      </w:r>
    </w:p>
    <w:p w14:paraId="1B84E270" w14:textId="77777777" w:rsidR="006A79C8" w:rsidRDefault="004C62EA" w:rsidP="006A26C4">
      <w:pPr>
        <w:ind w:left="360"/>
        <w:contextualSpacing/>
        <w:rPr>
          <w:sz w:val="20"/>
        </w:rPr>
      </w:pPr>
      <w:r>
        <w:rPr>
          <w:sz w:val="20"/>
        </w:rPr>
        <w:t>IFQ regulatory area</w:t>
      </w:r>
    </w:p>
    <w:p w14:paraId="53EF9BC8" w14:textId="77777777" w:rsidR="006A79C8" w:rsidRDefault="004C62EA" w:rsidP="006A26C4">
      <w:pPr>
        <w:ind w:left="360"/>
        <w:contextualSpacing/>
        <w:rPr>
          <w:sz w:val="20"/>
        </w:rPr>
      </w:pPr>
      <w:r>
        <w:rPr>
          <w:sz w:val="20"/>
        </w:rPr>
        <w:t>Number of units to be transferred</w:t>
      </w:r>
    </w:p>
    <w:p w14:paraId="2A38313B" w14:textId="77777777" w:rsidR="006A26C4" w:rsidRDefault="004C62EA" w:rsidP="006A26C4">
      <w:pPr>
        <w:ind w:left="360"/>
        <w:contextualSpacing/>
        <w:rPr>
          <w:sz w:val="20"/>
        </w:rPr>
      </w:pPr>
      <w:r>
        <w:rPr>
          <w:sz w:val="20"/>
        </w:rPr>
        <w:t xml:space="preserve">Start and end serial numbers of IFQ to be transferred </w:t>
      </w:r>
    </w:p>
    <w:p w14:paraId="48C57BA6" w14:textId="77777777" w:rsidR="006A79C8" w:rsidRDefault="004C62EA" w:rsidP="006A26C4">
      <w:pPr>
        <w:ind w:left="360"/>
        <w:contextualSpacing/>
        <w:rPr>
          <w:sz w:val="20"/>
        </w:rPr>
      </w:pPr>
      <w:r>
        <w:rPr>
          <w:sz w:val="20"/>
        </w:rPr>
        <w:t>Actual number of IFQ pounds</w:t>
      </w:r>
    </w:p>
    <w:p w14:paraId="5B2579A0" w14:textId="77777777" w:rsidR="006A26C4" w:rsidRDefault="004C62EA" w:rsidP="006A26C4">
      <w:pPr>
        <w:ind w:left="360"/>
        <w:contextualSpacing/>
        <w:rPr>
          <w:sz w:val="20"/>
        </w:rPr>
      </w:pPr>
      <w:r>
        <w:rPr>
          <w:sz w:val="20"/>
        </w:rPr>
        <w:t xml:space="preserve">Transferor IFQ permit number </w:t>
      </w:r>
    </w:p>
    <w:p w14:paraId="47B7E5A9" w14:textId="77777777" w:rsidR="006A79C8" w:rsidRDefault="004C62EA" w:rsidP="006A26C4">
      <w:pPr>
        <w:ind w:left="360"/>
        <w:contextualSpacing/>
        <w:rPr>
          <w:sz w:val="20"/>
        </w:rPr>
      </w:pPr>
      <w:r>
        <w:rPr>
          <w:sz w:val="20"/>
        </w:rPr>
        <w:t>Fishing year</w:t>
      </w:r>
    </w:p>
    <w:p w14:paraId="74F26BDE" w14:textId="77777777" w:rsidR="006A26C4" w:rsidRDefault="004C62EA" w:rsidP="00735EE7">
      <w:pPr>
        <w:contextualSpacing/>
        <w:rPr>
          <w:sz w:val="20"/>
        </w:rPr>
      </w:pPr>
      <w:r>
        <w:rPr>
          <w:sz w:val="20"/>
          <w:u w:val="single"/>
        </w:rPr>
        <w:t>Block F – Required Transferor Supplemental Information</w:t>
      </w:r>
      <w:r>
        <w:rPr>
          <w:sz w:val="20"/>
        </w:rPr>
        <w:t xml:space="preserve"> </w:t>
      </w:r>
    </w:p>
    <w:p w14:paraId="13211DEF" w14:textId="77777777" w:rsidR="006A79C8" w:rsidRDefault="004C62EA" w:rsidP="00735EE7">
      <w:pPr>
        <w:contextualSpacing/>
        <w:rPr>
          <w:sz w:val="20"/>
        </w:rPr>
      </w:pPr>
      <w:r>
        <w:rPr>
          <w:sz w:val="20"/>
        </w:rPr>
        <w:t>Price per unit of QS</w:t>
      </w:r>
    </w:p>
    <w:p w14:paraId="78861E15" w14:textId="77777777" w:rsidR="006A79C8" w:rsidRDefault="004C62EA" w:rsidP="00735EE7">
      <w:pPr>
        <w:contextualSpacing/>
        <w:rPr>
          <w:sz w:val="20"/>
        </w:rPr>
      </w:pPr>
      <w:r>
        <w:rPr>
          <w:sz w:val="20"/>
        </w:rPr>
        <w:t>Price per pound of IFQ</w:t>
      </w:r>
    </w:p>
    <w:p w14:paraId="4C3CF7AD" w14:textId="77777777" w:rsidR="006A26C4" w:rsidRDefault="004C62EA" w:rsidP="00735EE7">
      <w:pPr>
        <w:contextualSpacing/>
        <w:rPr>
          <w:sz w:val="20"/>
        </w:rPr>
      </w:pPr>
      <w:r>
        <w:rPr>
          <w:sz w:val="20"/>
        </w:rPr>
        <w:t xml:space="preserve">Total amount paid for the QS/IFQ, including all fees </w:t>
      </w:r>
    </w:p>
    <w:p w14:paraId="59F67EFD" w14:textId="77777777" w:rsidR="006A79C8" w:rsidRDefault="004C62EA" w:rsidP="00735EE7">
      <w:pPr>
        <w:contextualSpacing/>
        <w:rPr>
          <w:sz w:val="20"/>
        </w:rPr>
      </w:pPr>
      <w:r>
        <w:rPr>
          <w:sz w:val="20"/>
        </w:rPr>
        <w:t>Reasons for transferring the QS/IFQ (check all that apply)</w:t>
      </w:r>
    </w:p>
    <w:p w14:paraId="60729343" w14:textId="77777777" w:rsidR="006A26C4" w:rsidRDefault="004C62EA" w:rsidP="00735EE7">
      <w:pPr>
        <w:contextualSpacing/>
        <w:rPr>
          <w:sz w:val="20"/>
        </w:rPr>
      </w:pPr>
      <w:r>
        <w:rPr>
          <w:sz w:val="20"/>
        </w:rPr>
        <w:t xml:space="preserve">If a broker is used for this transaction, enter amount paid in brokerage fees or % of total price </w:t>
      </w:r>
    </w:p>
    <w:p w14:paraId="26886C00" w14:textId="77777777" w:rsidR="006A79C8" w:rsidRDefault="004C62EA" w:rsidP="00735EE7">
      <w:pPr>
        <w:contextualSpacing/>
        <w:rPr>
          <w:sz w:val="20"/>
        </w:rPr>
      </w:pPr>
      <w:r>
        <w:rPr>
          <w:sz w:val="20"/>
          <w:u w:val="single"/>
        </w:rPr>
        <w:t xml:space="preserve">Block G – Required Transferee supplemental information </w:t>
      </w:r>
    </w:p>
    <w:p w14:paraId="5AA3FCBD" w14:textId="77777777" w:rsidR="006A26C4" w:rsidRDefault="004C62EA" w:rsidP="00735EE7">
      <w:pPr>
        <w:contextualSpacing/>
        <w:rPr>
          <w:sz w:val="20"/>
        </w:rPr>
      </w:pPr>
      <w:r>
        <w:rPr>
          <w:sz w:val="20"/>
        </w:rPr>
        <w:t>Indicate whether QS/IFQ being purch</w:t>
      </w:r>
      <w:r w:rsidR="006A26C4">
        <w:rPr>
          <w:sz w:val="20"/>
        </w:rPr>
        <w:t>ased will have a lien attached</w:t>
      </w:r>
    </w:p>
    <w:p w14:paraId="6023B61A" w14:textId="77777777" w:rsidR="006A26C4" w:rsidRDefault="006A26C4" w:rsidP="006A26C4">
      <w:pPr>
        <w:ind w:left="360"/>
        <w:contextualSpacing/>
        <w:rPr>
          <w:sz w:val="20"/>
        </w:rPr>
      </w:pPr>
      <w:r>
        <w:rPr>
          <w:b/>
          <w:sz w:val="20"/>
        </w:rPr>
        <w:t>I</w:t>
      </w:r>
      <w:r w:rsidR="004C62EA">
        <w:rPr>
          <w:b/>
          <w:sz w:val="20"/>
        </w:rPr>
        <w:t>f YES</w:t>
      </w:r>
      <w:r w:rsidR="004C62EA">
        <w:rPr>
          <w:sz w:val="20"/>
        </w:rPr>
        <w:t xml:space="preserve">, name of lien holder </w:t>
      </w:r>
    </w:p>
    <w:p w14:paraId="550DDC4F" w14:textId="77777777" w:rsidR="006A79C8" w:rsidRDefault="004C62EA" w:rsidP="006A26C4">
      <w:pPr>
        <w:contextualSpacing/>
        <w:rPr>
          <w:sz w:val="20"/>
        </w:rPr>
      </w:pPr>
      <w:r>
        <w:rPr>
          <w:sz w:val="20"/>
        </w:rPr>
        <w:t>Primary source of financing for this transfer (check one)</w:t>
      </w:r>
    </w:p>
    <w:p w14:paraId="0FC9ACE0" w14:textId="77777777" w:rsidR="006A79C8" w:rsidRDefault="004C62EA" w:rsidP="00735EE7">
      <w:pPr>
        <w:contextualSpacing/>
        <w:rPr>
          <w:sz w:val="20"/>
        </w:rPr>
      </w:pPr>
      <w:r>
        <w:rPr>
          <w:sz w:val="20"/>
        </w:rPr>
        <w:t>How the QS/IFQ was located (check all that apply)</w:t>
      </w:r>
    </w:p>
    <w:p w14:paraId="46F9CF9D" w14:textId="77777777" w:rsidR="006A79C8" w:rsidRDefault="004C62EA" w:rsidP="00735EE7">
      <w:pPr>
        <w:contextualSpacing/>
        <w:rPr>
          <w:sz w:val="20"/>
        </w:rPr>
      </w:pPr>
      <w:r>
        <w:rPr>
          <w:sz w:val="20"/>
        </w:rPr>
        <w:t>Buyer’s relationship to the QS/IFQ Holder (check all that apply)</w:t>
      </w:r>
    </w:p>
    <w:p w14:paraId="789E8363" w14:textId="77777777" w:rsidR="006A26C4" w:rsidRDefault="004C62EA" w:rsidP="00735EE7">
      <w:pPr>
        <w:contextualSpacing/>
        <w:rPr>
          <w:sz w:val="20"/>
        </w:rPr>
      </w:pPr>
      <w:r>
        <w:rPr>
          <w:sz w:val="20"/>
        </w:rPr>
        <w:t xml:space="preserve">If agreement exists to return QS/IFQ to Transferor or other person, or a condition placed on resale, explain </w:t>
      </w:r>
    </w:p>
    <w:p w14:paraId="7423667F" w14:textId="77777777" w:rsidR="006A79C8" w:rsidRDefault="004C62EA" w:rsidP="00735EE7">
      <w:pPr>
        <w:contextualSpacing/>
        <w:rPr>
          <w:sz w:val="20"/>
        </w:rPr>
      </w:pPr>
      <w:r>
        <w:rPr>
          <w:sz w:val="20"/>
          <w:u w:val="single"/>
        </w:rPr>
        <w:t>Block H – Certification of Transferor</w:t>
      </w:r>
    </w:p>
    <w:p w14:paraId="0D2007F5" w14:textId="77777777" w:rsidR="006A26C4" w:rsidRDefault="004C62EA" w:rsidP="00735EE7">
      <w:pPr>
        <w:contextualSpacing/>
        <w:rPr>
          <w:sz w:val="20"/>
        </w:rPr>
      </w:pPr>
      <w:r>
        <w:rPr>
          <w:sz w:val="20"/>
        </w:rPr>
        <w:t xml:space="preserve">Printed name and signature of Transferor and date signed </w:t>
      </w:r>
    </w:p>
    <w:p w14:paraId="20DDF22F"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7DA0C70B" w14:textId="77777777" w:rsidR="00DD4578" w:rsidRDefault="004C62EA" w:rsidP="00735EE7">
      <w:pPr>
        <w:contextualSpacing/>
        <w:rPr>
          <w:sz w:val="20"/>
        </w:rPr>
      </w:pPr>
      <w:r>
        <w:rPr>
          <w:sz w:val="20"/>
        </w:rPr>
        <w:t>Signature, commission expiration date, and stamp of notary</w:t>
      </w:r>
    </w:p>
    <w:p w14:paraId="1C00E643" w14:textId="77777777" w:rsidR="006A79C8" w:rsidRDefault="006A26C4" w:rsidP="00735EE7">
      <w:pPr>
        <w:contextualSpacing/>
        <w:rPr>
          <w:sz w:val="20"/>
        </w:rPr>
      </w:pPr>
      <w:r>
        <w:rPr>
          <w:sz w:val="20"/>
          <w:u w:val="single"/>
        </w:rPr>
        <w:t>Block I –</w:t>
      </w:r>
      <w:r w:rsidR="004C62EA">
        <w:rPr>
          <w:sz w:val="20"/>
          <w:u w:val="single"/>
        </w:rPr>
        <w:t xml:space="preserve"> Certification of Transferee</w:t>
      </w:r>
    </w:p>
    <w:p w14:paraId="698E5627" w14:textId="77777777" w:rsidR="006A26C4" w:rsidRDefault="004C62EA" w:rsidP="00735EE7">
      <w:pPr>
        <w:contextualSpacing/>
        <w:rPr>
          <w:sz w:val="20"/>
        </w:rPr>
      </w:pPr>
      <w:r>
        <w:rPr>
          <w:sz w:val="20"/>
        </w:rPr>
        <w:t xml:space="preserve">Printed name and signature of Transferee and date signed </w:t>
      </w:r>
    </w:p>
    <w:p w14:paraId="148C10C1"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5C6B75E2" w14:textId="77777777" w:rsidR="006A79C8" w:rsidRDefault="004C62EA" w:rsidP="00735EE7">
      <w:pPr>
        <w:contextualSpacing/>
        <w:rPr>
          <w:sz w:val="20"/>
        </w:rPr>
      </w:pPr>
      <w:r>
        <w:rPr>
          <w:sz w:val="20"/>
        </w:rPr>
        <w:t>Signature, commission expiration date, and stamp of notary</w:t>
      </w:r>
    </w:p>
    <w:p w14:paraId="21963AAB" w14:textId="77777777" w:rsidR="006A79C8" w:rsidRDefault="006A79C8" w:rsidP="00735EE7">
      <w:pPr>
        <w:pStyle w:val="BodyText"/>
        <w:contextualSpacing/>
      </w:pPr>
    </w:p>
    <w:p w14:paraId="1B556440" w14:textId="77777777" w:rsidR="006A79C8" w:rsidRDefault="004C62EA" w:rsidP="00735EE7">
      <w:pPr>
        <w:pStyle w:val="Heading1"/>
        <w:ind w:left="0"/>
        <w:contextualSpacing/>
        <w:rPr>
          <w:u w:val="none"/>
        </w:rPr>
      </w:pPr>
      <w:r>
        <w:rPr>
          <w:u w:val="none"/>
        </w:rPr>
        <w:t>Application for Transfer of QS/IFQ by Sweep-up</w:t>
      </w:r>
    </w:p>
    <w:p w14:paraId="35F3B295" w14:textId="77777777" w:rsidR="006A79C8" w:rsidRDefault="006A79C8" w:rsidP="00735EE7">
      <w:pPr>
        <w:pStyle w:val="BodyText"/>
        <w:contextualSpacing/>
        <w:rPr>
          <w:b/>
          <w:sz w:val="23"/>
        </w:rPr>
      </w:pPr>
    </w:p>
    <w:p w14:paraId="6116D4F8" w14:textId="77777777" w:rsidR="006A79C8" w:rsidRDefault="00447BF0" w:rsidP="00735EE7">
      <w:pPr>
        <w:pStyle w:val="BodyText"/>
        <w:contextualSpacing/>
      </w:pPr>
      <w:r w:rsidRPr="00447BF0">
        <w:t>This application is for use by a person who wishes to combine (sweep-up) two blocks.  Blocked QS may be combined into one block if the total amount of QS being combined is less than or equal to established amounts of QS units per area.  To be combined, QS must be in the same vessel category, and the resulting block size must not exceed the sweep-up limits.</w:t>
      </w:r>
    </w:p>
    <w:p w14:paraId="43F51BF0" w14:textId="77777777" w:rsidR="00447BF0" w:rsidRDefault="00447BF0" w:rsidP="00735EE7">
      <w:pPr>
        <w:pStyle w:val="BodyText"/>
        <w:contextualSpacing/>
      </w:pPr>
    </w:p>
    <w:p w14:paraId="2D3DAAF8" w14:textId="22427436" w:rsidR="006A79C8" w:rsidRDefault="004C62EA" w:rsidP="00735EE7">
      <w:pPr>
        <w:pStyle w:val="BodyText"/>
        <w:contextualSpacing/>
      </w:pPr>
      <w:r>
        <w:t xml:space="preserve">An application for transfer </w:t>
      </w:r>
      <w:r w:rsidR="00940135">
        <w:t xml:space="preserve">by sweep up </w:t>
      </w:r>
      <w:r>
        <w:t xml:space="preserve">may be submitted to NMFS </w:t>
      </w:r>
      <w:r w:rsidR="00BE5073">
        <w:t>RAM</w:t>
      </w:r>
      <w:r w:rsidR="00A660AF">
        <w:t xml:space="preserve"> </w:t>
      </w:r>
      <w:r>
        <w:t xml:space="preserve">by mail or delivery. Fax submittal is not </w:t>
      </w:r>
      <w:r w:rsidR="00447BF0">
        <w:t>accepted</w:t>
      </w:r>
      <w:r>
        <w:t xml:space="preserve"> due to the Notary requirements.</w:t>
      </w:r>
    </w:p>
    <w:p w14:paraId="31D4AB56" w14:textId="77777777" w:rsidR="006A79C8" w:rsidRPr="006621E9" w:rsidRDefault="006A79C8" w:rsidP="00735EE7">
      <w:pPr>
        <w:pStyle w:val="BodyText"/>
        <w:contextualSpacing/>
      </w:pPr>
    </w:p>
    <w:p w14:paraId="46BDC168" w14:textId="30899E2D" w:rsidR="006A79C8" w:rsidRPr="006621E9" w:rsidRDefault="006621E9" w:rsidP="00735EE7">
      <w:pPr>
        <w:contextualSpacing/>
        <w:rPr>
          <w:sz w:val="24"/>
          <w:szCs w:val="24"/>
        </w:rPr>
      </w:pPr>
      <w:r w:rsidRPr="006621E9">
        <w:rPr>
          <w:sz w:val="24"/>
          <w:szCs w:val="24"/>
        </w:rPr>
        <w:t xml:space="preserve">The following information is collected on the </w:t>
      </w:r>
      <w:r w:rsidR="004C62EA" w:rsidRPr="006621E9">
        <w:rPr>
          <w:sz w:val="24"/>
          <w:szCs w:val="24"/>
        </w:rPr>
        <w:t>Application for Transfer of QS/IFQ by Sweep-up</w:t>
      </w:r>
      <w:r w:rsidRPr="006621E9">
        <w:rPr>
          <w:sz w:val="24"/>
          <w:szCs w:val="24"/>
        </w:rPr>
        <w:t>.</w:t>
      </w:r>
    </w:p>
    <w:p w14:paraId="605824D3" w14:textId="77777777" w:rsidR="006621E9" w:rsidRPr="006621E9" w:rsidRDefault="006621E9" w:rsidP="00735EE7">
      <w:pPr>
        <w:contextualSpacing/>
        <w:rPr>
          <w:sz w:val="24"/>
          <w:szCs w:val="24"/>
        </w:rPr>
      </w:pPr>
    </w:p>
    <w:p w14:paraId="78B19156" w14:textId="77777777" w:rsidR="00C15BCF" w:rsidRDefault="004C62EA" w:rsidP="00735EE7">
      <w:pPr>
        <w:contextualSpacing/>
        <w:rPr>
          <w:sz w:val="20"/>
        </w:rPr>
      </w:pPr>
      <w:r>
        <w:rPr>
          <w:sz w:val="20"/>
          <w:u w:val="single"/>
        </w:rPr>
        <w:t>Block A – Applicant information</w:t>
      </w:r>
      <w:r>
        <w:rPr>
          <w:sz w:val="20"/>
        </w:rPr>
        <w:t xml:space="preserve"> </w:t>
      </w:r>
    </w:p>
    <w:p w14:paraId="4F219949" w14:textId="77777777" w:rsidR="00C15BCF" w:rsidRDefault="004C62EA" w:rsidP="00735EE7">
      <w:pPr>
        <w:contextualSpacing/>
        <w:rPr>
          <w:sz w:val="20"/>
        </w:rPr>
      </w:pPr>
      <w:r>
        <w:rPr>
          <w:sz w:val="20"/>
        </w:rPr>
        <w:t xml:space="preserve">Applicant name and NMFS Person ID </w:t>
      </w:r>
    </w:p>
    <w:p w14:paraId="570267E6" w14:textId="77777777" w:rsidR="006A79C8" w:rsidRDefault="004C62EA" w:rsidP="00735EE7">
      <w:pPr>
        <w:contextualSpacing/>
        <w:rPr>
          <w:sz w:val="20"/>
        </w:rPr>
      </w:pPr>
      <w:r>
        <w:rPr>
          <w:sz w:val="20"/>
        </w:rPr>
        <w:t>Date of birth</w:t>
      </w:r>
    </w:p>
    <w:p w14:paraId="1258CF5B" w14:textId="77777777" w:rsidR="006A79C8" w:rsidRDefault="004C62EA" w:rsidP="00735EE7">
      <w:pPr>
        <w:contextualSpacing/>
        <w:rPr>
          <w:sz w:val="20"/>
        </w:rPr>
      </w:pPr>
      <w:r>
        <w:rPr>
          <w:sz w:val="20"/>
        </w:rPr>
        <w:t>Business mailing address (indicate whether permanent or temporary)</w:t>
      </w:r>
    </w:p>
    <w:p w14:paraId="74177FA4" w14:textId="77777777" w:rsidR="00DD4578" w:rsidRDefault="004C62EA" w:rsidP="00735EE7">
      <w:pPr>
        <w:contextualSpacing/>
        <w:rPr>
          <w:sz w:val="20"/>
        </w:rPr>
      </w:pPr>
      <w:r>
        <w:rPr>
          <w:sz w:val="20"/>
        </w:rPr>
        <w:t xml:space="preserve">Business telephone number, business fax number, and business e-mail address </w:t>
      </w:r>
    </w:p>
    <w:p w14:paraId="4488AF83" w14:textId="77777777" w:rsidR="006A79C8" w:rsidRDefault="004C62EA" w:rsidP="00735EE7">
      <w:pPr>
        <w:contextualSpacing/>
        <w:rPr>
          <w:sz w:val="20"/>
        </w:rPr>
      </w:pPr>
      <w:r>
        <w:rPr>
          <w:sz w:val="20"/>
          <w:u w:val="single"/>
        </w:rPr>
        <w:t>Block B –- First Quota Shore Block</w:t>
      </w:r>
    </w:p>
    <w:p w14:paraId="4AC21506" w14:textId="77777777" w:rsidR="00C15BCF" w:rsidRDefault="004C62EA" w:rsidP="00735EE7">
      <w:pPr>
        <w:contextualSpacing/>
        <w:rPr>
          <w:sz w:val="20"/>
        </w:rPr>
      </w:pPr>
      <w:r>
        <w:rPr>
          <w:sz w:val="20"/>
        </w:rPr>
        <w:t xml:space="preserve">Halibut or sablefish </w:t>
      </w:r>
    </w:p>
    <w:p w14:paraId="12AD5841" w14:textId="77777777" w:rsidR="00C15BCF" w:rsidRDefault="004C62EA" w:rsidP="00735EE7">
      <w:pPr>
        <w:contextualSpacing/>
        <w:rPr>
          <w:sz w:val="20"/>
        </w:rPr>
      </w:pPr>
      <w:r>
        <w:rPr>
          <w:sz w:val="20"/>
        </w:rPr>
        <w:t xml:space="preserve">IFQ Regulatory area </w:t>
      </w:r>
    </w:p>
    <w:p w14:paraId="1F1F7D9F" w14:textId="77777777" w:rsidR="006A79C8" w:rsidRDefault="004C62EA" w:rsidP="00735EE7">
      <w:pPr>
        <w:contextualSpacing/>
        <w:rPr>
          <w:sz w:val="20"/>
        </w:rPr>
      </w:pPr>
      <w:r>
        <w:rPr>
          <w:sz w:val="20"/>
        </w:rPr>
        <w:t>Vessel category</w:t>
      </w:r>
    </w:p>
    <w:p w14:paraId="16230598" w14:textId="77777777" w:rsidR="00C15BCF" w:rsidRDefault="004C62EA" w:rsidP="00735EE7">
      <w:pPr>
        <w:contextualSpacing/>
        <w:rPr>
          <w:sz w:val="20"/>
        </w:rPr>
      </w:pPr>
      <w:r>
        <w:rPr>
          <w:sz w:val="20"/>
        </w:rPr>
        <w:t xml:space="preserve">Number of QS units to be combined </w:t>
      </w:r>
    </w:p>
    <w:p w14:paraId="589A60F9" w14:textId="77777777" w:rsidR="006A79C8" w:rsidRDefault="004C62EA" w:rsidP="00735EE7">
      <w:pPr>
        <w:contextualSpacing/>
        <w:rPr>
          <w:sz w:val="20"/>
        </w:rPr>
      </w:pPr>
      <w:r>
        <w:rPr>
          <w:sz w:val="20"/>
        </w:rPr>
        <w:t>Start and end serial numbers of QS</w:t>
      </w:r>
    </w:p>
    <w:p w14:paraId="3587189C" w14:textId="77777777" w:rsidR="00C15BCF" w:rsidRDefault="004C62EA" w:rsidP="00735EE7">
      <w:pPr>
        <w:contextualSpacing/>
        <w:rPr>
          <w:sz w:val="20"/>
        </w:rPr>
      </w:pPr>
      <w:r>
        <w:rPr>
          <w:sz w:val="20"/>
          <w:u w:val="single"/>
        </w:rPr>
        <w:t>Block C –- Second Quota share Block</w:t>
      </w:r>
      <w:r>
        <w:rPr>
          <w:sz w:val="20"/>
        </w:rPr>
        <w:t xml:space="preserve"> </w:t>
      </w:r>
    </w:p>
    <w:p w14:paraId="1AC7DE95" w14:textId="77777777" w:rsidR="006A79C8" w:rsidRDefault="004C62EA" w:rsidP="00735EE7">
      <w:pPr>
        <w:contextualSpacing/>
        <w:rPr>
          <w:sz w:val="20"/>
        </w:rPr>
      </w:pPr>
      <w:r>
        <w:rPr>
          <w:sz w:val="20"/>
        </w:rPr>
        <w:t>Halibut or sablefish</w:t>
      </w:r>
    </w:p>
    <w:p w14:paraId="00B2BFAB" w14:textId="77777777" w:rsidR="00C15BCF" w:rsidRDefault="004C62EA" w:rsidP="00735EE7">
      <w:pPr>
        <w:contextualSpacing/>
        <w:rPr>
          <w:sz w:val="20"/>
        </w:rPr>
      </w:pPr>
      <w:r>
        <w:rPr>
          <w:sz w:val="20"/>
        </w:rPr>
        <w:t xml:space="preserve">IFQ Regulatory area </w:t>
      </w:r>
    </w:p>
    <w:p w14:paraId="646FA5D0" w14:textId="77777777" w:rsidR="006A79C8" w:rsidRDefault="004C62EA" w:rsidP="00735EE7">
      <w:pPr>
        <w:contextualSpacing/>
        <w:rPr>
          <w:sz w:val="20"/>
        </w:rPr>
      </w:pPr>
      <w:r>
        <w:rPr>
          <w:sz w:val="20"/>
        </w:rPr>
        <w:t>Vessel category</w:t>
      </w:r>
    </w:p>
    <w:p w14:paraId="2A38FA3A" w14:textId="77777777" w:rsidR="00C15BCF" w:rsidRDefault="004C62EA" w:rsidP="00735EE7">
      <w:pPr>
        <w:contextualSpacing/>
        <w:rPr>
          <w:sz w:val="20"/>
        </w:rPr>
      </w:pPr>
      <w:r>
        <w:rPr>
          <w:sz w:val="20"/>
        </w:rPr>
        <w:t xml:space="preserve">Number of QS units to be combined </w:t>
      </w:r>
    </w:p>
    <w:p w14:paraId="66E443F5" w14:textId="77777777" w:rsidR="006A79C8" w:rsidRDefault="004C62EA" w:rsidP="00735EE7">
      <w:pPr>
        <w:contextualSpacing/>
        <w:rPr>
          <w:sz w:val="20"/>
        </w:rPr>
      </w:pPr>
      <w:r>
        <w:rPr>
          <w:sz w:val="20"/>
        </w:rPr>
        <w:t>Start and end serial numbers of QS</w:t>
      </w:r>
    </w:p>
    <w:p w14:paraId="5E0FF361" w14:textId="77777777" w:rsidR="006A79C8" w:rsidRDefault="004C62EA" w:rsidP="00735EE7">
      <w:pPr>
        <w:contextualSpacing/>
        <w:rPr>
          <w:sz w:val="20"/>
        </w:rPr>
      </w:pPr>
      <w:r>
        <w:rPr>
          <w:sz w:val="20"/>
          <w:u w:val="single"/>
        </w:rPr>
        <w:t xml:space="preserve">Block </w:t>
      </w:r>
      <w:r w:rsidR="00181C62">
        <w:rPr>
          <w:sz w:val="20"/>
          <w:u w:val="single"/>
        </w:rPr>
        <w:t>D</w:t>
      </w:r>
      <w:r>
        <w:rPr>
          <w:sz w:val="20"/>
          <w:u w:val="single"/>
        </w:rPr>
        <w:t xml:space="preserve"> – Certification of </w:t>
      </w:r>
      <w:r w:rsidR="00181C62">
        <w:rPr>
          <w:sz w:val="20"/>
          <w:u w:val="single"/>
        </w:rPr>
        <w:t>Notary and Applicant</w:t>
      </w:r>
    </w:p>
    <w:p w14:paraId="24F8C73A" w14:textId="77777777" w:rsidR="00C15BCF" w:rsidRDefault="004C62EA" w:rsidP="00735EE7">
      <w:pPr>
        <w:contextualSpacing/>
        <w:rPr>
          <w:sz w:val="20"/>
        </w:rPr>
      </w:pPr>
      <w:r>
        <w:rPr>
          <w:sz w:val="20"/>
        </w:rPr>
        <w:t xml:space="preserve">Signature and printed name of QS holder and date signed </w:t>
      </w:r>
    </w:p>
    <w:p w14:paraId="76FFC0A0" w14:textId="77777777" w:rsidR="006A79C8" w:rsidRDefault="004C62EA" w:rsidP="00735EE7">
      <w:pPr>
        <w:contextualSpacing/>
        <w:rPr>
          <w:sz w:val="20"/>
        </w:rPr>
      </w:pPr>
      <w:r>
        <w:rPr>
          <w:sz w:val="20"/>
        </w:rPr>
        <w:t>If authorized representative, attach authorization</w:t>
      </w:r>
    </w:p>
    <w:p w14:paraId="4C8DC20B" w14:textId="77777777" w:rsidR="006A79C8" w:rsidRDefault="004C62EA" w:rsidP="00735EE7">
      <w:pPr>
        <w:contextualSpacing/>
        <w:rPr>
          <w:sz w:val="20"/>
        </w:rPr>
      </w:pPr>
      <w:r>
        <w:rPr>
          <w:sz w:val="20"/>
        </w:rPr>
        <w:t>Signature, commission expiration date, and stamp of notary public</w:t>
      </w:r>
    </w:p>
    <w:p w14:paraId="755A0D04" w14:textId="77777777" w:rsidR="006A79C8" w:rsidRDefault="006A79C8" w:rsidP="00735EE7">
      <w:pPr>
        <w:pStyle w:val="BodyText"/>
        <w:contextualSpacing/>
        <w:rPr>
          <w:sz w:val="19"/>
        </w:rPr>
      </w:pPr>
    </w:p>
    <w:p w14:paraId="1AB2374F" w14:textId="406DB400" w:rsidR="006A79C8" w:rsidRDefault="00F760D1" w:rsidP="00735EE7">
      <w:pPr>
        <w:pStyle w:val="BodyText"/>
        <w:contextualSpacing/>
      </w:pPr>
      <w:r>
        <w:t>The transferor and</w:t>
      </w:r>
      <w:r w:rsidRPr="00F760D1">
        <w:t xml:space="preserve"> transferee</w:t>
      </w:r>
      <w:r>
        <w:t xml:space="preserve"> are</w:t>
      </w:r>
      <w:r w:rsidRPr="00F760D1">
        <w:t xml:space="preserve">e included in the number of respondents, since </w:t>
      </w:r>
      <w:r>
        <w:t>both</w:t>
      </w:r>
      <w:r w:rsidRPr="00F760D1">
        <w:t xml:space="preserve"> must complete and sign a section of the application; therefore, there are </w:t>
      </w:r>
      <w:r>
        <w:t>two</w:t>
      </w:r>
      <w:r w:rsidRPr="00F760D1">
        <w:t xml:space="preserve"> respondents per response (the transfer application).</w:t>
      </w:r>
    </w:p>
    <w:p w14:paraId="506885EA" w14:textId="77777777" w:rsidR="00F760D1" w:rsidRPr="00F760D1" w:rsidRDefault="00F760D1"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2"/>
        <w:gridCol w:w="992"/>
      </w:tblGrid>
      <w:tr w:rsidR="006A79C8" w14:paraId="2BD6406E" w14:textId="77777777" w:rsidTr="007172D8">
        <w:trPr>
          <w:trHeight w:val="230"/>
          <w:jc w:val="center"/>
        </w:trPr>
        <w:tc>
          <w:tcPr>
            <w:tcW w:w="4854" w:type="dxa"/>
            <w:gridSpan w:val="2"/>
          </w:tcPr>
          <w:p w14:paraId="4200980F" w14:textId="6860D266" w:rsidR="006A79C8" w:rsidRDefault="004C62EA" w:rsidP="006569C9">
            <w:pPr>
              <w:pStyle w:val="TableParagraph"/>
              <w:contextualSpacing/>
              <w:rPr>
                <w:b/>
                <w:sz w:val="20"/>
              </w:rPr>
            </w:pPr>
            <w:r>
              <w:rPr>
                <w:b/>
                <w:sz w:val="20"/>
              </w:rPr>
              <w:t>Application for Transfer of QS</w:t>
            </w:r>
            <w:r w:rsidR="006569C9">
              <w:rPr>
                <w:b/>
                <w:sz w:val="20"/>
              </w:rPr>
              <w:t>/</w:t>
            </w:r>
            <w:r>
              <w:rPr>
                <w:b/>
                <w:sz w:val="20"/>
              </w:rPr>
              <w:t>IFQ, Respondent</w:t>
            </w:r>
          </w:p>
        </w:tc>
      </w:tr>
      <w:tr w:rsidR="006A79C8" w:rsidRPr="00CB0EA7" w14:paraId="32CA246D" w14:textId="77777777" w:rsidTr="007172D8">
        <w:trPr>
          <w:trHeight w:val="232"/>
          <w:jc w:val="center"/>
        </w:trPr>
        <w:tc>
          <w:tcPr>
            <w:tcW w:w="3862" w:type="dxa"/>
            <w:tcBorders>
              <w:bottom w:val="nil"/>
            </w:tcBorders>
          </w:tcPr>
          <w:p w14:paraId="4811D4A4" w14:textId="77777777" w:rsidR="006A79C8" w:rsidRPr="00CB0EA7" w:rsidRDefault="004C62EA" w:rsidP="00735EE7">
            <w:pPr>
              <w:pStyle w:val="TableParagraph"/>
              <w:contextualSpacing/>
              <w:rPr>
                <w:b/>
                <w:sz w:val="20"/>
              </w:rPr>
            </w:pPr>
            <w:r w:rsidRPr="00CB0EA7">
              <w:rPr>
                <w:b/>
                <w:sz w:val="20"/>
              </w:rPr>
              <w:t>Estimated number of respondents</w:t>
            </w:r>
          </w:p>
          <w:p w14:paraId="557292A7" w14:textId="0C1D6862" w:rsidR="007D6D14" w:rsidRPr="00CB0EA7" w:rsidRDefault="00732D93" w:rsidP="00732D93">
            <w:pPr>
              <w:pStyle w:val="TableParagraph"/>
              <w:contextualSpacing/>
              <w:rPr>
                <w:sz w:val="20"/>
              </w:rPr>
            </w:pPr>
            <w:r w:rsidRPr="00CB0EA7">
              <w:rPr>
                <w:sz w:val="20"/>
              </w:rPr>
              <w:t>(transferor</w:t>
            </w:r>
            <w:r w:rsidR="007D6D14" w:rsidRPr="00CB0EA7">
              <w:rPr>
                <w:sz w:val="20"/>
              </w:rPr>
              <w:t xml:space="preserve"> and transfer</w:t>
            </w:r>
            <w:r w:rsidRPr="00CB0EA7">
              <w:rPr>
                <w:sz w:val="20"/>
              </w:rPr>
              <w:t>ee</w:t>
            </w:r>
            <w:r w:rsidR="007D6D14" w:rsidRPr="00CB0EA7">
              <w:rPr>
                <w:sz w:val="20"/>
              </w:rPr>
              <w:t>)</w:t>
            </w:r>
          </w:p>
        </w:tc>
        <w:tc>
          <w:tcPr>
            <w:tcW w:w="992" w:type="dxa"/>
            <w:tcBorders>
              <w:bottom w:val="nil"/>
            </w:tcBorders>
          </w:tcPr>
          <w:p w14:paraId="2770F094" w14:textId="4FD7BE73" w:rsidR="006A79C8" w:rsidRPr="00CB0EA7" w:rsidRDefault="00874E00" w:rsidP="004C1B54">
            <w:pPr>
              <w:pStyle w:val="TableParagraph"/>
              <w:contextualSpacing/>
              <w:jc w:val="right"/>
              <w:rPr>
                <w:b/>
                <w:sz w:val="20"/>
              </w:rPr>
            </w:pPr>
            <w:r w:rsidRPr="00CB0EA7">
              <w:rPr>
                <w:b/>
                <w:sz w:val="20"/>
              </w:rPr>
              <w:t>1,204</w:t>
            </w:r>
          </w:p>
        </w:tc>
      </w:tr>
      <w:tr w:rsidR="006A79C8" w:rsidRPr="00CB0EA7" w14:paraId="1C0235B9" w14:textId="77777777" w:rsidTr="007172D8">
        <w:trPr>
          <w:trHeight w:val="228"/>
          <w:jc w:val="center"/>
        </w:trPr>
        <w:tc>
          <w:tcPr>
            <w:tcW w:w="3862" w:type="dxa"/>
            <w:tcBorders>
              <w:top w:val="nil"/>
              <w:bottom w:val="nil"/>
            </w:tcBorders>
          </w:tcPr>
          <w:p w14:paraId="0FE42817" w14:textId="77777777" w:rsidR="006A79C8" w:rsidRPr="00CB0EA7" w:rsidRDefault="004C62EA" w:rsidP="00735EE7">
            <w:pPr>
              <w:pStyle w:val="TableParagraph"/>
              <w:contextualSpacing/>
              <w:rPr>
                <w:b/>
                <w:sz w:val="20"/>
              </w:rPr>
            </w:pPr>
            <w:r w:rsidRPr="00CB0EA7">
              <w:rPr>
                <w:b/>
                <w:sz w:val="20"/>
              </w:rPr>
              <w:t>Total annual responses</w:t>
            </w:r>
          </w:p>
        </w:tc>
        <w:tc>
          <w:tcPr>
            <w:tcW w:w="992" w:type="dxa"/>
            <w:tcBorders>
              <w:top w:val="nil"/>
              <w:bottom w:val="nil"/>
            </w:tcBorders>
          </w:tcPr>
          <w:p w14:paraId="3EE2C090" w14:textId="0A2A4A6E" w:rsidR="006A79C8" w:rsidRPr="00C82994" w:rsidRDefault="001B365A" w:rsidP="004C1B54">
            <w:pPr>
              <w:pStyle w:val="TableParagraph"/>
              <w:contextualSpacing/>
              <w:jc w:val="right"/>
              <w:rPr>
                <w:b/>
                <w:sz w:val="20"/>
              </w:rPr>
            </w:pPr>
            <w:r w:rsidRPr="00C82994">
              <w:rPr>
                <w:b/>
                <w:sz w:val="20"/>
              </w:rPr>
              <w:t>602</w:t>
            </w:r>
          </w:p>
        </w:tc>
      </w:tr>
      <w:tr w:rsidR="006A79C8" w:rsidRPr="00CB0EA7" w14:paraId="4AFC09BB" w14:textId="77777777" w:rsidTr="007172D8">
        <w:trPr>
          <w:trHeight w:val="229"/>
          <w:jc w:val="center"/>
        </w:trPr>
        <w:tc>
          <w:tcPr>
            <w:tcW w:w="3862" w:type="dxa"/>
            <w:tcBorders>
              <w:top w:val="nil"/>
              <w:bottom w:val="nil"/>
            </w:tcBorders>
          </w:tcPr>
          <w:p w14:paraId="7C82A5CE" w14:textId="4356D550" w:rsidR="006A79C8" w:rsidRPr="00C82994" w:rsidRDefault="004C62EA" w:rsidP="00757DEC">
            <w:pPr>
              <w:pStyle w:val="TableParagraph"/>
              <w:contextualSpacing/>
              <w:rPr>
                <w:b/>
                <w:sz w:val="20"/>
              </w:rPr>
            </w:pPr>
            <w:r w:rsidRPr="00CB0EA7">
              <w:rPr>
                <w:b/>
                <w:sz w:val="20"/>
              </w:rPr>
              <w:t xml:space="preserve">Total </w:t>
            </w:r>
            <w:r w:rsidR="00757DEC" w:rsidRPr="00CB0EA7">
              <w:rPr>
                <w:b/>
                <w:sz w:val="20"/>
              </w:rPr>
              <w:t>t</w:t>
            </w:r>
            <w:r w:rsidRPr="00CB0EA7">
              <w:rPr>
                <w:b/>
                <w:sz w:val="20"/>
              </w:rPr>
              <w:t>ime burden</w:t>
            </w:r>
          </w:p>
        </w:tc>
        <w:tc>
          <w:tcPr>
            <w:tcW w:w="992" w:type="dxa"/>
            <w:tcBorders>
              <w:top w:val="nil"/>
              <w:bottom w:val="nil"/>
            </w:tcBorders>
          </w:tcPr>
          <w:p w14:paraId="3B1FB8A9" w14:textId="13762598" w:rsidR="006A79C8" w:rsidRPr="00CB0EA7" w:rsidRDefault="00E422B4" w:rsidP="004C1B54">
            <w:pPr>
              <w:pStyle w:val="TableParagraph"/>
              <w:contextualSpacing/>
              <w:jc w:val="right"/>
              <w:rPr>
                <w:b/>
                <w:sz w:val="20"/>
              </w:rPr>
            </w:pPr>
            <w:r w:rsidRPr="00CB0EA7">
              <w:rPr>
                <w:b/>
                <w:sz w:val="20"/>
              </w:rPr>
              <w:t>1,204</w:t>
            </w:r>
            <w:r w:rsidR="00C00752" w:rsidRPr="00CB0EA7">
              <w:rPr>
                <w:b/>
                <w:sz w:val="20"/>
              </w:rPr>
              <w:t xml:space="preserve"> </w:t>
            </w:r>
            <w:r w:rsidR="004C62EA" w:rsidRPr="00CB0EA7">
              <w:rPr>
                <w:b/>
                <w:sz w:val="20"/>
              </w:rPr>
              <w:t>hr</w:t>
            </w:r>
          </w:p>
        </w:tc>
      </w:tr>
      <w:tr w:rsidR="006A79C8" w:rsidRPr="00CB0EA7" w14:paraId="178701F1" w14:textId="77777777" w:rsidTr="007172D8">
        <w:trPr>
          <w:trHeight w:val="228"/>
          <w:jc w:val="center"/>
        </w:trPr>
        <w:tc>
          <w:tcPr>
            <w:tcW w:w="3862" w:type="dxa"/>
            <w:tcBorders>
              <w:top w:val="nil"/>
              <w:bottom w:val="nil"/>
            </w:tcBorders>
          </w:tcPr>
          <w:p w14:paraId="420E18B6" w14:textId="77777777" w:rsidR="006A79C8" w:rsidRPr="00CB0EA7" w:rsidRDefault="004C62EA" w:rsidP="00735EE7">
            <w:pPr>
              <w:pStyle w:val="TableParagraph"/>
              <w:contextualSpacing/>
              <w:rPr>
                <w:sz w:val="20"/>
              </w:rPr>
            </w:pPr>
            <w:r w:rsidRPr="00CB0EA7">
              <w:rPr>
                <w:sz w:val="20"/>
              </w:rPr>
              <w:t>Time per response = 2 hr</w:t>
            </w:r>
          </w:p>
        </w:tc>
        <w:tc>
          <w:tcPr>
            <w:tcW w:w="992" w:type="dxa"/>
            <w:tcBorders>
              <w:top w:val="nil"/>
              <w:bottom w:val="nil"/>
            </w:tcBorders>
          </w:tcPr>
          <w:p w14:paraId="31D6C66D" w14:textId="77777777" w:rsidR="006A79C8" w:rsidRPr="00CB0EA7" w:rsidRDefault="006A79C8" w:rsidP="004C1B54">
            <w:pPr>
              <w:pStyle w:val="TableParagraph"/>
              <w:contextualSpacing/>
              <w:jc w:val="right"/>
              <w:rPr>
                <w:sz w:val="16"/>
              </w:rPr>
            </w:pPr>
          </w:p>
        </w:tc>
      </w:tr>
      <w:tr w:rsidR="006A79C8" w:rsidRPr="00CB0EA7" w14:paraId="23B95460" w14:textId="77777777" w:rsidTr="007172D8">
        <w:trPr>
          <w:trHeight w:val="232"/>
          <w:jc w:val="center"/>
        </w:trPr>
        <w:tc>
          <w:tcPr>
            <w:tcW w:w="3862" w:type="dxa"/>
            <w:tcBorders>
              <w:top w:val="nil"/>
              <w:bottom w:val="nil"/>
            </w:tcBorders>
          </w:tcPr>
          <w:p w14:paraId="316232D3" w14:textId="5684F539" w:rsidR="006A79C8" w:rsidRPr="00C82994" w:rsidRDefault="004C62EA" w:rsidP="00E422B4">
            <w:pPr>
              <w:pStyle w:val="TableParagraph"/>
              <w:contextualSpacing/>
              <w:rPr>
                <w:sz w:val="20"/>
              </w:rPr>
            </w:pPr>
            <w:r w:rsidRPr="00CB0EA7">
              <w:rPr>
                <w:b/>
                <w:sz w:val="20"/>
              </w:rPr>
              <w:t xml:space="preserve">Total personnel cost </w:t>
            </w:r>
            <w:r w:rsidRPr="00CB0EA7">
              <w:rPr>
                <w:sz w:val="20"/>
              </w:rPr>
              <w:t xml:space="preserve">($37/hr x </w:t>
            </w:r>
            <w:r w:rsidR="00E422B4" w:rsidRPr="00C82994">
              <w:rPr>
                <w:sz w:val="20"/>
              </w:rPr>
              <w:t>1,204</w:t>
            </w:r>
            <w:r w:rsidRPr="00C82994">
              <w:rPr>
                <w:sz w:val="20"/>
              </w:rPr>
              <w:t>)</w:t>
            </w:r>
          </w:p>
        </w:tc>
        <w:tc>
          <w:tcPr>
            <w:tcW w:w="992" w:type="dxa"/>
            <w:tcBorders>
              <w:top w:val="nil"/>
              <w:bottom w:val="nil"/>
            </w:tcBorders>
          </w:tcPr>
          <w:p w14:paraId="1F448BF1" w14:textId="45C06B17" w:rsidR="006A79C8" w:rsidRPr="00CB0EA7" w:rsidRDefault="004C62EA" w:rsidP="00E422B4">
            <w:pPr>
              <w:pStyle w:val="TableParagraph"/>
              <w:contextualSpacing/>
              <w:jc w:val="right"/>
              <w:rPr>
                <w:b/>
                <w:sz w:val="20"/>
              </w:rPr>
            </w:pPr>
            <w:r w:rsidRPr="00CB0EA7">
              <w:rPr>
                <w:b/>
                <w:sz w:val="20"/>
              </w:rPr>
              <w:t>$</w:t>
            </w:r>
            <w:r w:rsidR="00E422B4" w:rsidRPr="00CB0EA7">
              <w:rPr>
                <w:b/>
                <w:sz w:val="20"/>
              </w:rPr>
              <w:t>44,548</w:t>
            </w:r>
          </w:p>
        </w:tc>
      </w:tr>
      <w:tr w:rsidR="006A79C8" w:rsidRPr="00CB0EA7" w14:paraId="58606F7F" w14:textId="77777777" w:rsidTr="007172D8">
        <w:trPr>
          <w:trHeight w:val="230"/>
          <w:jc w:val="center"/>
        </w:trPr>
        <w:tc>
          <w:tcPr>
            <w:tcW w:w="3862" w:type="dxa"/>
            <w:tcBorders>
              <w:top w:val="nil"/>
              <w:bottom w:val="nil"/>
            </w:tcBorders>
          </w:tcPr>
          <w:p w14:paraId="17E6A6B7" w14:textId="01D933F7" w:rsidR="006A79C8" w:rsidRPr="00C82994" w:rsidRDefault="004C62EA" w:rsidP="00E422B4">
            <w:pPr>
              <w:pStyle w:val="TableParagraph"/>
              <w:contextualSpacing/>
              <w:rPr>
                <w:sz w:val="20"/>
              </w:rPr>
            </w:pPr>
            <w:r w:rsidRPr="00CB0EA7">
              <w:rPr>
                <w:b/>
                <w:sz w:val="20"/>
              </w:rPr>
              <w:t xml:space="preserve">Total miscellaneous cost </w:t>
            </w:r>
            <w:r w:rsidRPr="00CB0EA7">
              <w:rPr>
                <w:sz w:val="20"/>
              </w:rPr>
              <w:t>(</w:t>
            </w:r>
            <w:r w:rsidR="00E422B4" w:rsidRPr="00C82994">
              <w:rPr>
                <w:sz w:val="20"/>
              </w:rPr>
              <w:t>6,495.58</w:t>
            </w:r>
            <w:r w:rsidRPr="00C82994">
              <w:rPr>
                <w:sz w:val="20"/>
              </w:rPr>
              <w:t>)</w:t>
            </w:r>
          </w:p>
        </w:tc>
        <w:tc>
          <w:tcPr>
            <w:tcW w:w="992" w:type="dxa"/>
            <w:tcBorders>
              <w:top w:val="nil"/>
              <w:bottom w:val="nil"/>
            </w:tcBorders>
          </w:tcPr>
          <w:p w14:paraId="06968B08" w14:textId="04AB3FB5" w:rsidR="006A79C8" w:rsidRPr="00CB0EA7" w:rsidRDefault="004C62EA" w:rsidP="00E422B4">
            <w:pPr>
              <w:pStyle w:val="TableParagraph"/>
              <w:contextualSpacing/>
              <w:jc w:val="right"/>
              <w:rPr>
                <w:b/>
                <w:sz w:val="20"/>
              </w:rPr>
            </w:pPr>
            <w:r w:rsidRPr="00CB0EA7">
              <w:rPr>
                <w:b/>
                <w:w w:val="95"/>
                <w:sz w:val="20"/>
              </w:rPr>
              <w:t>$</w:t>
            </w:r>
            <w:r w:rsidR="00E422B4" w:rsidRPr="00CB0EA7">
              <w:rPr>
                <w:b/>
                <w:w w:val="95"/>
                <w:sz w:val="20"/>
              </w:rPr>
              <w:t>6,496</w:t>
            </w:r>
          </w:p>
        </w:tc>
      </w:tr>
      <w:tr w:rsidR="006A79C8" w:rsidRPr="00CB0EA7" w14:paraId="444811E3" w14:textId="77777777" w:rsidTr="007172D8">
        <w:trPr>
          <w:trHeight w:val="228"/>
          <w:jc w:val="center"/>
        </w:trPr>
        <w:tc>
          <w:tcPr>
            <w:tcW w:w="3862" w:type="dxa"/>
            <w:tcBorders>
              <w:top w:val="nil"/>
              <w:bottom w:val="nil"/>
            </w:tcBorders>
          </w:tcPr>
          <w:p w14:paraId="06A240D1" w14:textId="7D40E24A" w:rsidR="006A79C8" w:rsidRPr="00CB0EA7" w:rsidRDefault="004C62EA" w:rsidP="00E422B4">
            <w:pPr>
              <w:pStyle w:val="TableParagraph"/>
              <w:contextualSpacing/>
              <w:rPr>
                <w:sz w:val="20"/>
              </w:rPr>
            </w:pPr>
            <w:r w:rsidRPr="00CB0EA7">
              <w:rPr>
                <w:sz w:val="20"/>
              </w:rPr>
              <w:t>Postage (0.</w:t>
            </w:r>
            <w:r w:rsidR="00C32861" w:rsidRPr="00CB0EA7">
              <w:rPr>
                <w:sz w:val="20"/>
              </w:rPr>
              <w:t xml:space="preserve">49 </w:t>
            </w:r>
            <w:r w:rsidRPr="00CB0EA7">
              <w:rPr>
                <w:sz w:val="20"/>
              </w:rPr>
              <w:t xml:space="preserve">x </w:t>
            </w:r>
            <w:r w:rsidR="00E422B4" w:rsidRPr="00C82994">
              <w:rPr>
                <w:sz w:val="20"/>
              </w:rPr>
              <w:t>602</w:t>
            </w:r>
            <w:r w:rsidR="00C00752" w:rsidRPr="00C82994">
              <w:rPr>
                <w:sz w:val="20"/>
              </w:rPr>
              <w:t xml:space="preserve"> </w:t>
            </w:r>
            <w:r w:rsidRPr="00CB0EA7">
              <w:rPr>
                <w:sz w:val="20"/>
              </w:rPr>
              <w:t xml:space="preserve">= </w:t>
            </w:r>
            <w:r w:rsidR="00E422B4" w:rsidRPr="00CB0EA7">
              <w:rPr>
                <w:sz w:val="20"/>
              </w:rPr>
              <w:t>294.98</w:t>
            </w:r>
            <w:r w:rsidRPr="00CB0EA7">
              <w:rPr>
                <w:sz w:val="20"/>
              </w:rPr>
              <w:t>)</w:t>
            </w:r>
          </w:p>
        </w:tc>
        <w:tc>
          <w:tcPr>
            <w:tcW w:w="992" w:type="dxa"/>
            <w:tcBorders>
              <w:top w:val="nil"/>
              <w:bottom w:val="nil"/>
            </w:tcBorders>
          </w:tcPr>
          <w:p w14:paraId="199D5810" w14:textId="77777777" w:rsidR="006A79C8" w:rsidRPr="00CB0EA7" w:rsidRDefault="006A79C8" w:rsidP="004C1B54">
            <w:pPr>
              <w:pStyle w:val="TableParagraph"/>
              <w:contextualSpacing/>
              <w:jc w:val="right"/>
              <w:rPr>
                <w:sz w:val="16"/>
              </w:rPr>
            </w:pPr>
          </w:p>
        </w:tc>
      </w:tr>
      <w:tr w:rsidR="006A79C8" w:rsidRPr="00CB0EA7" w14:paraId="4B77E3AB" w14:textId="77777777" w:rsidTr="007172D8">
        <w:trPr>
          <w:trHeight w:val="228"/>
          <w:jc w:val="center"/>
        </w:trPr>
        <w:tc>
          <w:tcPr>
            <w:tcW w:w="3862" w:type="dxa"/>
            <w:tcBorders>
              <w:top w:val="nil"/>
              <w:bottom w:val="nil"/>
            </w:tcBorders>
          </w:tcPr>
          <w:p w14:paraId="1BE31486" w14:textId="58D81239" w:rsidR="006A79C8" w:rsidRPr="00CB0EA7" w:rsidRDefault="004C62EA" w:rsidP="00C00752">
            <w:pPr>
              <w:pStyle w:val="TableParagraph"/>
              <w:contextualSpacing/>
              <w:rPr>
                <w:sz w:val="20"/>
              </w:rPr>
            </w:pPr>
            <w:r w:rsidRPr="00CB0EA7">
              <w:rPr>
                <w:sz w:val="20"/>
              </w:rPr>
              <w:t xml:space="preserve">Photocopy (0.05 x </w:t>
            </w:r>
            <w:r w:rsidR="00C00752" w:rsidRPr="00CB0EA7">
              <w:rPr>
                <w:sz w:val="20"/>
              </w:rPr>
              <w:t xml:space="preserve">3 </w:t>
            </w:r>
            <w:r w:rsidRPr="00CB0EA7">
              <w:rPr>
                <w:sz w:val="20"/>
              </w:rPr>
              <w:t xml:space="preserve">pp x </w:t>
            </w:r>
            <w:r w:rsidR="00C00752" w:rsidRPr="00CB0EA7">
              <w:rPr>
                <w:sz w:val="20"/>
              </w:rPr>
              <w:t xml:space="preserve">1,204 </w:t>
            </w:r>
            <w:r w:rsidRPr="00CB0EA7">
              <w:rPr>
                <w:sz w:val="20"/>
              </w:rPr>
              <w:t xml:space="preserve">= </w:t>
            </w:r>
            <w:r w:rsidR="00C00752" w:rsidRPr="00CB0EA7">
              <w:rPr>
                <w:sz w:val="20"/>
              </w:rPr>
              <w:t>180.60</w:t>
            </w:r>
            <w:r w:rsidRPr="00CB0EA7">
              <w:rPr>
                <w:sz w:val="20"/>
              </w:rPr>
              <w:t>)</w:t>
            </w:r>
          </w:p>
        </w:tc>
        <w:tc>
          <w:tcPr>
            <w:tcW w:w="992" w:type="dxa"/>
            <w:tcBorders>
              <w:top w:val="nil"/>
              <w:bottom w:val="nil"/>
            </w:tcBorders>
          </w:tcPr>
          <w:p w14:paraId="71971119" w14:textId="77777777" w:rsidR="006A79C8" w:rsidRPr="00CB0EA7" w:rsidRDefault="006A79C8" w:rsidP="00735EE7">
            <w:pPr>
              <w:pStyle w:val="TableParagraph"/>
              <w:contextualSpacing/>
              <w:rPr>
                <w:sz w:val="16"/>
              </w:rPr>
            </w:pPr>
          </w:p>
        </w:tc>
      </w:tr>
      <w:tr w:rsidR="006A79C8" w14:paraId="3100D9B6" w14:textId="77777777" w:rsidTr="007172D8">
        <w:trPr>
          <w:trHeight w:val="231"/>
          <w:jc w:val="center"/>
        </w:trPr>
        <w:tc>
          <w:tcPr>
            <w:tcW w:w="3862" w:type="dxa"/>
            <w:tcBorders>
              <w:top w:val="nil"/>
            </w:tcBorders>
          </w:tcPr>
          <w:p w14:paraId="5165ED10" w14:textId="09B8712B" w:rsidR="006A79C8" w:rsidRDefault="004C62EA" w:rsidP="00C00752">
            <w:pPr>
              <w:pStyle w:val="TableParagraph"/>
              <w:contextualSpacing/>
              <w:rPr>
                <w:sz w:val="20"/>
              </w:rPr>
            </w:pPr>
            <w:r w:rsidRPr="00CB0EA7">
              <w:rPr>
                <w:sz w:val="20"/>
              </w:rPr>
              <w:t xml:space="preserve">Notary ($5 x </w:t>
            </w:r>
            <w:r w:rsidR="00C00752" w:rsidRPr="00CB0EA7">
              <w:rPr>
                <w:sz w:val="20"/>
              </w:rPr>
              <w:t xml:space="preserve">1,204 </w:t>
            </w:r>
            <w:r w:rsidRPr="00CB0EA7">
              <w:rPr>
                <w:sz w:val="20"/>
              </w:rPr>
              <w:t xml:space="preserve">= </w:t>
            </w:r>
            <w:r w:rsidR="00C00752" w:rsidRPr="00CB0EA7">
              <w:rPr>
                <w:sz w:val="20"/>
              </w:rPr>
              <w:t>6,020</w:t>
            </w:r>
            <w:r w:rsidRPr="00CB0EA7">
              <w:rPr>
                <w:sz w:val="20"/>
              </w:rPr>
              <w:t>)</w:t>
            </w:r>
          </w:p>
        </w:tc>
        <w:tc>
          <w:tcPr>
            <w:tcW w:w="992" w:type="dxa"/>
            <w:tcBorders>
              <w:top w:val="nil"/>
            </w:tcBorders>
          </w:tcPr>
          <w:p w14:paraId="4E4465C3" w14:textId="77777777" w:rsidR="006A79C8" w:rsidRDefault="006A79C8" w:rsidP="00735EE7">
            <w:pPr>
              <w:pStyle w:val="TableParagraph"/>
              <w:contextualSpacing/>
              <w:rPr>
                <w:sz w:val="16"/>
              </w:rPr>
            </w:pPr>
          </w:p>
        </w:tc>
      </w:tr>
    </w:tbl>
    <w:p w14:paraId="08ACD5DD" w14:textId="77777777" w:rsidR="006A79C8" w:rsidRDefault="006A79C8" w:rsidP="00735EE7">
      <w:pPr>
        <w:pStyle w:val="BodyText"/>
        <w:contextualSpacing/>
        <w:rPr>
          <w:sz w:val="14"/>
        </w:rPr>
      </w:pPr>
    </w:p>
    <w:p w14:paraId="217CAFE5" w14:textId="77777777" w:rsidR="002C0388" w:rsidRDefault="002C0388" w:rsidP="00DD4578">
      <w:pPr>
        <w:pStyle w:val="Heading1"/>
        <w:tabs>
          <w:tab w:val="left" w:pos="360"/>
        </w:tabs>
        <w:ind w:left="0"/>
        <w:contextualSpacing/>
        <w:rPr>
          <w:u w:val="none"/>
        </w:rPr>
      </w:pPr>
    </w:p>
    <w:p w14:paraId="47749EDC" w14:textId="3D363AFA" w:rsidR="006A79C8" w:rsidRDefault="00DD4578" w:rsidP="006569C9">
      <w:pPr>
        <w:pStyle w:val="Heading1"/>
        <w:keepNext/>
        <w:tabs>
          <w:tab w:val="left" w:pos="360"/>
        </w:tabs>
        <w:ind w:left="0"/>
        <w:contextualSpacing/>
        <w:rPr>
          <w:u w:val="none"/>
        </w:rPr>
      </w:pPr>
      <w:r w:rsidRPr="001A4DAF">
        <w:rPr>
          <w:u w:val="none"/>
        </w:rPr>
        <w:t>g.</w:t>
      </w:r>
      <w:r w:rsidRPr="001A4DAF">
        <w:rPr>
          <w:u w:val="none"/>
        </w:rPr>
        <w:tab/>
      </w:r>
      <w:r w:rsidR="004C6D9B" w:rsidRPr="001A4DAF">
        <w:rPr>
          <w:u w:val="none"/>
        </w:rPr>
        <w:t xml:space="preserve">Application for Temporary </w:t>
      </w:r>
      <w:r w:rsidR="004C62EA" w:rsidRPr="001A4DAF">
        <w:rPr>
          <w:u w:val="none"/>
        </w:rPr>
        <w:t>Military Transfer</w:t>
      </w:r>
      <w:r w:rsidR="004C62EA" w:rsidRPr="001A4DAF">
        <w:rPr>
          <w:spacing w:val="-2"/>
          <w:u w:val="none"/>
        </w:rPr>
        <w:t xml:space="preserve"> </w:t>
      </w:r>
      <w:r w:rsidR="004C6D9B" w:rsidRPr="001A4DAF">
        <w:rPr>
          <w:spacing w:val="-2"/>
          <w:u w:val="none"/>
        </w:rPr>
        <w:t>of IFQ</w:t>
      </w:r>
      <w:r w:rsidR="00916963">
        <w:rPr>
          <w:spacing w:val="-2"/>
          <w:u w:val="none"/>
        </w:rPr>
        <w:t xml:space="preserve"> [</w:t>
      </w:r>
      <w:r w:rsidR="00640549">
        <w:rPr>
          <w:spacing w:val="-2"/>
          <w:u w:val="none"/>
        </w:rPr>
        <w:t>adjusted</w:t>
      </w:r>
      <w:r w:rsidR="00916963">
        <w:rPr>
          <w:spacing w:val="-2"/>
          <w:u w:val="none"/>
        </w:rPr>
        <w:t>]</w:t>
      </w:r>
    </w:p>
    <w:p w14:paraId="5FFF4060" w14:textId="77777777" w:rsidR="006A79C8" w:rsidRDefault="006A79C8" w:rsidP="006569C9">
      <w:pPr>
        <w:pStyle w:val="BodyText"/>
        <w:keepNext/>
        <w:contextualSpacing/>
        <w:rPr>
          <w:b/>
          <w:sz w:val="23"/>
        </w:rPr>
      </w:pPr>
    </w:p>
    <w:p w14:paraId="5E5596A3" w14:textId="21EC35F5" w:rsidR="006A79C8" w:rsidRDefault="004C62EA" w:rsidP="006569C9">
      <w:pPr>
        <w:pStyle w:val="BodyText"/>
        <w:keepNext/>
        <w:contextualSpacing/>
      </w:pPr>
      <w:r>
        <w:t xml:space="preserve">The </w:t>
      </w:r>
      <w:r w:rsidR="006569C9">
        <w:t>Application for Temporary M</w:t>
      </w:r>
      <w:r>
        <w:t xml:space="preserve">ilitary </w:t>
      </w:r>
      <w:r w:rsidR="006569C9">
        <w:t>T</w:t>
      </w:r>
      <w:r>
        <w:t>ransfer</w:t>
      </w:r>
      <w:r w:rsidR="006569C9">
        <w:t xml:space="preserve"> of IFQ</w:t>
      </w:r>
      <w:r>
        <w:t xml:space="preserve"> is for use by members of the National Guard and military reserves who </w:t>
      </w:r>
      <w:r w:rsidR="00F51A56">
        <w:t xml:space="preserve">are unable to participate in the IFQ fishery for which they hold QS </w:t>
      </w:r>
      <w:r w:rsidR="00F51A56" w:rsidRPr="00F51A56">
        <w:t>because of a military mobilization or activation to duty status</w:t>
      </w:r>
      <w:r w:rsidR="00F51A56">
        <w:t xml:space="preserve">. </w:t>
      </w:r>
      <w:r>
        <w:t xml:space="preserve">This transfer of annual halibut and sablefish IFQ to other eligible IFQ recipients allows </w:t>
      </w:r>
      <w:r w:rsidR="00F51A56">
        <w:t xml:space="preserve">these QS holders </w:t>
      </w:r>
      <w:r>
        <w:t>to accrue some economic benefit from their annual IFQ if unable to harvest halibut or sablefish.</w:t>
      </w:r>
    </w:p>
    <w:p w14:paraId="1480DD69" w14:textId="77777777" w:rsidR="006A79C8" w:rsidRDefault="006A79C8" w:rsidP="00735EE7">
      <w:pPr>
        <w:pStyle w:val="BodyText"/>
        <w:contextualSpacing/>
      </w:pPr>
    </w:p>
    <w:p w14:paraId="2EBAB1BA" w14:textId="393F82C1" w:rsidR="006A79C8" w:rsidRDefault="004C62EA" w:rsidP="00735EE7">
      <w:pPr>
        <w:pStyle w:val="BodyText"/>
        <w:contextualSpacing/>
      </w:pPr>
      <w:r>
        <w:t>A QS holder who has received an approved military transfer may transfer the IFQ derived from his or her own QS to an individual eligible to receive IFQ. Any person that received QS/IFQ as an Initial Issuee or that holds a Transfer Eligibility Certificate (TEC) is eligible to receive QS/IFQ by transfer.</w:t>
      </w:r>
    </w:p>
    <w:p w14:paraId="4B410955" w14:textId="77777777" w:rsidR="006A79C8" w:rsidRDefault="006A79C8" w:rsidP="00735EE7">
      <w:pPr>
        <w:pStyle w:val="BodyText"/>
        <w:contextualSpacing/>
      </w:pPr>
    </w:p>
    <w:p w14:paraId="190FD6C6" w14:textId="77777777" w:rsidR="006A79C8" w:rsidRDefault="004C62EA" w:rsidP="00735EE7">
      <w:pPr>
        <w:pStyle w:val="BodyText"/>
        <w:contextualSpacing/>
      </w:pPr>
      <w:r>
        <w:t>To be eligible to receive a temporary military transfer, a QS holder must</w:t>
      </w:r>
      <w:r w:rsidR="00FB0393">
        <w:t>—</w:t>
      </w:r>
    </w:p>
    <w:p w14:paraId="0FAF3C0E" w14:textId="77777777" w:rsidR="006A79C8" w:rsidRDefault="004C62EA" w:rsidP="00DD4578">
      <w:pPr>
        <w:pStyle w:val="BodyText"/>
        <w:numPr>
          <w:ilvl w:val="0"/>
          <w:numId w:val="4"/>
        </w:numPr>
      </w:pPr>
      <w:r>
        <w:t>Be a member of a branch of the U.S. National Guard or other U.S. military</w:t>
      </w:r>
      <w:r>
        <w:rPr>
          <w:spacing w:val="-12"/>
        </w:rPr>
        <w:t xml:space="preserve"> </w:t>
      </w:r>
      <w:r>
        <w:t>reserve.</w:t>
      </w:r>
    </w:p>
    <w:p w14:paraId="509F9B8F" w14:textId="77777777" w:rsidR="006A79C8" w:rsidRDefault="004C62EA" w:rsidP="00DD4578">
      <w:pPr>
        <w:pStyle w:val="BodyText"/>
        <w:numPr>
          <w:ilvl w:val="0"/>
          <w:numId w:val="4"/>
        </w:numPr>
      </w:pPr>
      <w:r>
        <w:t>Possess one or more catcher vessel IFQ</w:t>
      </w:r>
      <w:r>
        <w:rPr>
          <w:spacing w:val="-4"/>
        </w:rPr>
        <w:t xml:space="preserve"> </w:t>
      </w:r>
      <w:r>
        <w:t>permits.</w:t>
      </w:r>
    </w:p>
    <w:p w14:paraId="161F98D0" w14:textId="77777777" w:rsidR="006A79C8" w:rsidRDefault="004C62EA" w:rsidP="00DD4578">
      <w:pPr>
        <w:pStyle w:val="BodyText"/>
        <w:numPr>
          <w:ilvl w:val="0"/>
          <w:numId w:val="4"/>
        </w:numPr>
      </w:pPr>
      <w:r>
        <w:t>Not qualify for a hired master exception under § 679.42(i). Persons who qualify for</w:t>
      </w:r>
      <w:r>
        <w:rPr>
          <w:spacing w:val="-18"/>
        </w:rPr>
        <w:t xml:space="preserve"> </w:t>
      </w:r>
      <w:r>
        <w:t>a hired master exception are ineligible to receive a temporary military</w:t>
      </w:r>
      <w:r>
        <w:rPr>
          <w:spacing w:val="-16"/>
        </w:rPr>
        <w:t xml:space="preserve"> </w:t>
      </w:r>
      <w:r>
        <w:t>transfer.</w:t>
      </w:r>
    </w:p>
    <w:p w14:paraId="55363190" w14:textId="77777777" w:rsidR="006A79C8" w:rsidRDefault="006A79C8" w:rsidP="00735EE7">
      <w:pPr>
        <w:pStyle w:val="BodyText"/>
        <w:contextualSpacing/>
      </w:pPr>
    </w:p>
    <w:p w14:paraId="1B183E87" w14:textId="64596103" w:rsidR="001A30F2" w:rsidRDefault="001A30F2" w:rsidP="00735EE7">
      <w:pPr>
        <w:pStyle w:val="BodyText"/>
        <w:contextualSpacing/>
      </w:pPr>
      <w:r w:rsidRPr="001A30F2">
        <w:t>An application for</w:t>
      </w:r>
      <w:r>
        <w:t xml:space="preserve"> temporary military</w:t>
      </w:r>
      <w:r w:rsidRPr="001A30F2">
        <w:t xml:space="preserve"> transfer may be submitted to NMFS RAM by mail or delivery. Fax submittal is not accepted due to the Notary requirements.</w:t>
      </w:r>
    </w:p>
    <w:p w14:paraId="0C237306" w14:textId="77777777" w:rsidR="006A79C8" w:rsidRDefault="001A30F2" w:rsidP="00735EE7">
      <w:pPr>
        <w:pStyle w:val="BodyText"/>
        <w:contextualSpacing/>
        <w:rPr>
          <w:sz w:val="22"/>
        </w:rPr>
      </w:pPr>
      <w:r>
        <w:rPr>
          <w:sz w:val="22"/>
        </w:rPr>
        <w:t xml:space="preserve"> </w:t>
      </w:r>
    </w:p>
    <w:p w14:paraId="47006693" w14:textId="079D434C" w:rsidR="006A79C8" w:rsidRPr="006A181B" w:rsidRDefault="006A181B" w:rsidP="00735EE7">
      <w:pPr>
        <w:contextualSpacing/>
        <w:rPr>
          <w:sz w:val="24"/>
          <w:szCs w:val="24"/>
        </w:rPr>
      </w:pPr>
      <w:r w:rsidRPr="006A181B">
        <w:rPr>
          <w:sz w:val="24"/>
          <w:szCs w:val="24"/>
        </w:rPr>
        <w:t xml:space="preserve">The following information is collected on the </w:t>
      </w:r>
      <w:r w:rsidR="00EC7398">
        <w:rPr>
          <w:sz w:val="24"/>
          <w:szCs w:val="24"/>
        </w:rPr>
        <w:t xml:space="preserve">Application for Temporary </w:t>
      </w:r>
      <w:r w:rsidR="004C62EA" w:rsidRPr="006A181B">
        <w:rPr>
          <w:sz w:val="24"/>
          <w:szCs w:val="24"/>
        </w:rPr>
        <w:t xml:space="preserve">Military Transfer </w:t>
      </w:r>
      <w:r w:rsidR="00EC7398">
        <w:rPr>
          <w:sz w:val="24"/>
          <w:szCs w:val="24"/>
        </w:rPr>
        <w:t>of IFQ</w:t>
      </w:r>
      <w:r w:rsidRPr="006A181B">
        <w:rPr>
          <w:sz w:val="24"/>
          <w:szCs w:val="24"/>
        </w:rPr>
        <w:t>.</w:t>
      </w:r>
    </w:p>
    <w:p w14:paraId="54F9351E" w14:textId="77777777" w:rsidR="006A181B" w:rsidRPr="006A181B" w:rsidRDefault="006A181B" w:rsidP="00735EE7">
      <w:pPr>
        <w:contextualSpacing/>
        <w:rPr>
          <w:sz w:val="24"/>
          <w:szCs w:val="24"/>
        </w:rPr>
      </w:pPr>
    </w:p>
    <w:p w14:paraId="756BF47C" w14:textId="77777777" w:rsidR="006A79C8" w:rsidRDefault="004C62EA" w:rsidP="00735EE7">
      <w:pPr>
        <w:contextualSpacing/>
        <w:rPr>
          <w:sz w:val="20"/>
        </w:rPr>
      </w:pPr>
      <w:r>
        <w:rPr>
          <w:sz w:val="20"/>
          <w:u w:val="single"/>
        </w:rPr>
        <w:t>Qualifying Questions</w:t>
      </w:r>
    </w:p>
    <w:p w14:paraId="498F2624" w14:textId="77777777" w:rsidR="006A79C8" w:rsidRDefault="004C62EA" w:rsidP="00735EE7">
      <w:pPr>
        <w:contextualSpacing/>
        <w:rPr>
          <w:sz w:val="20"/>
        </w:rPr>
      </w:pPr>
      <w:r>
        <w:rPr>
          <w:sz w:val="20"/>
        </w:rPr>
        <w:t>Indicate if the Transferor (Military) qualifies for a hired master exception</w:t>
      </w:r>
    </w:p>
    <w:p w14:paraId="13B71EE7" w14:textId="77777777" w:rsidR="006A79C8" w:rsidRDefault="004C62EA" w:rsidP="00803B3A">
      <w:pPr>
        <w:ind w:left="360"/>
        <w:contextualSpacing/>
        <w:rPr>
          <w:sz w:val="20"/>
        </w:rPr>
      </w:pPr>
      <w:r>
        <w:rPr>
          <w:b/>
          <w:sz w:val="20"/>
        </w:rPr>
        <w:t>If YES</w:t>
      </w:r>
      <w:r>
        <w:rPr>
          <w:sz w:val="20"/>
        </w:rPr>
        <w:t>, the military transfer application will be denied</w:t>
      </w:r>
    </w:p>
    <w:p w14:paraId="73294600" w14:textId="77777777" w:rsidR="006A79C8" w:rsidRDefault="004C62EA" w:rsidP="00735EE7">
      <w:pPr>
        <w:contextualSpacing/>
        <w:rPr>
          <w:sz w:val="20"/>
        </w:rPr>
      </w:pPr>
      <w:r>
        <w:rPr>
          <w:sz w:val="20"/>
        </w:rPr>
        <w:t>Indicate if the Transferee (Not Military) holds a Transfer Eligibility Certificate (TEC)</w:t>
      </w:r>
    </w:p>
    <w:p w14:paraId="116F7626" w14:textId="77777777" w:rsidR="00DD4578" w:rsidRDefault="004C62EA" w:rsidP="00803B3A">
      <w:pPr>
        <w:ind w:left="360"/>
        <w:contextualSpacing/>
        <w:rPr>
          <w:sz w:val="20"/>
        </w:rPr>
      </w:pPr>
      <w:r>
        <w:rPr>
          <w:b/>
          <w:sz w:val="20"/>
        </w:rPr>
        <w:t>If NO</w:t>
      </w:r>
      <w:r>
        <w:rPr>
          <w:sz w:val="20"/>
        </w:rPr>
        <w:t xml:space="preserve">, the transferee (buyer) must apply for a TEC </w:t>
      </w:r>
    </w:p>
    <w:p w14:paraId="7C1444ED" w14:textId="77777777" w:rsidR="006A79C8" w:rsidRDefault="004C62EA" w:rsidP="00735EE7">
      <w:pPr>
        <w:contextualSpacing/>
        <w:rPr>
          <w:sz w:val="20"/>
        </w:rPr>
      </w:pPr>
      <w:r>
        <w:rPr>
          <w:sz w:val="20"/>
          <w:u w:val="single"/>
        </w:rPr>
        <w:t>Attachments</w:t>
      </w:r>
    </w:p>
    <w:p w14:paraId="30A52FFC" w14:textId="77777777" w:rsidR="00DD4578" w:rsidRDefault="004C62EA" w:rsidP="00735EE7">
      <w:pPr>
        <w:contextualSpacing/>
        <w:rPr>
          <w:sz w:val="20"/>
        </w:rPr>
      </w:pPr>
      <w:r>
        <w:rPr>
          <w:sz w:val="20"/>
        </w:rPr>
        <w:t xml:space="preserve">Use this list to determine necessary attachments </w:t>
      </w:r>
    </w:p>
    <w:p w14:paraId="4C2EA200" w14:textId="77777777" w:rsidR="006A79C8" w:rsidRDefault="004C62EA" w:rsidP="00735EE7">
      <w:pPr>
        <w:contextualSpacing/>
        <w:rPr>
          <w:sz w:val="20"/>
        </w:rPr>
      </w:pPr>
      <w:r>
        <w:rPr>
          <w:sz w:val="20"/>
          <w:u w:val="single"/>
        </w:rPr>
        <w:t xml:space="preserve">Block </w:t>
      </w:r>
      <w:r w:rsidR="00071401">
        <w:rPr>
          <w:sz w:val="20"/>
          <w:u w:val="single"/>
        </w:rPr>
        <w:t xml:space="preserve">A </w:t>
      </w:r>
      <w:r>
        <w:rPr>
          <w:sz w:val="20"/>
          <w:u w:val="single"/>
        </w:rPr>
        <w:t>-- Transferor (Seller) Information</w:t>
      </w:r>
    </w:p>
    <w:p w14:paraId="3409B078" w14:textId="77777777" w:rsidR="00803B3A" w:rsidRDefault="004C62EA" w:rsidP="00735EE7">
      <w:pPr>
        <w:contextualSpacing/>
        <w:rPr>
          <w:sz w:val="20"/>
        </w:rPr>
      </w:pPr>
      <w:r>
        <w:rPr>
          <w:sz w:val="20"/>
        </w:rPr>
        <w:t xml:space="preserve">Full name as it appears on QS Certificate and/or TEC </w:t>
      </w:r>
    </w:p>
    <w:p w14:paraId="72C3B698" w14:textId="77777777" w:rsidR="006A79C8" w:rsidRDefault="004C62EA" w:rsidP="00735EE7">
      <w:pPr>
        <w:contextualSpacing/>
        <w:rPr>
          <w:sz w:val="20"/>
        </w:rPr>
      </w:pPr>
      <w:r>
        <w:rPr>
          <w:sz w:val="20"/>
        </w:rPr>
        <w:t>NMFS Person ID</w:t>
      </w:r>
    </w:p>
    <w:p w14:paraId="5940DE9A" w14:textId="77777777" w:rsidR="006A79C8" w:rsidRDefault="004C62EA" w:rsidP="00735EE7">
      <w:pPr>
        <w:contextualSpacing/>
        <w:rPr>
          <w:sz w:val="20"/>
        </w:rPr>
      </w:pPr>
      <w:r>
        <w:rPr>
          <w:sz w:val="20"/>
        </w:rPr>
        <w:t>Birth date of applicant</w:t>
      </w:r>
    </w:p>
    <w:p w14:paraId="28A89DAD" w14:textId="77777777" w:rsidR="00803B3A" w:rsidRPr="00803B3A" w:rsidRDefault="00803B3A" w:rsidP="00803B3A">
      <w:pPr>
        <w:contextualSpacing/>
        <w:rPr>
          <w:sz w:val="20"/>
        </w:rPr>
      </w:pPr>
      <w:r w:rsidRPr="00803B3A">
        <w:rPr>
          <w:sz w:val="20"/>
        </w:rPr>
        <w:t>Business Mailing Address: Include street or P.O. Box number, city, state, and zip code</w:t>
      </w:r>
    </w:p>
    <w:p w14:paraId="67B5C69E" w14:textId="77777777" w:rsidR="00803B3A" w:rsidRPr="00803B3A" w:rsidRDefault="00803B3A" w:rsidP="00803B3A">
      <w:pPr>
        <w:ind w:left="360"/>
        <w:contextualSpacing/>
        <w:rPr>
          <w:sz w:val="20"/>
        </w:rPr>
      </w:pPr>
      <w:r w:rsidRPr="00803B3A">
        <w:rPr>
          <w:sz w:val="20"/>
        </w:rPr>
        <w:t xml:space="preserve">Indicate whether permanent or temporary.   </w:t>
      </w:r>
    </w:p>
    <w:p w14:paraId="43919442" w14:textId="77777777" w:rsidR="006A79C8" w:rsidRDefault="00803B3A" w:rsidP="00803B3A">
      <w:pPr>
        <w:ind w:left="360"/>
        <w:contextualSpacing/>
        <w:rPr>
          <w:sz w:val="20"/>
        </w:rPr>
      </w:pPr>
      <w:r w:rsidRPr="00803B3A">
        <w:rPr>
          <w:sz w:val="20"/>
        </w:rPr>
        <w:t>Temporary only if you want the transfer documentation sent other than to the permanent address.</w:t>
      </w:r>
    </w:p>
    <w:p w14:paraId="42F1814B" w14:textId="77777777" w:rsidR="006A79C8" w:rsidRDefault="004C62EA" w:rsidP="00735EE7">
      <w:pPr>
        <w:contextualSpacing/>
        <w:rPr>
          <w:sz w:val="20"/>
        </w:rPr>
      </w:pPr>
      <w:r>
        <w:rPr>
          <w:sz w:val="20"/>
        </w:rPr>
        <w:t>Business telephone number, business fax number (include area codes), and business E-mail address (if any)</w:t>
      </w:r>
    </w:p>
    <w:p w14:paraId="45F9E181" w14:textId="77777777" w:rsidR="006A79C8" w:rsidRDefault="004C62EA" w:rsidP="00735EE7">
      <w:pPr>
        <w:contextualSpacing/>
        <w:rPr>
          <w:sz w:val="20"/>
        </w:rPr>
      </w:pPr>
      <w:r>
        <w:rPr>
          <w:sz w:val="20"/>
          <w:u w:val="single"/>
        </w:rPr>
        <w:t xml:space="preserve">Block </w:t>
      </w:r>
      <w:r w:rsidR="00071401">
        <w:rPr>
          <w:sz w:val="20"/>
          <w:u w:val="single"/>
        </w:rPr>
        <w:t xml:space="preserve">B </w:t>
      </w:r>
      <w:r>
        <w:rPr>
          <w:sz w:val="20"/>
          <w:u w:val="single"/>
        </w:rPr>
        <w:t>-- Transferee (Buyer) Information</w:t>
      </w:r>
    </w:p>
    <w:p w14:paraId="1E4CE1BD" w14:textId="77777777" w:rsidR="007768C8" w:rsidRDefault="004C62EA" w:rsidP="00735EE7">
      <w:pPr>
        <w:contextualSpacing/>
        <w:rPr>
          <w:sz w:val="20"/>
        </w:rPr>
      </w:pPr>
      <w:r>
        <w:rPr>
          <w:sz w:val="20"/>
        </w:rPr>
        <w:t xml:space="preserve">Full name as it appears on QS Certificate and/or TEC </w:t>
      </w:r>
    </w:p>
    <w:p w14:paraId="067CDB44" w14:textId="77777777" w:rsidR="006A79C8" w:rsidRDefault="004C62EA" w:rsidP="00735EE7">
      <w:pPr>
        <w:contextualSpacing/>
        <w:rPr>
          <w:sz w:val="20"/>
        </w:rPr>
      </w:pPr>
      <w:r>
        <w:rPr>
          <w:sz w:val="20"/>
        </w:rPr>
        <w:t>NMFS Person ID</w:t>
      </w:r>
    </w:p>
    <w:p w14:paraId="7EF47DBE" w14:textId="77777777" w:rsidR="006A79C8" w:rsidRDefault="004C62EA" w:rsidP="00735EE7">
      <w:pPr>
        <w:contextualSpacing/>
        <w:rPr>
          <w:sz w:val="20"/>
        </w:rPr>
      </w:pPr>
      <w:r>
        <w:rPr>
          <w:sz w:val="20"/>
        </w:rPr>
        <w:t>Birth date of applicant</w:t>
      </w:r>
    </w:p>
    <w:p w14:paraId="0488CB27" w14:textId="77777777" w:rsidR="007768C8" w:rsidRPr="007768C8" w:rsidRDefault="007768C8" w:rsidP="007768C8">
      <w:pPr>
        <w:contextualSpacing/>
        <w:rPr>
          <w:sz w:val="20"/>
        </w:rPr>
      </w:pPr>
      <w:r w:rsidRPr="007768C8">
        <w:rPr>
          <w:sz w:val="20"/>
        </w:rPr>
        <w:t>Business Mailing Address: Include street or P.O. Box number, city, state, and zip code</w:t>
      </w:r>
    </w:p>
    <w:p w14:paraId="0EE644A7" w14:textId="77777777" w:rsidR="007768C8" w:rsidRPr="007768C8" w:rsidRDefault="007768C8" w:rsidP="007768C8">
      <w:pPr>
        <w:ind w:left="360"/>
        <w:contextualSpacing/>
        <w:rPr>
          <w:sz w:val="20"/>
        </w:rPr>
      </w:pPr>
      <w:r w:rsidRPr="007768C8">
        <w:rPr>
          <w:sz w:val="20"/>
        </w:rPr>
        <w:t xml:space="preserve">Indicate whether permanent or temporary.   </w:t>
      </w:r>
    </w:p>
    <w:p w14:paraId="32E477F6" w14:textId="77777777" w:rsidR="006A79C8" w:rsidRDefault="007768C8" w:rsidP="007768C8">
      <w:pPr>
        <w:ind w:left="360"/>
        <w:contextualSpacing/>
        <w:rPr>
          <w:sz w:val="20"/>
        </w:rPr>
      </w:pPr>
      <w:r w:rsidRPr="007768C8">
        <w:rPr>
          <w:sz w:val="20"/>
        </w:rPr>
        <w:t>Temporary only if you want the transfer documentation sent to other than to the permanent address</w:t>
      </w:r>
    </w:p>
    <w:p w14:paraId="01DAE22D" w14:textId="77777777" w:rsidR="00DD4578" w:rsidRDefault="004C62EA" w:rsidP="00735EE7">
      <w:pPr>
        <w:contextualSpacing/>
        <w:rPr>
          <w:sz w:val="20"/>
        </w:rPr>
      </w:pPr>
      <w:r>
        <w:rPr>
          <w:sz w:val="20"/>
        </w:rPr>
        <w:t xml:space="preserve">Business telephone number, business fax number, and business E-mail address (if any) </w:t>
      </w:r>
    </w:p>
    <w:p w14:paraId="4523889A" w14:textId="77777777" w:rsidR="006A79C8" w:rsidRDefault="004C62EA" w:rsidP="00735EE7">
      <w:pPr>
        <w:contextualSpacing/>
        <w:rPr>
          <w:sz w:val="20"/>
        </w:rPr>
      </w:pPr>
      <w:r>
        <w:rPr>
          <w:sz w:val="20"/>
          <w:u w:val="single"/>
        </w:rPr>
        <w:t xml:space="preserve">Block </w:t>
      </w:r>
      <w:r w:rsidR="00071401">
        <w:rPr>
          <w:sz w:val="20"/>
          <w:u w:val="single"/>
        </w:rPr>
        <w:t xml:space="preserve">C </w:t>
      </w:r>
      <w:r>
        <w:rPr>
          <w:sz w:val="20"/>
          <w:u w:val="single"/>
        </w:rPr>
        <w:t>– Identification of IFQ to be Transferred</w:t>
      </w:r>
    </w:p>
    <w:p w14:paraId="7F3C54E2" w14:textId="77777777" w:rsidR="005335B8" w:rsidRDefault="004C62EA" w:rsidP="00735EE7">
      <w:pPr>
        <w:contextualSpacing/>
        <w:rPr>
          <w:sz w:val="20"/>
        </w:rPr>
      </w:pPr>
      <w:r>
        <w:rPr>
          <w:sz w:val="20"/>
        </w:rPr>
        <w:t xml:space="preserve">Indicate whether halibut or Sablefish IFQ </w:t>
      </w:r>
    </w:p>
    <w:p w14:paraId="48916A3F" w14:textId="77777777" w:rsidR="006A79C8" w:rsidRDefault="004C62EA" w:rsidP="00735EE7">
      <w:pPr>
        <w:contextualSpacing/>
        <w:rPr>
          <w:sz w:val="20"/>
        </w:rPr>
      </w:pPr>
      <w:r>
        <w:rPr>
          <w:sz w:val="20"/>
        </w:rPr>
        <w:t>IFQ Regulatory Area</w:t>
      </w:r>
    </w:p>
    <w:p w14:paraId="0DA5CE61" w14:textId="77777777" w:rsidR="006A79C8" w:rsidRDefault="004C62EA" w:rsidP="00735EE7">
      <w:pPr>
        <w:contextualSpacing/>
        <w:rPr>
          <w:sz w:val="20"/>
        </w:rPr>
      </w:pPr>
      <w:r>
        <w:rPr>
          <w:sz w:val="20"/>
        </w:rPr>
        <w:t>Number of Units</w:t>
      </w:r>
    </w:p>
    <w:p w14:paraId="2CEB0A66" w14:textId="77777777" w:rsidR="005335B8" w:rsidRDefault="004C62EA" w:rsidP="00735EE7">
      <w:pPr>
        <w:contextualSpacing/>
        <w:rPr>
          <w:sz w:val="20"/>
        </w:rPr>
      </w:pPr>
      <w:r>
        <w:rPr>
          <w:sz w:val="20"/>
        </w:rPr>
        <w:t xml:space="preserve">Numbered To and From (Serial Numbers are shown on the QS Certificate) </w:t>
      </w:r>
    </w:p>
    <w:p w14:paraId="4FFAB682" w14:textId="77777777" w:rsidR="006A79C8" w:rsidRDefault="004C62EA" w:rsidP="00735EE7">
      <w:pPr>
        <w:contextualSpacing/>
        <w:rPr>
          <w:sz w:val="20"/>
        </w:rPr>
      </w:pPr>
      <w:r>
        <w:rPr>
          <w:sz w:val="20"/>
        </w:rPr>
        <w:t>Actual Number of IFQ Pounds</w:t>
      </w:r>
    </w:p>
    <w:p w14:paraId="60386FB1" w14:textId="77777777" w:rsidR="005335B8" w:rsidRDefault="004C62EA" w:rsidP="00735EE7">
      <w:pPr>
        <w:contextualSpacing/>
        <w:rPr>
          <w:sz w:val="20"/>
        </w:rPr>
      </w:pPr>
      <w:r>
        <w:rPr>
          <w:sz w:val="20"/>
        </w:rPr>
        <w:t xml:space="preserve">Transferor IFQ Permit Number </w:t>
      </w:r>
    </w:p>
    <w:p w14:paraId="7021CAAA" w14:textId="77777777" w:rsidR="006A79C8" w:rsidRDefault="004C62EA" w:rsidP="00735EE7">
      <w:pPr>
        <w:contextualSpacing/>
        <w:rPr>
          <w:sz w:val="20"/>
        </w:rPr>
      </w:pPr>
      <w:r>
        <w:rPr>
          <w:sz w:val="20"/>
        </w:rPr>
        <w:t>Fishing Year</w:t>
      </w:r>
    </w:p>
    <w:p w14:paraId="5B68D524" w14:textId="77777777" w:rsidR="006A79C8" w:rsidRDefault="004C62EA" w:rsidP="00735EE7">
      <w:pPr>
        <w:contextualSpacing/>
        <w:rPr>
          <w:sz w:val="20"/>
        </w:rPr>
      </w:pPr>
      <w:r>
        <w:rPr>
          <w:sz w:val="20"/>
          <w:u w:val="single"/>
        </w:rPr>
        <w:t xml:space="preserve">Block </w:t>
      </w:r>
      <w:r w:rsidR="00071401">
        <w:rPr>
          <w:sz w:val="20"/>
          <w:u w:val="single"/>
        </w:rPr>
        <w:t xml:space="preserve">D </w:t>
      </w:r>
      <w:r>
        <w:rPr>
          <w:sz w:val="20"/>
          <w:u w:val="single"/>
        </w:rPr>
        <w:t>-- Certification Of Transferor</w:t>
      </w:r>
    </w:p>
    <w:p w14:paraId="5FC5A9CE" w14:textId="77777777" w:rsidR="005335B8" w:rsidRDefault="004C62EA" w:rsidP="00735EE7">
      <w:pPr>
        <w:contextualSpacing/>
        <w:rPr>
          <w:sz w:val="20"/>
        </w:rPr>
      </w:pPr>
      <w:r>
        <w:rPr>
          <w:sz w:val="20"/>
        </w:rPr>
        <w:t xml:space="preserve">Printed name and signature of transferor and date signed </w:t>
      </w:r>
    </w:p>
    <w:p w14:paraId="3D103AF9" w14:textId="77777777" w:rsidR="006A79C8" w:rsidRDefault="004C62EA" w:rsidP="005335B8">
      <w:pPr>
        <w:ind w:left="360"/>
        <w:contextualSpacing/>
        <w:rPr>
          <w:sz w:val="20"/>
        </w:rPr>
      </w:pPr>
      <w:r>
        <w:rPr>
          <w:sz w:val="20"/>
        </w:rPr>
        <w:t xml:space="preserve">If completed by a representative, </w:t>
      </w:r>
      <w:r>
        <w:rPr>
          <w:b/>
          <w:sz w:val="20"/>
        </w:rPr>
        <w:t xml:space="preserve">attach </w:t>
      </w:r>
      <w:r>
        <w:rPr>
          <w:sz w:val="20"/>
        </w:rPr>
        <w:t>authorization</w:t>
      </w:r>
    </w:p>
    <w:p w14:paraId="32B334F4" w14:textId="77777777" w:rsidR="005335B8" w:rsidRDefault="004C62EA" w:rsidP="00735EE7">
      <w:pPr>
        <w:contextualSpacing/>
        <w:rPr>
          <w:sz w:val="20"/>
        </w:rPr>
      </w:pPr>
      <w:r>
        <w:rPr>
          <w:sz w:val="20"/>
        </w:rPr>
        <w:t xml:space="preserve">Notary Public Attest, affix Notary Stamp, and provide date commission expires </w:t>
      </w:r>
    </w:p>
    <w:p w14:paraId="20034DF5" w14:textId="77777777" w:rsidR="006A79C8" w:rsidRDefault="004C62EA" w:rsidP="005335B8">
      <w:pPr>
        <w:ind w:left="360"/>
        <w:contextualSpacing/>
        <w:rPr>
          <w:sz w:val="20"/>
        </w:rPr>
      </w:pPr>
      <w:r>
        <w:rPr>
          <w:sz w:val="20"/>
        </w:rPr>
        <w:t>The Notary Public cannot be the person(s) submitting this application.</w:t>
      </w:r>
    </w:p>
    <w:p w14:paraId="39D27743" w14:textId="77777777" w:rsidR="006A79C8" w:rsidRDefault="004C62EA" w:rsidP="00735EE7">
      <w:pPr>
        <w:contextualSpacing/>
        <w:rPr>
          <w:sz w:val="20"/>
        </w:rPr>
      </w:pPr>
      <w:r>
        <w:rPr>
          <w:sz w:val="20"/>
          <w:u w:val="single"/>
        </w:rPr>
        <w:t xml:space="preserve">Block </w:t>
      </w:r>
      <w:r w:rsidR="00071401">
        <w:rPr>
          <w:sz w:val="20"/>
          <w:u w:val="single"/>
        </w:rPr>
        <w:t xml:space="preserve">E </w:t>
      </w:r>
      <w:r>
        <w:rPr>
          <w:sz w:val="20"/>
          <w:u w:val="single"/>
        </w:rPr>
        <w:t>- Certification Of Transferee</w:t>
      </w:r>
    </w:p>
    <w:p w14:paraId="5A361536" w14:textId="77777777" w:rsidR="005335B8" w:rsidRDefault="004C62EA" w:rsidP="00735EE7">
      <w:pPr>
        <w:contextualSpacing/>
        <w:rPr>
          <w:sz w:val="20"/>
        </w:rPr>
      </w:pPr>
      <w:r>
        <w:rPr>
          <w:sz w:val="20"/>
        </w:rPr>
        <w:t xml:space="preserve">Printed name and signature of transferor and date signed </w:t>
      </w:r>
    </w:p>
    <w:p w14:paraId="67D8AA95" w14:textId="77777777" w:rsidR="006A79C8" w:rsidRDefault="004C62EA" w:rsidP="005335B8">
      <w:pPr>
        <w:ind w:left="360"/>
        <w:contextualSpacing/>
        <w:rPr>
          <w:sz w:val="20"/>
        </w:rPr>
      </w:pPr>
      <w:r>
        <w:rPr>
          <w:sz w:val="20"/>
        </w:rPr>
        <w:t xml:space="preserve">If completed by a representative, </w:t>
      </w:r>
      <w:r>
        <w:rPr>
          <w:b/>
          <w:sz w:val="20"/>
        </w:rPr>
        <w:t xml:space="preserve">attach </w:t>
      </w:r>
      <w:r>
        <w:rPr>
          <w:sz w:val="20"/>
        </w:rPr>
        <w:t>authorization</w:t>
      </w:r>
    </w:p>
    <w:p w14:paraId="7E14FA88" w14:textId="77777777" w:rsidR="005335B8" w:rsidRDefault="004C62EA" w:rsidP="00735EE7">
      <w:pPr>
        <w:contextualSpacing/>
        <w:rPr>
          <w:sz w:val="20"/>
        </w:rPr>
      </w:pPr>
      <w:r>
        <w:rPr>
          <w:sz w:val="20"/>
        </w:rPr>
        <w:t xml:space="preserve">Notary Public Attest, affix Notary Stamp, and provide date commission expires </w:t>
      </w:r>
    </w:p>
    <w:p w14:paraId="05DC1C89" w14:textId="77777777" w:rsidR="006A79C8" w:rsidRDefault="004C62EA" w:rsidP="005335B8">
      <w:pPr>
        <w:ind w:left="360"/>
        <w:contextualSpacing/>
        <w:rPr>
          <w:sz w:val="20"/>
        </w:rPr>
      </w:pPr>
      <w:r>
        <w:rPr>
          <w:sz w:val="20"/>
        </w:rPr>
        <w:t>The Notary Public cannot be the person(s) submitting this application.</w:t>
      </w:r>
    </w:p>
    <w:p w14:paraId="683F6140" w14:textId="77777777" w:rsidR="006A79C8" w:rsidRPr="00F760D1" w:rsidRDefault="006A79C8" w:rsidP="00735EE7">
      <w:pPr>
        <w:pStyle w:val="BodyText"/>
        <w:contextualSpacing/>
      </w:pPr>
    </w:p>
    <w:p w14:paraId="6282B7E7" w14:textId="2021F197" w:rsidR="003C4759" w:rsidRDefault="00EF3B50" w:rsidP="00735EE7">
      <w:pPr>
        <w:pStyle w:val="BodyText"/>
        <w:contextualSpacing/>
      </w:pPr>
      <w:r w:rsidRPr="00F760D1">
        <w:t>The transferor</w:t>
      </w:r>
      <w:r>
        <w:t xml:space="preserve"> and</w:t>
      </w:r>
      <w:r w:rsidRPr="00F760D1">
        <w:t xml:space="preserve"> transferee</w:t>
      </w:r>
      <w:r>
        <w:t xml:space="preserve"> </w:t>
      </w:r>
      <w:r w:rsidRPr="00F760D1">
        <w:t xml:space="preserve">are included in the number of respondents, since </w:t>
      </w:r>
      <w:r w:rsidR="00E94ED7">
        <w:t>both</w:t>
      </w:r>
      <w:r w:rsidRPr="00F760D1">
        <w:t xml:space="preserve"> must complete and sign a section of the application; therefore, there are </w:t>
      </w:r>
      <w:r>
        <w:t>two</w:t>
      </w:r>
      <w:r w:rsidRPr="00F760D1">
        <w:t xml:space="preserve"> respondents per response (the transfer application).</w:t>
      </w:r>
    </w:p>
    <w:p w14:paraId="4D624C2C" w14:textId="77777777" w:rsidR="00EF3B50" w:rsidRPr="00F760D1" w:rsidRDefault="00EF3B50"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1"/>
        <w:gridCol w:w="859"/>
      </w:tblGrid>
      <w:tr w:rsidR="006A79C8" w:rsidRPr="00C82994" w14:paraId="6D27679B" w14:textId="77777777" w:rsidTr="007172D8">
        <w:trPr>
          <w:trHeight w:val="229"/>
          <w:jc w:val="center"/>
        </w:trPr>
        <w:tc>
          <w:tcPr>
            <w:tcW w:w="5270" w:type="dxa"/>
            <w:gridSpan w:val="2"/>
          </w:tcPr>
          <w:p w14:paraId="4BD60916" w14:textId="5F194842" w:rsidR="006A79C8" w:rsidRPr="00C82994" w:rsidRDefault="00181897" w:rsidP="00181897">
            <w:pPr>
              <w:pStyle w:val="TableParagraph"/>
              <w:contextualSpacing/>
              <w:rPr>
                <w:b/>
                <w:sz w:val="20"/>
              </w:rPr>
            </w:pPr>
            <w:r w:rsidRPr="00C82994">
              <w:rPr>
                <w:b/>
                <w:sz w:val="20"/>
              </w:rPr>
              <w:t xml:space="preserve">Application for </w:t>
            </w:r>
            <w:r w:rsidR="004C62EA" w:rsidRPr="00C82994">
              <w:rPr>
                <w:b/>
                <w:sz w:val="20"/>
              </w:rPr>
              <w:t xml:space="preserve">Military Transfer </w:t>
            </w:r>
            <w:r w:rsidRPr="00C82994">
              <w:rPr>
                <w:b/>
                <w:sz w:val="20"/>
              </w:rPr>
              <w:t>of IFQ</w:t>
            </w:r>
            <w:r w:rsidR="004C62EA" w:rsidRPr="00C82994">
              <w:rPr>
                <w:b/>
                <w:sz w:val="20"/>
              </w:rPr>
              <w:t>, Respondent</w:t>
            </w:r>
          </w:p>
        </w:tc>
      </w:tr>
      <w:tr w:rsidR="006A79C8" w:rsidRPr="00C82994" w14:paraId="3F2920EA" w14:textId="77777777" w:rsidTr="007172D8">
        <w:trPr>
          <w:trHeight w:val="232"/>
          <w:jc w:val="center"/>
        </w:trPr>
        <w:tc>
          <w:tcPr>
            <w:tcW w:w="4411" w:type="dxa"/>
            <w:tcBorders>
              <w:bottom w:val="nil"/>
            </w:tcBorders>
          </w:tcPr>
          <w:p w14:paraId="13915F2A" w14:textId="77777777" w:rsidR="006A79C8" w:rsidRPr="00C82994" w:rsidRDefault="004C62EA" w:rsidP="00735EE7">
            <w:pPr>
              <w:pStyle w:val="TableParagraph"/>
              <w:contextualSpacing/>
              <w:rPr>
                <w:b/>
                <w:sz w:val="20"/>
              </w:rPr>
            </w:pPr>
            <w:r w:rsidRPr="00C82994">
              <w:rPr>
                <w:b/>
                <w:sz w:val="20"/>
              </w:rPr>
              <w:t>Estimated number of respondents</w:t>
            </w:r>
          </w:p>
          <w:p w14:paraId="1BBEA49D" w14:textId="2E0A727A" w:rsidR="00E91D02" w:rsidRPr="00642A38" w:rsidRDefault="00E91D02" w:rsidP="00520B36">
            <w:pPr>
              <w:pStyle w:val="TableParagraph"/>
              <w:contextualSpacing/>
              <w:rPr>
                <w:sz w:val="20"/>
              </w:rPr>
            </w:pPr>
            <w:r w:rsidRPr="00C82994">
              <w:rPr>
                <w:sz w:val="20"/>
              </w:rPr>
              <w:t>(t</w:t>
            </w:r>
            <w:r w:rsidR="00520B36" w:rsidRPr="00C82994">
              <w:rPr>
                <w:sz w:val="20"/>
              </w:rPr>
              <w:t>ransferor</w:t>
            </w:r>
            <w:r w:rsidRPr="00C82994">
              <w:rPr>
                <w:sz w:val="20"/>
              </w:rPr>
              <w:t xml:space="preserve"> and transfer</w:t>
            </w:r>
            <w:r w:rsidR="00520B36" w:rsidRPr="00C82994">
              <w:rPr>
                <w:sz w:val="20"/>
              </w:rPr>
              <w:t>ee</w:t>
            </w:r>
            <w:r w:rsidRPr="00C82994">
              <w:rPr>
                <w:sz w:val="20"/>
              </w:rPr>
              <w:t>)</w:t>
            </w:r>
          </w:p>
        </w:tc>
        <w:tc>
          <w:tcPr>
            <w:tcW w:w="859" w:type="dxa"/>
            <w:tcBorders>
              <w:bottom w:val="nil"/>
            </w:tcBorders>
          </w:tcPr>
          <w:p w14:paraId="7BBDE5E3" w14:textId="5AF53266" w:rsidR="006A79C8" w:rsidRPr="00C82994" w:rsidRDefault="00C84886" w:rsidP="002F273C">
            <w:pPr>
              <w:pStyle w:val="TableParagraph"/>
              <w:contextualSpacing/>
              <w:jc w:val="right"/>
              <w:rPr>
                <w:b/>
                <w:sz w:val="20"/>
              </w:rPr>
            </w:pPr>
            <w:r w:rsidRPr="00C82994">
              <w:rPr>
                <w:b/>
                <w:w w:val="99"/>
                <w:sz w:val="20"/>
              </w:rPr>
              <w:t>2</w:t>
            </w:r>
          </w:p>
        </w:tc>
      </w:tr>
      <w:tr w:rsidR="006A79C8" w:rsidRPr="00C82994" w14:paraId="4ED3EB8E" w14:textId="77777777" w:rsidTr="007172D8">
        <w:trPr>
          <w:trHeight w:val="228"/>
          <w:jc w:val="center"/>
        </w:trPr>
        <w:tc>
          <w:tcPr>
            <w:tcW w:w="4411" w:type="dxa"/>
            <w:tcBorders>
              <w:top w:val="nil"/>
              <w:bottom w:val="nil"/>
            </w:tcBorders>
          </w:tcPr>
          <w:p w14:paraId="27E076C5" w14:textId="77777777" w:rsidR="006A79C8" w:rsidRPr="00C82994" w:rsidRDefault="004C62EA" w:rsidP="00735EE7">
            <w:pPr>
              <w:pStyle w:val="TableParagraph"/>
              <w:contextualSpacing/>
              <w:rPr>
                <w:b/>
                <w:sz w:val="20"/>
              </w:rPr>
            </w:pPr>
            <w:r w:rsidRPr="00C82994">
              <w:rPr>
                <w:b/>
                <w:sz w:val="20"/>
              </w:rPr>
              <w:t>Total annual responses</w:t>
            </w:r>
          </w:p>
        </w:tc>
        <w:tc>
          <w:tcPr>
            <w:tcW w:w="859" w:type="dxa"/>
            <w:tcBorders>
              <w:top w:val="nil"/>
              <w:bottom w:val="nil"/>
            </w:tcBorders>
          </w:tcPr>
          <w:p w14:paraId="69391B29" w14:textId="77777777" w:rsidR="006A79C8" w:rsidRPr="00C82994" w:rsidRDefault="004C62EA" w:rsidP="002F273C">
            <w:pPr>
              <w:pStyle w:val="TableParagraph"/>
              <w:contextualSpacing/>
              <w:jc w:val="right"/>
              <w:rPr>
                <w:b/>
                <w:sz w:val="20"/>
              </w:rPr>
            </w:pPr>
            <w:r w:rsidRPr="00C82994">
              <w:rPr>
                <w:b/>
                <w:w w:val="99"/>
                <w:sz w:val="20"/>
              </w:rPr>
              <w:t>1</w:t>
            </w:r>
          </w:p>
        </w:tc>
      </w:tr>
      <w:tr w:rsidR="006A79C8" w:rsidRPr="00C82994" w14:paraId="5BA3D0F9" w14:textId="77777777" w:rsidTr="007172D8">
        <w:trPr>
          <w:trHeight w:val="230"/>
          <w:jc w:val="center"/>
        </w:trPr>
        <w:tc>
          <w:tcPr>
            <w:tcW w:w="4411" w:type="dxa"/>
            <w:tcBorders>
              <w:top w:val="nil"/>
              <w:bottom w:val="nil"/>
            </w:tcBorders>
          </w:tcPr>
          <w:p w14:paraId="33008380" w14:textId="77777777" w:rsidR="006A79C8" w:rsidRPr="00C82994" w:rsidRDefault="004C62EA" w:rsidP="00735EE7">
            <w:pPr>
              <w:pStyle w:val="TableParagraph"/>
              <w:contextualSpacing/>
              <w:rPr>
                <w:sz w:val="20"/>
              </w:rPr>
            </w:pPr>
            <w:r w:rsidRPr="00C82994">
              <w:rPr>
                <w:sz w:val="20"/>
              </w:rPr>
              <w:t>Number of responses per year = 1</w:t>
            </w:r>
          </w:p>
        </w:tc>
        <w:tc>
          <w:tcPr>
            <w:tcW w:w="859" w:type="dxa"/>
            <w:tcBorders>
              <w:top w:val="nil"/>
              <w:bottom w:val="nil"/>
            </w:tcBorders>
          </w:tcPr>
          <w:p w14:paraId="35C181F8" w14:textId="77777777" w:rsidR="006A79C8" w:rsidRPr="00C82994" w:rsidRDefault="006A79C8" w:rsidP="002F273C">
            <w:pPr>
              <w:pStyle w:val="TableParagraph"/>
              <w:contextualSpacing/>
              <w:jc w:val="right"/>
              <w:rPr>
                <w:sz w:val="16"/>
              </w:rPr>
            </w:pPr>
          </w:p>
        </w:tc>
      </w:tr>
      <w:tr w:rsidR="006A79C8" w:rsidRPr="00C82994" w14:paraId="02999D15" w14:textId="77777777" w:rsidTr="007172D8">
        <w:trPr>
          <w:trHeight w:val="230"/>
          <w:jc w:val="center"/>
        </w:trPr>
        <w:tc>
          <w:tcPr>
            <w:tcW w:w="4411" w:type="dxa"/>
            <w:tcBorders>
              <w:top w:val="nil"/>
              <w:bottom w:val="nil"/>
            </w:tcBorders>
          </w:tcPr>
          <w:p w14:paraId="3694BE0B" w14:textId="63AC09F7" w:rsidR="006A79C8" w:rsidRPr="00C82994" w:rsidRDefault="004C62EA" w:rsidP="00757DEC">
            <w:pPr>
              <w:pStyle w:val="TableParagraph"/>
              <w:contextualSpacing/>
              <w:rPr>
                <w:b/>
                <w:sz w:val="20"/>
              </w:rPr>
            </w:pPr>
            <w:r w:rsidRPr="00C82994">
              <w:rPr>
                <w:b/>
                <w:sz w:val="20"/>
              </w:rPr>
              <w:t xml:space="preserve">Total </w:t>
            </w:r>
            <w:r w:rsidR="00757DEC" w:rsidRPr="00C82994">
              <w:rPr>
                <w:b/>
                <w:sz w:val="20"/>
              </w:rPr>
              <w:t>t</w:t>
            </w:r>
            <w:r w:rsidRPr="00C82994">
              <w:rPr>
                <w:b/>
                <w:sz w:val="20"/>
              </w:rPr>
              <w:t>ime burden</w:t>
            </w:r>
          </w:p>
        </w:tc>
        <w:tc>
          <w:tcPr>
            <w:tcW w:w="859" w:type="dxa"/>
            <w:tcBorders>
              <w:top w:val="nil"/>
              <w:bottom w:val="nil"/>
            </w:tcBorders>
          </w:tcPr>
          <w:p w14:paraId="034B80D2" w14:textId="77777777" w:rsidR="006A79C8" w:rsidRPr="00C82994" w:rsidRDefault="004C62EA" w:rsidP="002F273C">
            <w:pPr>
              <w:pStyle w:val="TableParagraph"/>
              <w:contextualSpacing/>
              <w:jc w:val="right"/>
              <w:rPr>
                <w:b/>
                <w:sz w:val="20"/>
              </w:rPr>
            </w:pPr>
            <w:r w:rsidRPr="00C82994">
              <w:rPr>
                <w:b/>
                <w:sz w:val="20"/>
              </w:rPr>
              <w:t>2 hr</w:t>
            </w:r>
          </w:p>
        </w:tc>
      </w:tr>
      <w:tr w:rsidR="006A79C8" w:rsidRPr="00C82994" w14:paraId="30EF98FA" w14:textId="77777777" w:rsidTr="007172D8">
        <w:trPr>
          <w:trHeight w:val="226"/>
          <w:jc w:val="center"/>
        </w:trPr>
        <w:tc>
          <w:tcPr>
            <w:tcW w:w="4411" w:type="dxa"/>
            <w:tcBorders>
              <w:top w:val="nil"/>
              <w:bottom w:val="nil"/>
            </w:tcBorders>
          </w:tcPr>
          <w:p w14:paraId="5A2BE939" w14:textId="77777777" w:rsidR="006A79C8" w:rsidRPr="00C82994" w:rsidRDefault="004C62EA" w:rsidP="00735EE7">
            <w:pPr>
              <w:pStyle w:val="TableParagraph"/>
              <w:contextualSpacing/>
              <w:rPr>
                <w:sz w:val="20"/>
              </w:rPr>
            </w:pPr>
            <w:r w:rsidRPr="00C82994">
              <w:rPr>
                <w:sz w:val="20"/>
              </w:rPr>
              <w:t>Time requirement per response = 2 hr</w:t>
            </w:r>
          </w:p>
        </w:tc>
        <w:tc>
          <w:tcPr>
            <w:tcW w:w="859" w:type="dxa"/>
            <w:tcBorders>
              <w:top w:val="nil"/>
              <w:bottom w:val="nil"/>
            </w:tcBorders>
          </w:tcPr>
          <w:p w14:paraId="619F2231" w14:textId="77777777" w:rsidR="006A79C8" w:rsidRPr="00C82994" w:rsidRDefault="006A79C8" w:rsidP="002F273C">
            <w:pPr>
              <w:pStyle w:val="TableParagraph"/>
              <w:contextualSpacing/>
              <w:jc w:val="right"/>
              <w:rPr>
                <w:sz w:val="16"/>
              </w:rPr>
            </w:pPr>
          </w:p>
        </w:tc>
      </w:tr>
      <w:tr w:rsidR="006A79C8" w:rsidRPr="00C82994" w14:paraId="032ED9FA" w14:textId="77777777" w:rsidTr="007172D8">
        <w:trPr>
          <w:trHeight w:val="231"/>
          <w:jc w:val="center"/>
        </w:trPr>
        <w:tc>
          <w:tcPr>
            <w:tcW w:w="4411" w:type="dxa"/>
            <w:tcBorders>
              <w:top w:val="nil"/>
              <w:bottom w:val="nil"/>
            </w:tcBorders>
          </w:tcPr>
          <w:p w14:paraId="72CC8D3A" w14:textId="77777777" w:rsidR="006A79C8" w:rsidRPr="00C82994" w:rsidRDefault="004C62EA" w:rsidP="00735EE7">
            <w:pPr>
              <w:pStyle w:val="TableParagraph"/>
              <w:contextualSpacing/>
              <w:rPr>
                <w:sz w:val="20"/>
              </w:rPr>
            </w:pPr>
            <w:r w:rsidRPr="00C82994">
              <w:rPr>
                <w:b/>
                <w:sz w:val="20"/>
              </w:rPr>
              <w:t xml:space="preserve">Total personnel cost </w:t>
            </w:r>
            <w:r w:rsidRPr="00C82994">
              <w:rPr>
                <w:sz w:val="20"/>
              </w:rPr>
              <w:t>($37/hr x 2)</w:t>
            </w:r>
          </w:p>
        </w:tc>
        <w:tc>
          <w:tcPr>
            <w:tcW w:w="859" w:type="dxa"/>
            <w:tcBorders>
              <w:top w:val="nil"/>
              <w:bottom w:val="nil"/>
            </w:tcBorders>
          </w:tcPr>
          <w:p w14:paraId="2C52E52E" w14:textId="77777777" w:rsidR="006A79C8" w:rsidRPr="00C82994" w:rsidRDefault="004C62EA" w:rsidP="002F273C">
            <w:pPr>
              <w:pStyle w:val="TableParagraph"/>
              <w:contextualSpacing/>
              <w:jc w:val="right"/>
              <w:rPr>
                <w:b/>
                <w:sz w:val="20"/>
              </w:rPr>
            </w:pPr>
            <w:r w:rsidRPr="00C82994">
              <w:rPr>
                <w:b/>
                <w:sz w:val="20"/>
              </w:rPr>
              <w:t>$74</w:t>
            </w:r>
          </w:p>
        </w:tc>
      </w:tr>
      <w:tr w:rsidR="006A79C8" w:rsidRPr="00C82994" w14:paraId="689AEDF5" w14:textId="77777777" w:rsidTr="007172D8">
        <w:trPr>
          <w:trHeight w:val="230"/>
          <w:jc w:val="center"/>
        </w:trPr>
        <w:tc>
          <w:tcPr>
            <w:tcW w:w="4411" w:type="dxa"/>
            <w:tcBorders>
              <w:top w:val="nil"/>
              <w:bottom w:val="nil"/>
            </w:tcBorders>
          </w:tcPr>
          <w:p w14:paraId="376CEB24" w14:textId="648159AB" w:rsidR="006A79C8" w:rsidRPr="00C82994" w:rsidRDefault="004C62EA" w:rsidP="00621777">
            <w:pPr>
              <w:pStyle w:val="TableParagraph"/>
              <w:contextualSpacing/>
              <w:rPr>
                <w:sz w:val="20"/>
              </w:rPr>
            </w:pPr>
            <w:r w:rsidRPr="00C82994">
              <w:rPr>
                <w:b/>
                <w:sz w:val="20"/>
              </w:rPr>
              <w:t xml:space="preserve">Total miscellaneous cost </w:t>
            </w:r>
            <w:r w:rsidRPr="00C82994">
              <w:rPr>
                <w:sz w:val="20"/>
              </w:rPr>
              <w:t>(</w:t>
            </w:r>
            <w:r w:rsidR="00621777" w:rsidRPr="00C82994">
              <w:rPr>
                <w:sz w:val="20"/>
              </w:rPr>
              <w:t>10.79</w:t>
            </w:r>
            <w:r w:rsidRPr="00C82994">
              <w:rPr>
                <w:sz w:val="20"/>
              </w:rPr>
              <w:t>)</w:t>
            </w:r>
          </w:p>
        </w:tc>
        <w:tc>
          <w:tcPr>
            <w:tcW w:w="859" w:type="dxa"/>
            <w:tcBorders>
              <w:top w:val="nil"/>
              <w:bottom w:val="nil"/>
            </w:tcBorders>
          </w:tcPr>
          <w:p w14:paraId="68859B12" w14:textId="0B9B5956" w:rsidR="006A79C8" w:rsidRPr="00C82994" w:rsidRDefault="004C62EA" w:rsidP="00621777">
            <w:pPr>
              <w:pStyle w:val="TableParagraph"/>
              <w:contextualSpacing/>
              <w:jc w:val="right"/>
              <w:rPr>
                <w:b/>
                <w:sz w:val="20"/>
              </w:rPr>
            </w:pPr>
            <w:r w:rsidRPr="00C82994">
              <w:rPr>
                <w:b/>
                <w:sz w:val="20"/>
              </w:rPr>
              <w:t>$</w:t>
            </w:r>
            <w:r w:rsidR="00621777" w:rsidRPr="00C82994">
              <w:rPr>
                <w:b/>
                <w:sz w:val="20"/>
              </w:rPr>
              <w:t>11</w:t>
            </w:r>
          </w:p>
        </w:tc>
      </w:tr>
      <w:tr w:rsidR="006A79C8" w:rsidRPr="00C82994" w14:paraId="6B77FEC7" w14:textId="77777777" w:rsidTr="007172D8">
        <w:trPr>
          <w:trHeight w:val="228"/>
          <w:jc w:val="center"/>
        </w:trPr>
        <w:tc>
          <w:tcPr>
            <w:tcW w:w="4411" w:type="dxa"/>
            <w:tcBorders>
              <w:top w:val="nil"/>
              <w:bottom w:val="nil"/>
            </w:tcBorders>
          </w:tcPr>
          <w:p w14:paraId="1AA7C9D7" w14:textId="0ACE2F13" w:rsidR="006A79C8" w:rsidRPr="00C82994" w:rsidRDefault="004C62EA" w:rsidP="002F273C">
            <w:pPr>
              <w:pStyle w:val="TableParagraph"/>
              <w:contextualSpacing/>
              <w:rPr>
                <w:sz w:val="20"/>
              </w:rPr>
            </w:pPr>
            <w:r w:rsidRPr="00C82994">
              <w:rPr>
                <w:sz w:val="20"/>
              </w:rPr>
              <w:t>Postage 0.</w:t>
            </w:r>
            <w:r w:rsidR="005335B8" w:rsidRPr="00C82994">
              <w:rPr>
                <w:sz w:val="20"/>
              </w:rPr>
              <w:t xml:space="preserve">49 </w:t>
            </w:r>
            <w:r w:rsidRPr="00C82994">
              <w:rPr>
                <w:sz w:val="20"/>
              </w:rPr>
              <w:t>x 1 = 0.</w:t>
            </w:r>
            <w:r w:rsidR="002F273C" w:rsidRPr="00C82994">
              <w:rPr>
                <w:sz w:val="20"/>
              </w:rPr>
              <w:t>49</w:t>
            </w:r>
          </w:p>
        </w:tc>
        <w:tc>
          <w:tcPr>
            <w:tcW w:w="859" w:type="dxa"/>
            <w:tcBorders>
              <w:top w:val="nil"/>
              <w:bottom w:val="nil"/>
            </w:tcBorders>
          </w:tcPr>
          <w:p w14:paraId="31F6FDEB" w14:textId="77777777" w:rsidR="006A79C8" w:rsidRPr="00C82994" w:rsidRDefault="006A79C8" w:rsidP="00735EE7">
            <w:pPr>
              <w:pStyle w:val="TableParagraph"/>
              <w:contextualSpacing/>
              <w:rPr>
                <w:sz w:val="16"/>
              </w:rPr>
            </w:pPr>
          </w:p>
        </w:tc>
      </w:tr>
      <w:tr w:rsidR="006A79C8" w:rsidRPr="00C82994" w14:paraId="36B34AF8" w14:textId="77777777" w:rsidTr="007172D8">
        <w:trPr>
          <w:trHeight w:val="230"/>
          <w:jc w:val="center"/>
        </w:trPr>
        <w:tc>
          <w:tcPr>
            <w:tcW w:w="4411" w:type="dxa"/>
            <w:tcBorders>
              <w:top w:val="nil"/>
              <w:bottom w:val="nil"/>
            </w:tcBorders>
          </w:tcPr>
          <w:p w14:paraId="75761366" w14:textId="7D5725AF" w:rsidR="006A79C8" w:rsidRPr="00C82994" w:rsidRDefault="004C62EA" w:rsidP="00621777">
            <w:pPr>
              <w:pStyle w:val="TableParagraph"/>
              <w:contextualSpacing/>
              <w:rPr>
                <w:sz w:val="20"/>
              </w:rPr>
            </w:pPr>
            <w:r w:rsidRPr="00C82994">
              <w:rPr>
                <w:sz w:val="20"/>
              </w:rPr>
              <w:t xml:space="preserve">Photocopy (0.05 x </w:t>
            </w:r>
            <w:r w:rsidR="002F273C" w:rsidRPr="00C82994">
              <w:rPr>
                <w:sz w:val="20"/>
              </w:rPr>
              <w:t xml:space="preserve">3pp </w:t>
            </w:r>
            <w:r w:rsidRPr="00C82994">
              <w:rPr>
                <w:sz w:val="20"/>
              </w:rPr>
              <w:t xml:space="preserve">x </w:t>
            </w:r>
            <w:r w:rsidR="00621777" w:rsidRPr="00C82994">
              <w:rPr>
                <w:sz w:val="20"/>
              </w:rPr>
              <w:t xml:space="preserve">2 </w:t>
            </w:r>
            <w:r w:rsidRPr="00C82994">
              <w:rPr>
                <w:sz w:val="20"/>
              </w:rPr>
              <w:t>= 0.</w:t>
            </w:r>
            <w:r w:rsidR="00621777" w:rsidRPr="00C82994">
              <w:rPr>
                <w:sz w:val="20"/>
              </w:rPr>
              <w:t>30</w:t>
            </w:r>
            <w:r w:rsidR="00D565F6" w:rsidRPr="00C82994">
              <w:rPr>
                <w:sz w:val="20"/>
              </w:rPr>
              <w:t>)</w:t>
            </w:r>
          </w:p>
        </w:tc>
        <w:tc>
          <w:tcPr>
            <w:tcW w:w="859" w:type="dxa"/>
            <w:tcBorders>
              <w:top w:val="nil"/>
              <w:bottom w:val="nil"/>
            </w:tcBorders>
          </w:tcPr>
          <w:p w14:paraId="4DD31AAD" w14:textId="77777777" w:rsidR="006A79C8" w:rsidRPr="00C82994" w:rsidRDefault="006A79C8" w:rsidP="00735EE7">
            <w:pPr>
              <w:pStyle w:val="TableParagraph"/>
              <w:contextualSpacing/>
              <w:rPr>
                <w:sz w:val="16"/>
              </w:rPr>
            </w:pPr>
          </w:p>
        </w:tc>
      </w:tr>
      <w:tr w:rsidR="006A79C8" w14:paraId="09C34884" w14:textId="77777777" w:rsidTr="007172D8">
        <w:trPr>
          <w:trHeight w:val="232"/>
          <w:jc w:val="center"/>
        </w:trPr>
        <w:tc>
          <w:tcPr>
            <w:tcW w:w="4411" w:type="dxa"/>
            <w:tcBorders>
              <w:top w:val="nil"/>
            </w:tcBorders>
          </w:tcPr>
          <w:p w14:paraId="174FEA0E" w14:textId="22E2E565" w:rsidR="006A79C8" w:rsidRPr="00C82994" w:rsidRDefault="004C62EA" w:rsidP="00621777">
            <w:pPr>
              <w:pStyle w:val="TableParagraph"/>
              <w:contextualSpacing/>
              <w:rPr>
                <w:sz w:val="20"/>
              </w:rPr>
            </w:pPr>
            <w:r w:rsidRPr="00C82994">
              <w:rPr>
                <w:sz w:val="20"/>
              </w:rPr>
              <w:t xml:space="preserve">Notary ($5 x </w:t>
            </w:r>
            <w:r w:rsidR="00621777" w:rsidRPr="00C82994">
              <w:rPr>
                <w:sz w:val="20"/>
              </w:rPr>
              <w:t xml:space="preserve">2 </w:t>
            </w:r>
            <w:r w:rsidRPr="00C82994">
              <w:rPr>
                <w:sz w:val="20"/>
              </w:rPr>
              <w:t xml:space="preserve">= </w:t>
            </w:r>
            <w:r w:rsidR="00621777" w:rsidRPr="00C82994">
              <w:rPr>
                <w:sz w:val="20"/>
              </w:rPr>
              <w:t>10</w:t>
            </w:r>
            <w:r w:rsidRPr="00C82994">
              <w:rPr>
                <w:sz w:val="20"/>
              </w:rPr>
              <w:t>)</w:t>
            </w:r>
          </w:p>
        </w:tc>
        <w:tc>
          <w:tcPr>
            <w:tcW w:w="859" w:type="dxa"/>
            <w:tcBorders>
              <w:top w:val="nil"/>
            </w:tcBorders>
          </w:tcPr>
          <w:p w14:paraId="6FD2EC61" w14:textId="77777777" w:rsidR="006A79C8" w:rsidRDefault="006A79C8" w:rsidP="00735EE7">
            <w:pPr>
              <w:pStyle w:val="TableParagraph"/>
              <w:contextualSpacing/>
              <w:rPr>
                <w:sz w:val="16"/>
              </w:rPr>
            </w:pPr>
          </w:p>
        </w:tc>
      </w:tr>
    </w:tbl>
    <w:p w14:paraId="23C1AC6C" w14:textId="77777777" w:rsidR="006A79C8" w:rsidRDefault="006A79C8" w:rsidP="00735EE7">
      <w:pPr>
        <w:pStyle w:val="BodyText"/>
        <w:contextualSpacing/>
      </w:pPr>
    </w:p>
    <w:p w14:paraId="338C7785" w14:textId="77777777" w:rsidR="001860DF" w:rsidRPr="00C82994" w:rsidRDefault="001860DF" w:rsidP="00DD4578">
      <w:pPr>
        <w:pStyle w:val="Heading1"/>
        <w:tabs>
          <w:tab w:val="left" w:pos="360"/>
        </w:tabs>
        <w:ind w:left="0"/>
        <w:contextualSpacing/>
        <w:rPr>
          <w:u w:val="none"/>
        </w:rPr>
      </w:pPr>
    </w:p>
    <w:p w14:paraId="2ED1FB11" w14:textId="2B915165" w:rsidR="006A79C8" w:rsidRDefault="00DD4578" w:rsidP="00DD4578">
      <w:pPr>
        <w:pStyle w:val="Heading1"/>
        <w:tabs>
          <w:tab w:val="left" w:pos="360"/>
        </w:tabs>
        <w:ind w:left="0"/>
        <w:contextualSpacing/>
        <w:rPr>
          <w:u w:val="none"/>
        </w:rPr>
      </w:pPr>
      <w:r w:rsidRPr="00123FED">
        <w:rPr>
          <w:u w:val="none"/>
        </w:rPr>
        <w:t>h.</w:t>
      </w:r>
      <w:r w:rsidRPr="00123FED">
        <w:rPr>
          <w:u w:val="none"/>
        </w:rPr>
        <w:tab/>
      </w:r>
      <w:r w:rsidR="001860DF" w:rsidRPr="00123FED">
        <w:rPr>
          <w:u w:val="none"/>
        </w:rPr>
        <w:t xml:space="preserve">Application for </w:t>
      </w:r>
      <w:r w:rsidR="004C62EA" w:rsidRPr="00123FED">
        <w:rPr>
          <w:u w:val="none"/>
        </w:rPr>
        <w:t>Medical Transfer</w:t>
      </w:r>
      <w:r w:rsidR="004C3EA2">
        <w:rPr>
          <w:u w:val="none"/>
        </w:rPr>
        <w:t xml:space="preserve"> of IFQ</w:t>
      </w:r>
      <w:r w:rsidR="001860DF">
        <w:rPr>
          <w:u w:val="none"/>
        </w:rPr>
        <w:t xml:space="preserve"> </w:t>
      </w:r>
      <w:r w:rsidR="001860DF" w:rsidRPr="00F672CB">
        <w:rPr>
          <w:u w:val="none"/>
        </w:rPr>
        <w:t>[</w:t>
      </w:r>
      <w:r w:rsidR="00F672CB" w:rsidRPr="00F672CB">
        <w:rPr>
          <w:u w:val="none"/>
        </w:rPr>
        <w:t xml:space="preserve">previously </w:t>
      </w:r>
      <w:r w:rsidR="00205207">
        <w:rPr>
          <w:u w:val="none"/>
        </w:rPr>
        <w:t xml:space="preserve">called </w:t>
      </w:r>
      <w:r w:rsidR="00F672CB" w:rsidRPr="00F672CB">
        <w:rPr>
          <w:u w:val="none"/>
        </w:rPr>
        <w:t>Application for Emergency Medical Transfer of IFQ</w:t>
      </w:r>
      <w:r w:rsidR="00F672CB">
        <w:rPr>
          <w:u w:val="none"/>
        </w:rPr>
        <w:t>;</w:t>
      </w:r>
      <w:r w:rsidR="00F672CB" w:rsidRPr="00F672CB">
        <w:rPr>
          <w:u w:val="none"/>
        </w:rPr>
        <w:t xml:space="preserve"> </w:t>
      </w:r>
      <w:r w:rsidR="004C7FEC" w:rsidRPr="00205207">
        <w:rPr>
          <w:u w:val="none"/>
        </w:rPr>
        <w:t>adjusted</w:t>
      </w:r>
      <w:r w:rsidR="001860DF" w:rsidRPr="00205207">
        <w:rPr>
          <w:u w:val="none"/>
        </w:rPr>
        <w:t>]</w:t>
      </w:r>
    </w:p>
    <w:p w14:paraId="4899752C" w14:textId="77777777" w:rsidR="006A79C8" w:rsidRDefault="006A79C8" w:rsidP="00735EE7">
      <w:pPr>
        <w:pStyle w:val="BodyText"/>
        <w:contextualSpacing/>
        <w:rPr>
          <w:b/>
          <w:sz w:val="23"/>
        </w:rPr>
      </w:pPr>
    </w:p>
    <w:p w14:paraId="4230E317" w14:textId="77777777" w:rsidR="0024108E" w:rsidRDefault="004C62EA" w:rsidP="00735EE7">
      <w:pPr>
        <w:pStyle w:val="BodyText"/>
        <w:contextualSpacing/>
      </w:pPr>
      <w:r>
        <w:t xml:space="preserve">QS holders not eligible to hire a </w:t>
      </w:r>
      <w:r w:rsidR="001860DF">
        <w:t xml:space="preserve">skipper </w:t>
      </w:r>
      <w:r>
        <w:t>and who (themselves or an immediate family member) have a medical condition preventing them from fishing their catcher vessel IFQ may lease out the IFQ. This provision is intended to allow IFQ to be fished while the QS holder has a short-term medical condition. For this reason, a written declaration from a medical professional is required</w:t>
      </w:r>
      <w:r w:rsidRPr="0024108E">
        <w:t>, and the number of times a person may use a medical transfer for the same medical condition is limited.</w:t>
      </w:r>
      <w:r>
        <w:t xml:space="preserve"> </w:t>
      </w:r>
      <w:r w:rsidR="0024108E" w:rsidRPr="0024108E">
        <w:t>NMFS will not approve a medical transfer if the applicant has received a medical transfer in any 2 of the previous 5 years for the same medical condition.</w:t>
      </w:r>
    </w:p>
    <w:p w14:paraId="6884B57B" w14:textId="77777777" w:rsidR="0024108E" w:rsidRDefault="0024108E" w:rsidP="00735EE7">
      <w:pPr>
        <w:pStyle w:val="BodyText"/>
        <w:contextualSpacing/>
      </w:pPr>
      <w:r w:rsidRPr="0024108E">
        <w:t xml:space="preserve"> </w:t>
      </w:r>
    </w:p>
    <w:p w14:paraId="46331E81" w14:textId="77777777" w:rsidR="0024108E" w:rsidRDefault="0024108E" w:rsidP="00735EE7">
      <w:pPr>
        <w:pStyle w:val="BodyText"/>
        <w:contextualSpacing/>
      </w:pPr>
      <w:r w:rsidRPr="0024108E">
        <w:t>A medical transfer is valid on</w:t>
      </w:r>
      <w:r w:rsidR="00A234EC">
        <w:t>ly during the calendar year of the transfer</w:t>
      </w:r>
      <w:r w:rsidRPr="0024108E">
        <w:t>.</w:t>
      </w:r>
    </w:p>
    <w:p w14:paraId="32260724" w14:textId="77777777" w:rsidR="00C15AB2" w:rsidRDefault="00C15AB2" w:rsidP="00735EE7">
      <w:pPr>
        <w:pStyle w:val="BodyText"/>
        <w:contextualSpacing/>
      </w:pPr>
    </w:p>
    <w:p w14:paraId="77ECC678" w14:textId="1B791D1B" w:rsidR="006A79C8" w:rsidRDefault="004C62EA" w:rsidP="00735EE7">
      <w:pPr>
        <w:pStyle w:val="BodyText"/>
        <w:contextualSpacing/>
      </w:pPr>
      <w:r>
        <w:t>The requirement for an individual IFQ permit holder to be aboard the vessel during fishing operations and to sign the IFQ landing report may be waived. A medical transfer may be approved if the applicant demonstrates that he or she is unable to participate in the IFQ fishery for which he or she holds IFQ</w:t>
      </w:r>
      <w:r w:rsidR="006A5BAB">
        <w:t>—</w:t>
      </w:r>
    </w:p>
    <w:p w14:paraId="5186D3FE" w14:textId="77777777" w:rsidR="006A79C8" w:rsidRDefault="001860DF" w:rsidP="00DD4578">
      <w:pPr>
        <w:pStyle w:val="BodyText"/>
        <w:numPr>
          <w:ilvl w:val="0"/>
          <w:numId w:val="5"/>
        </w:numPr>
      </w:pPr>
      <w:r>
        <w:t>b</w:t>
      </w:r>
      <w:r w:rsidR="004C62EA">
        <w:t>ecause of a severe medical condition that precludes participation;</w:t>
      </w:r>
      <w:r w:rsidR="004C62EA">
        <w:rPr>
          <w:spacing w:val="-5"/>
        </w:rPr>
        <w:t xml:space="preserve"> </w:t>
      </w:r>
      <w:r w:rsidR="004C62EA">
        <w:t>or</w:t>
      </w:r>
    </w:p>
    <w:p w14:paraId="3C7F8E6A" w14:textId="77777777" w:rsidR="006A79C8" w:rsidRDefault="001860DF" w:rsidP="00DD4578">
      <w:pPr>
        <w:pStyle w:val="BodyText"/>
        <w:numPr>
          <w:ilvl w:val="0"/>
          <w:numId w:val="5"/>
        </w:numPr>
      </w:pPr>
      <w:r>
        <w:t>b</w:t>
      </w:r>
      <w:r w:rsidR="004C62EA">
        <w:t>ecause of a severe medical condition involving an immediate family member</w:t>
      </w:r>
      <w:r w:rsidR="004C62EA">
        <w:rPr>
          <w:spacing w:val="-23"/>
        </w:rPr>
        <w:t xml:space="preserve"> </w:t>
      </w:r>
      <w:r w:rsidR="004C62EA">
        <w:t xml:space="preserve">that requires the </w:t>
      </w:r>
      <w:r w:rsidR="004C62EA">
        <w:rPr>
          <w:spacing w:val="-2"/>
        </w:rPr>
        <w:t xml:space="preserve">IFQ </w:t>
      </w:r>
      <w:r w:rsidR="004C62EA">
        <w:t>holder’s full time</w:t>
      </w:r>
      <w:r w:rsidR="004C62EA">
        <w:rPr>
          <w:spacing w:val="2"/>
        </w:rPr>
        <w:t xml:space="preserve"> </w:t>
      </w:r>
      <w:r w:rsidR="004C62EA">
        <w:t>attendance.</w:t>
      </w:r>
    </w:p>
    <w:p w14:paraId="04875BDE" w14:textId="77777777" w:rsidR="006A79C8" w:rsidRDefault="006A79C8" w:rsidP="00735EE7">
      <w:pPr>
        <w:pStyle w:val="BodyText"/>
        <w:contextualSpacing/>
      </w:pPr>
    </w:p>
    <w:p w14:paraId="535E2917" w14:textId="1414F91F" w:rsidR="006A79C8" w:rsidRDefault="004C62EA" w:rsidP="00147C39">
      <w:pPr>
        <w:pStyle w:val="BodyText"/>
        <w:contextualSpacing/>
      </w:pPr>
      <w:r>
        <w:t>To be eligible to receive an emergency medical transfer, an individual</w:t>
      </w:r>
      <w:r w:rsidR="006A5BAB">
        <w:t xml:space="preserve"> hali</w:t>
      </w:r>
      <w:r w:rsidR="00147C39">
        <w:t xml:space="preserve">but or sablefish QS holder must </w:t>
      </w:r>
      <w:r>
        <w:t>possess one or more catcher vessel IFQ</w:t>
      </w:r>
      <w:r>
        <w:rPr>
          <w:spacing w:val="-4"/>
        </w:rPr>
        <w:t xml:space="preserve"> </w:t>
      </w:r>
      <w:r w:rsidR="00147C39">
        <w:t xml:space="preserve">permits and </w:t>
      </w:r>
      <w:r>
        <w:t>not qualify for a hired master</w:t>
      </w:r>
      <w:r>
        <w:rPr>
          <w:spacing w:val="-7"/>
        </w:rPr>
        <w:t xml:space="preserve"> </w:t>
      </w:r>
      <w:r>
        <w:t>exception.</w:t>
      </w:r>
    </w:p>
    <w:p w14:paraId="5E5B3038" w14:textId="77777777" w:rsidR="006A79C8" w:rsidRDefault="006A79C8" w:rsidP="00735EE7">
      <w:pPr>
        <w:pStyle w:val="BodyText"/>
        <w:contextualSpacing/>
      </w:pPr>
    </w:p>
    <w:p w14:paraId="6B55BE84" w14:textId="5A901943" w:rsidR="006A79C8" w:rsidRDefault="00147C39" w:rsidP="00735EE7">
      <w:pPr>
        <w:pStyle w:val="BodyText"/>
        <w:contextualSpacing/>
      </w:pPr>
      <w:r>
        <w:t>A</w:t>
      </w:r>
      <w:r w:rsidR="004C62EA">
        <w:t xml:space="preserve"> substantial percentage of persons who have used medical transfers are initial issuees of QS not otherwise eligible to use a </w:t>
      </w:r>
      <w:r w:rsidR="009F61A1">
        <w:t>h</w:t>
      </w:r>
      <w:r w:rsidR="004C62EA">
        <w:t xml:space="preserve">ired </w:t>
      </w:r>
      <w:r w:rsidR="009F61A1">
        <w:t>m</w:t>
      </w:r>
      <w:r w:rsidR="004C62EA">
        <w:t xml:space="preserve">aster (that is, those who held QS only in </w:t>
      </w:r>
      <w:r w:rsidR="001860DF">
        <w:t xml:space="preserve">IPHC Area </w:t>
      </w:r>
      <w:r w:rsidR="004C62EA">
        <w:t>2C</w:t>
      </w:r>
      <w:r>
        <w:t xml:space="preserve"> [Southeast Alaska]</w:t>
      </w:r>
      <w:r w:rsidR="004C62EA">
        <w:t xml:space="preserve"> or did not own a suitable vessel).</w:t>
      </w:r>
    </w:p>
    <w:p w14:paraId="537AB68D" w14:textId="77777777" w:rsidR="001860DF" w:rsidRDefault="001860DF" w:rsidP="00735EE7">
      <w:pPr>
        <w:pStyle w:val="BodyText"/>
        <w:contextualSpacing/>
      </w:pPr>
    </w:p>
    <w:p w14:paraId="25BA2EF1" w14:textId="77777777" w:rsidR="006A79C8" w:rsidRDefault="006558A7" w:rsidP="00735EE7">
      <w:pPr>
        <w:pStyle w:val="BodyText"/>
        <w:contextualSpacing/>
      </w:pPr>
      <w:r>
        <w:t>The application is available on the NMFS Alaska Region website or by calling NMFS</w:t>
      </w:r>
      <w:r w:rsidRPr="006558A7">
        <w:t xml:space="preserve"> </w:t>
      </w:r>
      <w:r>
        <w:t xml:space="preserve">RAM. </w:t>
      </w:r>
      <w:r w:rsidR="004C62EA">
        <w:t xml:space="preserve">The original application must be </w:t>
      </w:r>
      <w:r>
        <w:t>mailed or delivered to RAM</w:t>
      </w:r>
      <w:r w:rsidR="004C62EA">
        <w:t>; an application by fax will not be processed.</w:t>
      </w:r>
    </w:p>
    <w:p w14:paraId="72A7A6B8" w14:textId="77777777" w:rsidR="006A79C8" w:rsidRDefault="006A79C8" w:rsidP="00735EE7">
      <w:pPr>
        <w:pStyle w:val="BodyText"/>
        <w:contextualSpacing/>
      </w:pPr>
    </w:p>
    <w:p w14:paraId="24B3D283" w14:textId="3FB58BD3" w:rsidR="006A79C8" w:rsidRPr="00C97454" w:rsidRDefault="00C97454" w:rsidP="00735EE7">
      <w:pPr>
        <w:contextualSpacing/>
        <w:rPr>
          <w:sz w:val="24"/>
          <w:szCs w:val="24"/>
        </w:rPr>
      </w:pPr>
      <w:r w:rsidRPr="00C97454">
        <w:rPr>
          <w:sz w:val="24"/>
          <w:szCs w:val="24"/>
        </w:rPr>
        <w:t xml:space="preserve">The following information is collected on the </w:t>
      </w:r>
      <w:r w:rsidR="004C3EA2" w:rsidRPr="00C97454">
        <w:rPr>
          <w:sz w:val="24"/>
          <w:szCs w:val="24"/>
        </w:rPr>
        <w:t xml:space="preserve">Application for </w:t>
      </w:r>
      <w:r w:rsidR="004C62EA" w:rsidRPr="00C97454">
        <w:rPr>
          <w:sz w:val="24"/>
          <w:szCs w:val="24"/>
        </w:rPr>
        <w:t xml:space="preserve">Medical Transfer </w:t>
      </w:r>
      <w:r w:rsidR="004C3EA2" w:rsidRPr="00C97454">
        <w:rPr>
          <w:sz w:val="24"/>
          <w:szCs w:val="24"/>
        </w:rPr>
        <w:t>of IFQ</w:t>
      </w:r>
      <w:r w:rsidRPr="00C97454">
        <w:rPr>
          <w:sz w:val="24"/>
          <w:szCs w:val="24"/>
        </w:rPr>
        <w:t>.</w:t>
      </w:r>
    </w:p>
    <w:p w14:paraId="219FB433" w14:textId="77777777" w:rsidR="00A334B7" w:rsidRPr="00C97454" w:rsidRDefault="00A334B7" w:rsidP="00735EE7">
      <w:pPr>
        <w:contextualSpacing/>
        <w:rPr>
          <w:sz w:val="24"/>
          <w:szCs w:val="24"/>
          <w:u w:val="single"/>
        </w:rPr>
      </w:pPr>
    </w:p>
    <w:p w14:paraId="06D0BC62" w14:textId="77777777" w:rsidR="006A79C8" w:rsidRDefault="004C62EA" w:rsidP="00735EE7">
      <w:pPr>
        <w:contextualSpacing/>
        <w:rPr>
          <w:sz w:val="20"/>
        </w:rPr>
      </w:pPr>
      <w:r>
        <w:rPr>
          <w:sz w:val="20"/>
        </w:rPr>
        <w:t>Indicate if the Transferor (</w:t>
      </w:r>
      <w:r w:rsidR="00A334B7">
        <w:rPr>
          <w:sz w:val="20"/>
        </w:rPr>
        <w:t>m</w:t>
      </w:r>
      <w:r>
        <w:rPr>
          <w:sz w:val="20"/>
        </w:rPr>
        <w:t>edical condition) qualifies for a hired master exception</w:t>
      </w:r>
    </w:p>
    <w:p w14:paraId="10D7A364" w14:textId="77777777" w:rsidR="00A334B7" w:rsidRDefault="004C62EA" w:rsidP="00A334B7">
      <w:pPr>
        <w:ind w:left="360"/>
        <w:contextualSpacing/>
        <w:rPr>
          <w:sz w:val="20"/>
        </w:rPr>
      </w:pPr>
      <w:r>
        <w:rPr>
          <w:b/>
          <w:sz w:val="20"/>
        </w:rPr>
        <w:t>If YES</w:t>
      </w:r>
      <w:r>
        <w:rPr>
          <w:sz w:val="20"/>
        </w:rPr>
        <w:t>, the medical transfer application will be denied</w:t>
      </w:r>
      <w:r w:rsidR="00A334B7">
        <w:rPr>
          <w:sz w:val="20"/>
        </w:rPr>
        <w:t>.</w:t>
      </w:r>
      <w:r>
        <w:rPr>
          <w:sz w:val="20"/>
        </w:rPr>
        <w:t xml:space="preserve"> </w:t>
      </w:r>
    </w:p>
    <w:p w14:paraId="3BA3F81D" w14:textId="77777777" w:rsidR="006A79C8" w:rsidRDefault="004C62EA" w:rsidP="00A334B7">
      <w:pPr>
        <w:contextualSpacing/>
        <w:rPr>
          <w:sz w:val="20"/>
        </w:rPr>
      </w:pPr>
      <w:r>
        <w:rPr>
          <w:sz w:val="20"/>
        </w:rPr>
        <w:t>Indicate if the Transferee (</w:t>
      </w:r>
      <w:r w:rsidR="00A334B7">
        <w:rPr>
          <w:sz w:val="20"/>
        </w:rPr>
        <w:t>n</w:t>
      </w:r>
      <w:r>
        <w:rPr>
          <w:sz w:val="20"/>
        </w:rPr>
        <w:t xml:space="preserve">o </w:t>
      </w:r>
      <w:r w:rsidR="00A334B7">
        <w:rPr>
          <w:sz w:val="20"/>
        </w:rPr>
        <w:t>m</w:t>
      </w:r>
      <w:r>
        <w:rPr>
          <w:sz w:val="20"/>
        </w:rPr>
        <w:t xml:space="preserve">edical condition) holds a </w:t>
      </w:r>
      <w:r w:rsidR="00A334B7">
        <w:rPr>
          <w:sz w:val="20"/>
        </w:rPr>
        <w:t>Transfer Eligibility Certificate (</w:t>
      </w:r>
      <w:r>
        <w:rPr>
          <w:sz w:val="20"/>
        </w:rPr>
        <w:t>TEC</w:t>
      </w:r>
      <w:r w:rsidR="00A334B7">
        <w:rPr>
          <w:sz w:val="20"/>
        </w:rPr>
        <w:t>)</w:t>
      </w:r>
    </w:p>
    <w:p w14:paraId="1C7240A3" w14:textId="77777777" w:rsidR="00DD4578" w:rsidRDefault="004C62EA" w:rsidP="00A334B7">
      <w:pPr>
        <w:ind w:left="360"/>
        <w:contextualSpacing/>
        <w:rPr>
          <w:sz w:val="20"/>
        </w:rPr>
      </w:pPr>
      <w:r>
        <w:rPr>
          <w:b/>
          <w:sz w:val="20"/>
        </w:rPr>
        <w:t>If NO</w:t>
      </w:r>
      <w:r>
        <w:rPr>
          <w:sz w:val="20"/>
        </w:rPr>
        <w:t>, the transferee (buyer) must apply for a TEC</w:t>
      </w:r>
      <w:r w:rsidR="00A334B7">
        <w:rPr>
          <w:sz w:val="20"/>
        </w:rPr>
        <w:t>.</w:t>
      </w:r>
      <w:r>
        <w:rPr>
          <w:sz w:val="20"/>
        </w:rPr>
        <w:t xml:space="preserve"> </w:t>
      </w:r>
    </w:p>
    <w:p w14:paraId="6626675B" w14:textId="77777777" w:rsidR="00496869" w:rsidRDefault="00A334B7" w:rsidP="00735EE7">
      <w:pPr>
        <w:contextualSpacing/>
        <w:rPr>
          <w:sz w:val="20"/>
        </w:rPr>
      </w:pPr>
      <w:r>
        <w:rPr>
          <w:sz w:val="20"/>
          <w:u w:val="single"/>
        </w:rPr>
        <w:t xml:space="preserve">Block A </w:t>
      </w:r>
      <w:r w:rsidR="00496869">
        <w:rPr>
          <w:sz w:val="20"/>
          <w:u w:val="single"/>
        </w:rPr>
        <w:t xml:space="preserve">– </w:t>
      </w:r>
      <w:r w:rsidR="004C62EA">
        <w:rPr>
          <w:sz w:val="20"/>
          <w:u w:val="single"/>
        </w:rPr>
        <w:t>Transferor Information (Medical Condition)</w:t>
      </w:r>
      <w:r w:rsidR="004C62EA">
        <w:rPr>
          <w:sz w:val="20"/>
        </w:rPr>
        <w:t xml:space="preserve"> </w:t>
      </w:r>
    </w:p>
    <w:p w14:paraId="6A580C76" w14:textId="77777777" w:rsidR="006A79C8" w:rsidRDefault="004C62EA" w:rsidP="00735EE7">
      <w:pPr>
        <w:contextualSpacing/>
        <w:rPr>
          <w:sz w:val="20"/>
        </w:rPr>
      </w:pPr>
      <w:r>
        <w:rPr>
          <w:sz w:val="20"/>
        </w:rPr>
        <w:t>Name of Transferor</w:t>
      </w:r>
    </w:p>
    <w:p w14:paraId="4EE2F51D" w14:textId="77777777" w:rsidR="00496869" w:rsidRDefault="004C62EA" w:rsidP="00735EE7">
      <w:pPr>
        <w:contextualSpacing/>
        <w:rPr>
          <w:sz w:val="20"/>
        </w:rPr>
      </w:pPr>
      <w:r>
        <w:rPr>
          <w:sz w:val="20"/>
        </w:rPr>
        <w:t xml:space="preserve">NMFS Person ID </w:t>
      </w:r>
    </w:p>
    <w:p w14:paraId="73E2491A" w14:textId="77777777" w:rsidR="006A79C8" w:rsidRDefault="004C62EA" w:rsidP="00735EE7">
      <w:pPr>
        <w:contextualSpacing/>
        <w:rPr>
          <w:sz w:val="20"/>
        </w:rPr>
      </w:pPr>
      <w:r>
        <w:rPr>
          <w:sz w:val="20"/>
        </w:rPr>
        <w:t>Birth date of applicant</w:t>
      </w:r>
    </w:p>
    <w:p w14:paraId="4B1B560B" w14:textId="77777777" w:rsidR="006A79C8" w:rsidRDefault="004C62EA" w:rsidP="00735EE7">
      <w:pPr>
        <w:contextualSpacing/>
        <w:rPr>
          <w:sz w:val="20"/>
        </w:rPr>
      </w:pPr>
      <w:r>
        <w:rPr>
          <w:sz w:val="20"/>
        </w:rPr>
        <w:t>Business Mailing Address</w:t>
      </w:r>
      <w:r w:rsidR="00496869">
        <w:rPr>
          <w:sz w:val="20"/>
        </w:rPr>
        <w:t xml:space="preserve"> (indicate if permanent or temporary)</w:t>
      </w:r>
      <w:r>
        <w:rPr>
          <w:sz w:val="20"/>
        </w:rPr>
        <w:t xml:space="preserve">: </w:t>
      </w:r>
      <w:r w:rsidR="00496869">
        <w:rPr>
          <w:sz w:val="20"/>
        </w:rPr>
        <w:t>street or P.O. b</w:t>
      </w:r>
      <w:r>
        <w:rPr>
          <w:sz w:val="20"/>
        </w:rPr>
        <w:t>ox number, city, state, and zip code</w:t>
      </w:r>
    </w:p>
    <w:p w14:paraId="72C0B78A" w14:textId="77777777" w:rsidR="006A79C8" w:rsidRDefault="00496869" w:rsidP="00496869">
      <w:pPr>
        <w:ind w:left="360"/>
        <w:contextualSpacing/>
        <w:rPr>
          <w:sz w:val="20"/>
        </w:rPr>
      </w:pPr>
      <w:r>
        <w:rPr>
          <w:sz w:val="20"/>
        </w:rPr>
        <w:t>This is address where tra</w:t>
      </w:r>
      <w:r w:rsidR="004C62EA">
        <w:rPr>
          <w:sz w:val="20"/>
        </w:rPr>
        <w:t xml:space="preserve">nsfer documentation </w:t>
      </w:r>
      <w:r>
        <w:rPr>
          <w:sz w:val="20"/>
        </w:rPr>
        <w:t xml:space="preserve">will be </w:t>
      </w:r>
      <w:r w:rsidR="004C62EA">
        <w:rPr>
          <w:sz w:val="20"/>
        </w:rPr>
        <w:t xml:space="preserve">sent </w:t>
      </w:r>
    </w:p>
    <w:p w14:paraId="664E1747" w14:textId="77777777" w:rsidR="00496869" w:rsidRDefault="004C62EA" w:rsidP="00735EE7">
      <w:pPr>
        <w:contextualSpacing/>
        <w:rPr>
          <w:sz w:val="20"/>
        </w:rPr>
      </w:pPr>
      <w:r>
        <w:rPr>
          <w:sz w:val="20"/>
        </w:rPr>
        <w:t>Business teleph</w:t>
      </w:r>
      <w:r w:rsidR="00496869">
        <w:rPr>
          <w:sz w:val="20"/>
        </w:rPr>
        <w:t>one number, fax number</w:t>
      </w:r>
      <w:r>
        <w:rPr>
          <w:sz w:val="20"/>
        </w:rPr>
        <w:t xml:space="preserve">, and </w:t>
      </w:r>
      <w:r w:rsidR="00496869">
        <w:rPr>
          <w:sz w:val="20"/>
        </w:rPr>
        <w:t>e-</w:t>
      </w:r>
      <w:r>
        <w:rPr>
          <w:sz w:val="20"/>
        </w:rPr>
        <w:t>mail address</w:t>
      </w:r>
    </w:p>
    <w:p w14:paraId="5CDFD93B" w14:textId="77777777" w:rsidR="006A79C8" w:rsidRDefault="004C62EA" w:rsidP="00735EE7">
      <w:pPr>
        <w:contextualSpacing/>
        <w:rPr>
          <w:sz w:val="20"/>
        </w:rPr>
      </w:pPr>
      <w:r>
        <w:rPr>
          <w:sz w:val="20"/>
          <w:u w:val="single"/>
        </w:rPr>
        <w:t xml:space="preserve">Block </w:t>
      </w:r>
      <w:r w:rsidR="00496869">
        <w:rPr>
          <w:sz w:val="20"/>
          <w:u w:val="single"/>
        </w:rPr>
        <w:t>B</w:t>
      </w:r>
      <w:r>
        <w:rPr>
          <w:sz w:val="20"/>
          <w:u w:val="single"/>
        </w:rPr>
        <w:t xml:space="preserve"> </w:t>
      </w:r>
      <w:r w:rsidR="00496869">
        <w:rPr>
          <w:sz w:val="20"/>
          <w:u w:val="single"/>
        </w:rPr>
        <w:t>–</w:t>
      </w:r>
      <w:r>
        <w:rPr>
          <w:sz w:val="20"/>
          <w:u w:val="single"/>
        </w:rPr>
        <w:t xml:space="preserve"> Transferee Information (No </w:t>
      </w:r>
      <w:r w:rsidR="00496869">
        <w:rPr>
          <w:sz w:val="20"/>
          <w:u w:val="single"/>
        </w:rPr>
        <w:t>M</w:t>
      </w:r>
      <w:r>
        <w:rPr>
          <w:sz w:val="20"/>
          <w:u w:val="single"/>
        </w:rPr>
        <w:t>edical Condition)</w:t>
      </w:r>
    </w:p>
    <w:p w14:paraId="129D8F7E" w14:textId="77777777" w:rsidR="00496869" w:rsidRDefault="004C62EA" w:rsidP="00735EE7">
      <w:pPr>
        <w:contextualSpacing/>
        <w:rPr>
          <w:sz w:val="20"/>
        </w:rPr>
      </w:pPr>
      <w:r>
        <w:rPr>
          <w:sz w:val="20"/>
        </w:rPr>
        <w:t xml:space="preserve">Name of Transferee </w:t>
      </w:r>
    </w:p>
    <w:p w14:paraId="41968D32" w14:textId="77777777" w:rsidR="00496869" w:rsidRDefault="004C62EA" w:rsidP="00735EE7">
      <w:pPr>
        <w:contextualSpacing/>
        <w:rPr>
          <w:sz w:val="20"/>
        </w:rPr>
      </w:pPr>
      <w:r>
        <w:rPr>
          <w:sz w:val="20"/>
        </w:rPr>
        <w:t xml:space="preserve">NMFS Person ID </w:t>
      </w:r>
    </w:p>
    <w:p w14:paraId="47B38863" w14:textId="77777777" w:rsidR="006A79C8" w:rsidRDefault="004C62EA" w:rsidP="00735EE7">
      <w:pPr>
        <w:contextualSpacing/>
        <w:rPr>
          <w:sz w:val="20"/>
        </w:rPr>
      </w:pPr>
      <w:r>
        <w:rPr>
          <w:sz w:val="20"/>
        </w:rPr>
        <w:t>Birth date of applicant</w:t>
      </w:r>
    </w:p>
    <w:p w14:paraId="4D8413E8" w14:textId="77777777" w:rsidR="00496869" w:rsidRDefault="00496869" w:rsidP="00496869">
      <w:pPr>
        <w:contextualSpacing/>
        <w:rPr>
          <w:sz w:val="20"/>
        </w:rPr>
      </w:pPr>
      <w:r>
        <w:rPr>
          <w:sz w:val="20"/>
        </w:rPr>
        <w:t>Business Mailing Address (indicate if permanent or temporary): street or P.O. box number, city, state, and zip code</w:t>
      </w:r>
    </w:p>
    <w:p w14:paraId="5EFC923B" w14:textId="77777777" w:rsidR="00496869" w:rsidRDefault="00496869" w:rsidP="00496869">
      <w:pPr>
        <w:ind w:left="360"/>
        <w:contextualSpacing/>
        <w:rPr>
          <w:sz w:val="20"/>
        </w:rPr>
      </w:pPr>
      <w:r>
        <w:rPr>
          <w:sz w:val="20"/>
        </w:rPr>
        <w:t xml:space="preserve">This is address where transfer documentation will be sent </w:t>
      </w:r>
    </w:p>
    <w:p w14:paraId="1A82D14E" w14:textId="77777777" w:rsidR="00DD4578" w:rsidRDefault="004C62EA" w:rsidP="00735EE7">
      <w:pPr>
        <w:contextualSpacing/>
        <w:rPr>
          <w:sz w:val="20"/>
        </w:rPr>
      </w:pPr>
      <w:r>
        <w:rPr>
          <w:sz w:val="20"/>
        </w:rPr>
        <w:t xml:space="preserve">Business telephone number, fax number, and </w:t>
      </w:r>
      <w:r w:rsidR="00496869">
        <w:rPr>
          <w:sz w:val="20"/>
        </w:rPr>
        <w:t>e</w:t>
      </w:r>
      <w:r>
        <w:rPr>
          <w:sz w:val="20"/>
        </w:rPr>
        <w:t>-mail address</w:t>
      </w:r>
    </w:p>
    <w:p w14:paraId="27A45815" w14:textId="77777777" w:rsidR="006A79C8" w:rsidRDefault="004C62EA" w:rsidP="00735EE7">
      <w:pPr>
        <w:contextualSpacing/>
        <w:rPr>
          <w:sz w:val="20"/>
        </w:rPr>
      </w:pPr>
      <w:r>
        <w:rPr>
          <w:sz w:val="20"/>
          <w:u w:val="single"/>
        </w:rPr>
        <w:t xml:space="preserve">Block </w:t>
      </w:r>
      <w:r w:rsidR="009338C2">
        <w:rPr>
          <w:sz w:val="20"/>
          <w:u w:val="single"/>
        </w:rPr>
        <w:t>C</w:t>
      </w:r>
      <w:r>
        <w:rPr>
          <w:sz w:val="20"/>
          <w:u w:val="single"/>
        </w:rPr>
        <w:t xml:space="preserve"> – Identification of IFQ to be Transferred</w:t>
      </w:r>
    </w:p>
    <w:p w14:paraId="66D3E0B0" w14:textId="77777777" w:rsidR="009338C2" w:rsidRDefault="004C62EA" w:rsidP="00735EE7">
      <w:pPr>
        <w:contextualSpacing/>
        <w:rPr>
          <w:sz w:val="20"/>
        </w:rPr>
      </w:pPr>
      <w:r>
        <w:rPr>
          <w:sz w:val="20"/>
        </w:rPr>
        <w:t xml:space="preserve">Indicate whether halibut or </w:t>
      </w:r>
      <w:r w:rsidR="009338C2">
        <w:rPr>
          <w:sz w:val="20"/>
        </w:rPr>
        <w:t>s</w:t>
      </w:r>
      <w:r>
        <w:rPr>
          <w:sz w:val="20"/>
        </w:rPr>
        <w:t xml:space="preserve">ablefish </w:t>
      </w:r>
    </w:p>
    <w:p w14:paraId="695FAF94" w14:textId="77777777" w:rsidR="00F5604A" w:rsidRDefault="009338C2" w:rsidP="009338C2">
      <w:pPr>
        <w:contextualSpacing/>
        <w:rPr>
          <w:sz w:val="20"/>
        </w:rPr>
      </w:pPr>
      <w:r>
        <w:rPr>
          <w:sz w:val="20"/>
        </w:rPr>
        <w:t>Fishing Year</w:t>
      </w:r>
    </w:p>
    <w:p w14:paraId="16DFB355" w14:textId="77777777" w:rsidR="00B358D1" w:rsidRDefault="00B358D1" w:rsidP="00B358D1">
      <w:pPr>
        <w:contextualSpacing/>
        <w:rPr>
          <w:sz w:val="20"/>
        </w:rPr>
      </w:pPr>
      <w:r>
        <w:rPr>
          <w:sz w:val="20"/>
        </w:rPr>
        <w:t xml:space="preserve">Transferor IFQ Permit Number </w:t>
      </w:r>
    </w:p>
    <w:p w14:paraId="1EEF934E" w14:textId="77777777" w:rsidR="006A79C8" w:rsidRDefault="004C62EA" w:rsidP="00735EE7">
      <w:pPr>
        <w:contextualSpacing/>
        <w:rPr>
          <w:sz w:val="20"/>
        </w:rPr>
      </w:pPr>
      <w:r>
        <w:rPr>
          <w:sz w:val="20"/>
        </w:rPr>
        <w:t>IFQ Regulatory Area</w:t>
      </w:r>
    </w:p>
    <w:p w14:paraId="67F2DF7D" w14:textId="77777777" w:rsidR="006A79C8" w:rsidRDefault="004C62EA" w:rsidP="00735EE7">
      <w:pPr>
        <w:contextualSpacing/>
        <w:rPr>
          <w:sz w:val="20"/>
        </w:rPr>
      </w:pPr>
      <w:r>
        <w:rPr>
          <w:sz w:val="20"/>
        </w:rPr>
        <w:t>IFQ Pounds</w:t>
      </w:r>
      <w:r w:rsidR="00B358D1">
        <w:rPr>
          <w:sz w:val="20"/>
        </w:rPr>
        <w:t xml:space="preserve"> Transferring</w:t>
      </w:r>
    </w:p>
    <w:p w14:paraId="6B74BB8A" w14:textId="77777777" w:rsidR="00E10E4D" w:rsidRDefault="004C62EA" w:rsidP="00735EE7">
      <w:pPr>
        <w:contextualSpacing/>
        <w:rPr>
          <w:sz w:val="20"/>
        </w:rPr>
      </w:pPr>
      <w:r>
        <w:rPr>
          <w:sz w:val="20"/>
          <w:u w:val="single"/>
        </w:rPr>
        <w:t xml:space="preserve">Block </w:t>
      </w:r>
      <w:r w:rsidR="00E10E4D">
        <w:rPr>
          <w:sz w:val="20"/>
          <w:u w:val="single"/>
        </w:rPr>
        <w:t>D</w:t>
      </w:r>
      <w:r>
        <w:rPr>
          <w:sz w:val="20"/>
          <w:u w:val="single"/>
        </w:rPr>
        <w:t xml:space="preserve"> – Transferor Supplemental Information</w:t>
      </w:r>
      <w:r>
        <w:rPr>
          <w:sz w:val="20"/>
        </w:rPr>
        <w:t xml:space="preserve"> </w:t>
      </w:r>
    </w:p>
    <w:p w14:paraId="784B8402" w14:textId="77777777" w:rsidR="006A79C8" w:rsidRDefault="004C62EA" w:rsidP="00735EE7">
      <w:pPr>
        <w:contextualSpacing/>
        <w:rPr>
          <w:sz w:val="20"/>
        </w:rPr>
      </w:pPr>
      <w:r>
        <w:rPr>
          <w:sz w:val="20"/>
        </w:rPr>
        <w:t>Price per pound, including fees</w:t>
      </w:r>
    </w:p>
    <w:p w14:paraId="041429B5" w14:textId="77777777" w:rsidR="00DD4578" w:rsidRDefault="004C62EA" w:rsidP="00735EE7">
      <w:pPr>
        <w:contextualSpacing/>
        <w:rPr>
          <w:sz w:val="20"/>
        </w:rPr>
      </w:pPr>
      <w:r>
        <w:rPr>
          <w:sz w:val="20"/>
        </w:rPr>
        <w:t xml:space="preserve">Total amount paid for the IFQ, including fees </w:t>
      </w:r>
    </w:p>
    <w:p w14:paraId="1490A44D" w14:textId="77777777" w:rsidR="006A79C8" w:rsidRDefault="004C62EA" w:rsidP="00735EE7">
      <w:pPr>
        <w:contextualSpacing/>
        <w:rPr>
          <w:sz w:val="20"/>
        </w:rPr>
      </w:pPr>
      <w:r>
        <w:rPr>
          <w:sz w:val="20"/>
          <w:u w:val="single"/>
        </w:rPr>
        <w:t xml:space="preserve">Block </w:t>
      </w:r>
      <w:r w:rsidR="00E10E4D">
        <w:rPr>
          <w:sz w:val="20"/>
          <w:u w:val="single"/>
        </w:rPr>
        <w:t>E</w:t>
      </w:r>
      <w:r>
        <w:rPr>
          <w:sz w:val="20"/>
          <w:u w:val="single"/>
        </w:rPr>
        <w:t xml:space="preserve"> – Transferee Supplemental Information</w:t>
      </w:r>
    </w:p>
    <w:p w14:paraId="0BFBE382" w14:textId="77777777" w:rsidR="00E10E4D" w:rsidRDefault="004C62EA" w:rsidP="00735EE7">
      <w:pPr>
        <w:contextualSpacing/>
        <w:rPr>
          <w:sz w:val="20"/>
        </w:rPr>
      </w:pPr>
      <w:r w:rsidRPr="00E10E4D">
        <w:rPr>
          <w:sz w:val="20"/>
        </w:rPr>
        <w:t>P</w:t>
      </w:r>
      <w:r>
        <w:rPr>
          <w:sz w:val="20"/>
        </w:rPr>
        <w:t xml:space="preserve">rimary source of financing for this transfer </w:t>
      </w:r>
    </w:p>
    <w:p w14:paraId="5953BB48" w14:textId="77777777" w:rsidR="006A79C8" w:rsidRDefault="004C62EA" w:rsidP="00735EE7">
      <w:pPr>
        <w:contextualSpacing/>
        <w:rPr>
          <w:sz w:val="20"/>
        </w:rPr>
      </w:pPr>
      <w:r>
        <w:rPr>
          <w:sz w:val="20"/>
        </w:rPr>
        <w:t>Indicate how IFQ was located</w:t>
      </w:r>
    </w:p>
    <w:p w14:paraId="7C4496D0" w14:textId="77777777" w:rsidR="00DD4578" w:rsidRDefault="004C62EA" w:rsidP="00735EE7">
      <w:pPr>
        <w:contextualSpacing/>
        <w:rPr>
          <w:sz w:val="20"/>
        </w:rPr>
      </w:pPr>
      <w:r>
        <w:rPr>
          <w:sz w:val="20"/>
        </w:rPr>
        <w:t xml:space="preserve">Transferee's relationship to the IFQ Holder </w:t>
      </w:r>
    </w:p>
    <w:p w14:paraId="6E5AABB6" w14:textId="77777777" w:rsidR="006A79C8" w:rsidRDefault="00E10E4D" w:rsidP="00735EE7">
      <w:pPr>
        <w:contextualSpacing/>
        <w:rPr>
          <w:sz w:val="20"/>
        </w:rPr>
      </w:pPr>
      <w:r>
        <w:rPr>
          <w:sz w:val="20"/>
          <w:u w:val="single"/>
        </w:rPr>
        <w:t>Block F</w:t>
      </w:r>
      <w:r w:rsidR="004C62EA">
        <w:rPr>
          <w:sz w:val="20"/>
          <w:u w:val="single"/>
        </w:rPr>
        <w:t xml:space="preserve"> – Medical Declaration</w:t>
      </w:r>
      <w:r w:rsidRPr="00E10E4D">
        <w:rPr>
          <w:i/>
          <w:sz w:val="20"/>
        </w:rPr>
        <w:t xml:space="preserve"> (may be completed only by a licensed medical doctor, advanced nurse practi</w:t>
      </w:r>
      <w:r>
        <w:rPr>
          <w:i/>
          <w:sz w:val="20"/>
        </w:rPr>
        <w:t>ti</w:t>
      </w:r>
      <w:r w:rsidRPr="00E10E4D">
        <w:rPr>
          <w:i/>
          <w:sz w:val="20"/>
        </w:rPr>
        <w:t>oner, or primary community health aide)</w:t>
      </w:r>
    </w:p>
    <w:p w14:paraId="277A5297" w14:textId="77777777" w:rsidR="00151B83" w:rsidRDefault="004C62EA" w:rsidP="00735EE7">
      <w:pPr>
        <w:contextualSpacing/>
        <w:rPr>
          <w:sz w:val="20"/>
        </w:rPr>
      </w:pPr>
      <w:r>
        <w:rPr>
          <w:sz w:val="20"/>
        </w:rPr>
        <w:t>Name of Treating Medical</w:t>
      </w:r>
      <w:r>
        <w:rPr>
          <w:spacing w:val="-17"/>
          <w:sz w:val="20"/>
        </w:rPr>
        <w:t xml:space="preserve"> </w:t>
      </w:r>
      <w:r>
        <w:rPr>
          <w:sz w:val="20"/>
        </w:rPr>
        <w:t xml:space="preserve">Professional </w:t>
      </w:r>
    </w:p>
    <w:p w14:paraId="1ABF2CDF" w14:textId="77777777" w:rsidR="00151B83" w:rsidRDefault="004C62EA" w:rsidP="00735EE7">
      <w:pPr>
        <w:contextualSpacing/>
        <w:rPr>
          <w:sz w:val="20"/>
        </w:rPr>
      </w:pPr>
      <w:r>
        <w:rPr>
          <w:sz w:val="20"/>
        </w:rPr>
        <w:t>Business Telephone Number</w:t>
      </w:r>
      <w:r w:rsidR="00151B83">
        <w:rPr>
          <w:sz w:val="20"/>
        </w:rPr>
        <w:t xml:space="preserve"> and Permanent</w:t>
      </w:r>
      <w:r>
        <w:rPr>
          <w:sz w:val="20"/>
        </w:rPr>
        <w:t xml:space="preserve"> Mailing Address </w:t>
      </w:r>
    </w:p>
    <w:p w14:paraId="33291B76" w14:textId="77777777" w:rsidR="006A79C8" w:rsidRDefault="004C62EA" w:rsidP="00735EE7">
      <w:pPr>
        <w:contextualSpacing/>
        <w:rPr>
          <w:sz w:val="20"/>
        </w:rPr>
      </w:pPr>
      <w:r>
        <w:rPr>
          <w:sz w:val="20"/>
        </w:rPr>
        <w:t>Type of Medical</w:t>
      </w:r>
      <w:r>
        <w:rPr>
          <w:spacing w:val="-4"/>
          <w:sz w:val="20"/>
        </w:rPr>
        <w:t xml:space="preserve"> </w:t>
      </w:r>
      <w:r>
        <w:rPr>
          <w:sz w:val="20"/>
        </w:rPr>
        <w:t>Professional</w:t>
      </w:r>
    </w:p>
    <w:p w14:paraId="4B0F5D67" w14:textId="77777777" w:rsidR="006A79C8" w:rsidRDefault="004C62EA" w:rsidP="00735EE7">
      <w:pPr>
        <w:contextualSpacing/>
        <w:rPr>
          <w:sz w:val="20"/>
        </w:rPr>
      </w:pPr>
      <w:r>
        <w:rPr>
          <w:sz w:val="20"/>
        </w:rPr>
        <w:t>Description of the medical condition affecting the applicant or applicant’s family member (</w:t>
      </w:r>
      <w:r>
        <w:rPr>
          <w:b/>
          <w:sz w:val="20"/>
        </w:rPr>
        <w:t xml:space="preserve">attach </w:t>
      </w:r>
      <w:r>
        <w:rPr>
          <w:sz w:val="20"/>
        </w:rPr>
        <w:t>documentation of the medical condition and a description of the care required)</w:t>
      </w:r>
    </w:p>
    <w:p w14:paraId="277F0299" w14:textId="77777777" w:rsidR="00DD4578" w:rsidRDefault="004C62EA" w:rsidP="00735EE7">
      <w:pPr>
        <w:contextualSpacing/>
        <w:rPr>
          <w:sz w:val="20"/>
        </w:rPr>
      </w:pPr>
      <w:r>
        <w:rPr>
          <w:sz w:val="20"/>
        </w:rPr>
        <w:t xml:space="preserve">Signature of Treating Medical Professional and date signed </w:t>
      </w:r>
    </w:p>
    <w:p w14:paraId="4E937AAD" w14:textId="77777777" w:rsidR="006A79C8" w:rsidRDefault="004C62EA" w:rsidP="00735EE7">
      <w:pPr>
        <w:contextualSpacing/>
        <w:rPr>
          <w:sz w:val="20"/>
        </w:rPr>
      </w:pPr>
      <w:r>
        <w:rPr>
          <w:sz w:val="20"/>
          <w:u w:val="single"/>
        </w:rPr>
        <w:t xml:space="preserve">Block </w:t>
      </w:r>
      <w:r w:rsidR="00683435">
        <w:rPr>
          <w:sz w:val="20"/>
          <w:u w:val="single"/>
        </w:rPr>
        <w:t>G</w:t>
      </w:r>
      <w:r>
        <w:rPr>
          <w:sz w:val="20"/>
          <w:u w:val="single"/>
        </w:rPr>
        <w:t xml:space="preserve"> –</w:t>
      </w:r>
      <w:r w:rsidR="00817525">
        <w:rPr>
          <w:sz w:val="20"/>
          <w:u w:val="single"/>
        </w:rPr>
        <w:t xml:space="preserve"> </w:t>
      </w:r>
      <w:r>
        <w:rPr>
          <w:sz w:val="20"/>
          <w:u w:val="single"/>
        </w:rPr>
        <w:t>Certification Of Transferor</w:t>
      </w:r>
    </w:p>
    <w:p w14:paraId="0AD6298D" w14:textId="77777777" w:rsidR="001E11AA" w:rsidRDefault="004C62EA" w:rsidP="00735EE7">
      <w:pPr>
        <w:contextualSpacing/>
        <w:rPr>
          <w:sz w:val="20"/>
        </w:rPr>
      </w:pPr>
      <w:r>
        <w:rPr>
          <w:sz w:val="20"/>
        </w:rPr>
        <w:t xml:space="preserve">Printed name and signature of transferor and date signed </w:t>
      </w:r>
    </w:p>
    <w:p w14:paraId="5504AC83" w14:textId="77777777" w:rsidR="006A79C8" w:rsidRDefault="004C62EA" w:rsidP="001E11AA">
      <w:pPr>
        <w:ind w:left="360"/>
        <w:contextualSpacing/>
        <w:rPr>
          <w:sz w:val="20"/>
        </w:rPr>
      </w:pPr>
      <w:r>
        <w:rPr>
          <w:sz w:val="20"/>
        </w:rPr>
        <w:t xml:space="preserve">If completed by a representative, </w:t>
      </w:r>
      <w:r>
        <w:rPr>
          <w:b/>
          <w:sz w:val="20"/>
        </w:rPr>
        <w:t xml:space="preserve">attach </w:t>
      </w:r>
      <w:r>
        <w:rPr>
          <w:sz w:val="20"/>
        </w:rPr>
        <w:t>authorization</w:t>
      </w:r>
    </w:p>
    <w:p w14:paraId="2F5AF076" w14:textId="77777777" w:rsidR="006A79C8" w:rsidRDefault="004C62EA" w:rsidP="00735EE7">
      <w:pPr>
        <w:contextualSpacing/>
        <w:rPr>
          <w:sz w:val="20"/>
        </w:rPr>
      </w:pPr>
      <w:r>
        <w:rPr>
          <w:sz w:val="20"/>
          <w:u w:val="single"/>
        </w:rPr>
        <w:t xml:space="preserve">Block </w:t>
      </w:r>
      <w:r w:rsidR="001E11AA">
        <w:rPr>
          <w:sz w:val="20"/>
          <w:u w:val="single"/>
        </w:rPr>
        <w:t>H</w:t>
      </w:r>
      <w:r>
        <w:rPr>
          <w:sz w:val="20"/>
          <w:u w:val="single"/>
        </w:rPr>
        <w:t xml:space="preserve"> </w:t>
      </w:r>
      <w:r w:rsidR="00817525">
        <w:rPr>
          <w:sz w:val="20"/>
          <w:u w:val="single"/>
        </w:rPr>
        <w:t>–</w:t>
      </w:r>
      <w:r>
        <w:rPr>
          <w:sz w:val="20"/>
          <w:u w:val="single"/>
        </w:rPr>
        <w:t xml:space="preserve"> Certification Of Transferee</w:t>
      </w:r>
    </w:p>
    <w:p w14:paraId="4EC7B4A9" w14:textId="77777777" w:rsidR="001E11AA" w:rsidRDefault="004C62EA" w:rsidP="00735EE7">
      <w:pPr>
        <w:contextualSpacing/>
        <w:rPr>
          <w:sz w:val="20"/>
        </w:rPr>
      </w:pPr>
      <w:r>
        <w:rPr>
          <w:sz w:val="20"/>
        </w:rPr>
        <w:t xml:space="preserve">Printed name and signature of transferor and date signed </w:t>
      </w:r>
    </w:p>
    <w:p w14:paraId="5E6A9068" w14:textId="77777777" w:rsidR="006A79C8" w:rsidRDefault="004C62EA" w:rsidP="001E11AA">
      <w:pPr>
        <w:ind w:left="360"/>
        <w:contextualSpacing/>
        <w:rPr>
          <w:sz w:val="20"/>
        </w:rPr>
      </w:pPr>
      <w:r>
        <w:rPr>
          <w:sz w:val="20"/>
        </w:rPr>
        <w:t xml:space="preserve">If completed by a representative, </w:t>
      </w:r>
      <w:r>
        <w:rPr>
          <w:b/>
          <w:sz w:val="20"/>
        </w:rPr>
        <w:t xml:space="preserve">attach </w:t>
      </w:r>
      <w:r>
        <w:rPr>
          <w:sz w:val="20"/>
        </w:rPr>
        <w:t>authorization</w:t>
      </w:r>
    </w:p>
    <w:p w14:paraId="3932DDE4" w14:textId="77777777" w:rsidR="006A79C8" w:rsidRPr="00866506" w:rsidRDefault="006A79C8" w:rsidP="00735EE7">
      <w:pPr>
        <w:contextualSpacing/>
        <w:rPr>
          <w:sz w:val="24"/>
          <w:szCs w:val="24"/>
        </w:rPr>
      </w:pPr>
    </w:p>
    <w:p w14:paraId="6F77542F" w14:textId="75870AB0" w:rsidR="006A79C8" w:rsidRDefault="00E647C9" w:rsidP="00735EE7">
      <w:pPr>
        <w:pStyle w:val="BodyText"/>
        <w:contextualSpacing/>
      </w:pPr>
      <w:r>
        <w:t>In 2017, OMB approved change</w:t>
      </w:r>
      <w:r w:rsidR="0041041A">
        <w:t>s</w:t>
      </w:r>
      <w:r>
        <w:t xml:space="preserve"> to this </w:t>
      </w:r>
      <w:r w:rsidR="00B87D7A">
        <w:t>application</w:t>
      </w:r>
      <w:r>
        <w:t>. The name was changed and the form revised to remove the notary requirement and fields for the number of units to be transferred and the serial numbers of the IFQ to be transferred.</w:t>
      </w:r>
      <w:r w:rsidR="0041041A">
        <w:t xml:space="preserve"> These changes reduced the respondents</w:t>
      </w:r>
      <w:r w:rsidR="00D57C36">
        <w:t>’</w:t>
      </w:r>
      <w:r w:rsidR="0041041A">
        <w:t xml:space="preserve"> estimated </w:t>
      </w:r>
      <w:r w:rsidR="00DF3634">
        <w:t>time per response from 2 hours to 1.5 hours.</w:t>
      </w:r>
      <w:r w:rsidR="00D57C36" w:rsidRPr="00D57C36">
        <w:t xml:space="preserve"> </w:t>
      </w:r>
      <w:r w:rsidR="00D57C36">
        <w:t>The transferor, transferee, and the medical professional</w:t>
      </w:r>
      <w:r w:rsidR="00D57C36" w:rsidRPr="00D57C36">
        <w:t xml:space="preserve"> are included in the number of respondents, since </w:t>
      </w:r>
      <w:r w:rsidR="00D57C36">
        <w:t>all</w:t>
      </w:r>
      <w:r w:rsidR="00D57C36" w:rsidRPr="00D57C36">
        <w:t xml:space="preserve"> must complete and sign </w:t>
      </w:r>
      <w:r w:rsidR="00D57C36">
        <w:t xml:space="preserve">a section of </w:t>
      </w:r>
      <w:r w:rsidR="00D57C36" w:rsidRPr="00D57C36">
        <w:t xml:space="preserve">the application; therefore, there are </w:t>
      </w:r>
      <w:r w:rsidR="00D57C36">
        <w:t>three</w:t>
      </w:r>
      <w:r w:rsidR="00D57C36" w:rsidRPr="00D57C36">
        <w:t xml:space="preserve"> respondents per response (the transfer application).</w:t>
      </w:r>
    </w:p>
    <w:p w14:paraId="4FE57F8A" w14:textId="77777777" w:rsidR="0041041A" w:rsidRDefault="0041041A"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816"/>
      </w:tblGrid>
      <w:tr w:rsidR="006A79C8" w:rsidRPr="00C82994" w14:paraId="62CA1F4B" w14:textId="77777777" w:rsidTr="007172D8">
        <w:trPr>
          <w:trHeight w:val="460"/>
          <w:jc w:val="center"/>
        </w:trPr>
        <w:tc>
          <w:tcPr>
            <w:tcW w:w="3960" w:type="dxa"/>
            <w:tcBorders>
              <w:right w:val="nil"/>
            </w:tcBorders>
          </w:tcPr>
          <w:p w14:paraId="325AC3B3" w14:textId="77777777" w:rsidR="006A79C8" w:rsidRPr="00C82994" w:rsidRDefault="004C3EA2" w:rsidP="004C3EA2">
            <w:pPr>
              <w:pStyle w:val="TableParagraph"/>
              <w:contextualSpacing/>
              <w:rPr>
                <w:b/>
                <w:sz w:val="20"/>
              </w:rPr>
            </w:pPr>
            <w:r w:rsidRPr="00C82994">
              <w:rPr>
                <w:b/>
                <w:sz w:val="20"/>
              </w:rPr>
              <w:t xml:space="preserve">Application for </w:t>
            </w:r>
            <w:r w:rsidR="004C62EA" w:rsidRPr="00C82994">
              <w:rPr>
                <w:b/>
                <w:sz w:val="20"/>
              </w:rPr>
              <w:t xml:space="preserve">Medical Transfer </w:t>
            </w:r>
            <w:r w:rsidRPr="00C82994">
              <w:rPr>
                <w:b/>
                <w:sz w:val="20"/>
              </w:rPr>
              <w:t>of IFQ</w:t>
            </w:r>
            <w:r w:rsidR="004C62EA" w:rsidRPr="00C82994">
              <w:rPr>
                <w:b/>
                <w:sz w:val="20"/>
              </w:rPr>
              <w:t>, Respondent</w:t>
            </w:r>
          </w:p>
        </w:tc>
        <w:tc>
          <w:tcPr>
            <w:tcW w:w="816" w:type="dxa"/>
            <w:tcBorders>
              <w:left w:val="nil"/>
            </w:tcBorders>
          </w:tcPr>
          <w:p w14:paraId="5F127973" w14:textId="77777777" w:rsidR="006A79C8" w:rsidRPr="00C82994" w:rsidRDefault="006A79C8" w:rsidP="00735EE7">
            <w:pPr>
              <w:pStyle w:val="TableParagraph"/>
              <w:contextualSpacing/>
              <w:rPr>
                <w:sz w:val="20"/>
              </w:rPr>
            </w:pPr>
          </w:p>
        </w:tc>
      </w:tr>
      <w:tr w:rsidR="006A79C8" w:rsidRPr="00C82994" w14:paraId="52EB58B9" w14:textId="77777777" w:rsidTr="007172D8">
        <w:trPr>
          <w:trHeight w:val="232"/>
          <w:jc w:val="center"/>
        </w:trPr>
        <w:tc>
          <w:tcPr>
            <w:tcW w:w="3960" w:type="dxa"/>
            <w:tcBorders>
              <w:bottom w:val="nil"/>
            </w:tcBorders>
          </w:tcPr>
          <w:p w14:paraId="2453F42F" w14:textId="77777777" w:rsidR="006A79C8" w:rsidRPr="00C82994" w:rsidRDefault="004C62EA" w:rsidP="00735EE7">
            <w:pPr>
              <w:pStyle w:val="TableParagraph"/>
              <w:contextualSpacing/>
              <w:rPr>
                <w:b/>
                <w:sz w:val="20"/>
              </w:rPr>
            </w:pPr>
            <w:r w:rsidRPr="00C82994">
              <w:rPr>
                <w:b/>
                <w:sz w:val="20"/>
              </w:rPr>
              <w:t>Estimated number of respondents</w:t>
            </w:r>
          </w:p>
          <w:p w14:paraId="7F1F7D5F" w14:textId="5D973B17" w:rsidR="00956D15" w:rsidRPr="00C82994" w:rsidRDefault="004C7AFA" w:rsidP="004C7AFA">
            <w:pPr>
              <w:pStyle w:val="TableParagraph"/>
              <w:contextualSpacing/>
              <w:rPr>
                <w:sz w:val="20"/>
              </w:rPr>
            </w:pPr>
            <w:r w:rsidRPr="00C82994">
              <w:rPr>
                <w:sz w:val="20"/>
              </w:rPr>
              <w:t>(transferor</w:t>
            </w:r>
            <w:r w:rsidR="00956D15" w:rsidRPr="00C82994">
              <w:rPr>
                <w:sz w:val="20"/>
              </w:rPr>
              <w:t>, transfer</w:t>
            </w:r>
            <w:r w:rsidRPr="00C82994">
              <w:rPr>
                <w:sz w:val="20"/>
              </w:rPr>
              <w:t>ee</w:t>
            </w:r>
            <w:r w:rsidR="00956D15" w:rsidRPr="00C82994">
              <w:rPr>
                <w:sz w:val="20"/>
              </w:rPr>
              <w:t>, and medical professional)</w:t>
            </w:r>
          </w:p>
        </w:tc>
        <w:tc>
          <w:tcPr>
            <w:tcW w:w="816" w:type="dxa"/>
            <w:tcBorders>
              <w:bottom w:val="nil"/>
            </w:tcBorders>
          </w:tcPr>
          <w:p w14:paraId="7619B2C0" w14:textId="58B1E837" w:rsidR="006A79C8" w:rsidRPr="00C82994" w:rsidRDefault="00956D15" w:rsidP="00BE448C">
            <w:pPr>
              <w:pStyle w:val="TableParagraph"/>
              <w:contextualSpacing/>
              <w:jc w:val="right"/>
              <w:rPr>
                <w:b/>
                <w:sz w:val="20"/>
              </w:rPr>
            </w:pPr>
            <w:r w:rsidRPr="00C82994">
              <w:rPr>
                <w:b/>
                <w:sz w:val="20"/>
              </w:rPr>
              <w:t>420</w:t>
            </w:r>
          </w:p>
        </w:tc>
      </w:tr>
      <w:tr w:rsidR="006A79C8" w:rsidRPr="00C82994" w14:paraId="0A365667" w14:textId="77777777" w:rsidTr="007172D8">
        <w:trPr>
          <w:trHeight w:val="228"/>
          <w:jc w:val="center"/>
        </w:trPr>
        <w:tc>
          <w:tcPr>
            <w:tcW w:w="3960" w:type="dxa"/>
            <w:tcBorders>
              <w:top w:val="nil"/>
              <w:bottom w:val="nil"/>
            </w:tcBorders>
          </w:tcPr>
          <w:p w14:paraId="29B79D7B" w14:textId="77777777" w:rsidR="006A79C8" w:rsidRPr="00C82994" w:rsidRDefault="004C62EA" w:rsidP="00735EE7">
            <w:pPr>
              <w:pStyle w:val="TableParagraph"/>
              <w:contextualSpacing/>
              <w:rPr>
                <w:b/>
                <w:sz w:val="20"/>
              </w:rPr>
            </w:pPr>
            <w:r w:rsidRPr="00C82994">
              <w:rPr>
                <w:b/>
                <w:sz w:val="20"/>
              </w:rPr>
              <w:t>Total annual responses</w:t>
            </w:r>
          </w:p>
        </w:tc>
        <w:tc>
          <w:tcPr>
            <w:tcW w:w="816" w:type="dxa"/>
            <w:tcBorders>
              <w:top w:val="nil"/>
              <w:bottom w:val="nil"/>
            </w:tcBorders>
          </w:tcPr>
          <w:p w14:paraId="04213D39" w14:textId="3C265D92" w:rsidR="006A79C8" w:rsidRPr="00C82994" w:rsidRDefault="009061BB" w:rsidP="00BE448C">
            <w:pPr>
              <w:pStyle w:val="TableParagraph"/>
              <w:contextualSpacing/>
              <w:jc w:val="right"/>
              <w:rPr>
                <w:b/>
                <w:sz w:val="20"/>
              </w:rPr>
            </w:pPr>
            <w:r w:rsidRPr="00C82994">
              <w:rPr>
                <w:b/>
                <w:sz w:val="20"/>
              </w:rPr>
              <w:t>140</w:t>
            </w:r>
          </w:p>
        </w:tc>
      </w:tr>
      <w:tr w:rsidR="006A79C8" w:rsidRPr="00C82994" w14:paraId="66D0CA19" w14:textId="77777777" w:rsidTr="007172D8">
        <w:trPr>
          <w:trHeight w:val="229"/>
          <w:jc w:val="center"/>
        </w:trPr>
        <w:tc>
          <w:tcPr>
            <w:tcW w:w="3960" w:type="dxa"/>
            <w:tcBorders>
              <w:top w:val="nil"/>
              <w:bottom w:val="nil"/>
            </w:tcBorders>
          </w:tcPr>
          <w:p w14:paraId="619D64B7" w14:textId="77777777" w:rsidR="006A79C8" w:rsidRPr="00C82994" w:rsidRDefault="004C62EA" w:rsidP="00735EE7">
            <w:pPr>
              <w:pStyle w:val="TableParagraph"/>
              <w:contextualSpacing/>
              <w:rPr>
                <w:sz w:val="20"/>
              </w:rPr>
            </w:pPr>
            <w:r w:rsidRPr="00C82994">
              <w:rPr>
                <w:sz w:val="20"/>
              </w:rPr>
              <w:t>Number of responses per year = 1</w:t>
            </w:r>
          </w:p>
        </w:tc>
        <w:tc>
          <w:tcPr>
            <w:tcW w:w="816" w:type="dxa"/>
            <w:tcBorders>
              <w:top w:val="nil"/>
              <w:bottom w:val="nil"/>
            </w:tcBorders>
          </w:tcPr>
          <w:p w14:paraId="6E2D9C44" w14:textId="77777777" w:rsidR="006A79C8" w:rsidRPr="00C82994" w:rsidRDefault="006A79C8" w:rsidP="00BE448C">
            <w:pPr>
              <w:pStyle w:val="TableParagraph"/>
              <w:contextualSpacing/>
              <w:jc w:val="right"/>
              <w:rPr>
                <w:sz w:val="16"/>
              </w:rPr>
            </w:pPr>
          </w:p>
        </w:tc>
      </w:tr>
      <w:tr w:rsidR="006A79C8" w:rsidRPr="00C82994" w14:paraId="3C3C2963" w14:textId="77777777" w:rsidTr="007172D8">
        <w:trPr>
          <w:trHeight w:val="229"/>
          <w:jc w:val="center"/>
        </w:trPr>
        <w:tc>
          <w:tcPr>
            <w:tcW w:w="3960" w:type="dxa"/>
            <w:tcBorders>
              <w:top w:val="nil"/>
              <w:bottom w:val="nil"/>
            </w:tcBorders>
          </w:tcPr>
          <w:p w14:paraId="72E60269" w14:textId="44383D0A" w:rsidR="006A79C8" w:rsidRPr="00C82994" w:rsidRDefault="004C62EA" w:rsidP="00757DEC">
            <w:pPr>
              <w:pStyle w:val="TableParagraph"/>
              <w:contextualSpacing/>
              <w:rPr>
                <w:b/>
                <w:sz w:val="20"/>
              </w:rPr>
            </w:pPr>
            <w:r w:rsidRPr="00C82994">
              <w:rPr>
                <w:b/>
                <w:sz w:val="20"/>
              </w:rPr>
              <w:t xml:space="preserve">Total </w:t>
            </w:r>
            <w:r w:rsidR="00757DEC" w:rsidRPr="00C82994">
              <w:rPr>
                <w:b/>
                <w:sz w:val="20"/>
              </w:rPr>
              <w:t>t</w:t>
            </w:r>
            <w:r w:rsidRPr="00C82994">
              <w:rPr>
                <w:b/>
                <w:sz w:val="20"/>
              </w:rPr>
              <w:t>ime burden</w:t>
            </w:r>
          </w:p>
        </w:tc>
        <w:tc>
          <w:tcPr>
            <w:tcW w:w="816" w:type="dxa"/>
            <w:tcBorders>
              <w:top w:val="nil"/>
              <w:bottom w:val="nil"/>
            </w:tcBorders>
          </w:tcPr>
          <w:p w14:paraId="7CF77478" w14:textId="26E090D8" w:rsidR="006A79C8" w:rsidRPr="00C82994" w:rsidRDefault="009061BB" w:rsidP="00BE448C">
            <w:pPr>
              <w:pStyle w:val="TableParagraph"/>
              <w:contextualSpacing/>
              <w:jc w:val="right"/>
              <w:rPr>
                <w:b/>
                <w:sz w:val="20"/>
              </w:rPr>
            </w:pPr>
            <w:r w:rsidRPr="00C82994">
              <w:rPr>
                <w:b/>
                <w:sz w:val="20"/>
              </w:rPr>
              <w:t xml:space="preserve">210 </w:t>
            </w:r>
            <w:r w:rsidR="004C62EA" w:rsidRPr="00C82994">
              <w:rPr>
                <w:b/>
                <w:sz w:val="20"/>
              </w:rPr>
              <w:t>hr</w:t>
            </w:r>
          </w:p>
        </w:tc>
      </w:tr>
      <w:tr w:rsidR="006A79C8" w:rsidRPr="00C82994" w14:paraId="55C3BE94" w14:textId="77777777" w:rsidTr="007172D8">
        <w:trPr>
          <w:trHeight w:val="228"/>
          <w:jc w:val="center"/>
        </w:trPr>
        <w:tc>
          <w:tcPr>
            <w:tcW w:w="3960" w:type="dxa"/>
            <w:tcBorders>
              <w:top w:val="nil"/>
              <w:bottom w:val="nil"/>
            </w:tcBorders>
          </w:tcPr>
          <w:p w14:paraId="6B0C964D" w14:textId="7B28E144" w:rsidR="006A79C8" w:rsidRPr="00C82994" w:rsidRDefault="004C62EA" w:rsidP="00DF3634">
            <w:pPr>
              <w:pStyle w:val="TableParagraph"/>
              <w:contextualSpacing/>
              <w:rPr>
                <w:sz w:val="20"/>
              </w:rPr>
            </w:pPr>
            <w:r w:rsidRPr="00C82994">
              <w:rPr>
                <w:sz w:val="20"/>
              </w:rPr>
              <w:t xml:space="preserve">Time per response = </w:t>
            </w:r>
            <w:r w:rsidR="000440CF" w:rsidRPr="00C82994">
              <w:rPr>
                <w:sz w:val="20"/>
              </w:rPr>
              <w:t xml:space="preserve">1.5 </w:t>
            </w:r>
            <w:r w:rsidRPr="00C82994">
              <w:rPr>
                <w:sz w:val="20"/>
              </w:rPr>
              <w:t>hr</w:t>
            </w:r>
          </w:p>
        </w:tc>
        <w:tc>
          <w:tcPr>
            <w:tcW w:w="816" w:type="dxa"/>
            <w:tcBorders>
              <w:top w:val="nil"/>
              <w:bottom w:val="nil"/>
            </w:tcBorders>
          </w:tcPr>
          <w:p w14:paraId="5CEEF1EB" w14:textId="77777777" w:rsidR="006A79C8" w:rsidRPr="00C82994" w:rsidRDefault="006A79C8" w:rsidP="00BE448C">
            <w:pPr>
              <w:pStyle w:val="TableParagraph"/>
              <w:contextualSpacing/>
              <w:jc w:val="right"/>
              <w:rPr>
                <w:sz w:val="16"/>
              </w:rPr>
            </w:pPr>
          </w:p>
        </w:tc>
      </w:tr>
      <w:tr w:rsidR="006A79C8" w:rsidRPr="00C82994" w14:paraId="55E2DA40" w14:textId="77777777" w:rsidTr="007172D8">
        <w:trPr>
          <w:trHeight w:val="232"/>
          <w:jc w:val="center"/>
        </w:trPr>
        <w:tc>
          <w:tcPr>
            <w:tcW w:w="3960" w:type="dxa"/>
            <w:tcBorders>
              <w:top w:val="nil"/>
              <w:bottom w:val="nil"/>
            </w:tcBorders>
          </w:tcPr>
          <w:p w14:paraId="5173176B" w14:textId="10216A0A" w:rsidR="006A79C8" w:rsidRPr="00C82994" w:rsidRDefault="004C62EA" w:rsidP="009061BB">
            <w:pPr>
              <w:pStyle w:val="TableParagraph"/>
              <w:contextualSpacing/>
              <w:rPr>
                <w:sz w:val="20"/>
              </w:rPr>
            </w:pPr>
            <w:r w:rsidRPr="00C82994">
              <w:rPr>
                <w:b/>
                <w:sz w:val="20"/>
              </w:rPr>
              <w:t xml:space="preserve">Total personnel cost </w:t>
            </w:r>
            <w:r w:rsidRPr="00C82994">
              <w:rPr>
                <w:sz w:val="20"/>
              </w:rPr>
              <w:t xml:space="preserve">($37/hr x </w:t>
            </w:r>
            <w:r w:rsidR="009061BB" w:rsidRPr="00C82994">
              <w:rPr>
                <w:sz w:val="20"/>
              </w:rPr>
              <w:t>210</w:t>
            </w:r>
            <w:r w:rsidRPr="00C82994">
              <w:rPr>
                <w:sz w:val="20"/>
              </w:rPr>
              <w:t>)</w:t>
            </w:r>
          </w:p>
        </w:tc>
        <w:tc>
          <w:tcPr>
            <w:tcW w:w="816" w:type="dxa"/>
            <w:tcBorders>
              <w:top w:val="nil"/>
              <w:bottom w:val="nil"/>
            </w:tcBorders>
          </w:tcPr>
          <w:p w14:paraId="4756540A" w14:textId="6CEDC49E" w:rsidR="006A79C8" w:rsidRPr="00C82994" w:rsidRDefault="004C62EA" w:rsidP="009061BB">
            <w:pPr>
              <w:pStyle w:val="TableParagraph"/>
              <w:contextualSpacing/>
              <w:jc w:val="right"/>
              <w:rPr>
                <w:b/>
                <w:sz w:val="20"/>
              </w:rPr>
            </w:pPr>
            <w:r w:rsidRPr="00C82994">
              <w:rPr>
                <w:b/>
                <w:sz w:val="20"/>
              </w:rPr>
              <w:t>$</w:t>
            </w:r>
            <w:r w:rsidR="009061BB" w:rsidRPr="00C82994">
              <w:rPr>
                <w:b/>
                <w:sz w:val="20"/>
              </w:rPr>
              <w:t>7,770</w:t>
            </w:r>
          </w:p>
        </w:tc>
      </w:tr>
      <w:tr w:rsidR="006A79C8" w:rsidRPr="00C82994" w14:paraId="698B9E64" w14:textId="77777777" w:rsidTr="007172D8">
        <w:trPr>
          <w:trHeight w:val="230"/>
          <w:jc w:val="center"/>
        </w:trPr>
        <w:tc>
          <w:tcPr>
            <w:tcW w:w="3960" w:type="dxa"/>
            <w:tcBorders>
              <w:top w:val="nil"/>
              <w:bottom w:val="nil"/>
            </w:tcBorders>
          </w:tcPr>
          <w:p w14:paraId="7ADBA230" w14:textId="789CCA12" w:rsidR="006A79C8" w:rsidRPr="00C82994" w:rsidRDefault="004C62EA" w:rsidP="000D2709">
            <w:pPr>
              <w:pStyle w:val="TableParagraph"/>
              <w:contextualSpacing/>
              <w:rPr>
                <w:sz w:val="20"/>
              </w:rPr>
            </w:pPr>
            <w:r w:rsidRPr="00C82994">
              <w:rPr>
                <w:b/>
                <w:sz w:val="20"/>
              </w:rPr>
              <w:t xml:space="preserve">Total miscellaneous cost </w:t>
            </w:r>
            <w:r w:rsidRPr="00C82994">
              <w:rPr>
                <w:sz w:val="20"/>
              </w:rPr>
              <w:t>(</w:t>
            </w:r>
            <w:r w:rsidR="009061BB" w:rsidRPr="00C82994">
              <w:rPr>
                <w:sz w:val="20"/>
              </w:rPr>
              <w:t>1</w:t>
            </w:r>
            <w:r w:rsidR="00921F56" w:rsidRPr="00C82994">
              <w:rPr>
                <w:sz w:val="20"/>
              </w:rPr>
              <w:t>73.60</w:t>
            </w:r>
            <w:r w:rsidRPr="00C82994">
              <w:rPr>
                <w:sz w:val="20"/>
              </w:rPr>
              <w:t>)</w:t>
            </w:r>
          </w:p>
        </w:tc>
        <w:tc>
          <w:tcPr>
            <w:tcW w:w="816" w:type="dxa"/>
            <w:tcBorders>
              <w:top w:val="nil"/>
              <w:bottom w:val="nil"/>
            </w:tcBorders>
          </w:tcPr>
          <w:p w14:paraId="56E9FC94" w14:textId="32010B4D" w:rsidR="006A79C8" w:rsidRPr="00C82994" w:rsidRDefault="004C62EA" w:rsidP="000D2709">
            <w:pPr>
              <w:pStyle w:val="TableParagraph"/>
              <w:contextualSpacing/>
              <w:jc w:val="right"/>
              <w:rPr>
                <w:b/>
                <w:sz w:val="20"/>
              </w:rPr>
            </w:pPr>
            <w:r w:rsidRPr="00C82994">
              <w:rPr>
                <w:b/>
                <w:sz w:val="20"/>
              </w:rPr>
              <w:t>$</w:t>
            </w:r>
            <w:r w:rsidR="009061BB" w:rsidRPr="00C82994">
              <w:rPr>
                <w:b/>
                <w:sz w:val="20"/>
              </w:rPr>
              <w:t>1</w:t>
            </w:r>
            <w:r w:rsidR="00921F56" w:rsidRPr="00C82994">
              <w:rPr>
                <w:b/>
                <w:sz w:val="20"/>
              </w:rPr>
              <w:t>74</w:t>
            </w:r>
          </w:p>
        </w:tc>
      </w:tr>
      <w:tr w:rsidR="006A79C8" w:rsidRPr="00C82994" w14:paraId="38E652D4" w14:textId="77777777" w:rsidTr="007172D8">
        <w:trPr>
          <w:trHeight w:val="228"/>
          <w:jc w:val="center"/>
        </w:trPr>
        <w:tc>
          <w:tcPr>
            <w:tcW w:w="3960" w:type="dxa"/>
            <w:tcBorders>
              <w:top w:val="nil"/>
              <w:bottom w:val="nil"/>
            </w:tcBorders>
          </w:tcPr>
          <w:p w14:paraId="2C48605C" w14:textId="4E1ADDB3" w:rsidR="006A79C8" w:rsidRPr="00C82994" w:rsidRDefault="004C62EA" w:rsidP="009061BB">
            <w:pPr>
              <w:pStyle w:val="TableParagraph"/>
              <w:contextualSpacing/>
              <w:rPr>
                <w:sz w:val="20"/>
              </w:rPr>
            </w:pPr>
            <w:r w:rsidRPr="00C82994">
              <w:rPr>
                <w:sz w:val="20"/>
              </w:rPr>
              <w:t>Postage (0.</w:t>
            </w:r>
            <w:r w:rsidR="000440CF" w:rsidRPr="00C82994">
              <w:rPr>
                <w:sz w:val="20"/>
              </w:rPr>
              <w:t xml:space="preserve">49 </w:t>
            </w:r>
            <w:r w:rsidRPr="00C82994">
              <w:rPr>
                <w:sz w:val="20"/>
              </w:rPr>
              <w:t xml:space="preserve">x </w:t>
            </w:r>
            <w:r w:rsidR="009061BB" w:rsidRPr="00C82994">
              <w:rPr>
                <w:sz w:val="20"/>
              </w:rPr>
              <w:t xml:space="preserve">140 </w:t>
            </w:r>
            <w:r w:rsidRPr="00C82994">
              <w:rPr>
                <w:sz w:val="20"/>
              </w:rPr>
              <w:t xml:space="preserve">= </w:t>
            </w:r>
            <w:r w:rsidR="009061BB" w:rsidRPr="00C82994">
              <w:rPr>
                <w:sz w:val="20"/>
              </w:rPr>
              <w:t>68.60</w:t>
            </w:r>
            <w:r w:rsidRPr="00C82994">
              <w:rPr>
                <w:sz w:val="20"/>
              </w:rPr>
              <w:t>)</w:t>
            </w:r>
          </w:p>
        </w:tc>
        <w:tc>
          <w:tcPr>
            <w:tcW w:w="816" w:type="dxa"/>
            <w:tcBorders>
              <w:top w:val="nil"/>
              <w:bottom w:val="nil"/>
            </w:tcBorders>
          </w:tcPr>
          <w:p w14:paraId="6FA570D3" w14:textId="77777777" w:rsidR="006A79C8" w:rsidRPr="00C82994" w:rsidRDefault="006A79C8" w:rsidP="00735EE7">
            <w:pPr>
              <w:pStyle w:val="TableParagraph"/>
              <w:contextualSpacing/>
              <w:rPr>
                <w:sz w:val="16"/>
              </w:rPr>
            </w:pPr>
          </w:p>
        </w:tc>
      </w:tr>
      <w:tr w:rsidR="006A79C8" w14:paraId="519578C6" w14:textId="77777777" w:rsidTr="007172D8">
        <w:trPr>
          <w:trHeight w:val="228"/>
          <w:jc w:val="center"/>
        </w:trPr>
        <w:tc>
          <w:tcPr>
            <w:tcW w:w="3960" w:type="dxa"/>
            <w:tcBorders>
              <w:top w:val="nil"/>
              <w:bottom w:val="single" w:sz="4" w:space="0" w:color="000000"/>
            </w:tcBorders>
          </w:tcPr>
          <w:p w14:paraId="77045260" w14:textId="6970FF86" w:rsidR="006A79C8" w:rsidRDefault="004C62EA" w:rsidP="004E62E3">
            <w:pPr>
              <w:pStyle w:val="TableParagraph"/>
              <w:contextualSpacing/>
              <w:rPr>
                <w:sz w:val="20"/>
              </w:rPr>
            </w:pPr>
            <w:r w:rsidRPr="00C82994">
              <w:rPr>
                <w:sz w:val="20"/>
              </w:rPr>
              <w:t xml:space="preserve">Photocopy (0.05 x </w:t>
            </w:r>
            <w:r w:rsidR="00AC3C43" w:rsidRPr="00C82994">
              <w:rPr>
                <w:sz w:val="20"/>
              </w:rPr>
              <w:t xml:space="preserve">5pp </w:t>
            </w:r>
            <w:r w:rsidRPr="00C82994">
              <w:rPr>
                <w:sz w:val="20"/>
              </w:rPr>
              <w:t xml:space="preserve">x </w:t>
            </w:r>
            <w:r w:rsidR="004E62E3" w:rsidRPr="00C82994">
              <w:rPr>
                <w:sz w:val="20"/>
              </w:rPr>
              <w:t xml:space="preserve">420 </w:t>
            </w:r>
            <w:r w:rsidRPr="00C82994">
              <w:rPr>
                <w:sz w:val="20"/>
              </w:rPr>
              <w:t xml:space="preserve">= </w:t>
            </w:r>
            <w:r w:rsidR="004E62E3" w:rsidRPr="00C82994">
              <w:rPr>
                <w:sz w:val="20"/>
              </w:rPr>
              <w:t>105</w:t>
            </w:r>
            <w:r w:rsidRPr="00C82994">
              <w:rPr>
                <w:sz w:val="20"/>
              </w:rPr>
              <w:t>)</w:t>
            </w:r>
          </w:p>
        </w:tc>
        <w:tc>
          <w:tcPr>
            <w:tcW w:w="816" w:type="dxa"/>
            <w:tcBorders>
              <w:top w:val="nil"/>
              <w:bottom w:val="single" w:sz="4" w:space="0" w:color="000000"/>
            </w:tcBorders>
          </w:tcPr>
          <w:p w14:paraId="7BD91206" w14:textId="77777777" w:rsidR="006A79C8" w:rsidRDefault="006A79C8" w:rsidP="00735EE7">
            <w:pPr>
              <w:pStyle w:val="TableParagraph"/>
              <w:contextualSpacing/>
              <w:rPr>
                <w:sz w:val="16"/>
              </w:rPr>
            </w:pPr>
          </w:p>
        </w:tc>
      </w:tr>
    </w:tbl>
    <w:p w14:paraId="327CC5FA" w14:textId="77777777" w:rsidR="006A79C8" w:rsidRDefault="006A79C8" w:rsidP="00735EE7">
      <w:pPr>
        <w:pStyle w:val="BodyText"/>
        <w:contextualSpacing/>
        <w:rPr>
          <w:sz w:val="20"/>
        </w:rPr>
      </w:pPr>
    </w:p>
    <w:p w14:paraId="39E2EDCB" w14:textId="77777777" w:rsidR="006A79C8" w:rsidRDefault="006A79C8" w:rsidP="00735EE7">
      <w:pPr>
        <w:pStyle w:val="BodyText"/>
        <w:contextualSpacing/>
      </w:pPr>
    </w:p>
    <w:p w14:paraId="51C95AEA" w14:textId="35487D57" w:rsidR="006A79C8" w:rsidRDefault="000B5A4D" w:rsidP="00DD4578">
      <w:pPr>
        <w:pStyle w:val="Heading1"/>
        <w:tabs>
          <w:tab w:val="left" w:pos="360"/>
        </w:tabs>
        <w:ind w:left="0"/>
        <w:contextualSpacing/>
        <w:rPr>
          <w:u w:val="none"/>
        </w:rPr>
      </w:pPr>
      <w:r w:rsidRPr="00C763CC">
        <w:rPr>
          <w:u w:val="none"/>
        </w:rPr>
        <w:t>i</w:t>
      </w:r>
      <w:r w:rsidR="00DD4578" w:rsidRPr="00C763CC">
        <w:rPr>
          <w:u w:val="none"/>
        </w:rPr>
        <w:t>.</w:t>
      </w:r>
      <w:r w:rsidR="00DD4578" w:rsidRPr="00C763CC">
        <w:rPr>
          <w:u w:val="none"/>
        </w:rPr>
        <w:tab/>
      </w:r>
      <w:r w:rsidR="004C62EA" w:rsidRPr="00C763CC">
        <w:rPr>
          <w:u w:val="none"/>
        </w:rPr>
        <w:t>Application for replacement of certificates, permits, or</w:t>
      </w:r>
      <w:r w:rsidR="004C62EA" w:rsidRPr="00C763CC">
        <w:rPr>
          <w:spacing w:val="-3"/>
          <w:u w:val="none"/>
        </w:rPr>
        <w:t xml:space="preserve"> </w:t>
      </w:r>
      <w:r w:rsidR="004C62EA" w:rsidRPr="00C763CC">
        <w:rPr>
          <w:u w:val="none"/>
        </w:rPr>
        <w:t>licenses</w:t>
      </w:r>
      <w:r w:rsidR="00DA53B9">
        <w:rPr>
          <w:u w:val="none"/>
        </w:rPr>
        <w:t xml:space="preserve"> [adjusted]</w:t>
      </w:r>
    </w:p>
    <w:p w14:paraId="34B19881" w14:textId="77777777" w:rsidR="006A79C8" w:rsidRDefault="006A79C8" w:rsidP="00735EE7">
      <w:pPr>
        <w:pStyle w:val="BodyText"/>
        <w:contextualSpacing/>
        <w:rPr>
          <w:b/>
          <w:sz w:val="23"/>
        </w:rPr>
      </w:pPr>
    </w:p>
    <w:p w14:paraId="1C344A02" w14:textId="77777777" w:rsidR="006A79C8" w:rsidRDefault="004C62EA" w:rsidP="00735EE7">
      <w:pPr>
        <w:pStyle w:val="BodyText"/>
        <w:contextualSpacing/>
      </w:pPr>
      <w:r>
        <w:t>This form is used to request a replacement for a certificate, permit, or license that was previously issued by NMFS and that subsequently was lost, destroyed, or stolen.</w:t>
      </w:r>
    </w:p>
    <w:p w14:paraId="1D07EA99" w14:textId="77777777" w:rsidR="001835EB" w:rsidRDefault="001835EB" w:rsidP="00735EE7">
      <w:pPr>
        <w:pStyle w:val="BodyText"/>
        <w:contextualSpacing/>
      </w:pPr>
    </w:p>
    <w:p w14:paraId="53BFA814" w14:textId="16363F7E" w:rsidR="006A79C8" w:rsidRDefault="004C62EA" w:rsidP="00735EE7">
      <w:pPr>
        <w:pStyle w:val="BodyText"/>
        <w:contextualSpacing/>
      </w:pPr>
      <w:r>
        <w:t>An application for replacement may be submitted to NMFS</w:t>
      </w:r>
      <w:r w:rsidR="0009053F">
        <w:t xml:space="preserve"> RAM</w:t>
      </w:r>
      <w:r>
        <w:t xml:space="preserve"> by mail, delivery, or fax.</w:t>
      </w:r>
    </w:p>
    <w:p w14:paraId="7A9FDF74" w14:textId="77777777" w:rsidR="006A79C8" w:rsidRPr="00B25DF2" w:rsidRDefault="006A79C8" w:rsidP="00735EE7">
      <w:pPr>
        <w:pStyle w:val="BodyText"/>
        <w:contextualSpacing/>
      </w:pPr>
    </w:p>
    <w:p w14:paraId="624C5D53" w14:textId="7F371575" w:rsidR="006A79C8" w:rsidRPr="00B25DF2" w:rsidRDefault="00B25DF2" w:rsidP="00735EE7">
      <w:pPr>
        <w:contextualSpacing/>
        <w:rPr>
          <w:sz w:val="24"/>
          <w:szCs w:val="24"/>
        </w:rPr>
      </w:pPr>
      <w:r w:rsidRPr="00B25DF2">
        <w:rPr>
          <w:sz w:val="24"/>
          <w:szCs w:val="24"/>
        </w:rPr>
        <w:t>The following information is collected on the Application for Replacement of C</w:t>
      </w:r>
      <w:r w:rsidR="004C62EA" w:rsidRPr="00B25DF2">
        <w:rPr>
          <w:sz w:val="24"/>
          <w:szCs w:val="24"/>
        </w:rPr>
        <w:t xml:space="preserve">ertificates, </w:t>
      </w:r>
      <w:r w:rsidRPr="00B25DF2">
        <w:rPr>
          <w:sz w:val="24"/>
          <w:szCs w:val="24"/>
        </w:rPr>
        <w:t>Permits, or L</w:t>
      </w:r>
      <w:r w:rsidR="004C62EA" w:rsidRPr="00B25DF2">
        <w:rPr>
          <w:sz w:val="24"/>
          <w:szCs w:val="24"/>
        </w:rPr>
        <w:t>icenses</w:t>
      </w:r>
      <w:r w:rsidRPr="00B25DF2">
        <w:rPr>
          <w:sz w:val="24"/>
          <w:szCs w:val="24"/>
        </w:rPr>
        <w:t>.</w:t>
      </w:r>
    </w:p>
    <w:p w14:paraId="2AF7CB18" w14:textId="77777777" w:rsidR="00B25DF2" w:rsidRPr="00B25DF2" w:rsidRDefault="00B25DF2" w:rsidP="00735EE7">
      <w:pPr>
        <w:contextualSpacing/>
        <w:rPr>
          <w:sz w:val="24"/>
          <w:szCs w:val="24"/>
        </w:rPr>
      </w:pPr>
    </w:p>
    <w:p w14:paraId="26A5207B" w14:textId="77777777" w:rsidR="001835EB" w:rsidRDefault="004C62EA" w:rsidP="00735EE7">
      <w:pPr>
        <w:contextualSpacing/>
        <w:rPr>
          <w:sz w:val="20"/>
        </w:rPr>
      </w:pPr>
      <w:r>
        <w:rPr>
          <w:sz w:val="20"/>
          <w:u w:val="single"/>
        </w:rPr>
        <w:t>Block A – Identification of Applicant</w:t>
      </w:r>
      <w:r>
        <w:rPr>
          <w:sz w:val="20"/>
        </w:rPr>
        <w:t xml:space="preserve"> </w:t>
      </w:r>
    </w:p>
    <w:p w14:paraId="27DBD4AB" w14:textId="77777777" w:rsidR="006A79C8" w:rsidRDefault="004C62EA" w:rsidP="00735EE7">
      <w:pPr>
        <w:contextualSpacing/>
        <w:rPr>
          <w:sz w:val="20"/>
        </w:rPr>
      </w:pPr>
      <w:r>
        <w:rPr>
          <w:sz w:val="20"/>
        </w:rPr>
        <w:t>Name and NMFS Person ID</w:t>
      </w:r>
    </w:p>
    <w:p w14:paraId="377A70A0" w14:textId="77777777" w:rsidR="006A79C8" w:rsidRDefault="004C62EA" w:rsidP="00735EE7">
      <w:pPr>
        <w:contextualSpacing/>
        <w:rPr>
          <w:sz w:val="20"/>
        </w:rPr>
      </w:pPr>
      <w:r>
        <w:rPr>
          <w:sz w:val="20"/>
        </w:rPr>
        <w:t>Date of birth, if an individual; Date of incorporation, if a corporation, association, partnership, or other non-individual entity</w:t>
      </w:r>
    </w:p>
    <w:p w14:paraId="6F3F6F0E" w14:textId="77777777" w:rsidR="006A79C8" w:rsidRDefault="004C62EA" w:rsidP="00735EE7">
      <w:pPr>
        <w:contextualSpacing/>
        <w:rPr>
          <w:sz w:val="20"/>
        </w:rPr>
      </w:pPr>
      <w:r>
        <w:rPr>
          <w:sz w:val="20"/>
        </w:rPr>
        <w:t>Business mailing address (indicate whether temporary or permanent)</w:t>
      </w:r>
    </w:p>
    <w:p w14:paraId="6F94707B" w14:textId="77777777" w:rsidR="00DD4578" w:rsidRDefault="004C62EA" w:rsidP="00735EE7">
      <w:pPr>
        <w:contextualSpacing/>
        <w:rPr>
          <w:sz w:val="20"/>
        </w:rPr>
      </w:pPr>
      <w:r>
        <w:rPr>
          <w:sz w:val="20"/>
        </w:rPr>
        <w:t xml:space="preserve">Business telephone number, business fax number, and business e-mail address </w:t>
      </w:r>
    </w:p>
    <w:p w14:paraId="2CAC1D64" w14:textId="77777777" w:rsidR="006A79C8" w:rsidRDefault="004C62EA" w:rsidP="00735EE7">
      <w:pPr>
        <w:contextualSpacing/>
        <w:rPr>
          <w:sz w:val="20"/>
        </w:rPr>
      </w:pPr>
      <w:r>
        <w:rPr>
          <w:sz w:val="20"/>
          <w:u w:val="single"/>
        </w:rPr>
        <w:t>Block B – Replacement Request</w:t>
      </w:r>
    </w:p>
    <w:p w14:paraId="61F03ECC" w14:textId="77777777" w:rsidR="00DD4578" w:rsidRDefault="004C62EA" w:rsidP="00735EE7">
      <w:pPr>
        <w:contextualSpacing/>
        <w:rPr>
          <w:sz w:val="20"/>
        </w:rPr>
      </w:pPr>
      <w:r>
        <w:rPr>
          <w:sz w:val="20"/>
        </w:rPr>
        <w:t xml:space="preserve">Indicate certificate, permit, or license to be replaced (check only items that apply) </w:t>
      </w:r>
    </w:p>
    <w:p w14:paraId="58A5FE29" w14:textId="77777777" w:rsidR="006A79C8" w:rsidRDefault="004C62EA" w:rsidP="00735EE7">
      <w:pPr>
        <w:contextualSpacing/>
        <w:rPr>
          <w:sz w:val="20"/>
        </w:rPr>
      </w:pPr>
      <w:r>
        <w:rPr>
          <w:sz w:val="20"/>
          <w:u w:val="single"/>
        </w:rPr>
        <w:t xml:space="preserve">Block C – Reason for replacement </w:t>
      </w:r>
      <w:r w:rsidR="001835EB">
        <w:rPr>
          <w:sz w:val="20"/>
          <w:u w:val="single"/>
        </w:rPr>
        <w:t>r</w:t>
      </w:r>
      <w:r>
        <w:rPr>
          <w:sz w:val="20"/>
          <w:u w:val="single"/>
        </w:rPr>
        <w:t>equest</w:t>
      </w:r>
    </w:p>
    <w:p w14:paraId="731453DE" w14:textId="77777777" w:rsidR="00DD4578" w:rsidRDefault="004C62EA" w:rsidP="00735EE7">
      <w:pPr>
        <w:contextualSpacing/>
        <w:rPr>
          <w:sz w:val="20"/>
        </w:rPr>
      </w:pPr>
      <w:r>
        <w:rPr>
          <w:sz w:val="20"/>
        </w:rPr>
        <w:t>Check one; if checked “other</w:t>
      </w:r>
      <w:r w:rsidR="001835EB">
        <w:rPr>
          <w:sz w:val="20"/>
        </w:rPr>
        <w:t>,</w:t>
      </w:r>
      <w:r>
        <w:rPr>
          <w:sz w:val="20"/>
        </w:rPr>
        <w:t xml:space="preserve">” describe </w:t>
      </w:r>
    </w:p>
    <w:p w14:paraId="6DE257D8" w14:textId="77777777" w:rsidR="006A79C8" w:rsidRDefault="004C62EA" w:rsidP="00735EE7">
      <w:pPr>
        <w:contextualSpacing/>
        <w:rPr>
          <w:sz w:val="20"/>
        </w:rPr>
      </w:pPr>
      <w:r>
        <w:rPr>
          <w:sz w:val="20"/>
          <w:u w:val="single"/>
        </w:rPr>
        <w:t>Block D – Certification of Applicant</w:t>
      </w:r>
    </w:p>
    <w:p w14:paraId="1F50DE66" w14:textId="77777777" w:rsidR="001835EB" w:rsidRDefault="004C62EA" w:rsidP="00735EE7">
      <w:pPr>
        <w:contextualSpacing/>
        <w:rPr>
          <w:sz w:val="20"/>
        </w:rPr>
      </w:pPr>
      <w:r>
        <w:rPr>
          <w:sz w:val="20"/>
        </w:rPr>
        <w:t xml:space="preserve">Signature and printed name of applicant </w:t>
      </w:r>
      <w:r w:rsidR="00AC358B">
        <w:rPr>
          <w:sz w:val="20"/>
        </w:rPr>
        <w:t xml:space="preserve">or authorized representative </w:t>
      </w:r>
      <w:r>
        <w:rPr>
          <w:sz w:val="20"/>
        </w:rPr>
        <w:t xml:space="preserve">and date signed </w:t>
      </w:r>
    </w:p>
    <w:p w14:paraId="7C70BC4D" w14:textId="77777777" w:rsidR="006A79C8" w:rsidRDefault="004C62EA" w:rsidP="00735EE7">
      <w:pPr>
        <w:contextualSpacing/>
        <w:rPr>
          <w:sz w:val="20"/>
        </w:rPr>
      </w:pPr>
      <w:r>
        <w:rPr>
          <w:sz w:val="20"/>
        </w:rPr>
        <w:t xml:space="preserve">If authorized representative, </w:t>
      </w:r>
      <w:r>
        <w:rPr>
          <w:b/>
          <w:sz w:val="20"/>
        </w:rPr>
        <w:t xml:space="preserve">attach </w:t>
      </w:r>
      <w:r>
        <w:rPr>
          <w:sz w:val="20"/>
        </w:rPr>
        <w:t>authorization</w:t>
      </w:r>
    </w:p>
    <w:p w14:paraId="0BF4E098" w14:textId="77777777" w:rsidR="006A79C8" w:rsidRDefault="006A79C8" w:rsidP="00735EE7">
      <w:pPr>
        <w:pStyle w:val="BodyText"/>
        <w:contextualSpacing/>
        <w:rPr>
          <w:sz w:val="19"/>
        </w:rPr>
      </w:pPr>
    </w:p>
    <w:p w14:paraId="4C58DC31"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1"/>
        <w:gridCol w:w="900"/>
      </w:tblGrid>
      <w:tr w:rsidR="006A79C8" w14:paraId="235BF272" w14:textId="77777777" w:rsidTr="00C01040">
        <w:trPr>
          <w:trHeight w:val="457"/>
          <w:jc w:val="center"/>
        </w:trPr>
        <w:tc>
          <w:tcPr>
            <w:tcW w:w="4411" w:type="dxa"/>
            <w:gridSpan w:val="2"/>
          </w:tcPr>
          <w:p w14:paraId="08042DC1" w14:textId="77777777" w:rsidR="006A79C8" w:rsidRDefault="004C62EA" w:rsidP="003E7539">
            <w:pPr>
              <w:pStyle w:val="TableParagraph"/>
              <w:keepNext/>
              <w:contextualSpacing/>
              <w:rPr>
                <w:b/>
                <w:sz w:val="20"/>
              </w:rPr>
            </w:pPr>
            <w:r>
              <w:rPr>
                <w:b/>
                <w:sz w:val="20"/>
              </w:rPr>
              <w:t>Application for Replacement of Certificates, Permits, or Licenses, Respondent</w:t>
            </w:r>
          </w:p>
        </w:tc>
      </w:tr>
      <w:tr w:rsidR="006A79C8" w14:paraId="4B325DEC" w14:textId="77777777" w:rsidTr="00C01040">
        <w:trPr>
          <w:trHeight w:val="231"/>
          <w:jc w:val="center"/>
        </w:trPr>
        <w:tc>
          <w:tcPr>
            <w:tcW w:w="3511" w:type="dxa"/>
            <w:tcBorders>
              <w:bottom w:val="nil"/>
            </w:tcBorders>
          </w:tcPr>
          <w:p w14:paraId="1970D522" w14:textId="77777777" w:rsidR="006A79C8" w:rsidRDefault="004C62EA" w:rsidP="003E7539">
            <w:pPr>
              <w:pStyle w:val="TableParagraph"/>
              <w:keepNext/>
              <w:contextualSpacing/>
              <w:rPr>
                <w:b/>
                <w:sz w:val="20"/>
              </w:rPr>
            </w:pPr>
            <w:r>
              <w:rPr>
                <w:b/>
                <w:sz w:val="20"/>
              </w:rPr>
              <w:t>Estimated number of respondents</w:t>
            </w:r>
          </w:p>
        </w:tc>
        <w:tc>
          <w:tcPr>
            <w:tcW w:w="900" w:type="dxa"/>
            <w:tcBorders>
              <w:bottom w:val="nil"/>
            </w:tcBorders>
          </w:tcPr>
          <w:p w14:paraId="18AD4B67" w14:textId="00BF81FF" w:rsidR="006A79C8" w:rsidRDefault="00716410" w:rsidP="003E7539">
            <w:pPr>
              <w:pStyle w:val="TableParagraph"/>
              <w:keepNext/>
              <w:contextualSpacing/>
              <w:jc w:val="right"/>
              <w:rPr>
                <w:b/>
                <w:sz w:val="20"/>
              </w:rPr>
            </w:pPr>
            <w:r>
              <w:rPr>
                <w:b/>
                <w:sz w:val="20"/>
              </w:rPr>
              <w:t>50</w:t>
            </w:r>
          </w:p>
        </w:tc>
      </w:tr>
      <w:tr w:rsidR="006A79C8" w14:paraId="67967253" w14:textId="77777777" w:rsidTr="00C01040">
        <w:trPr>
          <w:trHeight w:val="226"/>
          <w:jc w:val="center"/>
        </w:trPr>
        <w:tc>
          <w:tcPr>
            <w:tcW w:w="3511" w:type="dxa"/>
            <w:tcBorders>
              <w:top w:val="nil"/>
              <w:bottom w:val="nil"/>
            </w:tcBorders>
          </w:tcPr>
          <w:p w14:paraId="664A06B7" w14:textId="77777777" w:rsidR="006A79C8" w:rsidRDefault="004C62EA" w:rsidP="003E7539">
            <w:pPr>
              <w:pStyle w:val="TableParagraph"/>
              <w:keepNext/>
              <w:contextualSpacing/>
              <w:rPr>
                <w:b/>
                <w:sz w:val="20"/>
              </w:rPr>
            </w:pPr>
            <w:r>
              <w:rPr>
                <w:b/>
                <w:sz w:val="20"/>
              </w:rPr>
              <w:t>Total annual responses</w:t>
            </w:r>
          </w:p>
        </w:tc>
        <w:tc>
          <w:tcPr>
            <w:tcW w:w="900" w:type="dxa"/>
            <w:tcBorders>
              <w:top w:val="nil"/>
              <w:bottom w:val="nil"/>
            </w:tcBorders>
          </w:tcPr>
          <w:p w14:paraId="40F08E78" w14:textId="42E29556" w:rsidR="006A79C8" w:rsidRDefault="00716410" w:rsidP="003E7539">
            <w:pPr>
              <w:pStyle w:val="TableParagraph"/>
              <w:keepNext/>
              <w:contextualSpacing/>
              <w:jc w:val="right"/>
              <w:rPr>
                <w:b/>
                <w:sz w:val="20"/>
              </w:rPr>
            </w:pPr>
            <w:r>
              <w:rPr>
                <w:b/>
                <w:sz w:val="20"/>
              </w:rPr>
              <w:t>50</w:t>
            </w:r>
          </w:p>
        </w:tc>
      </w:tr>
      <w:tr w:rsidR="006A79C8" w14:paraId="4FF5DF6C" w14:textId="77777777" w:rsidTr="00C01040">
        <w:trPr>
          <w:trHeight w:val="228"/>
          <w:jc w:val="center"/>
        </w:trPr>
        <w:tc>
          <w:tcPr>
            <w:tcW w:w="3511" w:type="dxa"/>
            <w:tcBorders>
              <w:top w:val="nil"/>
              <w:bottom w:val="nil"/>
            </w:tcBorders>
          </w:tcPr>
          <w:p w14:paraId="11ACC71A" w14:textId="77777777" w:rsidR="006A79C8" w:rsidRDefault="004C62EA" w:rsidP="003E7539">
            <w:pPr>
              <w:pStyle w:val="TableParagraph"/>
              <w:keepNext/>
              <w:contextualSpacing/>
              <w:rPr>
                <w:sz w:val="20"/>
              </w:rPr>
            </w:pPr>
            <w:r>
              <w:rPr>
                <w:sz w:val="20"/>
              </w:rPr>
              <w:t>Number of responses per year = 1</w:t>
            </w:r>
          </w:p>
        </w:tc>
        <w:tc>
          <w:tcPr>
            <w:tcW w:w="900" w:type="dxa"/>
            <w:tcBorders>
              <w:top w:val="nil"/>
              <w:bottom w:val="nil"/>
            </w:tcBorders>
          </w:tcPr>
          <w:p w14:paraId="2C5EE7F8" w14:textId="77777777" w:rsidR="006A79C8" w:rsidRDefault="006A79C8" w:rsidP="003E7539">
            <w:pPr>
              <w:pStyle w:val="TableParagraph"/>
              <w:keepNext/>
              <w:contextualSpacing/>
              <w:jc w:val="right"/>
              <w:rPr>
                <w:sz w:val="16"/>
              </w:rPr>
            </w:pPr>
          </w:p>
        </w:tc>
      </w:tr>
      <w:tr w:rsidR="006A79C8" w14:paraId="00EDC44D" w14:textId="77777777" w:rsidTr="00C01040">
        <w:trPr>
          <w:trHeight w:val="232"/>
          <w:jc w:val="center"/>
        </w:trPr>
        <w:tc>
          <w:tcPr>
            <w:tcW w:w="3511" w:type="dxa"/>
            <w:tcBorders>
              <w:top w:val="nil"/>
              <w:bottom w:val="nil"/>
            </w:tcBorders>
          </w:tcPr>
          <w:p w14:paraId="26891345" w14:textId="4BFE3799" w:rsidR="006A79C8" w:rsidRDefault="00757DEC" w:rsidP="003E7539">
            <w:pPr>
              <w:pStyle w:val="TableParagraph"/>
              <w:keepNext/>
              <w:contextualSpacing/>
              <w:rPr>
                <w:sz w:val="20"/>
              </w:rPr>
            </w:pPr>
            <w:r>
              <w:rPr>
                <w:b/>
                <w:sz w:val="20"/>
              </w:rPr>
              <w:t>Total t</w:t>
            </w:r>
            <w:r w:rsidR="004C62EA">
              <w:rPr>
                <w:b/>
                <w:sz w:val="20"/>
              </w:rPr>
              <w:t xml:space="preserve">ime burden </w:t>
            </w:r>
            <w:r w:rsidR="004C62EA">
              <w:rPr>
                <w:sz w:val="20"/>
              </w:rPr>
              <w:t>(</w:t>
            </w:r>
            <w:r w:rsidR="00716410">
              <w:rPr>
                <w:sz w:val="20"/>
              </w:rPr>
              <w:t>25</w:t>
            </w:r>
            <w:r w:rsidR="004C62EA">
              <w:rPr>
                <w:sz w:val="20"/>
              </w:rPr>
              <w:t>)</w:t>
            </w:r>
          </w:p>
        </w:tc>
        <w:tc>
          <w:tcPr>
            <w:tcW w:w="900" w:type="dxa"/>
            <w:tcBorders>
              <w:top w:val="nil"/>
              <w:bottom w:val="nil"/>
            </w:tcBorders>
          </w:tcPr>
          <w:p w14:paraId="73B4FA28" w14:textId="3EA4432D" w:rsidR="006A79C8" w:rsidRDefault="00716410" w:rsidP="003E7539">
            <w:pPr>
              <w:pStyle w:val="TableParagraph"/>
              <w:keepNext/>
              <w:contextualSpacing/>
              <w:jc w:val="right"/>
              <w:rPr>
                <w:b/>
                <w:sz w:val="20"/>
              </w:rPr>
            </w:pPr>
            <w:r>
              <w:rPr>
                <w:b/>
                <w:sz w:val="20"/>
              </w:rPr>
              <w:t xml:space="preserve">25 </w:t>
            </w:r>
            <w:r w:rsidR="004C62EA">
              <w:rPr>
                <w:b/>
                <w:sz w:val="20"/>
              </w:rPr>
              <w:t>hr</w:t>
            </w:r>
          </w:p>
        </w:tc>
      </w:tr>
      <w:tr w:rsidR="006A79C8" w14:paraId="4BA3A2F8" w14:textId="77777777" w:rsidTr="00C01040">
        <w:trPr>
          <w:trHeight w:val="228"/>
          <w:jc w:val="center"/>
        </w:trPr>
        <w:tc>
          <w:tcPr>
            <w:tcW w:w="3511" w:type="dxa"/>
            <w:tcBorders>
              <w:top w:val="nil"/>
              <w:bottom w:val="nil"/>
            </w:tcBorders>
          </w:tcPr>
          <w:p w14:paraId="3C906383" w14:textId="77777777" w:rsidR="006A79C8" w:rsidRDefault="004C62EA" w:rsidP="003E7539">
            <w:pPr>
              <w:pStyle w:val="TableParagraph"/>
              <w:keepNext/>
              <w:contextualSpacing/>
              <w:rPr>
                <w:sz w:val="20"/>
              </w:rPr>
            </w:pPr>
            <w:r>
              <w:rPr>
                <w:sz w:val="20"/>
              </w:rPr>
              <w:t>Time per response = 30 min</w:t>
            </w:r>
          </w:p>
        </w:tc>
        <w:tc>
          <w:tcPr>
            <w:tcW w:w="900" w:type="dxa"/>
            <w:tcBorders>
              <w:top w:val="nil"/>
              <w:bottom w:val="nil"/>
            </w:tcBorders>
          </w:tcPr>
          <w:p w14:paraId="0A467282" w14:textId="77777777" w:rsidR="006A79C8" w:rsidRDefault="006A79C8" w:rsidP="003E7539">
            <w:pPr>
              <w:pStyle w:val="TableParagraph"/>
              <w:keepNext/>
              <w:contextualSpacing/>
              <w:jc w:val="right"/>
              <w:rPr>
                <w:sz w:val="16"/>
              </w:rPr>
            </w:pPr>
          </w:p>
        </w:tc>
      </w:tr>
      <w:tr w:rsidR="006A79C8" w14:paraId="2FDEC2E5" w14:textId="77777777" w:rsidTr="00C01040">
        <w:trPr>
          <w:trHeight w:val="232"/>
          <w:jc w:val="center"/>
        </w:trPr>
        <w:tc>
          <w:tcPr>
            <w:tcW w:w="3511" w:type="dxa"/>
            <w:tcBorders>
              <w:top w:val="nil"/>
              <w:bottom w:val="nil"/>
            </w:tcBorders>
          </w:tcPr>
          <w:p w14:paraId="5FAFD158" w14:textId="3EB1FA47" w:rsidR="006A79C8" w:rsidRDefault="004C62EA" w:rsidP="003E7539">
            <w:pPr>
              <w:pStyle w:val="TableParagraph"/>
              <w:keepNext/>
              <w:contextualSpacing/>
              <w:rPr>
                <w:sz w:val="20"/>
              </w:rPr>
            </w:pPr>
            <w:r>
              <w:rPr>
                <w:b/>
                <w:sz w:val="20"/>
              </w:rPr>
              <w:t xml:space="preserve">Total personnel cost </w:t>
            </w:r>
            <w:r>
              <w:rPr>
                <w:sz w:val="20"/>
              </w:rPr>
              <w:t xml:space="preserve">($37/hr x </w:t>
            </w:r>
            <w:r w:rsidR="00716410">
              <w:rPr>
                <w:sz w:val="20"/>
              </w:rPr>
              <w:t>25</w:t>
            </w:r>
            <w:r>
              <w:rPr>
                <w:sz w:val="20"/>
              </w:rPr>
              <w:t>)</w:t>
            </w:r>
          </w:p>
        </w:tc>
        <w:tc>
          <w:tcPr>
            <w:tcW w:w="900" w:type="dxa"/>
            <w:tcBorders>
              <w:top w:val="nil"/>
              <w:bottom w:val="nil"/>
            </w:tcBorders>
          </w:tcPr>
          <w:p w14:paraId="76FF0138" w14:textId="12A50162" w:rsidR="006A79C8" w:rsidRDefault="004C62EA" w:rsidP="003E7539">
            <w:pPr>
              <w:pStyle w:val="TableParagraph"/>
              <w:keepNext/>
              <w:contextualSpacing/>
              <w:jc w:val="right"/>
              <w:rPr>
                <w:b/>
                <w:sz w:val="20"/>
              </w:rPr>
            </w:pPr>
            <w:r>
              <w:rPr>
                <w:b/>
                <w:sz w:val="20"/>
              </w:rPr>
              <w:t>$</w:t>
            </w:r>
            <w:r w:rsidR="00716410">
              <w:rPr>
                <w:b/>
                <w:sz w:val="20"/>
              </w:rPr>
              <w:t>925</w:t>
            </w:r>
          </w:p>
        </w:tc>
      </w:tr>
      <w:tr w:rsidR="006A79C8" w14:paraId="0CC470E1" w14:textId="77777777" w:rsidTr="00C01040">
        <w:trPr>
          <w:trHeight w:val="229"/>
          <w:jc w:val="center"/>
        </w:trPr>
        <w:tc>
          <w:tcPr>
            <w:tcW w:w="3511" w:type="dxa"/>
            <w:tcBorders>
              <w:top w:val="nil"/>
              <w:bottom w:val="nil"/>
            </w:tcBorders>
          </w:tcPr>
          <w:p w14:paraId="0FE7A748" w14:textId="77777777" w:rsidR="006A79C8" w:rsidRDefault="004C62EA" w:rsidP="003E7539">
            <w:pPr>
              <w:pStyle w:val="TableParagraph"/>
              <w:keepNext/>
              <w:contextualSpacing/>
              <w:rPr>
                <w:sz w:val="20"/>
              </w:rPr>
            </w:pPr>
            <w:r>
              <w:rPr>
                <w:b/>
                <w:sz w:val="20"/>
              </w:rPr>
              <w:t xml:space="preserve">Total miscellaneous cost </w:t>
            </w:r>
            <w:r>
              <w:rPr>
                <w:sz w:val="20"/>
              </w:rPr>
              <w:t>(</w:t>
            </w:r>
            <w:r w:rsidR="00D565F6">
              <w:rPr>
                <w:sz w:val="20"/>
              </w:rPr>
              <w:t>57.05</w:t>
            </w:r>
            <w:r>
              <w:rPr>
                <w:sz w:val="20"/>
              </w:rPr>
              <w:t>)</w:t>
            </w:r>
          </w:p>
        </w:tc>
        <w:tc>
          <w:tcPr>
            <w:tcW w:w="900" w:type="dxa"/>
            <w:tcBorders>
              <w:top w:val="nil"/>
              <w:bottom w:val="nil"/>
            </w:tcBorders>
          </w:tcPr>
          <w:p w14:paraId="450931B3" w14:textId="5F32C58C" w:rsidR="006A79C8" w:rsidRDefault="004C62EA" w:rsidP="003E7539">
            <w:pPr>
              <w:pStyle w:val="TableParagraph"/>
              <w:keepNext/>
              <w:contextualSpacing/>
              <w:jc w:val="right"/>
              <w:rPr>
                <w:b/>
                <w:sz w:val="20"/>
              </w:rPr>
            </w:pPr>
            <w:r>
              <w:rPr>
                <w:b/>
                <w:sz w:val="20"/>
              </w:rPr>
              <w:t>$</w:t>
            </w:r>
            <w:r w:rsidR="00D565F6">
              <w:rPr>
                <w:b/>
                <w:sz w:val="20"/>
              </w:rPr>
              <w:t>57</w:t>
            </w:r>
          </w:p>
        </w:tc>
      </w:tr>
      <w:tr w:rsidR="006A79C8" w14:paraId="791F2AA8" w14:textId="77777777" w:rsidTr="00C01040">
        <w:trPr>
          <w:trHeight w:val="226"/>
          <w:jc w:val="center"/>
        </w:trPr>
        <w:tc>
          <w:tcPr>
            <w:tcW w:w="3511" w:type="dxa"/>
            <w:tcBorders>
              <w:top w:val="nil"/>
              <w:bottom w:val="nil"/>
            </w:tcBorders>
          </w:tcPr>
          <w:p w14:paraId="672B1AD6" w14:textId="0B278BB2" w:rsidR="006A79C8" w:rsidRDefault="004C62EA" w:rsidP="003E7539">
            <w:pPr>
              <w:pStyle w:val="TableParagraph"/>
              <w:keepNext/>
              <w:contextualSpacing/>
              <w:rPr>
                <w:sz w:val="20"/>
              </w:rPr>
            </w:pPr>
            <w:r>
              <w:rPr>
                <w:sz w:val="20"/>
              </w:rPr>
              <w:t>Postage (0.</w:t>
            </w:r>
            <w:r w:rsidR="00397A53">
              <w:rPr>
                <w:sz w:val="20"/>
              </w:rPr>
              <w:t xml:space="preserve">49 </w:t>
            </w:r>
            <w:r>
              <w:rPr>
                <w:sz w:val="20"/>
              </w:rPr>
              <w:t xml:space="preserve">x </w:t>
            </w:r>
            <w:r w:rsidR="00716410">
              <w:rPr>
                <w:sz w:val="20"/>
              </w:rPr>
              <w:t>4</w:t>
            </w:r>
            <w:r w:rsidR="00D565F6">
              <w:rPr>
                <w:sz w:val="20"/>
              </w:rPr>
              <w:t>5</w:t>
            </w:r>
            <w:r>
              <w:rPr>
                <w:sz w:val="20"/>
              </w:rPr>
              <w:t xml:space="preserve"> = </w:t>
            </w:r>
            <w:r w:rsidR="00D565F6">
              <w:rPr>
                <w:sz w:val="20"/>
              </w:rPr>
              <w:t>22.05</w:t>
            </w:r>
            <w:r>
              <w:rPr>
                <w:sz w:val="20"/>
              </w:rPr>
              <w:t>)</w:t>
            </w:r>
          </w:p>
          <w:p w14:paraId="7BB17F4C" w14:textId="77777777" w:rsidR="00D565F6" w:rsidRDefault="00D565F6" w:rsidP="003E7539">
            <w:pPr>
              <w:pStyle w:val="TableParagraph"/>
              <w:keepNext/>
              <w:contextualSpacing/>
              <w:rPr>
                <w:sz w:val="20"/>
              </w:rPr>
            </w:pPr>
            <w:r>
              <w:rPr>
                <w:sz w:val="20"/>
              </w:rPr>
              <w:t>Fax ($6 x 5 = 30)</w:t>
            </w:r>
          </w:p>
        </w:tc>
        <w:tc>
          <w:tcPr>
            <w:tcW w:w="900" w:type="dxa"/>
            <w:tcBorders>
              <w:top w:val="nil"/>
              <w:bottom w:val="nil"/>
            </w:tcBorders>
          </w:tcPr>
          <w:p w14:paraId="636D749A" w14:textId="77777777" w:rsidR="006A79C8" w:rsidRDefault="006A79C8" w:rsidP="003E7539">
            <w:pPr>
              <w:pStyle w:val="TableParagraph"/>
              <w:keepNext/>
              <w:contextualSpacing/>
              <w:rPr>
                <w:sz w:val="16"/>
              </w:rPr>
            </w:pPr>
          </w:p>
        </w:tc>
      </w:tr>
      <w:tr w:rsidR="006A79C8" w14:paraId="55565F96" w14:textId="77777777" w:rsidTr="00C01040">
        <w:trPr>
          <w:trHeight w:val="232"/>
          <w:jc w:val="center"/>
        </w:trPr>
        <w:tc>
          <w:tcPr>
            <w:tcW w:w="3511" w:type="dxa"/>
            <w:tcBorders>
              <w:top w:val="nil"/>
              <w:bottom w:val="single" w:sz="4" w:space="0" w:color="000000"/>
            </w:tcBorders>
          </w:tcPr>
          <w:p w14:paraId="3BB472C1" w14:textId="4477F83E" w:rsidR="006A79C8" w:rsidRDefault="004C62EA" w:rsidP="003E7539">
            <w:pPr>
              <w:pStyle w:val="TableParagraph"/>
              <w:keepNext/>
              <w:contextualSpacing/>
              <w:rPr>
                <w:sz w:val="20"/>
              </w:rPr>
            </w:pPr>
            <w:r>
              <w:rPr>
                <w:sz w:val="20"/>
              </w:rPr>
              <w:t xml:space="preserve">Photocopy (0.05 x 2pp </w:t>
            </w:r>
            <w:r w:rsidRPr="00005112">
              <w:rPr>
                <w:sz w:val="20"/>
              </w:rPr>
              <w:t xml:space="preserve">x </w:t>
            </w:r>
            <w:r w:rsidR="00D565F6">
              <w:rPr>
                <w:sz w:val="20"/>
              </w:rPr>
              <w:t>50</w:t>
            </w:r>
            <w:r>
              <w:rPr>
                <w:sz w:val="20"/>
              </w:rPr>
              <w:t xml:space="preserve"> = </w:t>
            </w:r>
            <w:r w:rsidR="00D565F6">
              <w:rPr>
                <w:sz w:val="20"/>
              </w:rPr>
              <w:t>5</w:t>
            </w:r>
            <w:r>
              <w:rPr>
                <w:sz w:val="20"/>
              </w:rPr>
              <w:t>)</w:t>
            </w:r>
          </w:p>
        </w:tc>
        <w:tc>
          <w:tcPr>
            <w:tcW w:w="900" w:type="dxa"/>
            <w:tcBorders>
              <w:top w:val="nil"/>
              <w:bottom w:val="single" w:sz="4" w:space="0" w:color="000000"/>
            </w:tcBorders>
          </w:tcPr>
          <w:p w14:paraId="14A33C8B" w14:textId="77777777" w:rsidR="006A79C8" w:rsidRDefault="006A79C8" w:rsidP="003E7539">
            <w:pPr>
              <w:pStyle w:val="TableParagraph"/>
              <w:keepNext/>
              <w:contextualSpacing/>
              <w:rPr>
                <w:sz w:val="16"/>
              </w:rPr>
            </w:pPr>
          </w:p>
        </w:tc>
      </w:tr>
      <w:tr w:rsidR="00420308" w14:paraId="5E9A722D" w14:textId="77777777" w:rsidTr="00C01040">
        <w:trPr>
          <w:trHeight w:val="232"/>
          <w:jc w:val="center"/>
        </w:trPr>
        <w:tc>
          <w:tcPr>
            <w:tcW w:w="3511" w:type="dxa"/>
            <w:tcBorders>
              <w:top w:val="single" w:sz="4" w:space="0" w:color="000000"/>
              <w:left w:val="nil"/>
              <w:bottom w:val="nil"/>
              <w:right w:val="nil"/>
            </w:tcBorders>
          </w:tcPr>
          <w:p w14:paraId="5B046D6E" w14:textId="77777777" w:rsidR="00420308" w:rsidRDefault="00420308" w:rsidP="003E7539">
            <w:pPr>
              <w:pStyle w:val="TableParagraph"/>
              <w:keepNext/>
              <w:contextualSpacing/>
              <w:rPr>
                <w:sz w:val="20"/>
              </w:rPr>
            </w:pPr>
          </w:p>
        </w:tc>
        <w:tc>
          <w:tcPr>
            <w:tcW w:w="900" w:type="dxa"/>
            <w:tcBorders>
              <w:top w:val="single" w:sz="4" w:space="0" w:color="000000"/>
              <w:left w:val="nil"/>
              <w:bottom w:val="nil"/>
              <w:right w:val="nil"/>
            </w:tcBorders>
          </w:tcPr>
          <w:p w14:paraId="53E6F6E4" w14:textId="77777777" w:rsidR="00420308" w:rsidRDefault="00420308" w:rsidP="003E7539">
            <w:pPr>
              <w:pStyle w:val="TableParagraph"/>
              <w:keepNext/>
              <w:contextualSpacing/>
              <w:rPr>
                <w:sz w:val="16"/>
              </w:rPr>
            </w:pPr>
          </w:p>
        </w:tc>
      </w:tr>
    </w:tbl>
    <w:p w14:paraId="5A47280B" w14:textId="77777777" w:rsidR="006A79C8" w:rsidRDefault="006A79C8" w:rsidP="00735EE7">
      <w:pPr>
        <w:pStyle w:val="BodyText"/>
        <w:contextualSpacing/>
        <w:rPr>
          <w:sz w:val="11"/>
        </w:rPr>
      </w:pPr>
    </w:p>
    <w:p w14:paraId="76D807D5" w14:textId="77777777" w:rsidR="00F505DE" w:rsidRPr="00C82994" w:rsidRDefault="00F505DE" w:rsidP="00DD4578">
      <w:pPr>
        <w:pStyle w:val="Heading1"/>
        <w:tabs>
          <w:tab w:val="left" w:pos="360"/>
        </w:tabs>
        <w:ind w:left="0"/>
        <w:contextualSpacing/>
        <w:rPr>
          <w:u w:val="none"/>
        </w:rPr>
      </w:pPr>
    </w:p>
    <w:p w14:paraId="58B16E6A" w14:textId="73FF401D" w:rsidR="006A79C8" w:rsidRDefault="009F68DA" w:rsidP="00DD4578">
      <w:pPr>
        <w:pStyle w:val="Heading1"/>
        <w:tabs>
          <w:tab w:val="left" w:pos="360"/>
        </w:tabs>
        <w:ind w:left="0"/>
        <w:contextualSpacing/>
        <w:rPr>
          <w:u w:val="none"/>
        </w:rPr>
      </w:pPr>
      <w:r w:rsidRPr="0005625D">
        <w:rPr>
          <w:u w:val="none"/>
        </w:rPr>
        <w:t>j</w:t>
      </w:r>
      <w:r w:rsidR="00DD4578" w:rsidRPr="0005625D">
        <w:rPr>
          <w:u w:val="none"/>
        </w:rPr>
        <w:t>.</w:t>
      </w:r>
      <w:r w:rsidR="00DD4578" w:rsidRPr="0005625D">
        <w:rPr>
          <w:u w:val="none"/>
        </w:rPr>
        <w:tab/>
      </w:r>
      <w:r w:rsidR="004C62EA" w:rsidRPr="009638B2">
        <w:rPr>
          <w:u w:val="none"/>
        </w:rPr>
        <w:t xml:space="preserve">Registered Buyer </w:t>
      </w:r>
      <w:r w:rsidR="00005CF7">
        <w:rPr>
          <w:u w:val="none"/>
        </w:rPr>
        <w:t>L</w:t>
      </w:r>
      <w:r w:rsidR="004C62EA" w:rsidRPr="009638B2">
        <w:rPr>
          <w:u w:val="none"/>
        </w:rPr>
        <w:t>anding</w:t>
      </w:r>
      <w:r w:rsidR="004C62EA" w:rsidRPr="009638B2">
        <w:rPr>
          <w:spacing w:val="-2"/>
          <w:u w:val="none"/>
        </w:rPr>
        <w:t xml:space="preserve"> </w:t>
      </w:r>
      <w:r w:rsidR="00005CF7" w:rsidRPr="00BF314E">
        <w:rPr>
          <w:u w:val="none"/>
        </w:rPr>
        <w:t>R</w:t>
      </w:r>
      <w:r w:rsidR="004C62EA" w:rsidRPr="00BF314E">
        <w:rPr>
          <w:u w:val="none"/>
        </w:rPr>
        <w:t>eport</w:t>
      </w:r>
      <w:r w:rsidR="00F505DE" w:rsidRPr="00BF314E">
        <w:rPr>
          <w:u w:val="none"/>
        </w:rPr>
        <w:t xml:space="preserve"> [</w:t>
      </w:r>
      <w:r w:rsidR="00173AF5" w:rsidRPr="00BF314E">
        <w:rPr>
          <w:u w:val="none"/>
        </w:rPr>
        <w:t xml:space="preserve">revised; </w:t>
      </w:r>
      <w:r w:rsidR="00F505DE" w:rsidRPr="00BF314E">
        <w:rPr>
          <w:u w:val="none"/>
        </w:rPr>
        <w:t>manual landing report</w:t>
      </w:r>
      <w:r w:rsidR="00BF314E">
        <w:rPr>
          <w:u w:val="none"/>
        </w:rPr>
        <w:t xml:space="preserve"> removed</w:t>
      </w:r>
      <w:r w:rsidR="00F505DE" w:rsidRPr="00BF314E">
        <w:rPr>
          <w:u w:val="none"/>
        </w:rPr>
        <w:t>]</w:t>
      </w:r>
    </w:p>
    <w:p w14:paraId="29E5B20C" w14:textId="77777777" w:rsidR="006A79C8" w:rsidRDefault="006A79C8" w:rsidP="00735EE7">
      <w:pPr>
        <w:pStyle w:val="BodyText"/>
        <w:contextualSpacing/>
        <w:rPr>
          <w:b/>
          <w:sz w:val="23"/>
        </w:rPr>
      </w:pPr>
    </w:p>
    <w:p w14:paraId="6BEC5285" w14:textId="7B47AA5F" w:rsidR="00907229" w:rsidRDefault="00907229" w:rsidP="00907229">
      <w:pPr>
        <w:pStyle w:val="BodyText"/>
        <w:contextualSpacing/>
      </w:pPr>
      <w:r>
        <w:t xml:space="preserve">A person who is issued a </w:t>
      </w:r>
      <w:r w:rsidR="00920F8B">
        <w:t>registered buyer</w:t>
      </w:r>
      <w:r>
        <w:t xml:space="preserve"> permit under § 679.4(d)(3) and who receives IFQ halibut or IFQ sablefish from an IFQ permit holder or who receives CDQ halibut from a CDQ permit holder at any time during the fishing year is required to use eLandings or other NMFS-approved software to submit landing reports.</w:t>
      </w:r>
    </w:p>
    <w:p w14:paraId="6426A230" w14:textId="77777777" w:rsidR="00907229" w:rsidRDefault="00907229" w:rsidP="00907229">
      <w:pPr>
        <w:pStyle w:val="BodyText"/>
        <w:contextualSpacing/>
      </w:pPr>
    </w:p>
    <w:p w14:paraId="3928FE9A" w14:textId="77777777" w:rsidR="00907229" w:rsidRDefault="00907229" w:rsidP="00907229">
      <w:pPr>
        <w:pStyle w:val="BodyText"/>
        <w:contextualSpacing/>
      </w:pPr>
      <w:r>
        <w:t>A landing of IFQ halibut, CDQ halibut, or IFQ sablefish may commence only between 0600 hours, A.l.t., and 1800 hours, A.l.t., unless permission to land at a different time is granted in advance by a clearing officer.</w:t>
      </w:r>
    </w:p>
    <w:p w14:paraId="74BC3AC0" w14:textId="77777777" w:rsidR="00907229" w:rsidRDefault="00907229" w:rsidP="00907229">
      <w:pPr>
        <w:pStyle w:val="BodyText"/>
        <w:contextualSpacing/>
      </w:pPr>
    </w:p>
    <w:p w14:paraId="7426CBA9" w14:textId="0F1724CC" w:rsidR="006A79C8" w:rsidRDefault="00907229" w:rsidP="00907229">
      <w:pPr>
        <w:pStyle w:val="BodyText"/>
        <w:contextualSpacing/>
      </w:pPr>
      <w:r>
        <w:t xml:space="preserve">The User for the </w:t>
      </w:r>
      <w:r w:rsidR="00920F8B">
        <w:t>registered buyer</w:t>
      </w:r>
      <w:r>
        <w:t xml:space="preserve"> and the IFQ permit holder, IFQ hired master permit holder, or CDQ hired master permit holder must sign and submit the sablefish/halibut IFQ landing receipt within six hours after all IFQ halibut, CDQ halibut, and IFQ sablefish are offloaded from a harvesting vessel and prior to shipment or transfer of the fish from the landing site.</w:t>
      </w:r>
    </w:p>
    <w:p w14:paraId="0F60129A" w14:textId="77777777" w:rsidR="000248E6" w:rsidRDefault="000248E6" w:rsidP="000248E6">
      <w:pPr>
        <w:widowControl/>
        <w:autoSpaceDE/>
        <w:autoSpaceDN/>
        <w:rPr>
          <w:sz w:val="24"/>
          <w:szCs w:val="24"/>
        </w:rPr>
      </w:pPr>
    </w:p>
    <w:p w14:paraId="73B64953" w14:textId="6ACF2269" w:rsidR="000248E6" w:rsidRPr="006117EE" w:rsidRDefault="000248E6" w:rsidP="000248E6">
      <w:pPr>
        <w:widowControl/>
        <w:autoSpaceDE/>
        <w:autoSpaceDN/>
        <w:rPr>
          <w:sz w:val="24"/>
          <w:szCs w:val="24"/>
        </w:rPr>
      </w:pPr>
      <w:r w:rsidRPr="000248E6">
        <w:rPr>
          <w:sz w:val="24"/>
          <w:szCs w:val="24"/>
        </w:rPr>
        <w:t xml:space="preserve">The User for a </w:t>
      </w:r>
      <w:r w:rsidR="00920F8B">
        <w:rPr>
          <w:sz w:val="24"/>
          <w:szCs w:val="24"/>
        </w:rPr>
        <w:t>registered buyer</w:t>
      </w:r>
      <w:r w:rsidRPr="000248E6">
        <w:rPr>
          <w:sz w:val="24"/>
          <w:szCs w:val="24"/>
        </w:rPr>
        <w:t xml:space="preserve"> must enter information for each IFQ halibut, CDQ halibut, and IFQ sablefish delivery into eLandings.  This report must be submitted </w:t>
      </w:r>
      <w:r w:rsidR="00421CB8">
        <w:rPr>
          <w:sz w:val="24"/>
          <w:szCs w:val="24"/>
        </w:rPr>
        <w:t xml:space="preserve">through eLandings at </w:t>
      </w:r>
      <w:hyperlink r:id="rId14" w:history="1">
        <w:r w:rsidR="001026B7" w:rsidRPr="00A24394">
          <w:rPr>
            <w:rStyle w:val="Hyperlink"/>
            <w:sz w:val="24"/>
            <w:szCs w:val="24"/>
          </w:rPr>
          <w:t>https://elandings.alaska.gov/</w:t>
        </w:r>
      </w:hyperlink>
      <w:r w:rsidRPr="006117EE">
        <w:rPr>
          <w:sz w:val="24"/>
          <w:szCs w:val="24"/>
        </w:rPr>
        <w:t>.</w:t>
      </w:r>
    </w:p>
    <w:p w14:paraId="3327FBE0" w14:textId="77777777" w:rsidR="006117EE" w:rsidRPr="006117EE" w:rsidRDefault="006117EE" w:rsidP="000248E6">
      <w:pPr>
        <w:widowControl/>
        <w:autoSpaceDE/>
        <w:autoSpaceDN/>
        <w:rPr>
          <w:sz w:val="24"/>
          <w:szCs w:val="24"/>
        </w:rPr>
      </w:pPr>
    </w:p>
    <w:p w14:paraId="1FF68AA2" w14:textId="3CF1E396" w:rsidR="006117EE" w:rsidRPr="006117EE" w:rsidRDefault="006117EE" w:rsidP="000248E6">
      <w:pPr>
        <w:widowControl/>
        <w:autoSpaceDE/>
        <w:autoSpaceDN/>
        <w:rPr>
          <w:color w:val="0000FF"/>
          <w:sz w:val="24"/>
          <w:szCs w:val="24"/>
          <w:u w:val="single"/>
        </w:rPr>
      </w:pPr>
      <w:r w:rsidRPr="006117EE">
        <w:rPr>
          <w:sz w:val="24"/>
          <w:szCs w:val="24"/>
        </w:rPr>
        <w:t xml:space="preserve">If the </w:t>
      </w:r>
      <w:r w:rsidR="00920F8B">
        <w:rPr>
          <w:sz w:val="24"/>
          <w:szCs w:val="24"/>
        </w:rPr>
        <w:t>registered buyer</w:t>
      </w:r>
      <w:r w:rsidRPr="006117EE">
        <w:rPr>
          <w:sz w:val="24"/>
          <w:szCs w:val="24"/>
        </w:rPr>
        <w:t xml:space="preserve"> is unable to </w:t>
      </w:r>
      <w:r>
        <w:rPr>
          <w:sz w:val="24"/>
          <w:szCs w:val="24"/>
        </w:rPr>
        <w:t xml:space="preserve">use eLandings to submit this report </w:t>
      </w:r>
      <w:r w:rsidRPr="006117EE">
        <w:rPr>
          <w:sz w:val="24"/>
          <w:szCs w:val="24"/>
        </w:rPr>
        <w:t xml:space="preserve">for a period longer than the required reporting time, or a change must be made to information already submitted, the </w:t>
      </w:r>
      <w:r w:rsidR="00920F8B">
        <w:rPr>
          <w:sz w:val="24"/>
          <w:szCs w:val="24"/>
        </w:rPr>
        <w:t>registered buyer</w:t>
      </w:r>
      <w:r w:rsidRPr="006117EE">
        <w:rPr>
          <w:sz w:val="24"/>
          <w:szCs w:val="24"/>
        </w:rPr>
        <w:t xml:space="preserve"> must complete an IFQ manual landing report</w:t>
      </w:r>
      <w:r>
        <w:rPr>
          <w:sz w:val="24"/>
          <w:szCs w:val="24"/>
        </w:rPr>
        <w:t>, which is authorized under OMB</w:t>
      </w:r>
      <w:r w:rsidR="008B16A0">
        <w:rPr>
          <w:sz w:val="24"/>
          <w:szCs w:val="24"/>
        </w:rPr>
        <w:t xml:space="preserve"> control number</w:t>
      </w:r>
      <w:r>
        <w:rPr>
          <w:sz w:val="24"/>
          <w:szCs w:val="24"/>
        </w:rPr>
        <w:t xml:space="preserve"> 0648-0515.</w:t>
      </w:r>
    </w:p>
    <w:p w14:paraId="50311C8D" w14:textId="77777777" w:rsidR="000248E6" w:rsidRPr="00367E9A" w:rsidRDefault="000248E6" w:rsidP="000248E6">
      <w:pPr>
        <w:widowControl/>
        <w:autoSpaceDE/>
        <w:autoSpaceDN/>
        <w:rPr>
          <w:color w:val="0000FF"/>
          <w:sz w:val="24"/>
          <w:szCs w:val="24"/>
          <w:u w:val="single"/>
        </w:rPr>
      </w:pPr>
    </w:p>
    <w:p w14:paraId="072133CE" w14:textId="0E780C1F" w:rsidR="006A79C8" w:rsidRPr="00367E9A" w:rsidRDefault="00367E9A" w:rsidP="00735EE7">
      <w:pPr>
        <w:contextualSpacing/>
        <w:rPr>
          <w:sz w:val="24"/>
          <w:szCs w:val="24"/>
        </w:rPr>
      </w:pPr>
      <w:r w:rsidRPr="00367E9A">
        <w:rPr>
          <w:sz w:val="24"/>
          <w:szCs w:val="24"/>
        </w:rPr>
        <w:t xml:space="preserve">The following information is </w:t>
      </w:r>
      <w:r w:rsidR="00653412">
        <w:rPr>
          <w:sz w:val="24"/>
          <w:szCs w:val="24"/>
        </w:rPr>
        <w:t>collected</w:t>
      </w:r>
      <w:r w:rsidRPr="00367E9A">
        <w:rPr>
          <w:sz w:val="24"/>
          <w:szCs w:val="24"/>
        </w:rPr>
        <w:t xml:space="preserve"> in the </w:t>
      </w:r>
      <w:r w:rsidR="004C62EA" w:rsidRPr="00367E9A">
        <w:rPr>
          <w:sz w:val="24"/>
          <w:szCs w:val="24"/>
        </w:rPr>
        <w:t xml:space="preserve">Registered Buyer </w:t>
      </w:r>
      <w:r w:rsidR="00005CF7" w:rsidRPr="00367E9A">
        <w:rPr>
          <w:sz w:val="24"/>
          <w:szCs w:val="24"/>
        </w:rPr>
        <w:t>L</w:t>
      </w:r>
      <w:r w:rsidR="004C62EA" w:rsidRPr="00367E9A">
        <w:rPr>
          <w:sz w:val="24"/>
          <w:szCs w:val="24"/>
        </w:rPr>
        <w:t xml:space="preserve">anding </w:t>
      </w:r>
      <w:r w:rsidR="00005CF7" w:rsidRPr="00367E9A">
        <w:rPr>
          <w:sz w:val="24"/>
          <w:szCs w:val="24"/>
        </w:rPr>
        <w:t>R</w:t>
      </w:r>
      <w:r w:rsidR="004C62EA" w:rsidRPr="00367E9A">
        <w:rPr>
          <w:sz w:val="24"/>
          <w:szCs w:val="24"/>
        </w:rPr>
        <w:t>eport</w:t>
      </w:r>
      <w:r w:rsidRPr="00367E9A">
        <w:rPr>
          <w:sz w:val="24"/>
          <w:szCs w:val="24"/>
        </w:rPr>
        <w:t>.</w:t>
      </w:r>
    </w:p>
    <w:p w14:paraId="6E36C6D4" w14:textId="77777777" w:rsidR="00367E9A" w:rsidRPr="00367E9A" w:rsidRDefault="00367E9A" w:rsidP="00735EE7">
      <w:pPr>
        <w:contextualSpacing/>
        <w:rPr>
          <w:sz w:val="24"/>
          <w:szCs w:val="24"/>
        </w:rPr>
      </w:pPr>
    </w:p>
    <w:p w14:paraId="1FCD0C80" w14:textId="23E0DEFC" w:rsidR="006A79C8" w:rsidRDefault="004C62EA" w:rsidP="00735EE7">
      <w:pPr>
        <w:contextualSpacing/>
        <w:rPr>
          <w:sz w:val="20"/>
        </w:rPr>
      </w:pPr>
      <w:r>
        <w:rPr>
          <w:sz w:val="20"/>
        </w:rPr>
        <w:t>User</w:t>
      </w:r>
      <w:r w:rsidR="006A5BAB">
        <w:rPr>
          <w:sz w:val="20"/>
        </w:rPr>
        <w:t xml:space="preserve"> </w:t>
      </w:r>
      <w:r>
        <w:rPr>
          <w:sz w:val="20"/>
        </w:rPr>
        <w:t>ID and password of person assigned for that system Landing date (mm/dd/yyyy)</w:t>
      </w:r>
    </w:p>
    <w:p w14:paraId="186559DA" w14:textId="77777777" w:rsidR="006A79C8" w:rsidRDefault="004C62EA" w:rsidP="00735EE7">
      <w:pPr>
        <w:contextualSpacing/>
        <w:rPr>
          <w:sz w:val="20"/>
        </w:rPr>
      </w:pPr>
      <w:r>
        <w:rPr>
          <w:sz w:val="20"/>
        </w:rPr>
        <w:t>Location (port code) of the landing</w:t>
      </w:r>
    </w:p>
    <w:p w14:paraId="0334C163" w14:textId="6CEDD73D" w:rsidR="006A79C8" w:rsidRDefault="004C62EA" w:rsidP="00735EE7">
      <w:pPr>
        <w:contextualSpacing/>
        <w:rPr>
          <w:sz w:val="20"/>
        </w:rPr>
      </w:pPr>
      <w:r>
        <w:rPr>
          <w:sz w:val="20"/>
        </w:rPr>
        <w:t xml:space="preserve">Permit number of the IFQ permit holder, and any IFQ hired master permit holder, or CDQ hired master permit holder harvesting the fish and permit number of </w:t>
      </w:r>
      <w:r w:rsidR="00920F8B">
        <w:rPr>
          <w:sz w:val="20"/>
        </w:rPr>
        <w:t>registered buyer</w:t>
      </w:r>
      <w:r>
        <w:rPr>
          <w:sz w:val="20"/>
        </w:rPr>
        <w:t xml:space="preserve"> receiving the IFQ halibut, IFQ sablefish, or CDQ halibut.</w:t>
      </w:r>
    </w:p>
    <w:p w14:paraId="19EBA77E" w14:textId="77777777" w:rsidR="006A79C8" w:rsidRDefault="004C62EA" w:rsidP="00735EE7">
      <w:pPr>
        <w:contextualSpacing/>
        <w:rPr>
          <w:sz w:val="20"/>
        </w:rPr>
      </w:pPr>
      <w:r>
        <w:rPr>
          <w:sz w:val="20"/>
        </w:rPr>
        <w:t>Delivery information as reported by the IFQ permit holder, IFQ hired master permit holder, or CDQ hired master permit holder</w:t>
      </w:r>
    </w:p>
    <w:p w14:paraId="00854CEB" w14:textId="77777777" w:rsidR="006A79C8" w:rsidRDefault="004C62EA" w:rsidP="00735EE7">
      <w:pPr>
        <w:contextualSpacing/>
        <w:rPr>
          <w:sz w:val="20"/>
        </w:rPr>
      </w:pPr>
      <w:r>
        <w:rPr>
          <w:sz w:val="20"/>
        </w:rPr>
        <w:t>Harvesting vessel's ADF&amp;G vessel registration number</w:t>
      </w:r>
    </w:p>
    <w:p w14:paraId="14E48A12" w14:textId="77777777" w:rsidR="006A79C8" w:rsidRDefault="004C62EA" w:rsidP="00735EE7">
      <w:pPr>
        <w:contextualSpacing/>
        <w:rPr>
          <w:sz w:val="20"/>
        </w:rPr>
      </w:pPr>
      <w:r>
        <w:rPr>
          <w:sz w:val="20"/>
        </w:rPr>
        <w:t>Gear code of gear used to harvest IFQ halibut, IFQ sablefish, or CDQ halibut</w:t>
      </w:r>
    </w:p>
    <w:p w14:paraId="1E919EF2" w14:textId="77777777" w:rsidR="006A79C8" w:rsidRDefault="004C62EA" w:rsidP="00735EE7">
      <w:pPr>
        <w:contextualSpacing/>
        <w:rPr>
          <w:sz w:val="20"/>
        </w:rPr>
      </w:pPr>
      <w:r>
        <w:rPr>
          <w:sz w:val="20"/>
        </w:rPr>
        <w:t>ADF&amp;G fish ticket number(s) for the landing (after the initial eLandings report is submitted, eLandings assigns an ADF&amp;G fish ticket number to the landing report)</w:t>
      </w:r>
    </w:p>
    <w:p w14:paraId="538B770D" w14:textId="77777777" w:rsidR="006A79C8" w:rsidRDefault="004C62EA" w:rsidP="00735EE7">
      <w:pPr>
        <w:contextualSpacing/>
        <w:rPr>
          <w:sz w:val="20"/>
        </w:rPr>
      </w:pPr>
      <w:r>
        <w:rPr>
          <w:sz w:val="20"/>
        </w:rPr>
        <w:t>ADF&amp;G statistical area of harvest</w:t>
      </w:r>
    </w:p>
    <w:p w14:paraId="28631AB5" w14:textId="77777777" w:rsidR="006A79C8" w:rsidRDefault="004C62EA" w:rsidP="00735EE7">
      <w:pPr>
        <w:contextualSpacing/>
        <w:rPr>
          <w:sz w:val="20"/>
        </w:rPr>
      </w:pPr>
      <w:r>
        <w:rPr>
          <w:sz w:val="20"/>
        </w:rPr>
        <w:t>If ADF&amp;G statistical area is bisected by a line dividing two IFQ regulatory areas, provide the IFQ regulatory area of harvest</w:t>
      </w:r>
    </w:p>
    <w:p w14:paraId="7D045FFA" w14:textId="3CAB9554" w:rsidR="006A79C8" w:rsidRDefault="004C62EA" w:rsidP="00735EE7">
      <w:pPr>
        <w:contextualSpacing/>
        <w:rPr>
          <w:sz w:val="20"/>
        </w:rPr>
      </w:pPr>
      <w:r>
        <w:rPr>
          <w:sz w:val="20"/>
        </w:rPr>
        <w:t xml:space="preserve">Initial accurate scale weight(s) (to the nearest pound) made at the time of offloading for IFQ halibut, IFQ sablefish, or CDQ halibut. Includes sold and retained (where retained includes fish intended for personal use, fish weighed and reloaded for delivery to another processor, and fish landed but rejected at the dock by the </w:t>
      </w:r>
      <w:r w:rsidR="00920F8B">
        <w:rPr>
          <w:sz w:val="20"/>
        </w:rPr>
        <w:t>registered buyer</w:t>
      </w:r>
      <w:r>
        <w:rPr>
          <w:sz w:val="20"/>
        </w:rPr>
        <w:t>).</w:t>
      </w:r>
    </w:p>
    <w:p w14:paraId="2BE2EBF0" w14:textId="77777777" w:rsidR="003B59EC" w:rsidRDefault="004C62EA" w:rsidP="00735EE7">
      <w:pPr>
        <w:contextualSpacing/>
        <w:rPr>
          <w:sz w:val="20"/>
        </w:rPr>
      </w:pPr>
      <w:r>
        <w:rPr>
          <w:sz w:val="20"/>
        </w:rPr>
        <w:t xml:space="preserve">Species codes, delivery condition code, and disposition code for each ADF&amp;G statistical area of harvest </w:t>
      </w:r>
    </w:p>
    <w:p w14:paraId="3B82223E" w14:textId="6F899F6F" w:rsidR="006A79C8" w:rsidRDefault="004C62EA" w:rsidP="00735EE7">
      <w:pPr>
        <w:contextualSpacing/>
        <w:rPr>
          <w:sz w:val="20"/>
        </w:rPr>
      </w:pPr>
      <w:r>
        <w:rPr>
          <w:sz w:val="20"/>
        </w:rPr>
        <w:t>NOTE: Accurate weight of IFQ sablefish processed product obtained before the offload may be substituted</w:t>
      </w:r>
      <w:r w:rsidR="003B59EC">
        <w:rPr>
          <w:sz w:val="20"/>
        </w:rPr>
        <w:t xml:space="preserve"> </w:t>
      </w:r>
      <w:r>
        <w:rPr>
          <w:sz w:val="20"/>
        </w:rPr>
        <w:t xml:space="preserve">for the initial accurate scale weight at time of offload, if the vessel operator is a </w:t>
      </w:r>
      <w:r w:rsidR="00920F8B">
        <w:rPr>
          <w:sz w:val="20"/>
        </w:rPr>
        <w:t>registered buyer</w:t>
      </w:r>
      <w:r>
        <w:rPr>
          <w:sz w:val="20"/>
        </w:rPr>
        <w:t xml:space="preserve"> reporting an IFQ sablefish landing</w:t>
      </w:r>
    </w:p>
    <w:p w14:paraId="0A686604" w14:textId="77777777" w:rsidR="006A79C8" w:rsidRDefault="004C62EA" w:rsidP="00735EE7">
      <w:pPr>
        <w:contextualSpacing/>
        <w:rPr>
          <w:sz w:val="20"/>
        </w:rPr>
      </w:pPr>
      <w:r>
        <w:rPr>
          <w:sz w:val="20"/>
        </w:rPr>
        <w:t>Indicate whether initial accurate scale weight is given with or without ice and slime.</w:t>
      </w:r>
    </w:p>
    <w:p w14:paraId="621E517C" w14:textId="77777777" w:rsidR="006A79C8" w:rsidRDefault="004C62EA" w:rsidP="00735EE7">
      <w:pPr>
        <w:contextualSpacing/>
        <w:rPr>
          <w:sz w:val="20"/>
        </w:rPr>
      </w:pPr>
      <w:r>
        <w:rPr>
          <w:sz w:val="20"/>
        </w:rPr>
        <w:t>Fish which have been washed prior to weighing or which have been offloaded from refrigerated salt water are not eligible for a 2% deduction for ice and slime and must be reported as fish weights without ice and slime. The 2%t deduction is made by NMFS, not the submitter</w:t>
      </w:r>
    </w:p>
    <w:p w14:paraId="4028FE6E" w14:textId="77777777" w:rsidR="006A79C8" w:rsidRDefault="004C62EA" w:rsidP="00735EE7">
      <w:pPr>
        <w:contextualSpacing/>
        <w:rPr>
          <w:sz w:val="20"/>
        </w:rPr>
      </w:pPr>
      <w:r>
        <w:rPr>
          <w:sz w:val="20"/>
        </w:rPr>
        <w:t>Indicate whether IFQ halibut is incidental catch concurrent with legal landing of salmon or concurrent with legal landing of lingcod harvested using dinglebar gear</w:t>
      </w:r>
    </w:p>
    <w:p w14:paraId="7FB58984" w14:textId="77777777" w:rsidR="006A79C8" w:rsidRDefault="004C62EA" w:rsidP="00735EE7">
      <w:pPr>
        <w:contextualSpacing/>
        <w:rPr>
          <w:sz w:val="20"/>
        </w:rPr>
      </w:pPr>
      <w:r>
        <w:rPr>
          <w:sz w:val="20"/>
        </w:rPr>
        <w:t>Signatures for IFQ halibut, CDQ halibut, or IFQ sablefish deliveries</w:t>
      </w:r>
    </w:p>
    <w:p w14:paraId="726978B3" w14:textId="77777777" w:rsidR="00DD4578" w:rsidRDefault="00DD4578" w:rsidP="00735EE7">
      <w:pPr>
        <w:contextualSpacing/>
        <w:rPr>
          <w:sz w:val="20"/>
        </w:rPr>
      </w:pPr>
    </w:p>
    <w:p w14:paraId="53484CA8" w14:textId="6A335833" w:rsidR="006A79C8" w:rsidRDefault="00B647CF" w:rsidP="00735EE7">
      <w:pPr>
        <w:pStyle w:val="BodyText"/>
        <w:contextualSpacing/>
        <w:rPr>
          <w:sz w:val="20"/>
        </w:rPr>
      </w:pPr>
      <w:r>
        <w:t xml:space="preserve">This element previously included the </w:t>
      </w:r>
      <w:r w:rsidR="0005625D">
        <w:t>manual landing report</w:t>
      </w:r>
      <w:r>
        <w:t>. The manual landing report</w:t>
      </w:r>
      <w:r w:rsidR="0005625D">
        <w:t xml:space="preserve"> has been removed </w:t>
      </w:r>
      <w:r w:rsidR="009638B2">
        <w:t xml:space="preserve">because it is included </w:t>
      </w:r>
      <w:r w:rsidR="00D23DEB">
        <w:t>under</w:t>
      </w:r>
      <w:r w:rsidR="009638B2">
        <w:t xml:space="preserve"> </w:t>
      </w:r>
      <w:r w:rsidR="002D204E">
        <w:t xml:space="preserve">OMB </w:t>
      </w:r>
      <w:r w:rsidR="008B16A0">
        <w:t>control</w:t>
      </w:r>
      <w:r w:rsidR="002D204E">
        <w:t xml:space="preserve"> number </w:t>
      </w:r>
      <w:r w:rsidR="0005625D" w:rsidRPr="0005625D">
        <w:t>0648-0515</w:t>
      </w:r>
      <w:r w:rsidR="009638B2">
        <w:t xml:space="preserve">. </w:t>
      </w:r>
      <w:r w:rsidR="0005625D" w:rsidRPr="0005625D">
        <w:t xml:space="preserve">The numbers </w:t>
      </w:r>
      <w:r>
        <w:t>below have been revised to reflect</w:t>
      </w:r>
      <w:r w:rsidR="0005625D" w:rsidRPr="0005625D">
        <w:t xml:space="preserve"> </w:t>
      </w:r>
      <w:r w:rsidR="009638B2">
        <w:t>removal of the manual landing report</w:t>
      </w:r>
      <w:r w:rsidR="0005625D" w:rsidRPr="0005625D">
        <w:t>.</w:t>
      </w:r>
      <w:r w:rsidR="009638B2">
        <w:rPr>
          <w:sz w:val="20"/>
        </w:rPr>
        <w:t xml:space="preserve"> </w:t>
      </w:r>
    </w:p>
    <w:p w14:paraId="17B1BCF3" w14:textId="77777777" w:rsidR="009638B2" w:rsidRPr="009638B2" w:rsidRDefault="009638B2"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8"/>
        <w:gridCol w:w="900"/>
      </w:tblGrid>
      <w:tr w:rsidR="006A79C8" w14:paraId="5CA502EA" w14:textId="77777777" w:rsidTr="003E7539">
        <w:trPr>
          <w:trHeight w:val="230"/>
          <w:jc w:val="center"/>
        </w:trPr>
        <w:tc>
          <w:tcPr>
            <w:tcW w:w="4568" w:type="dxa"/>
            <w:gridSpan w:val="2"/>
          </w:tcPr>
          <w:p w14:paraId="18AA69AE" w14:textId="77777777" w:rsidR="006A79C8" w:rsidRDefault="004C62EA" w:rsidP="00735EE7">
            <w:pPr>
              <w:pStyle w:val="TableParagraph"/>
              <w:contextualSpacing/>
              <w:rPr>
                <w:b/>
                <w:sz w:val="20"/>
              </w:rPr>
            </w:pPr>
            <w:r>
              <w:rPr>
                <w:b/>
                <w:sz w:val="20"/>
              </w:rPr>
              <w:t>Registered Buyer Landing Report, Respondent</w:t>
            </w:r>
          </w:p>
        </w:tc>
      </w:tr>
      <w:tr w:rsidR="006A79C8" w14:paraId="649EBED8" w14:textId="77777777" w:rsidTr="003E7539">
        <w:trPr>
          <w:trHeight w:val="1628"/>
          <w:jc w:val="center"/>
        </w:trPr>
        <w:tc>
          <w:tcPr>
            <w:tcW w:w="3668" w:type="dxa"/>
          </w:tcPr>
          <w:p w14:paraId="416DA885" w14:textId="6B91C6B4" w:rsidR="006A79C8" w:rsidRDefault="004C62EA" w:rsidP="00735EE7">
            <w:pPr>
              <w:pStyle w:val="TableParagraph"/>
              <w:contextualSpacing/>
              <w:rPr>
                <w:sz w:val="20"/>
              </w:rPr>
            </w:pPr>
            <w:r>
              <w:rPr>
                <w:sz w:val="20"/>
              </w:rPr>
              <w:t xml:space="preserve">Estimated number of </w:t>
            </w:r>
            <w:r w:rsidR="00920F8B">
              <w:rPr>
                <w:sz w:val="20"/>
              </w:rPr>
              <w:t>registered buyer</w:t>
            </w:r>
            <w:r>
              <w:rPr>
                <w:sz w:val="20"/>
              </w:rPr>
              <w:t>s</w:t>
            </w:r>
          </w:p>
          <w:p w14:paraId="26E6C42B" w14:textId="77777777" w:rsidR="006A79C8" w:rsidRDefault="004C62EA" w:rsidP="00735EE7">
            <w:pPr>
              <w:pStyle w:val="TableParagraph"/>
              <w:contextualSpacing/>
              <w:rPr>
                <w:b/>
                <w:sz w:val="20"/>
              </w:rPr>
            </w:pPr>
            <w:r>
              <w:rPr>
                <w:b/>
                <w:sz w:val="20"/>
              </w:rPr>
              <w:t>Total annual responses</w:t>
            </w:r>
          </w:p>
          <w:p w14:paraId="4C946C03" w14:textId="704CBC8C" w:rsidR="001C010C" w:rsidRDefault="00757DEC" w:rsidP="00735EE7">
            <w:pPr>
              <w:pStyle w:val="TableParagraph"/>
              <w:contextualSpacing/>
              <w:rPr>
                <w:sz w:val="20"/>
              </w:rPr>
            </w:pPr>
            <w:r>
              <w:rPr>
                <w:b/>
                <w:sz w:val="20"/>
              </w:rPr>
              <w:t>Total t</w:t>
            </w:r>
            <w:r w:rsidR="004C62EA">
              <w:rPr>
                <w:b/>
                <w:sz w:val="20"/>
              </w:rPr>
              <w:t xml:space="preserve">ime burden </w:t>
            </w:r>
            <w:r w:rsidR="004C62EA">
              <w:rPr>
                <w:sz w:val="20"/>
              </w:rPr>
              <w:t>(</w:t>
            </w:r>
            <w:r w:rsidR="00F50D0D">
              <w:rPr>
                <w:sz w:val="20"/>
              </w:rPr>
              <w:t>1,154.8</w:t>
            </w:r>
            <w:r w:rsidR="004C62EA">
              <w:rPr>
                <w:sz w:val="20"/>
              </w:rPr>
              <w:t xml:space="preserve">) </w:t>
            </w:r>
          </w:p>
          <w:p w14:paraId="337782C5" w14:textId="2FDAC4FC" w:rsidR="006A79C8" w:rsidRDefault="004C62EA" w:rsidP="00735EE7">
            <w:pPr>
              <w:pStyle w:val="TableParagraph"/>
              <w:contextualSpacing/>
              <w:rPr>
                <w:sz w:val="20"/>
              </w:rPr>
            </w:pPr>
            <w:r>
              <w:rPr>
                <w:sz w:val="20"/>
              </w:rPr>
              <w:t>Time per response</w:t>
            </w:r>
            <w:r w:rsidR="00F50D0D">
              <w:rPr>
                <w:sz w:val="20"/>
              </w:rPr>
              <w:t xml:space="preserve"> = 12 </w:t>
            </w:r>
            <w:r>
              <w:rPr>
                <w:sz w:val="20"/>
              </w:rPr>
              <w:t xml:space="preserve">min </w:t>
            </w:r>
          </w:p>
          <w:p w14:paraId="613CAC90" w14:textId="4D73409B" w:rsidR="00F41D00" w:rsidRDefault="004C62EA" w:rsidP="00735EE7">
            <w:pPr>
              <w:pStyle w:val="TableParagraph"/>
              <w:contextualSpacing/>
              <w:rPr>
                <w:sz w:val="20"/>
              </w:rPr>
            </w:pPr>
            <w:r>
              <w:rPr>
                <w:b/>
                <w:sz w:val="20"/>
              </w:rPr>
              <w:t xml:space="preserve">Total personnel cost </w:t>
            </w:r>
            <w:r>
              <w:rPr>
                <w:sz w:val="20"/>
              </w:rPr>
              <w:t xml:space="preserve">($37/hr x </w:t>
            </w:r>
            <w:r w:rsidR="00F50D0D">
              <w:rPr>
                <w:sz w:val="20"/>
              </w:rPr>
              <w:t>1,159</w:t>
            </w:r>
            <w:r>
              <w:rPr>
                <w:sz w:val="20"/>
              </w:rPr>
              <w:t xml:space="preserve">) </w:t>
            </w:r>
          </w:p>
          <w:p w14:paraId="6FB4E833" w14:textId="598267ED" w:rsidR="006A79C8" w:rsidRDefault="004C62EA" w:rsidP="00735EE7">
            <w:pPr>
              <w:pStyle w:val="TableParagraph"/>
              <w:contextualSpacing/>
              <w:rPr>
                <w:sz w:val="20"/>
              </w:rPr>
            </w:pPr>
            <w:r>
              <w:rPr>
                <w:b/>
                <w:sz w:val="20"/>
              </w:rPr>
              <w:t xml:space="preserve">Total miscellaneous cost </w:t>
            </w:r>
          </w:p>
          <w:p w14:paraId="58092117" w14:textId="25DF33CB" w:rsidR="006A79C8" w:rsidRDefault="004C62EA" w:rsidP="007172D8">
            <w:pPr>
              <w:pStyle w:val="TableParagraph"/>
              <w:contextualSpacing/>
              <w:rPr>
                <w:sz w:val="20"/>
              </w:rPr>
            </w:pPr>
            <w:r>
              <w:rPr>
                <w:sz w:val="20"/>
              </w:rPr>
              <w:t>Online</w:t>
            </w:r>
            <w:r w:rsidR="00F50D0D">
              <w:rPr>
                <w:sz w:val="20"/>
              </w:rPr>
              <w:t xml:space="preserve"> through eLandings</w:t>
            </w:r>
            <w:r>
              <w:rPr>
                <w:sz w:val="20"/>
              </w:rPr>
              <w:t xml:space="preserve"> = </w:t>
            </w:r>
            <w:r w:rsidR="00F50D0D">
              <w:rPr>
                <w:sz w:val="20"/>
              </w:rPr>
              <w:t>0</w:t>
            </w:r>
            <w:r>
              <w:rPr>
                <w:sz w:val="20"/>
              </w:rPr>
              <w:t xml:space="preserve"> </w:t>
            </w:r>
          </w:p>
        </w:tc>
        <w:tc>
          <w:tcPr>
            <w:tcW w:w="900" w:type="dxa"/>
          </w:tcPr>
          <w:p w14:paraId="714749F1" w14:textId="0163F998" w:rsidR="006A79C8" w:rsidRDefault="005A2C01" w:rsidP="00920AEE">
            <w:pPr>
              <w:pStyle w:val="TableParagraph"/>
              <w:contextualSpacing/>
              <w:jc w:val="right"/>
              <w:rPr>
                <w:b/>
                <w:sz w:val="20"/>
              </w:rPr>
            </w:pPr>
            <w:r>
              <w:rPr>
                <w:b/>
                <w:sz w:val="20"/>
              </w:rPr>
              <w:t>235</w:t>
            </w:r>
          </w:p>
          <w:p w14:paraId="56EC938B" w14:textId="736AFDDA" w:rsidR="006A79C8" w:rsidRDefault="0001795F" w:rsidP="00920AEE">
            <w:pPr>
              <w:pStyle w:val="TableParagraph"/>
              <w:contextualSpacing/>
              <w:jc w:val="right"/>
              <w:rPr>
                <w:b/>
                <w:sz w:val="20"/>
              </w:rPr>
            </w:pPr>
            <w:r>
              <w:rPr>
                <w:b/>
                <w:sz w:val="20"/>
              </w:rPr>
              <w:t>5,774</w:t>
            </w:r>
          </w:p>
          <w:p w14:paraId="7B829834" w14:textId="6A9998E4" w:rsidR="006A79C8" w:rsidRDefault="00F50D0D" w:rsidP="00920AEE">
            <w:pPr>
              <w:pStyle w:val="TableParagraph"/>
              <w:contextualSpacing/>
              <w:jc w:val="right"/>
              <w:rPr>
                <w:b/>
                <w:sz w:val="20"/>
              </w:rPr>
            </w:pPr>
            <w:r>
              <w:rPr>
                <w:b/>
                <w:sz w:val="20"/>
              </w:rPr>
              <w:t>1,15</w:t>
            </w:r>
            <w:r w:rsidR="00985071">
              <w:rPr>
                <w:b/>
                <w:sz w:val="20"/>
              </w:rPr>
              <w:t>5</w:t>
            </w:r>
            <w:r w:rsidR="001C010C">
              <w:rPr>
                <w:b/>
                <w:sz w:val="20"/>
              </w:rPr>
              <w:t xml:space="preserve"> </w:t>
            </w:r>
            <w:r w:rsidR="004C62EA">
              <w:rPr>
                <w:b/>
                <w:sz w:val="20"/>
              </w:rPr>
              <w:t>hr</w:t>
            </w:r>
          </w:p>
          <w:p w14:paraId="5C160D5B" w14:textId="77777777" w:rsidR="006A79C8" w:rsidRDefault="006A79C8" w:rsidP="00920AEE">
            <w:pPr>
              <w:pStyle w:val="TableParagraph"/>
              <w:contextualSpacing/>
              <w:jc w:val="right"/>
            </w:pPr>
          </w:p>
          <w:p w14:paraId="2DFC5DBD" w14:textId="218B6295" w:rsidR="006A79C8" w:rsidRDefault="004C62EA" w:rsidP="00920AEE">
            <w:pPr>
              <w:pStyle w:val="TableParagraph"/>
              <w:contextualSpacing/>
              <w:jc w:val="right"/>
              <w:rPr>
                <w:b/>
                <w:sz w:val="20"/>
              </w:rPr>
            </w:pPr>
            <w:r>
              <w:rPr>
                <w:b/>
                <w:sz w:val="20"/>
              </w:rPr>
              <w:t>$</w:t>
            </w:r>
            <w:r w:rsidR="00F50D0D">
              <w:rPr>
                <w:b/>
                <w:sz w:val="20"/>
              </w:rPr>
              <w:t>42,883</w:t>
            </w:r>
          </w:p>
          <w:p w14:paraId="45A4F6D9" w14:textId="09B3BAD1" w:rsidR="006A79C8" w:rsidRDefault="00F50D0D" w:rsidP="00920AEE">
            <w:pPr>
              <w:pStyle w:val="TableParagraph"/>
              <w:contextualSpacing/>
              <w:jc w:val="right"/>
              <w:rPr>
                <w:b/>
                <w:sz w:val="20"/>
              </w:rPr>
            </w:pPr>
            <w:r>
              <w:rPr>
                <w:b/>
                <w:sz w:val="20"/>
              </w:rPr>
              <w:t>0</w:t>
            </w:r>
          </w:p>
        </w:tc>
      </w:tr>
    </w:tbl>
    <w:p w14:paraId="390C4068" w14:textId="77777777" w:rsidR="006A79C8" w:rsidRDefault="006A79C8" w:rsidP="00735EE7">
      <w:pPr>
        <w:pStyle w:val="BodyText"/>
        <w:contextualSpacing/>
        <w:rPr>
          <w:sz w:val="20"/>
        </w:rPr>
      </w:pPr>
    </w:p>
    <w:p w14:paraId="35748B0F" w14:textId="77777777" w:rsidR="006A79C8" w:rsidRPr="00F90A16" w:rsidRDefault="006A79C8" w:rsidP="00735EE7">
      <w:pPr>
        <w:pStyle w:val="BodyText"/>
        <w:contextualSpacing/>
      </w:pPr>
    </w:p>
    <w:p w14:paraId="5307913F" w14:textId="76357AC4" w:rsidR="006A79C8" w:rsidRPr="00F90A16" w:rsidRDefault="000B728F" w:rsidP="00DD4578">
      <w:pPr>
        <w:pStyle w:val="Heading1"/>
        <w:tabs>
          <w:tab w:val="left" w:pos="360"/>
        </w:tabs>
        <w:ind w:left="0"/>
        <w:contextualSpacing/>
        <w:rPr>
          <w:u w:val="none"/>
        </w:rPr>
      </w:pPr>
      <w:r w:rsidRPr="003E7F94">
        <w:rPr>
          <w:u w:val="none"/>
        </w:rPr>
        <w:t>k</w:t>
      </w:r>
      <w:r w:rsidR="00C958C5">
        <w:rPr>
          <w:u w:val="none"/>
        </w:rPr>
        <w:t xml:space="preserve">. </w:t>
      </w:r>
      <w:r w:rsidR="004C62EA" w:rsidRPr="003E7F94">
        <w:rPr>
          <w:u w:val="none"/>
        </w:rPr>
        <w:t xml:space="preserve">IFQ Administrative </w:t>
      </w:r>
      <w:r w:rsidR="004C62EA" w:rsidRPr="00FB2E92">
        <w:rPr>
          <w:u w:val="none"/>
        </w:rPr>
        <w:t>Waiver</w:t>
      </w:r>
      <w:r w:rsidR="004A1C63" w:rsidRPr="00FB2E92">
        <w:rPr>
          <w:u w:val="none"/>
        </w:rPr>
        <w:t xml:space="preserve"> [</w:t>
      </w:r>
      <w:r w:rsidR="00FB2E92" w:rsidRPr="00FB2E92">
        <w:rPr>
          <w:u w:val="none"/>
        </w:rPr>
        <w:t>adjusted</w:t>
      </w:r>
      <w:r w:rsidR="004A1C63" w:rsidRPr="00FB2E92">
        <w:rPr>
          <w:u w:val="none"/>
        </w:rPr>
        <w:t>]</w:t>
      </w:r>
    </w:p>
    <w:p w14:paraId="645BECB6" w14:textId="77777777" w:rsidR="006A79C8" w:rsidRPr="00F90A16" w:rsidRDefault="002D6AA7" w:rsidP="00735EE7">
      <w:pPr>
        <w:pStyle w:val="BodyText"/>
        <w:contextualSpacing/>
      </w:pPr>
      <w:r>
        <w:t>P</w:t>
      </w:r>
      <w:r w:rsidRPr="00F90A16">
        <w:t xml:space="preserve">articipants in IFQ fisheries </w:t>
      </w:r>
      <w:r>
        <w:t xml:space="preserve">request an administrative waver by calling </w:t>
      </w:r>
      <w:r w:rsidR="008A154E" w:rsidRPr="00F90A16">
        <w:t xml:space="preserve">NOAA Office for Law Enforcement (OLE) </w:t>
      </w:r>
      <w:r>
        <w:t>using</w:t>
      </w:r>
      <w:r w:rsidR="008A154E" w:rsidRPr="00F90A16">
        <w:t xml:space="preserve"> a NMFS-provided toll-free number or, in rare cases, by marine radio.</w:t>
      </w:r>
      <w:r w:rsidR="00F33955" w:rsidRPr="00F33955">
        <w:t xml:space="preserve"> </w:t>
      </w:r>
      <w:r w:rsidR="00F33955" w:rsidRPr="00225D39">
        <w:t>No form exists for this waiver.</w:t>
      </w:r>
    </w:p>
    <w:p w14:paraId="3594DF41" w14:textId="77777777" w:rsidR="008A154E" w:rsidRPr="00F90A16" w:rsidRDefault="008A154E" w:rsidP="00735EE7">
      <w:pPr>
        <w:pStyle w:val="BodyText"/>
        <w:contextualSpacing/>
      </w:pPr>
    </w:p>
    <w:p w14:paraId="26FE546E" w14:textId="1D632AE4" w:rsidR="006A79C8" w:rsidRDefault="004C62EA" w:rsidP="00735EE7">
      <w:pPr>
        <w:pStyle w:val="BodyText"/>
        <w:contextualSpacing/>
      </w:pPr>
      <w:r w:rsidRPr="00F90A16">
        <w:t xml:space="preserve">OLE </w:t>
      </w:r>
      <w:r w:rsidR="002D6AA7">
        <w:t xml:space="preserve">completes the waiver </w:t>
      </w:r>
      <w:r w:rsidRPr="00F90A16">
        <w:t xml:space="preserve">to document </w:t>
      </w:r>
      <w:r w:rsidR="002D6AA7">
        <w:t>the participant’s</w:t>
      </w:r>
      <w:r w:rsidR="002D6AA7" w:rsidRPr="00F90A16">
        <w:t xml:space="preserve"> </w:t>
      </w:r>
      <w:r w:rsidRPr="00F90A16">
        <w:t>request for an administrative waiver from</w:t>
      </w:r>
      <w:r>
        <w:t xml:space="preserve"> one of the following requirements. The waiver is granted at the discretion of the clearing officer:</w:t>
      </w:r>
    </w:p>
    <w:p w14:paraId="582078F4" w14:textId="3A8A655A" w:rsidR="006A79C8" w:rsidRDefault="004C62EA" w:rsidP="002109A5">
      <w:pPr>
        <w:pStyle w:val="BodyText"/>
        <w:numPr>
          <w:ilvl w:val="0"/>
          <w:numId w:val="7"/>
        </w:numPr>
        <w:contextualSpacing/>
      </w:pPr>
      <w:r>
        <w:t>Six-hour Prior of Notice of</w:t>
      </w:r>
      <w:r w:rsidRPr="003E7539">
        <w:rPr>
          <w:spacing w:val="-2"/>
        </w:rPr>
        <w:t xml:space="preserve"> </w:t>
      </w:r>
      <w:r>
        <w:t>Landing</w:t>
      </w:r>
      <w:r w:rsidR="003E7539">
        <w:t>: i</w:t>
      </w:r>
      <w:r>
        <w:t>ssued to a vessel to land fish before the required 6 hours</w:t>
      </w:r>
    </w:p>
    <w:p w14:paraId="4D388C32" w14:textId="2BA42810" w:rsidR="006A79C8" w:rsidRDefault="004C62EA" w:rsidP="002109A5">
      <w:pPr>
        <w:pStyle w:val="BodyText"/>
        <w:numPr>
          <w:ilvl w:val="0"/>
          <w:numId w:val="7"/>
        </w:numPr>
        <w:contextualSpacing/>
      </w:pPr>
      <w:r>
        <w:t>12-hour IFQ Landing</w:t>
      </w:r>
      <w:r w:rsidRPr="003E7539">
        <w:rPr>
          <w:spacing w:val="-2"/>
        </w:rPr>
        <w:t xml:space="preserve"> </w:t>
      </w:r>
      <w:r>
        <w:t>Window</w:t>
      </w:r>
      <w:r w:rsidR="003E7539">
        <w:t>: i</w:t>
      </w:r>
      <w:r>
        <w:t>ssued to a vessel that lands fish after hours: after 1800 and before 0600</w:t>
      </w:r>
    </w:p>
    <w:p w14:paraId="2012ADCD" w14:textId="101C1FD5" w:rsidR="006A79C8" w:rsidRDefault="004C62EA" w:rsidP="002109A5">
      <w:pPr>
        <w:pStyle w:val="BodyText"/>
        <w:numPr>
          <w:ilvl w:val="0"/>
          <w:numId w:val="7"/>
        </w:numPr>
        <w:contextualSpacing/>
      </w:pPr>
      <w:r>
        <w:t>Electronic Landing Report</w:t>
      </w:r>
      <w:r w:rsidR="003E7539">
        <w:t>: i</w:t>
      </w:r>
      <w:r>
        <w:t>ssued due to eLandings failure</w:t>
      </w:r>
    </w:p>
    <w:p w14:paraId="5EFF8D53" w14:textId="3352FE7E" w:rsidR="006A79C8" w:rsidRDefault="004C62EA" w:rsidP="002109A5">
      <w:pPr>
        <w:pStyle w:val="BodyText"/>
        <w:numPr>
          <w:ilvl w:val="0"/>
          <w:numId w:val="7"/>
        </w:numPr>
        <w:contextualSpacing/>
      </w:pPr>
      <w:r>
        <w:t>IFQ hired master on</w:t>
      </w:r>
      <w:r w:rsidR="003E7539">
        <w:t xml:space="preserve"> </w:t>
      </w:r>
      <w:r>
        <w:t>board</w:t>
      </w:r>
      <w:r w:rsidR="003E7539">
        <w:t>: i</w:t>
      </w:r>
      <w:r>
        <w:t>ssued for the IFQ hired master to not be on board in extreme personal emergencies</w:t>
      </w:r>
    </w:p>
    <w:p w14:paraId="0CDDA52A" w14:textId="77777777" w:rsidR="006A79C8" w:rsidRDefault="006A79C8" w:rsidP="00735EE7">
      <w:pPr>
        <w:pStyle w:val="BodyText"/>
        <w:contextualSpacing/>
        <w:rPr>
          <w:sz w:val="23"/>
        </w:rPr>
      </w:pPr>
    </w:p>
    <w:p w14:paraId="2E15E0F9" w14:textId="48D5320F" w:rsidR="006A79C8" w:rsidRPr="00842DA2" w:rsidRDefault="00842DA2" w:rsidP="00735EE7">
      <w:pPr>
        <w:contextualSpacing/>
        <w:rPr>
          <w:sz w:val="24"/>
          <w:szCs w:val="24"/>
        </w:rPr>
      </w:pPr>
      <w:r w:rsidRPr="00842DA2">
        <w:rPr>
          <w:sz w:val="24"/>
          <w:szCs w:val="24"/>
        </w:rPr>
        <w:t xml:space="preserve">The following information is </w:t>
      </w:r>
      <w:r w:rsidR="00653412">
        <w:rPr>
          <w:sz w:val="24"/>
          <w:szCs w:val="24"/>
        </w:rPr>
        <w:t>collected</w:t>
      </w:r>
      <w:r w:rsidRPr="00842DA2">
        <w:rPr>
          <w:sz w:val="24"/>
          <w:szCs w:val="24"/>
        </w:rPr>
        <w:t xml:space="preserve"> in an </w:t>
      </w:r>
      <w:r w:rsidR="004C62EA" w:rsidRPr="00842DA2">
        <w:rPr>
          <w:sz w:val="24"/>
          <w:szCs w:val="24"/>
        </w:rPr>
        <w:t>IFQ Administrative Waiver</w:t>
      </w:r>
      <w:r w:rsidRPr="00842DA2">
        <w:rPr>
          <w:sz w:val="24"/>
          <w:szCs w:val="24"/>
        </w:rPr>
        <w:t>.</w:t>
      </w:r>
    </w:p>
    <w:p w14:paraId="500ABEB4" w14:textId="77777777" w:rsidR="00842DA2" w:rsidRPr="00842DA2" w:rsidRDefault="00842DA2" w:rsidP="00735EE7">
      <w:pPr>
        <w:contextualSpacing/>
        <w:rPr>
          <w:sz w:val="24"/>
          <w:szCs w:val="24"/>
        </w:rPr>
      </w:pPr>
    </w:p>
    <w:p w14:paraId="18648A73" w14:textId="77777777" w:rsidR="001C06DC" w:rsidRPr="00FE4B57" w:rsidRDefault="001C06DC" w:rsidP="00735EE7">
      <w:pPr>
        <w:contextualSpacing/>
        <w:rPr>
          <w:i/>
          <w:sz w:val="20"/>
          <w:u w:val="single"/>
        </w:rPr>
      </w:pPr>
      <w:r w:rsidRPr="00FE4B57">
        <w:rPr>
          <w:i/>
          <w:sz w:val="20"/>
          <w:u w:val="single"/>
        </w:rPr>
        <w:t>Toll-free telephone call</w:t>
      </w:r>
      <w:r w:rsidR="004C62EA" w:rsidRPr="00FE4B57">
        <w:rPr>
          <w:i/>
          <w:sz w:val="20"/>
          <w:u w:val="single"/>
        </w:rPr>
        <w:t xml:space="preserve"> </w:t>
      </w:r>
      <w:r w:rsidR="00662269" w:rsidRPr="00FE4B57">
        <w:rPr>
          <w:i/>
          <w:sz w:val="20"/>
          <w:u w:val="single"/>
        </w:rPr>
        <w:t>to</w:t>
      </w:r>
      <w:r w:rsidR="004C62EA" w:rsidRPr="00FE4B57">
        <w:rPr>
          <w:i/>
          <w:sz w:val="20"/>
          <w:u w:val="single"/>
        </w:rPr>
        <w:t xml:space="preserve"> OLE </w:t>
      </w:r>
    </w:p>
    <w:p w14:paraId="64201705" w14:textId="77777777" w:rsidR="006A79C8" w:rsidRDefault="004C62EA" w:rsidP="00735EE7">
      <w:pPr>
        <w:contextualSpacing/>
        <w:rPr>
          <w:sz w:val="20"/>
        </w:rPr>
      </w:pPr>
      <w:r>
        <w:rPr>
          <w:sz w:val="20"/>
        </w:rPr>
        <w:t>Date and time of waiver</w:t>
      </w:r>
    </w:p>
    <w:p w14:paraId="3E201254" w14:textId="77777777" w:rsidR="001C06DC" w:rsidRDefault="004C62EA" w:rsidP="00735EE7">
      <w:pPr>
        <w:contextualSpacing/>
        <w:rPr>
          <w:sz w:val="20"/>
        </w:rPr>
      </w:pPr>
      <w:r>
        <w:rPr>
          <w:sz w:val="20"/>
        </w:rPr>
        <w:t xml:space="preserve">Vessel name and ADF&amp;G vessel registration number </w:t>
      </w:r>
    </w:p>
    <w:p w14:paraId="6F6BEF7D" w14:textId="77777777" w:rsidR="006A79C8" w:rsidRDefault="004C62EA" w:rsidP="00735EE7">
      <w:pPr>
        <w:contextualSpacing/>
        <w:rPr>
          <w:sz w:val="20"/>
        </w:rPr>
      </w:pPr>
      <w:r>
        <w:rPr>
          <w:sz w:val="20"/>
        </w:rPr>
        <w:t>All IFQ permit numbers</w:t>
      </w:r>
    </w:p>
    <w:p w14:paraId="1ACF797C" w14:textId="77777777" w:rsidR="001C06DC" w:rsidRDefault="004C62EA" w:rsidP="00735EE7">
      <w:pPr>
        <w:contextualSpacing/>
        <w:rPr>
          <w:sz w:val="20"/>
        </w:rPr>
      </w:pPr>
      <w:r>
        <w:rPr>
          <w:sz w:val="20"/>
        </w:rPr>
        <w:t xml:space="preserve">Prior Notice confirmation number (if applicable) </w:t>
      </w:r>
    </w:p>
    <w:p w14:paraId="24745341" w14:textId="77777777" w:rsidR="001C06DC" w:rsidRDefault="004C62EA" w:rsidP="00735EE7">
      <w:pPr>
        <w:contextualSpacing/>
        <w:rPr>
          <w:sz w:val="20"/>
        </w:rPr>
      </w:pPr>
      <w:r>
        <w:rPr>
          <w:sz w:val="20"/>
        </w:rPr>
        <w:t xml:space="preserve">Registered Buyer name and permit number (if applicable) </w:t>
      </w:r>
    </w:p>
    <w:p w14:paraId="1DAAA9D9" w14:textId="77777777" w:rsidR="006A79C8" w:rsidRDefault="004C62EA" w:rsidP="00735EE7">
      <w:pPr>
        <w:contextualSpacing/>
        <w:rPr>
          <w:sz w:val="20"/>
        </w:rPr>
      </w:pPr>
      <w:r>
        <w:rPr>
          <w:sz w:val="20"/>
        </w:rPr>
        <w:t>Requirement being waived.</w:t>
      </w:r>
    </w:p>
    <w:p w14:paraId="3742BD61" w14:textId="77777777" w:rsidR="006A79C8" w:rsidRDefault="006A79C8" w:rsidP="00735EE7">
      <w:pPr>
        <w:pStyle w:val="BodyText"/>
        <w:contextualSpacing/>
        <w:rPr>
          <w:sz w:val="19"/>
        </w:rPr>
      </w:pPr>
    </w:p>
    <w:p w14:paraId="1667FA06" w14:textId="77777777" w:rsidR="006A79C8" w:rsidRDefault="006A79C8"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900"/>
      </w:tblGrid>
      <w:tr w:rsidR="006A79C8" w14:paraId="55131CED" w14:textId="77777777" w:rsidTr="00D62640">
        <w:trPr>
          <w:trHeight w:val="230"/>
          <w:jc w:val="center"/>
        </w:trPr>
        <w:tc>
          <w:tcPr>
            <w:tcW w:w="4454" w:type="dxa"/>
            <w:gridSpan w:val="2"/>
          </w:tcPr>
          <w:p w14:paraId="2DEF6C1B" w14:textId="77777777" w:rsidR="006A79C8" w:rsidRDefault="004C62EA" w:rsidP="00735EE7">
            <w:pPr>
              <w:pStyle w:val="TableParagraph"/>
              <w:contextualSpacing/>
              <w:rPr>
                <w:b/>
                <w:sz w:val="20"/>
              </w:rPr>
            </w:pPr>
            <w:r>
              <w:rPr>
                <w:b/>
                <w:sz w:val="20"/>
              </w:rPr>
              <w:t>IFQ Administrative Waiver, Respondent</w:t>
            </w:r>
          </w:p>
        </w:tc>
      </w:tr>
      <w:tr w:rsidR="006A79C8" w14:paraId="25E0D712" w14:textId="77777777" w:rsidTr="00D62640">
        <w:trPr>
          <w:trHeight w:val="233"/>
          <w:jc w:val="center"/>
        </w:trPr>
        <w:tc>
          <w:tcPr>
            <w:tcW w:w="3554" w:type="dxa"/>
            <w:tcBorders>
              <w:bottom w:val="nil"/>
            </w:tcBorders>
          </w:tcPr>
          <w:p w14:paraId="5949971F" w14:textId="77777777" w:rsidR="006A79C8" w:rsidRDefault="004C62EA" w:rsidP="00735EE7">
            <w:pPr>
              <w:pStyle w:val="TableParagraph"/>
              <w:contextualSpacing/>
              <w:rPr>
                <w:b/>
                <w:sz w:val="20"/>
              </w:rPr>
            </w:pPr>
            <w:r>
              <w:rPr>
                <w:b/>
                <w:sz w:val="20"/>
              </w:rPr>
              <w:t>Estimated number of respondents</w:t>
            </w:r>
          </w:p>
        </w:tc>
        <w:tc>
          <w:tcPr>
            <w:tcW w:w="900" w:type="dxa"/>
            <w:tcBorders>
              <w:bottom w:val="nil"/>
            </w:tcBorders>
          </w:tcPr>
          <w:p w14:paraId="77377718" w14:textId="71CA0DAA" w:rsidR="006A79C8" w:rsidRDefault="00B30640" w:rsidP="00DC6F94">
            <w:pPr>
              <w:pStyle w:val="TableParagraph"/>
              <w:contextualSpacing/>
              <w:jc w:val="right"/>
              <w:rPr>
                <w:b/>
                <w:sz w:val="20"/>
              </w:rPr>
            </w:pPr>
            <w:r>
              <w:rPr>
                <w:b/>
                <w:sz w:val="20"/>
              </w:rPr>
              <w:t>235</w:t>
            </w:r>
          </w:p>
        </w:tc>
      </w:tr>
      <w:tr w:rsidR="006A79C8" w14:paraId="6D71519D" w14:textId="77777777" w:rsidTr="00D62640">
        <w:trPr>
          <w:trHeight w:val="226"/>
          <w:jc w:val="center"/>
        </w:trPr>
        <w:tc>
          <w:tcPr>
            <w:tcW w:w="3554" w:type="dxa"/>
            <w:tcBorders>
              <w:top w:val="nil"/>
              <w:bottom w:val="nil"/>
            </w:tcBorders>
          </w:tcPr>
          <w:p w14:paraId="3DA7910D" w14:textId="77777777" w:rsidR="006A79C8" w:rsidRDefault="004C62EA" w:rsidP="00735EE7">
            <w:pPr>
              <w:pStyle w:val="TableParagraph"/>
              <w:contextualSpacing/>
              <w:rPr>
                <w:b/>
                <w:sz w:val="20"/>
              </w:rPr>
            </w:pPr>
            <w:r>
              <w:rPr>
                <w:b/>
                <w:sz w:val="20"/>
              </w:rPr>
              <w:t>Total annual responses</w:t>
            </w:r>
          </w:p>
        </w:tc>
        <w:tc>
          <w:tcPr>
            <w:tcW w:w="900" w:type="dxa"/>
            <w:tcBorders>
              <w:top w:val="nil"/>
              <w:bottom w:val="nil"/>
            </w:tcBorders>
          </w:tcPr>
          <w:p w14:paraId="60746C73" w14:textId="60E6A126" w:rsidR="006A79C8" w:rsidRDefault="00357FC7" w:rsidP="0065018F">
            <w:pPr>
              <w:pStyle w:val="TableParagraph"/>
              <w:contextualSpacing/>
              <w:jc w:val="right"/>
              <w:rPr>
                <w:b/>
                <w:sz w:val="20"/>
              </w:rPr>
            </w:pPr>
            <w:r>
              <w:rPr>
                <w:b/>
                <w:sz w:val="20"/>
              </w:rPr>
              <w:t>3</w:t>
            </w:r>
            <w:r w:rsidR="00B30640">
              <w:rPr>
                <w:b/>
                <w:sz w:val="20"/>
              </w:rPr>
              <w:t>4</w:t>
            </w:r>
            <w:r>
              <w:rPr>
                <w:b/>
                <w:sz w:val="20"/>
              </w:rPr>
              <w:t>6</w:t>
            </w:r>
          </w:p>
        </w:tc>
      </w:tr>
      <w:tr w:rsidR="006A79C8" w14:paraId="4A8C0F6A" w14:textId="77777777" w:rsidTr="00D62640">
        <w:trPr>
          <w:trHeight w:val="230"/>
          <w:jc w:val="center"/>
        </w:trPr>
        <w:tc>
          <w:tcPr>
            <w:tcW w:w="3554" w:type="dxa"/>
            <w:tcBorders>
              <w:top w:val="nil"/>
              <w:bottom w:val="nil"/>
            </w:tcBorders>
          </w:tcPr>
          <w:p w14:paraId="40FB5679" w14:textId="0FF2DDE1" w:rsidR="006A79C8" w:rsidRDefault="00757DEC" w:rsidP="0065018F">
            <w:pPr>
              <w:pStyle w:val="TableParagraph"/>
              <w:contextualSpacing/>
              <w:rPr>
                <w:b/>
                <w:sz w:val="20"/>
              </w:rPr>
            </w:pPr>
            <w:r>
              <w:rPr>
                <w:b/>
                <w:sz w:val="20"/>
              </w:rPr>
              <w:t>Total t</w:t>
            </w:r>
            <w:r w:rsidR="004C62EA">
              <w:rPr>
                <w:b/>
                <w:sz w:val="20"/>
              </w:rPr>
              <w:t>ime burden</w:t>
            </w:r>
            <w:r w:rsidR="00FC7643">
              <w:rPr>
                <w:b/>
                <w:sz w:val="20"/>
              </w:rPr>
              <w:t xml:space="preserve"> </w:t>
            </w:r>
            <w:r w:rsidR="00FC7643" w:rsidRPr="00DC6F94">
              <w:rPr>
                <w:sz w:val="20"/>
              </w:rPr>
              <w:t>(</w:t>
            </w:r>
            <w:r w:rsidR="00DC6F94">
              <w:rPr>
                <w:sz w:val="20"/>
              </w:rPr>
              <w:t>3</w:t>
            </w:r>
            <w:r w:rsidR="00B30640">
              <w:rPr>
                <w:sz w:val="20"/>
              </w:rPr>
              <w:t>4</w:t>
            </w:r>
            <w:r w:rsidR="00357FC7">
              <w:rPr>
                <w:sz w:val="20"/>
              </w:rPr>
              <w:t>.6</w:t>
            </w:r>
            <w:r w:rsidR="00FC7643" w:rsidRPr="00DC6F94">
              <w:rPr>
                <w:sz w:val="20"/>
              </w:rPr>
              <w:t>)</w:t>
            </w:r>
          </w:p>
        </w:tc>
        <w:tc>
          <w:tcPr>
            <w:tcW w:w="900" w:type="dxa"/>
            <w:tcBorders>
              <w:top w:val="nil"/>
              <w:bottom w:val="nil"/>
            </w:tcBorders>
          </w:tcPr>
          <w:p w14:paraId="05312CB0" w14:textId="2D9A4F67" w:rsidR="006A79C8" w:rsidRDefault="00DC6F94" w:rsidP="00005CF7">
            <w:pPr>
              <w:pStyle w:val="TableParagraph"/>
              <w:contextualSpacing/>
              <w:jc w:val="right"/>
              <w:rPr>
                <w:b/>
                <w:sz w:val="20"/>
              </w:rPr>
            </w:pPr>
            <w:r>
              <w:rPr>
                <w:b/>
                <w:sz w:val="20"/>
              </w:rPr>
              <w:t>3</w:t>
            </w:r>
            <w:r w:rsidR="00B30640">
              <w:rPr>
                <w:b/>
                <w:sz w:val="20"/>
              </w:rPr>
              <w:t>5</w:t>
            </w:r>
            <w:r w:rsidR="004C62EA">
              <w:rPr>
                <w:b/>
                <w:sz w:val="20"/>
              </w:rPr>
              <w:t xml:space="preserve"> hr</w:t>
            </w:r>
          </w:p>
        </w:tc>
      </w:tr>
      <w:tr w:rsidR="006A79C8" w14:paraId="635258BE" w14:textId="77777777" w:rsidTr="00D62640">
        <w:trPr>
          <w:trHeight w:val="228"/>
          <w:jc w:val="center"/>
        </w:trPr>
        <w:tc>
          <w:tcPr>
            <w:tcW w:w="3554" w:type="dxa"/>
            <w:tcBorders>
              <w:top w:val="nil"/>
              <w:bottom w:val="nil"/>
            </w:tcBorders>
          </w:tcPr>
          <w:p w14:paraId="7A38272D" w14:textId="77777777" w:rsidR="006A79C8" w:rsidRDefault="004C62EA" w:rsidP="00735EE7">
            <w:pPr>
              <w:pStyle w:val="TableParagraph"/>
              <w:contextualSpacing/>
              <w:rPr>
                <w:sz w:val="20"/>
              </w:rPr>
            </w:pPr>
            <w:r>
              <w:rPr>
                <w:sz w:val="20"/>
              </w:rPr>
              <w:t>Time per response = 6 min</w:t>
            </w:r>
          </w:p>
        </w:tc>
        <w:tc>
          <w:tcPr>
            <w:tcW w:w="900" w:type="dxa"/>
            <w:tcBorders>
              <w:top w:val="nil"/>
              <w:bottom w:val="nil"/>
            </w:tcBorders>
          </w:tcPr>
          <w:p w14:paraId="5743E919" w14:textId="77777777" w:rsidR="006A79C8" w:rsidRDefault="006A79C8" w:rsidP="00DC6F94">
            <w:pPr>
              <w:pStyle w:val="TableParagraph"/>
              <w:contextualSpacing/>
              <w:jc w:val="right"/>
              <w:rPr>
                <w:sz w:val="16"/>
              </w:rPr>
            </w:pPr>
          </w:p>
        </w:tc>
      </w:tr>
      <w:tr w:rsidR="006A79C8" w14:paraId="3D64F9CD" w14:textId="77777777" w:rsidTr="00D62640">
        <w:trPr>
          <w:trHeight w:val="235"/>
          <w:jc w:val="center"/>
        </w:trPr>
        <w:tc>
          <w:tcPr>
            <w:tcW w:w="3554" w:type="dxa"/>
            <w:tcBorders>
              <w:top w:val="nil"/>
              <w:bottom w:val="nil"/>
            </w:tcBorders>
          </w:tcPr>
          <w:p w14:paraId="69236A1B" w14:textId="13E4F8D0" w:rsidR="006A79C8" w:rsidRDefault="004C62EA" w:rsidP="0065018F">
            <w:pPr>
              <w:pStyle w:val="TableParagraph"/>
              <w:contextualSpacing/>
              <w:rPr>
                <w:sz w:val="20"/>
              </w:rPr>
            </w:pPr>
            <w:r>
              <w:rPr>
                <w:b/>
                <w:sz w:val="20"/>
              </w:rPr>
              <w:t xml:space="preserve">Total personnel cost </w:t>
            </w:r>
            <w:r>
              <w:rPr>
                <w:sz w:val="20"/>
              </w:rPr>
              <w:t xml:space="preserve">($37/hr x </w:t>
            </w:r>
            <w:r w:rsidR="00DC6F94">
              <w:rPr>
                <w:sz w:val="20"/>
              </w:rPr>
              <w:t>3</w:t>
            </w:r>
            <w:r w:rsidR="00B30640">
              <w:rPr>
                <w:sz w:val="20"/>
              </w:rPr>
              <w:t>5</w:t>
            </w:r>
            <w:r>
              <w:rPr>
                <w:sz w:val="20"/>
              </w:rPr>
              <w:t>)</w:t>
            </w:r>
          </w:p>
        </w:tc>
        <w:tc>
          <w:tcPr>
            <w:tcW w:w="900" w:type="dxa"/>
            <w:tcBorders>
              <w:top w:val="nil"/>
              <w:bottom w:val="nil"/>
            </w:tcBorders>
          </w:tcPr>
          <w:p w14:paraId="0EAA7C08" w14:textId="31724FBA" w:rsidR="006A79C8" w:rsidRDefault="004C62EA" w:rsidP="00005CF7">
            <w:pPr>
              <w:pStyle w:val="TableParagraph"/>
              <w:contextualSpacing/>
              <w:jc w:val="right"/>
              <w:rPr>
                <w:b/>
                <w:sz w:val="20"/>
              </w:rPr>
            </w:pPr>
            <w:r>
              <w:rPr>
                <w:b/>
                <w:w w:val="95"/>
                <w:sz w:val="20"/>
              </w:rPr>
              <w:t>$</w:t>
            </w:r>
            <w:r w:rsidR="00DC6F94">
              <w:rPr>
                <w:b/>
                <w:w w:val="95"/>
                <w:sz w:val="20"/>
              </w:rPr>
              <w:t>1,2</w:t>
            </w:r>
            <w:r w:rsidR="00B30640">
              <w:rPr>
                <w:b/>
                <w:w w:val="95"/>
                <w:sz w:val="20"/>
              </w:rPr>
              <w:t>95</w:t>
            </w:r>
          </w:p>
        </w:tc>
      </w:tr>
      <w:tr w:rsidR="006A79C8" w14:paraId="0BCB8B97" w14:textId="77777777" w:rsidTr="00D62640">
        <w:trPr>
          <w:trHeight w:val="225"/>
          <w:jc w:val="center"/>
        </w:trPr>
        <w:tc>
          <w:tcPr>
            <w:tcW w:w="3554" w:type="dxa"/>
            <w:tcBorders>
              <w:top w:val="nil"/>
            </w:tcBorders>
          </w:tcPr>
          <w:p w14:paraId="65CFFE78" w14:textId="77777777" w:rsidR="006A79C8" w:rsidRDefault="004C62EA" w:rsidP="00735EE7">
            <w:pPr>
              <w:pStyle w:val="TableParagraph"/>
              <w:contextualSpacing/>
              <w:rPr>
                <w:b/>
                <w:sz w:val="20"/>
              </w:rPr>
            </w:pPr>
            <w:r>
              <w:rPr>
                <w:b/>
                <w:sz w:val="20"/>
              </w:rPr>
              <w:t>Total miscellaneous cost</w:t>
            </w:r>
          </w:p>
        </w:tc>
        <w:tc>
          <w:tcPr>
            <w:tcW w:w="900" w:type="dxa"/>
            <w:tcBorders>
              <w:top w:val="nil"/>
            </w:tcBorders>
          </w:tcPr>
          <w:p w14:paraId="776228FE" w14:textId="77777777" w:rsidR="006A79C8" w:rsidRDefault="004C62EA" w:rsidP="00DC6F94">
            <w:pPr>
              <w:pStyle w:val="TableParagraph"/>
              <w:contextualSpacing/>
              <w:jc w:val="right"/>
              <w:rPr>
                <w:b/>
                <w:sz w:val="20"/>
              </w:rPr>
            </w:pPr>
            <w:r>
              <w:rPr>
                <w:b/>
                <w:w w:val="99"/>
                <w:sz w:val="20"/>
              </w:rPr>
              <w:t>0</w:t>
            </w:r>
          </w:p>
        </w:tc>
      </w:tr>
    </w:tbl>
    <w:p w14:paraId="1AB6E850" w14:textId="77777777" w:rsidR="006A79C8" w:rsidRDefault="006A79C8" w:rsidP="00735EE7">
      <w:pPr>
        <w:pStyle w:val="BodyText"/>
        <w:contextualSpacing/>
      </w:pPr>
    </w:p>
    <w:p w14:paraId="2A5D985F" w14:textId="77777777" w:rsidR="0065018F" w:rsidRDefault="0065018F" w:rsidP="00DB448A">
      <w:pPr>
        <w:pStyle w:val="Heading1"/>
        <w:tabs>
          <w:tab w:val="left" w:pos="360"/>
        </w:tabs>
        <w:ind w:left="0"/>
        <w:contextualSpacing/>
        <w:rPr>
          <w:u w:val="none"/>
        </w:rPr>
      </w:pPr>
    </w:p>
    <w:p w14:paraId="63AB3A1E" w14:textId="32D8877C" w:rsidR="006A79C8" w:rsidRDefault="000B728F" w:rsidP="00DB448A">
      <w:pPr>
        <w:pStyle w:val="Heading1"/>
        <w:tabs>
          <w:tab w:val="left" w:pos="360"/>
        </w:tabs>
        <w:ind w:left="0"/>
        <w:contextualSpacing/>
        <w:rPr>
          <w:u w:val="none"/>
        </w:rPr>
      </w:pPr>
      <w:r>
        <w:rPr>
          <w:u w:val="none"/>
        </w:rPr>
        <w:t>l</w:t>
      </w:r>
      <w:r w:rsidR="00DB448A" w:rsidRPr="001C1A19">
        <w:rPr>
          <w:u w:val="none"/>
        </w:rPr>
        <w:t>.</w:t>
      </w:r>
      <w:r w:rsidR="00DB448A" w:rsidRPr="001C1A19">
        <w:rPr>
          <w:u w:val="none"/>
        </w:rPr>
        <w:tab/>
      </w:r>
      <w:r w:rsidR="004C62EA" w:rsidRPr="001C1A19">
        <w:rPr>
          <w:u w:val="none"/>
        </w:rPr>
        <w:t>Prior Notice of Landing (PNOL)</w:t>
      </w:r>
      <w:r w:rsidR="009654C7" w:rsidRPr="001C1A19">
        <w:rPr>
          <w:u w:val="none"/>
        </w:rPr>
        <w:t xml:space="preserve"> </w:t>
      </w:r>
      <w:r w:rsidR="009654C7" w:rsidRPr="002E198E">
        <w:rPr>
          <w:u w:val="none"/>
        </w:rPr>
        <w:t>[</w:t>
      </w:r>
      <w:r w:rsidR="002E198E" w:rsidRPr="002E198E">
        <w:rPr>
          <w:u w:val="none"/>
        </w:rPr>
        <w:t>adjusted</w:t>
      </w:r>
      <w:r w:rsidR="009654C7" w:rsidRPr="002E198E">
        <w:rPr>
          <w:u w:val="none"/>
        </w:rPr>
        <w:t>]</w:t>
      </w:r>
    </w:p>
    <w:p w14:paraId="3AE18749" w14:textId="77777777" w:rsidR="006A79C8" w:rsidRDefault="006A79C8" w:rsidP="00735EE7">
      <w:pPr>
        <w:pStyle w:val="BodyText"/>
        <w:contextualSpacing/>
        <w:rPr>
          <w:b/>
          <w:sz w:val="23"/>
        </w:rPr>
      </w:pPr>
    </w:p>
    <w:p w14:paraId="790FD50E" w14:textId="709A4109" w:rsidR="006A79C8" w:rsidRDefault="004C62EA" w:rsidP="00735EE7">
      <w:pPr>
        <w:pStyle w:val="BodyText"/>
        <w:contextualSpacing/>
      </w:pPr>
      <w:r>
        <w:t>The operator of any vessel making an IF</w:t>
      </w:r>
      <w:r w:rsidR="009A4726">
        <w:t xml:space="preserve">Q landing must submit a PNOL to </w:t>
      </w:r>
      <w:r>
        <w:t>OLE no fewer than 3 hours before landing IFQ halibut, CDQ halibut, or IFQ sablefish, unless permission to commence an IFQ landing within 3 hours of notification is granted by a clearing officer.</w:t>
      </w:r>
      <w:r w:rsidR="000134E1" w:rsidRPr="000134E1">
        <w:t xml:space="preserve"> </w:t>
      </w:r>
      <w:r w:rsidR="000134E1" w:rsidRPr="004F53B1">
        <w:t>No form exists for this item.</w:t>
      </w:r>
    </w:p>
    <w:p w14:paraId="6F6D7C9C" w14:textId="77777777" w:rsidR="00B46BF3" w:rsidRDefault="00B46BF3" w:rsidP="00735EE7">
      <w:pPr>
        <w:pStyle w:val="BodyText"/>
        <w:contextualSpacing/>
      </w:pPr>
    </w:p>
    <w:p w14:paraId="565256B2" w14:textId="536BBD64" w:rsidR="004F53B1" w:rsidRDefault="00B46BF3" w:rsidP="004F53B1">
      <w:pPr>
        <w:pStyle w:val="BodyText"/>
        <w:contextualSpacing/>
      </w:pPr>
      <w:r>
        <w:t xml:space="preserve">The operator of any vessel wishing to make an IFQ landing before the date and time (A.l.t.) reported in the PNOL or later than 2 hours after the date and time (A.l.t.) reported in the PNOL </w:t>
      </w:r>
      <w:r w:rsidRPr="004F53B1">
        <w:t xml:space="preserve">must submit a new PNOL. </w:t>
      </w:r>
    </w:p>
    <w:p w14:paraId="2FD4C567" w14:textId="77777777" w:rsidR="00B46BF3" w:rsidRDefault="00B46BF3" w:rsidP="00B46BF3">
      <w:pPr>
        <w:pStyle w:val="BodyText"/>
        <w:contextualSpacing/>
      </w:pPr>
    </w:p>
    <w:p w14:paraId="10A5D8FD" w14:textId="1300D102" w:rsidR="009A4726" w:rsidRPr="009A4726" w:rsidRDefault="009A4726" w:rsidP="009A472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9A4726">
        <w:rPr>
          <w:sz w:val="24"/>
          <w:szCs w:val="24"/>
        </w:rPr>
        <w:t xml:space="preserve">Vessel operators </w:t>
      </w:r>
      <w:r w:rsidR="00127DCE">
        <w:rPr>
          <w:sz w:val="24"/>
          <w:szCs w:val="24"/>
        </w:rPr>
        <w:t>call OLE using a toll-free number</w:t>
      </w:r>
      <w:r w:rsidRPr="009A4726">
        <w:rPr>
          <w:sz w:val="24"/>
          <w:szCs w:val="24"/>
        </w:rPr>
        <w:t xml:space="preserve"> to submit a PNOL</w:t>
      </w:r>
      <w:r w:rsidR="00127DCE">
        <w:rPr>
          <w:sz w:val="24"/>
          <w:szCs w:val="24"/>
        </w:rPr>
        <w:t>.</w:t>
      </w:r>
      <w:r w:rsidRPr="009A4726">
        <w:rPr>
          <w:sz w:val="24"/>
          <w:szCs w:val="24"/>
        </w:rPr>
        <w:t xml:space="preserve"> </w:t>
      </w:r>
      <w:r w:rsidR="000134E1">
        <w:rPr>
          <w:sz w:val="24"/>
          <w:szCs w:val="24"/>
        </w:rPr>
        <w:t>An</w:t>
      </w:r>
      <w:r w:rsidRPr="009A4726">
        <w:rPr>
          <w:sz w:val="24"/>
          <w:szCs w:val="24"/>
        </w:rPr>
        <w:t xml:space="preserve"> OLE </w:t>
      </w:r>
      <w:r w:rsidR="00127DCE">
        <w:rPr>
          <w:sz w:val="24"/>
          <w:szCs w:val="24"/>
        </w:rPr>
        <w:t>d</w:t>
      </w:r>
      <w:r w:rsidRPr="009A4726">
        <w:rPr>
          <w:sz w:val="24"/>
          <w:szCs w:val="24"/>
        </w:rPr>
        <w:t xml:space="preserve">ata </w:t>
      </w:r>
      <w:r w:rsidR="00127DCE">
        <w:rPr>
          <w:sz w:val="24"/>
          <w:szCs w:val="24"/>
        </w:rPr>
        <w:t>c</w:t>
      </w:r>
      <w:r w:rsidR="000134E1">
        <w:rPr>
          <w:sz w:val="24"/>
          <w:szCs w:val="24"/>
        </w:rPr>
        <w:t>lerk</w:t>
      </w:r>
      <w:r w:rsidRPr="009A4726">
        <w:rPr>
          <w:sz w:val="24"/>
          <w:szCs w:val="24"/>
        </w:rPr>
        <w:t xml:space="preserve"> type</w:t>
      </w:r>
      <w:r w:rsidR="000134E1">
        <w:rPr>
          <w:sz w:val="24"/>
          <w:szCs w:val="24"/>
        </w:rPr>
        <w:t>s</w:t>
      </w:r>
      <w:r w:rsidRPr="009A4726">
        <w:rPr>
          <w:sz w:val="24"/>
          <w:szCs w:val="24"/>
        </w:rPr>
        <w:t xml:space="preserve"> the data directly into the system. The system generates a PNOL confirmation number</w:t>
      </w:r>
      <w:r w:rsidR="00127DCE">
        <w:rPr>
          <w:sz w:val="24"/>
          <w:szCs w:val="24"/>
        </w:rPr>
        <w:t>,</w:t>
      </w:r>
      <w:r w:rsidRPr="009A4726">
        <w:rPr>
          <w:sz w:val="24"/>
          <w:szCs w:val="24"/>
        </w:rPr>
        <w:t xml:space="preserve"> which the </w:t>
      </w:r>
      <w:r w:rsidR="00127DCE">
        <w:rPr>
          <w:sz w:val="24"/>
          <w:szCs w:val="24"/>
        </w:rPr>
        <w:t>d</w:t>
      </w:r>
      <w:r w:rsidRPr="009A4726">
        <w:rPr>
          <w:sz w:val="24"/>
          <w:szCs w:val="24"/>
        </w:rPr>
        <w:t xml:space="preserve">ata </w:t>
      </w:r>
      <w:r w:rsidR="00127DCE">
        <w:rPr>
          <w:sz w:val="24"/>
          <w:szCs w:val="24"/>
        </w:rPr>
        <w:t>c</w:t>
      </w:r>
      <w:r w:rsidRPr="009A4726">
        <w:rPr>
          <w:sz w:val="24"/>
          <w:szCs w:val="24"/>
        </w:rPr>
        <w:t>lerk provides to the fisher</w:t>
      </w:r>
      <w:r>
        <w:rPr>
          <w:sz w:val="24"/>
          <w:szCs w:val="24"/>
        </w:rPr>
        <w:t>man</w:t>
      </w:r>
      <w:r w:rsidRPr="009A4726">
        <w:rPr>
          <w:sz w:val="24"/>
          <w:szCs w:val="24"/>
        </w:rPr>
        <w:t>.</w:t>
      </w:r>
    </w:p>
    <w:p w14:paraId="458209D9" w14:textId="77777777" w:rsidR="006A79C8" w:rsidRDefault="006A79C8" w:rsidP="00735EE7">
      <w:pPr>
        <w:pStyle w:val="BodyText"/>
        <w:contextualSpacing/>
      </w:pPr>
    </w:p>
    <w:p w14:paraId="28C09C8E" w14:textId="77777777" w:rsidR="006A79C8" w:rsidRDefault="004C62EA" w:rsidP="00735EE7">
      <w:pPr>
        <w:pStyle w:val="BodyText"/>
        <w:contextualSpacing/>
      </w:pPr>
      <w:r>
        <w:t>The PNOL alerts the IPHC monitoring personnel and OLE personnel to legal landings. In addition, the submittal of a PNOL</w:t>
      </w:r>
      <w:r w:rsidR="009A4726">
        <w:t xml:space="preserve"> allows OLE—</w:t>
      </w:r>
    </w:p>
    <w:p w14:paraId="0042BB72" w14:textId="77777777" w:rsidR="006A79C8" w:rsidRDefault="009A4726" w:rsidP="009A4726">
      <w:pPr>
        <w:pStyle w:val="BodyText"/>
        <w:numPr>
          <w:ilvl w:val="0"/>
          <w:numId w:val="7"/>
        </w:numPr>
      </w:pPr>
      <w:r w:rsidRPr="009A4726">
        <w:t>to query the IFQ data center to determine if the permit holder has enough IFQ pounds available in the account to cover the amount being landed</w:t>
      </w:r>
      <w:r>
        <w:t>;</w:t>
      </w:r>
    </w:p>
    <w:p w14:paraId="1B1DBF4F" w14:textId="77777777" w:rsidR="009A4726" w:rsidRDefault="004C62EA" w:rsidP="00DB448A">
      <w:pPr>
        <w:pStyle w:val="BodyText"/>
        <w:numPr>
          <w:ilvl w:val="0"/>
          <w:numId w:val="7"/>
        </w:numPr>
      </w:pPr>
      <w:r>
        <w:t>to observe the</w:t>
      </w:r>
      <w:r>
        <w:rPr>
          <w:spacing w:val="-7"/>
        </w:rPr>
        <w:t xml:space="preserve"> </w:t>
      </w:r>
      <w:r>
        <w:t>offload</w:t>
      </w:r>
      <w:r w:rsidR="009A4726">
        <w:t>; and</w:t>
      </w:r>
    </w:p>
    <w:p w14:paraId="5F410AB2" w14:textId="77777777" w:rsidR="006A79C8" w:rsidRDefault="009A4726" w:rsidP="009A4726">
      <w:pPr>
        <w:pStyle w:val="BodyText"/>
        <w:numPr>
          <w:ilvl w:val="0"/>
          <w:numId w:val="7"/>
        </w:numPr>
      </w:pPr>
      <w:r w:rsidRPr="009A4726">
        <w:t>to monitor longline pot gear retrieval in the G</w:t>
      </w:r>
      <w:r w:rsidR="0010087D">
        <w:t>ulf of Alaska</w:t>
      </w:r>
      <w:r>
        <w:t>.</w:t>
      </w:r>
    </w:p>
    <w:p w14:paraId="5D444473" w14:textId="77777777" w:rsidR="006A79C8" w:rsidRDefault="006A79C8" w:rsidP="00735EE7">
      <w:pPr>
        <w:pStyle w:val="BodyText"/>
        <w:contextualSpacing/>
        <w:rPr>
          <w:sz w:val="23"/>
        </w:rPr>
      </w:pPr>
    </w:p>
    <w:p w14:paraId="1F02DE4D" w14:textId="77777777" w:rsidR="006A79C8" w:rsidRDefault="004C62EA" w:rsidP="00735EE7">
      <w:pPr>
        <w:pStyle w:val="BodyText"/>
        <w:contextualSpacing/>
      </w:pPr>
      <w:r>
        <w:t>Data on gear type are necessary to ensure compliance with the PNOL requirement because some reporting exemptions are gear-based.</w:t>
      </w:r>
    </w:p>
    <w:p w14:paraId="4C16E060" w14:textId="77777777" w:rsidR="006A79C8" w:rsidRDefault="004C62EA" w:rsidP="00DB448A">
      <w:pPr>
        <w:pStyle w:val="BodyText"/>
        <w:numPr>
          <w:ilvl w:val="0"/>
          <w:numId w:val="8"/>
        </w:numPr>
      </w:pPr>
      <w:r w:rsidRPr="00741821">
        <w:t>Halibut</w:t>
      </w:r>
      <w:r w:rsidR="00741821">
        <w:t>:</w:t>
      </w:r>
      <w:r>
        <w:t xml:space="preserve"> An </w:t>
      </w:r>
      <w:r>
        <w:rPr>
          <w:spacing w:val="-2"/>
        </w:rPr>
        <w:t xml:space="preserve">IFQ </w:t>
      </w:r>
      <w:r>
        <w:t xml:space="preserve">landing of halibut of 500 lb or less of </w:t>
      </w:r>
      <w:r>
        <w:rPr>
          <w:spacing w:val="-2"/>
        </w:rPr>
        <w:t xml:space="preserve">IFQ </w:t>
      </w:r>
      <w:r>
        <w:t>weight and concurrent with a legal landing of salmon harvested using hand troll gear or power troll gear is exempt from the</w:t>
      </w:r>
      <w:r>
        <w:rPr>
          <w:spacing w:val="-2"/>
        </w:rPr>
        <w:t xml:space="preserve"> </w:t>
      </w:r>
      <w:r>
        <w:t>PNOL</w:t>
      </w:r>
      <w:r w:rsidR="00741821">
        <w:t>.</w:t>
      </w:r>
    </w:p>
    <w:p w14:paraId="24AAA9C1" w14:textId="77777777" w:rsidR="006A79C8" w:rsidRDefault="004C62EA" w:rsidP="00DB448A">
      <w:pPr>
        <w:pStyle w:val="BodyText"/>
        <w:numPr>
          <w:ilvl w:val="0"/>
          <w:numId w:val="8"/>
        </w:numPr>
      </w:pPr>
      <w:r w:rsidRPr="00741821">
        <w:t>Lingcod</w:t>
      </w:r>
      <w:r w:rsidR="00741821">
        <w:t>:</w:t>
      </w:r>
      <w:r>
        <w:t xml:space="preserve"> An IFQ landing of halibut of 500 lb or less of IFQ weight and concurrent</w:t>
      </w:r>
      <w:r>
        <w:rPr>
          <w:spacing w:val="-25"/>
        </w:rPr>
        <w:t xml:space="preserve"> </w:t>
      </w:r>
      <w:r>
        <w:t>with a legal landing of lingcod harvested using dinglebar gear is exempt from the</w:t>
      </w:r>
      <w:r>
        <w:rPr>
          <w:spacing w:val="-18"/>
        </w:rPr>
        <w:t xml:space="preserve"> </w:t>
      </w:r>
      <w:r>
        <w:t>PNOL.</w:t>
      </w:r>
    </w:p>
    <w:p w14:paraId="423F13A6" w14:textId="77777777" w:rsidR="006A79C8" w:rsidRDefault="006A79C8" w:rsidP="00735EE7">
      <w:pPr>
        <w:pStyle w:val="BodyText"/>
        <w:contextualSpacing/>
      </w:pPr>
    </w:p>
    <w:p w14:paraId="08E1AC89" w14:textId="77777777" w:rsidR="006A79C8" w:rsidRDefault="004C62EA" w:rsidP="00735EE7">
      <w:pPr>
        <w:pStyle w:val="BodyText"/>
        <w:contextualSpacing/>
      </w:pPr>
      <w:r>
        <w:t>IPHC uses gear type data to assist with harvest monitoring. NMFS and the Council use gear information to project bycatch rates for non-IFQ fish in the IFQ fishery and support analyses for seasonal apportionments and other allocation proposals.</w:t>
      </w:r>
    </w:p>
    <w:p w14:paraId="54A4C674" w14:textId="77777777" w:rsidR="006A79C8" w:rsidRDefault="006A79C8" w:rsidP="00735EE7">
      <w:pPr>
        <w:pStyle w:val="BodyText"/>
        <w:contextualSpacing/>
        <w:rPr>
          <w:sz w:val="20"/>
        </w:rPr>
      </w:pPr>
    </w:p>
    <w:p w14:paraId="505E434E" w14:textId="4EEC4E8E" w:rsidR="006A79C8" w:rsidRDefault="00D51CC1" w:rsidP="00735EE7">
      <w:pPr>
        <w:contextualSpacing/>
        <w:rPr>
          <w:sz w:val="24"/>
          <w:szCs w:val="24"/>
        </w:rPr>
      </w:pPr>
      <w:r w:rsidRPr="00D51CC1">
        <w:rPr>
          <w:sz w:val="24"/>
          <w:szCs w:val="24"/>
        </w:rPr>
        <w:t xml:space="preserve">The following information is collected in the </w:t>
      </w:r>
      <w:r w:rsidR="000134E1">
        <w:rPr>
          <w:sz w:val="24"/>
          <w:szCs w:val="24"/>
        </w:rPr>
        <w:t>PNOL</w:t>
      </w:r>
      <w:r w:rsidRPr="00D51CC1">
        <w:rPr>
          <w:sz w:val="24"/>
          <w:szCs w:val="24"/>
        </w:rPr>
        <w:t>.</w:t>
      </w:r>
    </w:p>
    <w:p w14:paraId="16CE7866" w14:textId="77777777" w:rsidR="00D51CC1" w:rsidRPr="00D51CC1" w:rsidRDefault="00D51CC1" w:rsidP="00735EE7">
      <w:pPr>
        <w:contextualSpacing/>
        <w:rPr>
          <w:sz w:val="24"/>
          <w:szCs w:val="24"/>
        </w:rPr>
      </w:pPr>
    </w:p>
    <w:p w14:paraId="4B48E825" w14:textId="77777777" w:rsidR="006A79C8" w:rsidRPr="00236A01" w:rsidRDefault="004C62EA" w:rsidP="00735EE7">
      <w:pPr>
        <w:contextualSpacing/>
        <w:rPr>
          <w:i/>
          <w:sz w:val="20"/>
          <w:u w:val="single"/>
        </w:rPr>
      </w:pPr>
      <w:r w:rsidRPr="00236A01">
        <w:rPr>
          <w:i/>
          <w:sz w:val="20"/>
          <w:u w:val="single"/>
        </w:rPr>
        <w:t>Toll-free telephone call to OLE</w:t>
      </w:r>
    </w:p>
    <w:p w14:paraId="46FEA0FE" w14:textId="77777777" w:rsidR="00762BE0" w:rsidRDefault="00762BE0" w:rsidP="00735EE7">
      <w:pPr>
        <w:contextualSpacing/>
        <w:rPr>
          <w:sz w:val="20"/>
        </w:rPr>
      </w:pPr>
      <w:r>
        <w:rPr>
          <w:sz w:val="20"/>
        </w:rPr>
        <w:t>Vessel Information</w:t>
      </w:r>
    </w:p>
    <w:p w14:paraId="31730A0A" w14:textId="77777777" w:rsidR="00762BE0" w:rsidRDefault="004C62EA" w:rsidP="00762BE0">
      <w:pPr>
        <w:ind w:left="360"/>
        <w:contextualSpacing/>
        <w:rPr>
          <w:sz w:val="20"/>
        </w:rPr>
      </w:pPr>
      <w:r>
        <w:rPr>
          <w:sz w:val="20"/>
        </w:rPr>
        <w:t>Vessel name</w:t>
      </w:r>
    </w:p>
    <w:p w14:paraId="2554EC57" w14:textId="77777777" w:rsidR="00762BE0" w:rsidRDefault="004C62EA" w:rsidP="00762BE0">
      <w:pPr>
        <w:ind w:left="360"/>
        <w:contextualSpacing/>
        <w:rPr>
          <w:sz w:val="20"/>
        </w:rPr>
      </w:pPr>
      <w:r>
        <w:rPr>
          <w:sz w:val="20"/>
        </w:rPr>
        <w:t xml:space="preserve">ADF&amp;G vessel registration number </w:t>
      </w:r>
    </w:p>
    <w:p w14:paraId="45FB7CC1" w14:textId="77777777" w:rsidR="006A79C8" w:rsidRDefault="004C62EA" w:rsidP="00735EE7">
      <w:pPr>
        <w:contextualSpacing/>
        <w:rPr>
          <w:sz w:val="20"/>
        </w:rPr>
      </w:pPr>
      <w:r>
        <w:rPr>
          <w:sz w:val="20"/>
        </w:rPr>
        <w:t>Landing information</w:t>
      </w:r>
    </w:p>
    <w:p w14:paraId="5BEDC5F6" w14:textId="77777777" w:rsidR="00647187" w:rsidRPr="00647187" w:rsidRDefault="00647187" w:rsidP="00647187">
      <w:pPr>
        <w:ind w:left="360"/>
        <w:contextualSpacing/>
        <w:rPr>
          <w:sz w:val="20"/>
        </w:rPr>
      </w:pPr>
      <w:r w:rsidRPr="00647187">
        <w:rPr>
          <w:sz w:val="20"/>
        </w:rPr>
        <w:t>Port of landing and port code</w:t>
      </w:r>
    </w:p>
    <w:p w14:paraId="4BD06401" w14:textId="77777777" w:rsidR="00647187" w:rsidRDefault="00647187" w:rsidP="00647187">
      <w:pPr>
        <w:ind w:left="360"/>
        <w:contextualSpacing/>
        <w:rPr>
          <w:sz w:val="20"/>
        </w:rPr>
      </w:pPr>
      <w:r>
        <w:rPr>
          <w:sz w:val="20"/>
        </w:rPr>
        <w:t xml:space="preserve">Exact location of landing within the port (dock name, harbor name, facility name, or geographical coordinates) </w:t>
      </w:r>
    </w:p>
    <w:p w14:paraId="14995AF3" w14:textId="77777777" w:rsidR="00762BE0" w:rsidRDefault="00762BE0" w:rsidP="00762BE0">
      <w:pPr>
        <w:ind w:left="360"/>
        <w:contextualSpacing/>
        <w:rPr>
          <w:sz w:val="20"/>
        </w:rPr>
      </w:pPr>
      <w:r>
        <w:rPr>
          <w:sz w:val="20"/>
        </w:rPr>
        <w:t>Date and tim</w:t>
      </w:r>
      <w:r w:rsidR="00647187">
        <w:rPr>
          <w:sz w:val="20"/>
        </w:rPr>
        <w:t>e</w:t>
      </w:r>
      <w:r>
        <w:rPr>
          <w:sz w:val="20"/>
        </w:rPr>
        <w:t xml:space="preserve"> (</w:t>
      </w:r>
      <w:r w:rsidR="00647187">
        <w:rPr>
          <w:sz w:val="20"/>
        </w:rPr>
        <w:t>A.l.t.</w:t>
      </w:r>
      <w:r>
        <w:rPr>
          <w:sz w:val="20"/>
        </w:rPr>
        <w:t>) that the landing will take place</w:t>
      </w:r>
    </w:p>
    <w:p w14:paraId="5A42D4EC" w14:textId="77777777" w:rsidR="00647187" w:rsidRDefault="004C62EA" w:rsidP="00735EE7">
      <w:pPr>
        <w:contextualSpacing/>
        <w:rPr>
          <w:sz w:val="20"/>
        </w:rPr>
      </w:pPr>
      <w:r>
        <w:rPr>
          <w:sz w:val="20"/>
        </w:rPr>
        <w:t>Species</w:t>
      </w:r>
      <w:r w:rsidR="00762BE0">
        <w:rPr>
          <w:sz w:val="20"/>
        </w:rPr>
        <w:t xml:space="preserve"> </w:t>
      </w:r>
      <w:r w:rsidR="00647187">
        <w:rPr>
          <w:sz w:val="20"/>
        </w:rPr>
        <w:t xml:space="preserve">and estimated weight (lb) of </w:t>
      </w:r>
      <w:r w:rsidR="00647187" w:rsidRPr="00647187">
        <w:rPr>
          <w:sz w:val="20"/>
        </w:rPr>
        <w:t xml:space="preserve">IFQ halibut, CDQ halibut, or IFQ sablefish </w:t>
      </w:r>
      <w:r w:rsidR="00647187">
        <w:rPr>
          <w:sz w:val="20"/>
        </w:rPr>
        <w:t>that will be landed</w:t>
      </w:r>
    </w:p>
    <w:p w14:paraId="50EF47DC" w14:textId="77777777" w:rsidR="00647187" w:rsidRDefault="004C62EA" w:rsidP="00735EE7">
      <w:pPr>
        <w:contextualSpacing/>
        <w:rPr>
          <w:sz w:val="20"/>
        </w:rPr>
      </w:pPr>
      <w:r>
        <w:rPr>
          <w:sz w:val="20"/>
        </w:rPr>
        <w:t xml:space="preserve">IFQ regulatory area(s) </w:t>
      </w:r>
      <w:r w:rsidR="00647187">
        <w:rPr>
          <w:sz w:val="20"/>
        </w:rPr>
        <w:t xml:space="preserve">where </w:t>
      </w:r>
      <w:r w:rsidR="00647187" w:rsidRPr="00647187">
        <w:rPr>
          <w:sz w:val="20"/>
        </w:rPr>
        <w:t xml:space="preserve">IFQ halibut, CDQ halibut, or IFQ sablefish </w:t>
      </w:r>
      <w:r w:rsidR="00647187">
        <w:rPr>
          <w:sz w:val="20"/>
        </w:rPr>
        <w:t>were harvested</w:t>
      </w:r>
    </w:p>
    <w:p w14:paraId="06A4B2DE" w14:textId="77777777" w:rsidR="00762BE0" w:rsidRDefault="00647187" w:rsidP="00735EE7">
      <w:pPr>
        <w:contextualSpacing/>
        <w:rPr>
          <w:sz w:val="20"/>
        </w:rPr>
      </w:pPr>
      <w:r>
        <w:rPr>
          <w:sz w:val="20"/>
        </w:rPr>
        <w:t>IFQ p</w:t>
      </w:r>
      <w:r w:rsidR="00762BE0">
        <w:rPr>
          <w:sz w:val="20"/>
        </w:rPr>
        <w:t>ermit number</w:t>
      </w:r>
      <w:r>
        <w:rPr>
          <w:sz w:val="20"/>
        </w:rPr>
        <w:t xml:space="preserve">s used to land IFQ halibut, </w:t>
      </w:r>
      <w:r w:rsidR="00762BE0">
        <w:rPr>
          <w:sz w:val="20"/>
        </w:rPr>
        <w:t>CDQ</w:t>
      </w:r>
      <w:r>
        <w:rPr>
          <w:sz w:val="20"/>
        </w:rPr>
        <w:t xml:space="preserve"> halibut,</w:t>
      </w:r>
      <w:r w:rsidR="00762BE0">
        <w:rPr>
          <w:sz w:val="20"/>
        </w:rPr>
        <w:t xml:space="preserve"> or IFQ</w:t>
      </w:r>
      <w:r>
        <w:rPr>
          <w:sz w:val="20"/>
        </w:rPr>
        <w:t xml:space="preserve"> sablefish</w:t>
      </w:r>
    </w:p>
    <w:p w14:paraId="776EB05C" w14:textId="77777777" w:rsidR="00E8611A" w:rsidRDefault="00E8611A" w:rsidP="00762BE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Pr>
          <w:sz w:val="20"/>
          <w:szCs w:val="20"/>
        </w:rPr>
        <w:t>Gear type used to harvest the IFQ sablefish or IFQ halibut</w:t>
      </w:r>
    </w:p>
    <w:p w14:paraId="6C709EB9" w14:textId="77777777" w:rsidR="00762BE0" w:rsidRPr="00762BE0" w:rsidRDefault="00762BE0" w:rsidP="00762BE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762BE0">
        <w:rPr>
          <w:sz w:val="20"/>
          <w:szCs w:val="20"/>
        </w:rPr>
        <w:t>If using longline pot gear</w:t>
      </w:r>
      <w:r w:rsidR="00E8611A">
        <w:rPr>
          <w:sz w:val="20"/>
          <w:szCs w:val="20"/>
        </w:rPr>
        <w:t xml:space="preserve"> in the Gulf of Alaska</w:t>
      </w:r>
      <w:r w:rsidRPr="00762BE0">
        <w:rPr>
          <w:sz w:val="20"/>
          <w:szCs w:val="20"/>
        </w:rPr>
        <w:t>,</w:t>
      </w:r>
      <w:r w:rsidR="00E8611A">
        <w:rPr>
          <w:sz w:val="20"/>
          <w:szCs w:val="20"/>
        </w:rPr>
        <w:t xml:space="preserve"> report the following:</w:t>
      </w:r>
      <w:r w:rsidRPr="00762BE0">
        <w:rPr>
          <w:sz w:val="20"/>
          <w:szCs w:val="20"/>
        </w:rPr>
        <w:t xml:space="preserve"> </w:t>
      </w:r>
    </w:p>
    <w:p w14:paraId="37860F3A" w14:textId="77777777" w:rsidR="00762BE0" w:rsidRPr="00E8611A"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 xml:space="preserve">number of pots </w:t>
      </w:r>
      <w:r w:rsidR="00444B6C">
        <w:rPr>
          <w:sz w:val="20"/>
          <w:szCs w:val="20"/>
        </w:rPr>
        <w:t>set</w:t>
      </w:r>
      <w:r w:rsidR="00E8611A">
        <w:rPr>
          <w:sz w:val="20"/>
          <w:szCs w:val="20"/>
        </w:rPr>
        <w:t>,</w:t>
      </w:r>
    </w:p>
    <w:p w14:paraId="2D02ECD4" w14:textId="77777777" w:rsidR="00762BE0" w:rsidRPr="00E8611A"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number of pots lost</w:t>
      </w:r>
      <w:r w:rsidR="00E8611A">
        <w:rPr>
          <w:sz w:val="20"/>
          <w:szCs w:val="20"/>
        </w:rPr>
        <w:t>, and</w:t>
      </w:r>
    </w:p>
    <w:p w14:paraId="644442CD" w14:textId="77777777" w:rsidR="00762BE0" w:rsidRPr="00E8611A" w:rsidRDefault="00762BE0" w:rsidP="00E8611A">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 xml:space="preserve">number of pots </w:t>
      </w:r>
      <w:r w:rsidR="00444B6C">
        <w:rPr>
          <w:sz w:val="20"/>
          <w:szCs w:val="20"/>
        </w:rPr>
        <w:t>left deployed</w:t>
      </w:r>
      <w:r w:rsidRPr="00E8611A">
        <w:rPr>
          <w:sz w:val="20"/>
          <w:szCs w:val="20"/>
        </w:rPr>
        <w:t xml:space="preserve"> on the fishing grounds</w:t>
      </w:r>
      <w:r w:rsidR="00E8611A">
        <w:rPr>
          <w:sz w:val="20"/>
          <w:szCs w:val="20"/>
        </w:rPr>
        <w:t>.</w:t>
      </w:r>
    </w:p>
    <w:p w14:paraId="29C39EBF" w14:textId="77777777" w:rsidR="006A79C8" w:rsidRDefault="00762BE0" w:rsidP="00762BE0">
      <w:pPr>
        <w:contextualSpacing/>
        <w:rPr>
          <w:sz w:val="20"/>
        </w:rPr>
      </w:pPr>
      <w:r w:rsidRPr="00762BE0">
        <w:rPr>
          <w:sz w:val="20"/>
          <w:szCs w:val="20"/>
        </w:rPr>
        <w:t>Comments</w:t>
      </w:r>
    </w:p>
    <w:p w14:paraId="50ADCAEB" w14:textId="77777777" w:rsidR="006A79C8" w:rsidRDefault="006A79C8" w:rsidP="00735EE7">
      <w:pPr>
        <w:pStyle w:val="BodyText"/>
        <w:contextualSpacing/>
        <w:rPr>
          <w:sz w:val="19"/>
        </w:rPr>
      </w:pPr>
    </w:p>
    <w:p w14:paraId="364E88CA" w14:textId="77777777" w:rsidR="00223879" w:rsidRDefault="00223879" w:rsidP="00735EE7">
      <w:pPr>
        <w:pStyle w:val="BodyText"/>
        <w:contextualSpacing/>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1"/>
        <w:gridCol w:w="1080"/>
      </w:tblGrid>
      <w:tr w:rsidR="00DB420F" w14:paraId="76FD00C8" w14:textId="77777777" w:rsidTr="00D62640">
        <w:trPr>
          <w:trHeight w:val="229"/>
          <w:jc w:val="center"/>
        </w:trPr>
        <w:tc>
          <w:tcPr>
            <w:tcW w:w="4411" w:type="dxa"/>
            <w:gridSpan w:val="2"/>
          </w:tcPr>
          <w:p w14:paraId="7DE28B0A" w14:textId="77777777" w:rsidR="00DB420F" w:rsidRDefault="00DB420F" w:rsidP="00C8731F">
            <w:pPr>
              <w:pStyle w:val="TableParagraph"/>
              <w:contextualSpacing/>
              <w:rPr>
                <w:b/>
                <w:sz w:val="20"/>
              </w:rPr>
            </w:pPr>
            <w:r>
              <w:rPr>
                <w:b/>
                <w:sz w:val="20"/>
              </w:rPr>
              <w:t>Prior notice of landing, Respondent</w:t>
            </w:r>
          </w:p>
        </w:tc>
      </w:tr>
      <w:tr w:rsidR="00DB420F" w14:paraId="26A0D4D1" w14:textId="77777777" w:rsidTr="00D62640">
        <w:trPr>
          <w:trHeight w:val="232"/>
          <w:jc w:val="center"/>
        </w:trPr>
        <w:tc>
          <w:tcPr>
            <w:tcW w:w="3331" w:type="dxa"/>
            <w:tcBorders>
              <w:bottom w:val="nil"/>
            </w:tcBorders>
          </w:tcPr>
          <w:p w14:paraId="6313E620" w14:textId="77777777" w:rsidR="00DB420F" w:rsidRDefault="00DB420F" w:rsidP="00C8731F">
            <w:pPr>
              <w:pStyle w:val="TableParagraph"/>
              <w:contextualSpacing/>
              <w:rPr>
                <w:b/>
                <w:sz w:val="20"/>
              </w:rPr>
            </w:pPr>
            <w:r>
              <w:rPr>
                <w:b/>
                <w:sz w:val="20"/>
              </w:rPr>
              <w:t>Estimated number of respondents</w:t>
            </w:r>
          </w:p>
        </w:tc>
        <w:tc>
          <w:tcPr>
            <w:tcW w:w="1080" w:type="dxa"/>
            <w:tcBorders>
              <w:bottom w:val="nil"/>
            </w:tcBorders>
          </w:tcPr>
          <w:p w14:paraId="0D704201" w14:textId="48A95EAE" w:rsidR="00DB420F" w:rsidRPr="00123919" w:rsidRDefault="004A5000" w:rsidP="00642E55">
            <w:pPr>
              <w:pStyle w:val="TableParagraph"/>
              <w:contextualSpacing/>
              <w:jc w:val="right"/>
              <w:rPr>
                <w:b/>
                <w:sz w:val="20"/>
              </w:rPr>
            </w:pPr>
            <w:r w:rsidRPr="00123919">
              <w:rPr>
                <w:b/>
                <w:sz w:val="20"/>
              </w:rPr>
              <w:t>2,418</w:t>
            </w:r>
          </w:p>
        </w:tc>
      </w:tr>
      <w:tr w:rsidR="00DB420F" w:rsidRPr="009B1426" w14:paraId="15E66971" w14:textId="77777777" w:rsidTr="00D62640">
        <w:trPr>
          <w:trHeight w:val="226"/>
          <w:jc w:val="center"/>
        </w:trPr>
        <w:tc>
          <w:tcPr>
            <w:tcW w:w="3331" w:type="dxa"/>
            <w:tcBorders>
              <w:top w:val="nil"/>
              <w:bottom w:val="nil"/>
            </w:tcBorders>
          </w:tcPr>
          <w:p w14:paraId="03110F1A" w14:textId="77777777" w:rsidR="00DB420F" w:rsidRPr="009B1426" w:rsidRDefault="00DB420F" w:rsidP="00C8731F">
            <w:pPr>
              <w:pStyle w:val="TableParagraph"/>
              <w:contextualSpacing/>
              <w:rPr>
                <w:b/>
                <w:sz w:val="20"/>
              </w:rPr>
            </w:pPr>
            <w:r w:rsidRPr="009B1426">
              <w:rPr>
                <w:b/>
                <w:sz w:val="20"/>
              </w:rPr>
              <w:t>Total annual responses</w:t>
            </w:r>
          </w:p>
        </w:tc>
        <w:tc>
          <w:tcPr>
            <w:tcW w:w="1080" w:type="dxa"/>
            <w:tcBorders>
              <w:top w:val="nil"/>
              <w:bottom w:val="nil"/>
            </w:tcBorders>
          </w:tcPr>
          <w:p w14:paraId="407CFC43" w14:textId="24A20C02" w:rsidR="00DB420F" w:rsidRPr="009B1426" w:rsidRDefault="00202A9C" w:rsidP="00642E55">
            <w:pPr>
              <w:pStyle w:val="TableParagraph"/>
              <w:contextualSpacing/>
              <w:jc w:val="right"/>
              <w:rPr>
                <w:b/>
                <w:sz w:val="20"/>
              </w:rPr>
            </w:pPr>
            <w:r>
              <w:rPr>
                <w:b/>
                <w:sz w:val="20"/>
              </w:rPr>
              <w:t>5,594</w:t>
            </w:r>
          </w:p>
        </w:tc>
      </w:tr>
      <w:tr w:rsidR="00DB420F" w:rsidRPr="009B1426" w14:paraId="75FF54DF" w14:textId="77777777" w:rsidTr="00D62640">
        <w:trPr>
          <w:trHeight w:val="230"/>
          <w:jc w:val="center"/>
        </w:trPr>
        <w:tc>
          <w:tcPr>
            <w:tcW w:w="3331" w:type="dxa"/>
            <w:tcBorders>
              <w:top w:val="nil"/>
              <w:bottom w:val="nil"/>
            </w:tcBorders>
          </w:tcPr>
          <w:p w14:paraId="4550DD5E" w14:textId="3A86A80C" w:rsidR="00DB420F" w:rsidRPr="009B1426" w:rsidRDefault="00757DEC" w:rsidP="00AD4F03">
            <w:pPr>
              <w:pStyle w:val="TableParagraph"/>
              <w:contextualSpacing/>
              <w:rPr>
                <w:b/>
                <w:sz w:val="20"/>
              </w:rPr>
            </w:pPr>
            <w:r>
              <w:rPr>
                <w:b/>
                <w:sz w:val="20"/>
              </w:rPr>
              <w:t>Total t</w:t>
            </w:r>
            <w:r w:rsidR="00DB420F" w:rsidRPr="009B1426">
              <w:rPr>
                <w:b/>
                <w:sz w:val="20"/>
              </w:rPr>
              <w:t>ime burden</w:t>
            </w:r>
            <w:r w:rsidR="009E63B4" w:rsidRPr="009B1426">
              <w:rPr>
                <w:b/>
                <w:sz w:val="20"/>
              </w:rPr>
              <w:t xml:space="preserve"> (</w:t>
            </w:r>
            <w:r w:rsidR="00AD4F03">
              <w:rPr>
                <w:b/>
                <w:sz w:val="20"/>
              </w:rPr>
              <w:t>1,398.5</w:t>
            </w:r>
            <w:r w:rsidR="007F5228">
              <w:rPr>
                <w:b/>
                <w:sz w:val="20"/>
              </w:rPr>
              <w:t xml:space="preserve"> hr</w:t>
            </w:r>
            <w:r w:rsidR="009E63B4" w:rsidRPr="009B1426">
              <w:rPr>
                <w:b/>
                <w:sz w:val="20"/>
              </w:rPr>
              <w:t>)</w:t>
            </w:r>
          </w:p>
        </w:tc>
        <w:tc>
          <w:tcPr>
            <w:tcW w:w="1080" w:type="dxa"/>
            <w:tcBorders>
              <w:top w:val="nil"/>
              <w:bottom w:val="nil"/>
            </w:tcBorders>
          </w:tcPr>
          <w:p w14:paraId="4A49383D" w14:textId="65F4FCB9" w:rsidR="00DB420F" w:rsidRPr="009B1426" w:rsidRDefault="00AD4F03" w:rsidP="00642E55">
            <w:pPr>
              <w:pStyle w:val="TableParagraph"/>
              <w:contextualSpacing/>
              <w:jc w:val="right"/>
              <w:rPr>
                <w:b/>
                <w:sz w:val="20"/>
              </w:rPr>
            </w:pPr>
            <w:r>
              <w:rPr>
                <w:b/>
                <w:sz w:val="20"/>
              </w:rPr>
              <w:t>1,399</w:t>
            </w:r>
            <w:r w:rsidRPr="009B1426">
              <w:rPr>
                <w:b/>
                <w:sz w:val="20"/>
              </w:rPr>
              <w:t xml:space="preserve"> </w:t>
            </w:r>
            <w:r w:rsidR="00DB420F" w:rsidRPr="009B1426">
              <w:rPr>
                <w:b/>
                <w:sz w:val="20"/>
              </w:rPr>
              <w:t>hr</w:t>
            </w:r>
          </w:p>
        </w:tc>
      </w:tr>
      <w:tr w:rsidR="00DB420F" w:rsidRPr="009B1426" w14:paraId="4FE4166E" w14:textId="77777777" w:rsidTr="00D62640">
        <w:trPr>
          <w:trHeight w:val="227"/>
          <w:jc w:val="center"/>
        </w:trPr>
        <w:tc>
          <w:tcPr>
            <w:tcW w:w="3331" w:type="dxa"/>
            <w:tcBorders>
              <w:top w:val="nil"/>
              <w:bottom w:val="nil"/>
            </w:tcBorders>
          </w:tcPr>
          <w:p w14:paraId="5F67F19C" w14:textId="77777777" w:rsidR="00DB420F" w:rsidRPr="009B1426" w:rsidRDefault="009E63B4" w:rsidP="00AB43FA">
            <w:pPr>
              <w:pStyle w:val="TableParagraph"/>
              <w:contextualSpacing/>
              <w:rPr>
                <w:sz w:val="20"/>
              </w:rPr>
            </w:pPr>
            <w:r w:rsidRPr="009B1426">
              <w:rPr>
                <w:sz w:val="20"/>
              </w:rPr>
              <w:t xml:space="preserve">  </w:t>
            </w:r>
            <w:r w:rsidR="00DB420F" w:rsidRPr="009B1426">
              <w:rPr>
                <w:sz w:val="20"/>
              </w:rPr>
              <w:t xml:space="preserve">Time per response = </w:t>
            </w:r>
            <w:r w:rsidRPr="009B1426">
              <w:rPr>
                <w:sz w:val="20"/>
              </w:rPr>
              <w:t xml:space="preserve">15 </w:t>
            </w:r>
            <w:r w:rsidR="00DB420F" w:rsidRPr="009B1426">
              <w:rPr>
                <w:sz w:val="20"/>
              </w:rPr>
              <w:t>min</w:t>
            </w:r>
          </w:p>
        </w:tc>
        <w:tc>
          <w:tcPr>
            <w:tcW w:w="1080" w:type="dxa"/>
            <w:tcBorders>
              <w:top w:val="nil"/>
              <w:bottom w:val="nil"/>
            </w:tcBorders>
          </w:tcPr>
          <w:p w14:paraId="31ACDE97" w14:textId="77777777" w:rsidR="00DB420F" w:rsidRPr="009B1426" w:rsidRDefault="00DB420F" w:rsidP="00642E55">
            <w:pPr>
              <w:pStyle w:val="TableParagraph"/>
              <w:contextualSpacing/>
              <w:jc w:val="right"/>
              <w:rPr>
                <w:sz w:val="16"/>
              </w:rPr>
            </w:pPr>
          </w:p>
        </w:tc>
      </w:tr>
      <w:tr w:rsidR="00DB420F" w:rsidRPr="009B1426" w14:paraId="260C034D" w14:textId="77777777" w:rsidTr="00D62640">
        <w:trPr>
          <w:trHeight w:val="235"/>
          <w:jc w:val="center"/>
        </w:trPr>
        <w:tc>
          <w:tcPr>
            <w:tcW w:w="3331" w:type="dxa"/>
            <w:tcBorders>
              <w:top w:val="nil"/>
              <w:bottom w:val="nil"/>
            </w:tcBorders>
          </w:tcPr>
          <w:p w14:paraId="7C3D500D" w14:textId="02903647" w:rsidR="00DB420F" w:rsidRPr="009B1426" w:rsidRDefault="00DB420F" w:rsidP="009A60D6">
            <w:pPr>
              <w:pStyle w:val="TableParagraph"/>
              <w:contextualSpacing/>
              <w:rPr>
                <w:sz w:val="20"/>
              </w:rPr>
            </w:pPr>
            <w:r w:rsidRPr="009B1426">
              <w:rPr>
                <w:b/>
                <w:sz w:val="20"/>
              </w:rPr>
              <w:t xml:space="preserve">Total personnel cost </w:t>
            </w:r>
            <w:r w:rsidRPr="009B1426">
              <w:rPr>
                <w:sz w:val="20"/>
              </w:rPr>
              <w:t xml:space="preserve">($37/hr x </w:t>
            </w:r>
            <w:r w:rsidR="009A60D6">
              <w:rPr>
                <w:sz w:val="20"/>
              </w:rPr>
              <w:t>1,399</w:t>
            </w:r>
            <w:r w:rsidRPr="009B1426">
              <w:rPr>
                <w:sz w:val="20"/>
              </w:rPr>
              <w:t>)</w:t>
            </w:r>
          </w:p>
        </w:tc>
        <w:tc>
          <w:tcPr>
            <w:tcW w:w="1080" w:type="dxa"/>
            <w:tcBorders>
              <w:top w:val="nil"/>
              <w:bottom w:val="nil"/>
            </w:tcBorders>
          </w:tcPr>
          <w:p w14:paraId="5734F79C" w14:textId="717EF8F0" w:rsidR="00DB420F" w:rsidRPr="009A60D6" w:rsidRDefault="009E63B4" w:rsidP="00642E55">
            <w:pPr>
              <w:pStyle w:val="TableParagraph"/>
              <w:contextualSpacing/>
              <w:jc w:val="right"/>
              <w:rPr>
                <w:b/>
                <w:sz w:val="20"/>
              </w:rPr>
            </w:pPr>
            <w:r w:rsidRPr="009A60D6">
              <w:rPr>
                <w:b/>
                <w:sz w:val="20"/>
              </w:rPr>
              <w:t>$</w:t>
            </w:r>
            <w:r w:rsidR="009A60D6" w:rsidRPr="009A60D6">
              <w:rPr>
                <w:b/>
                <w:sz w:val="20"/>
              </w:rPr>
              <w:t>51,763</w:t>
            </w:r>
          </w:p>
        </w:tc>
      </w:tr>
      <w:tr w:rsidR="00DB420F" w:rsidRPr="009B1426" w14:paraId="7D5A3F8A" w14:textId="77777777" w:rsidTr="00D62640">
        <w:trPr>
          <w:trHeight w:val="227"/>
          <w:jc w:val="center"/>
        </w:trPr>
        <w:tc>
          <w:tcPr>
            <w:tcW w:w="3331" w:type="dxa"/>
            <w:tcBorders>
              <w:top w:val="nil"/>
            </w:tcBorders>
          </w:tcPr>
          <w:p w14:paraId="35E75C77" w14:textId="77777777" w:rsidR="00DB420F" w:rsidRPr="009B1426" w:rsidRDefault="00DB420F" w:rsidP="00C8731F">
            <w:pPr>
              <w:pStyle w:val="TableParagraph"/>
              <w:contextualSpacing/>
              <w:rPr>
                <w:b/>
                <w:sz w:val="20"/>
              </w:rPr>
            </w:pPr>
            <w:r w:rsidRPr="009B1426">
              <w:rPr>
                <w:b/>
                <w:sz w:val="20"/>
              </w:rPr>
              <w:t>Total miscellaneous cost</w:t>
            </w:r>
          </w:p>
          <w:p w14:paraId="07D3239D" w14:textId="77777777" w:rsidR="009E63B4" w:rsidRPr="009B1426" w:rsidRDefault="009E63B4" w:rsidP="00C8731F">
            <w:pPr>
              <w:pStyle w:val="TableParagraph"/>
              <w:contextualSpacing/>
              <w:rPr>
                <w:sz w:val="20"/>
              </w:rPr>
            </w:pPr>
            <w:r w:rsidRPr="009B1426">
              <w:rPr>
                <w:sz w:val="20"/>
              </w:rPr>
              <w:t xml:space="preserve">  Submit by toll-free telephone</w:t>
            </w:r>
          </w:p>
        </w:tc>
        <w:tc>
          <w:tcPr>
            <w:tcW w:w="1080" w:type="dxa"/>
            <w:tcBorders>
              <w:top w:val="nil"/>
            </w:tcBorders>
          </w:tcPr>
          <w:p w14:paraId="4A0A0478" w14:textId="77777777" w:rsidR="00DB420F" w:rsidRPr="009B1426" w:rsidRDefault="00DB420F" w:rsidP="00642E55">
            <w:pPr>
              <w:pStyle w:val="TableParagraph"/>
              <w:contextualSpacing/>
              <w:jc w:val="right"/>
              <w:rPr>
                <w:b/>
                <w:sz w:val="20"/>
              </w:rPr>
            </w:pPr>
            <w:r w:rsidRPr="009B1426">
              <w:rPr>
                <w:b/>
                <w:w w:val="99"/>
                <w:sz w:val="20"/>
              </w:rPr>
              <w:t>0</w:t>
            </w:r>
          </w:p>
        </w:tc>
      </w:tr>
    </w:tbl>
    <w:p w14:paraId="0A448A12" w14:textId="77777777" w:rsidR="00DB420F" w:rsidRPr="009B1426" w:rsidRDefault="00DB420F" w:rsidP="00735EE7">
      <w:pPr>
        <w:pStyle w:val="BodyText"/>
        <w:contextualSpacing/>
      </w:pPr>
    </w:p>
    <w:p w14:paraId="19801052" w14:textId="77777777" w:rsidR="006A79C8" w:rsidRDefault="006A79C8" w:rsidP="00735EE7">
      <w:pPr>
        <w:pStyle w:val="BodyText"/>
        <w:contextualSpacing/>
        <w:rPr>
          <w:sz w:val="11"/>
        </w:rPr>
      </w:pPr>
    </w:p>
    <w:p w14:paraId="60FECBEA" w14:textId="4972CC20" w:rsidR="006A79C8" w:rsidRDefault="000B728F" w:rsidP="00DB448A">
      <w:pPr>
        <w:pStyle w:val="Heading1"/>
        <w:tabs>
          <w:tab w:val="left" w:pos="360"/>
        </w:tabs>
        <w:ind w:left="0"/>
        <w:contextualSpacing/>
        <w:rPr>
          <w:u w:val="none"/>
        </w:rPr>
      </w:pPr>
      <w:r w:rsidRPr="00E74D8D">
        <w:rPr>
          <w:u w:val="none"/>
        </w:rPr>
        <w:t>m</w:t>
      </w:r>
      <w:r w:rsidR="00DB448A" w:rsidRPr="00E74D8D">
        <w:rPr>
          <w:u w:val="none"/>
        </w:rPr>
        <w:t>.</w:t>
      </w:r>
      <w:r w:rsidR="00DB448A" w:rsidRPr="00E74D8D">
        <w:rPr>
          <w:u w:val="none"/>
        </w:rPr>
        <w:tab/>
      </w:r>
      <w:r w:rsidR="004C62EA" w:rsidRPr="00E74D8D">
        <w:rPr>
          <w:u w:val="none"/>
        </w:rPr>
        <w:t>IFQ Departure</w:t>
      </w:r>
      <w:r w:rsidR="004C62EA" w:rsidRPr="00E74D8D">
        <w:rPr>
          <w:spacing w:val="-2"/>
          <w:u w:val="none"/>
        </w:rPr>
        <w:t xml:space="preserve"> </w:t>
      </w:r>
      <w:r w:rsidR="004C62EA" w:rsidRPr="00E74D8D">
        <w:rPr>
          <w:u w:val="none"/>
        </w:rPr>
        <w:t>Report</w:t>
      </w:r>
      <w:r w:rsidR="00DD6D78">
        <w:rPr>
          <w:u w:val="none"/>
        </w:rPr>
        <w:t xml:space="preserve"> [adjusted]</w:t>
      </w:r>
    </w:p>
    <w:p w14:paraId="29E1BDB4" w14:textId="77777777" w:rsidR="006A79C8" w:rsidRDefault="006A79C8" w:rsidP="00735EE7">
      <w:pPr>
        <w:pStyle w:val="BodyText"/>
        <w:contextualSpacing/>
        <w:rPr>
          <w:b/>
          <w:sz w:val="23"/>
        </w:rPr>
      </w:pPr>
    </w:p>
    <w:p w14:paraId="5437793B" w14:textId="46232DB6" w:rsidR="00B62D55" w:rsidRDefault="00B62D55" w:rsidP="00B62D55">
      <w:pPr>
        <w:pStyle w:val="BodyText"/>
        <w:contextualSpacing/>
      </w:pPr>
      <w:r>
        <w:t xml:space="preserve">A vessel operator who intends to make a landing of IFQ halibut, CDQ halibut, IFQ sablefish, or </w:t>
      </w:r>
      <w:r w:rsidR="000134E1">
        <w:t>Crab Rationalization Program (</w:t>
      </w:r>
      <w:r>
        <w:t>CR</w:t>
      </w:r>
      <w:r w:rsidR="000134E1">
        <w:t>)</w:t>
      </w:r>
      <w:r>
        <w:t xml:space="preserve"> crab at any location other than in an IFQ regulatory area for halibut and sablefish or in a crab fishery for CR crab in the State of Alaska must submit an IFQ Departure Report, by telephone, to OLE (800-304-4846 or 907-586-7163) between 0600 hours, A.l.t., and 2400 hours, </w:t>
      </w:r>
      <w:r w:rsidRPr="00444518">
        <w:t>A.l.t.</w:t>
      </w:r>
      <w:r w:rsidR="008E1264" w:rsidRPr="009D78F0">
        <w:t xml:space="preserve"> No form exists for this </w:t>
      </w:r>
      <w:r w:rsidR="00721F22">
        <w:t>report</w:t>
      </w:r>
      <w:r w:rsidR="008E1264" w:rsidRPr="00444518">
        <w:t>.</w:t>
      </w:r>
    </w:p>
    <w:p w14:paraId="6F32BA47" w14:textId="77777777" w:rsidR="00B62D55" w:rsidRDefault="00B62D55" w:rsidP="00B62D55">
      <w:pPr>
        <w:pStyle w:val="BodyText"/>
        <w:contextualSpacing/>
      </w:pPr>
    </w:p>
    <w:p w14:paraId="08211A93" w14:textId="63E44AA4" w:rsidR="00B62D55" w:rsidRDefault="00B62D55" w:rsidP="00B62D55">
      <w:pPr>
        <w:pStyle w:val="BodyText"/>
        <w:contextualSpacing/>
      </w:pPr>
      <w:r>
        <w:t>A vessel operator who intends to make an IFQ landing at a location different from the location named on the IFQ Departure report must submit a revised report naming the new location at least 12 hours in advance of the offload. Revisions must be submitted by telephone, to OLE</w:t>
      </w:r>
      <w:r w:rsidR="006043D4">
        <w:t xml:space="preserve"> </w:t>
      </w:r>
      <w:r>
        <w:t>(800-304-4846 or 907-586-7163) between the hours of 0600 hours, Alaska local time (A.l.t.), and 2400 hours, A.l.t.</w:t>
      </w:r>
    </w:p>
    <w:p w14:paraId="790538B7" w14:textId="77777777" w:rsidR="00B62D55" w:rsidRDefault="00B62D55" w:rsidP="00B62D55">
      <w:pPr>
        <w:pStyle w:val="BodyText"/>
        <w:contextualSpacing/>
      </w:pPr>
    </w:p>
    <w:p w14:paraId="585DB0FA" w14:textId="13221D83" w:rsidR="00B62D55" w:rsidRDefault="00B62D55" w:rsidP="00B62D55">
      <w:pPr>
        <w:pStyle w:val="BodyText"/>
        <w:contextualSpacing/>
      </w:pPr>
      <w:r>
        <w:t xml:space="preserve">The IFQ Departure Report is submitted only after completion of all IFQ fishing and prior to departing the waters of the </w:t>
      </w:r>
      <w:r w:rsidR="000134E1">
        <w:t>exclusive economic zone</w:t>
      </w:r>
      <w:r>
        <w:t xml:space="preserve"> adjacent to the jurisdictional waters of the State of Alaska, the territorial sea of the State of Alaska, or the internal waters of the State of Alaska.  </w:t>
      </w:r>
    </w:p>
    <w:p w14:paraId="1D5B4143" w14:textId="77777777" w:rsidR="00B62D55" w:rsidRDefault="00B62D55" w:rsidP="00B62D55">
      <w:pPr>
        <w:pStyle w:val="BodyText"/>
        <w:contextualSpacing/>
      </w:pPr>
    </w:p>
    <w:p w14:paraId="50E36408" w14:textId="13FCADA7" w:rsidR="00B62D55" w:rsidRDefault="00B62D55" w:rsidP="009D7751">
      <w:pPr>
        <w:pStyle w:val="BodyText"/>
        <w:contextualSpacing/>
      </w:pPr>
      <w:r>
        <w:t xml:space="preserve">A vessel operator submitting an IFQ Departure Report </w:t>
      </w:r>
      <w:r w:rsidRPr="009D7751">
        <w:t>for CR crab</w:t>
      </w:r>
      <w:r>
        <w:t xml:space="preserve"> must have a Registered Crab Receiver permit.</w:t>
      </w:r>
    </w:p>
    <w:p w14:paraId="3E8165B1" w14:textId="77777777" w:rsidR="009D7751" w:rsidRDefault="009D7751" w:rsidP="009D7751">
      <w:pPr>
        <w:pStyle w:val="BodyText"/>
        <w:contextualSpacing/>
      </w:pPr>
    </w:p>
    <w:p w14:paraId="05270887" w14:textId="101A0B03" w:rsidR="006A79C8" w:rsidRDefault="009D7751" w:rsidP="009D7751">
      <w:pPr>
        <w:pStyle w:val="BodyText"/>
        <w:contextualSpacing/>
      </w:pPr>
      <w:r w:rsidRPr="009D7751">
        <w:t>A vessel operator submitting an IFQ Departure Report for</w:t>
      </w:r>
      <w:r w:rsidR="00B62D55" w:rsidRPr="009D7751">
        <w:t xml:space="preserve"> IFQ halibut, CDQ halibut, or IFQ sablefish</w:t>
      </w:r>
      <w:r w:rsidR="00B62D55">
        <w:t xml:space="preserve"> must have a </w:t>
      </w:r>
      <w:r w:rsidR="00920F8B">
        <w:t>registered buyer</w:t>
      </w:r>
      <w:r w:rsidR="00B62D55">
        <w:t xml:space="preserve"> permit and must submit IFQ landing reports for all IFQ halibut, CDQ halibut, and IFQ sablefish on board at the same time and place as the first landing of any IFQ halibut, CDQ halibut, or IFQ sablefish.</w:t>
      </w:r>
    </w:p>
    <w:p w14:paraId="457ED29F" w14:textId="77777777" w:rsidR="006A79C8" w:rsidRDefault="006A79C8" w:rsidP="00735EE7">
      <w:pPr>
        <w:pStyle w:val="BodyText"/>
        <w:contextualSpacing/>
      </w:pPr>
    </w:p>
    <w:p w14:paraId="2D6304B7" w14:textId="2DC8368C" w:rsidR="006A79C8" w:rsidRPr="00823E80" w:rsidRDefault="00823E80" w:rsidP="00735EE7">
      <w:pPr>
        <w:contextualSpacing/>
        <w:rPr>
          <w:sz w:val="24"/>
          <w:szCs w:val="24"/>
        </w:rPr>
      </w:pPr>
      <w:r w:rsidRPr="00823E80">
        <w:rPr>
          <w:sz w:val="24"/>
          <w:szCs w:val="24"/>
        </w:rPr>
        <w:t xml:space="preserve">The following information is collected in an </w:t>
      </w:r>
      <w:r w:rsidR="004C62EA" w:rsidRPr="00823E80">
        <w:rPr>
          <w:sz w:val="24"/>
          <w:szCs w:val="24"/>
        </w:rPr>
        <w:t xml:space="preserve">IFQ Departure </w:t>
      </w:r>
      <w:r w:rsidR="00F97D34" w:rsidRPr="00823E80">
        <w:rPr>
          <w:sz w:val="24"/>
          <w:szCs w:val="24"/>
        </w:rPr>
        <w:t>Report</w:t>
      </w:r>
      <w:r w:rsidRPr="00823E80">
        <w:rPr>
          <w:sz w:val="24"/>
          <w:szCs w:val="24"/>
        </w:rPr>
        <w:t>.</w:t>
      </w:r>
    </w:p>
    <w:p w14:paraId="1E61ECDA" w14:textId="77777777" w:rsidR="00823E80" w:rsidRPr="00823E80" w:rsidRDefault="00823E80" w:rsidP="00735EE7">
      <w:pPr>
        <w:contextualSpacing/>
        <w:rPr>
          <w:sz w:val="24"/>
          <w:szCs w:val="24"/>
        </w:rPr>
      </w:pPr>
    </w:p>
    <w:p w14:paraId="4AB8A9FC" w14:textId="77777777" w:rsidR="00FF538F" w:rsidRPr="00236A01" w:rsidRDefault="00FF538F" w:rsidP="00FF538F">
      <w:pPr>
        <w:contextualSpacing/>
        <w:rPr>
          <w:i/>
          <w:sz w:val="20"/>
          <w:u w:val="single"/>
        </w:rPr>
      </w:pPr>
      <w:r w:rsidRPr="00236A01">
        <w:rPr>
          <w:i/>
          <w:sz w:val="20"/>
          <w:u w:val="single"/>
        </w:rPr>
        <w:t>Toll-free telephone call to OLE</w:t>
      </w:r>
    </w:p>
    <w:p w14:paraId="295E09A8" w14:textId="77777777" w:rsidR="0034234F" w:rsidRDefault="004C62EA" w:rsidP="00735EE7">
      <w:pPr>
        <w:contextualSpacing/>
        <w:rPr>
          <w:sz w:val="20"/>
        </w:rPr>
      </w:pPr>
      <w:r>
        <w:rPr>
          <w:sz w:val="20"/>
        </w:rPr>
        <w:t xml:space="preserve">Intended date, time (Alaska local time), and location of landing </w:t>
      </w:r>
    </w:p>
    <w:p w14:paraId="17A53518" w14:textId="77777777" w:rsidR="006A79C8" w:rsidRDefault="004C62EA" w:rsidP="00735EE7">
      <w:pPr>
        <w:contextualSpacing/>
        <w:rPr>
          <w:sz w:val="20"/>
        </w:rPr>
      </w:pPr>
      <w:r>
        <w:rPr>
          <w:sz w:val="20"/>
        </w:rPr>
        <w:t>Vessel name and ADF&amp;G vessel registration number</w:t>
      </w:r>
    </w:p>
    <w:p w14:paraId="37F2A300" w14:textId="77777777" w:rsidR="006A79C8" w:rsidRDefault="004C62EA" w:rsidP="00735EE7">
      <w:pPr>
        <w:contextualSpacing/>
        <w:rPr>
          <w:sz w:val="20"/>
        </w:rPr>
      </w:pPr>
      <w:r>
        <w:rPr>
          <w:sz w:val="20"/>
        </w:rPr>
        <w:t>Halibut IFQ, halibut CDQ, sablefish IFQ, and CR crab permit numbers of IFQ and CDQ permit holders on board</w:t>
      </w:r>
    </w:p>
    <w:p w14:paraId="72640333" w14:textId="77777777" w:rsidR="006A79C8" w:rsidRDefault="004C62EA" w:rsidP="00735EE7">
      <w:pPr>
        <w:contextualSpacing/>
        <w:rPr>
          <w:sz w:val="20"/>
        </w:rPr>
      </w:pPr>
      <w:r>
        <w:rPr>
          <w:sz w:val="20"/>
        </w:rPr>
        <w:t>Vessel operator's name</w:t>
      </w:r>
    </w:p>
    <w:p w14:paraId="01DBB152" w14:textId="77777777" w:rsidR="0034234F" w:rsidRDefault="004C62EA" w:rsidP="00735EE7">
      <w:pPr>
        <w:contextualSpacing/>
        <w:rPr>
          <w:sz w:val="20"/>
        </w:rPr>
      </w:pPr>
      <w:r>
        <w:rPr>
          <w:sz w:val="20"/>
        </w:rPr>
        <w:t xml:space="preserve">Registered Buyer permit or Registered Crab Receiver permit number </w:t>
      </w:r>
    </w:p>
    <w:p w14:paraId="642E3894" w14:textId="77777777" w:rsidR="006A79C8" w:rsidRDefault="004C62EA" w:rsidP="00735EE7">
      <w:pPr>
        <w:contextualSpacing/>
        <w:rPr>
          <w:sz w:val="20"/>
        </w:rPr>
      </w:pPr>
      <w:r>
        <w:rPr>
          <w:sz w:val="20"/>
        </w:rPr>
        <w:t>Area of harvest.</w:t>
      </w:r>
    </w:p>
    <w:p w14:paraId="5C3D82E6" w14:textId="77777777" w:rsidR="0034234F" w:rsidRDefault="004C62EA" w:rsidP="00735EE7">
      <w:pPr>
        <w:contextualSpacing/>
        <w:rPr>
          <w:sz w:val="20"/>
        </w:rPr>
      </w:pPr>
      <w:r>
        <w:rPr>
          <w:sz w:val="20"/>
        </w:rPr>
        <w:t xml:space="preserve">If IFQ or CDQ halibut, provide halibut regulatory areas (Figure 15 to 50 CFR part 679) </w:t>
      </w:r>
    </w:p>
    <w:p w14:paraId="3ED38912" w14:textId="77777777" w:rsidR="006A79C8" w:rsidRDefault="004C62EA" w:rsidP="00735EE7">
      <w:pPr>
        <w:contextualSpacing/>
        <w:rPr>
          <w:sz w:val="20"/>
        </w:rPr>
      </w:pPr>
      <w:r>
        <w:rPr>
          <w:sz w:val="20"/>
        </w:rPr>
        <w:t>If IFQ sablefish, provide sablefish regulatory areas (Figure 14 to 50 CFR part 679)</w:t>
      </w:r>
    </w:p>
    <w:p w14:paraId="543E575F" w14:textId="77777777" w:rsidR="006A79C8" w:rsidRDefault="004C62EA" w:rsidP="00735EE7">
      <w:pPr>
        <w:contextualSpacing/>
        <w:rPr>
          <w:sz w:val="20"/>
        </w:rPr>
      </w:pPr>
      <w:r>
        <w:rPr>
          <w:sz w:val="20"/>
        </w:rPr>
        <w:t>If CR crab, provide CR fishery code (Table 1 to part 680)</w:t>
      </w:r>
    </w:p>
    <w:p w14:paraId="76AABD90" w14:textId="77777777" w:rsidR="006A79C8" w:rsidRDefault="004C62EA" w:rsidP="00735EE7">
      <w:pPr>
        <w:contextualSpacing/>
        <w:rPr>
          <w:sz w:val="20"/>
        </w:rPr>
      </w:pPr>
      <w:r>
        <w:rPr>
          <w:sz w:val="20"/>
        </w:rPr>
        <w:t>Estimated total weight as appropriate of IFQ halibut, CDQ halibut, IFQ sablefish, or CR crab on board (lb/kg/mt)</w:t>
      </w:r>
    </w:p>
    <w:p w14:paraId="0F37264A" w14:textId="77777777" w:rsidR="006A79C8" w:rsidRDefault="006A79C8" w:rsidP="00735EE7">
      <w:pPr>
        <w:pStyle w:val="BodyText"/>
        <w:contextualSpacing/>
        <w:rPr>
          <w:sz w:val="19"/>
        </w:rPr>
      </w:pPr>
    </w:p>
    <w:p w14:paraId="51C4AACA"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4"/>
        <w:gridCol w:w="720"/>
      </w:tblGrid>
      <w:tr w:rsidR="006A79C8" w14:paraId="1DF9DA37" w14:textId="77777777" w:rsidTr="003B6300">
        <w:trPr>
          <w:trHeight w:val="229"/>
          <w:jc w:val="center"/>
        </w:trPr>
        <w:tc>
          <w:tcPr>
            <w:tcW w:w="4274" w:type="dxa"/>
            <w:gridSpan w:val="2"/>
          </w:tcPr>
          <w:p w14:paraId="00D8F349" w14:textId="77777777" w:rsidR="006A79C8" w:rsidRDefault="004C62EA" w:rsidP="00735EE7">
            <w:pPr>
              <w:pStyle w:val="TableParagraph"/>
              <w:contextualSpacing/>
              <w:rPr>
                <w:b/>
                <w:sz w:val="20"/>
              </w:rPr>
            </w:pPr>
            <w:r>
              <w:rPr>
                <w:b/>
                <w:sz w:val="20"/>
              </w:rPr>
              <w:t>IFQ Departure Report, Respondent</w:t>
            </w:r>
          </w:p>
        </w:tc>
      </w:tr>
      <w:tr w:rsidR="006A79C8" w14:paraId="6EC6194F" w14:textId="77777777" w:rsidTr="003B6300">
        <w:trPr>
          <w:trHeight w:val="232"/>
          <w:jc w:val="center"/>
        </w:trPr>
        <w:tc>
          <w:tcPr>
            <w:tcW w:w="3554" w:type="dxa"/>
            <w:tcBorders>
              <w:bottom w:val="nil"/>
            </w:tcBorders>
          </w:tcPr>
          <w:p w14:paraId="15352748" w14:textId="77777777" w:rsidR="006A79C8" w:rsidRDefault="004C62EA" w:rsidP="00735EE7">
            <w:pPr>
              <w:pStyle w:val="TableParagraph"/>
              <w:contextualSpacing/>
              <w:rPr>
                <w:b/>
                <w:sz w:val="20"/>
              </w:rPr>
            </w:pPr>
            <w:r>
              <w:rPr>
                <w:b/>
                <w:sz w:val="20"/>
              </w:rPr>
              <w:t>Estimated number of respondents</w:t>
            </w:r>
          </w:p>
        </w:tc>
        <w:tc>
          <w:tcPr>
            <w:tcW w:w="720" w:type="dxa"/>
            <w:tcBorders>
              <w:bottom w:val="nil"/>
            </w:tcBorders>
          </w:tcPr>
          <w:p w14:paraId="3330B615" w14:textId="25CFB213" w:rsidR="006A79C8" w:rsidRDefault="004C62EA" w:rsidP="00703EFA">
            <w:pPr>
              <w:pStyle w:val="TableParagraph"/>
              <w:contextualSpacing/>
              <w:jc w:val="right"/>
              <w:rPr>
                <w:b/>
                <w:sz w:val="20"/>
              </w:rPr>
            </w:pPr>
            <w:r>
              <w:rPr>
                <w:b/>
                <w:sz w:val="20"/>
              </w:rPr>
              <w:t>2</w:t>
            </w:r>
            <w:r w:rsidR="00482CC6">
              <w:rPr>
                <w:b/>
                <w:sz w:val="20"/>
              </w:rPr>
              <w:t>6</w:t>
            </w:r>
          </w:p>
        </w:tc>
      </w:tr>
      <w:tr w:rsidR="006A79C8" w14:paraId="39F27B7F" w14:textId="77777777" w:rsidTr="003B6300">
        <w:trPr>
          <w:trHeight w:val="228"/>
          <w:jc w:val="center"/>
        </w:trPr>
        <w:tc>
          <w:tcPr>
            <w:tcW w:w="3554" w:type="dxa"/>
            <w:tcBorders>
              <w:top w:val="nil"/>
              <w:bottom w:val="nil"/>
            </w:tcBorders>
          </w:tcPr>
          <w:p w14:paraId="40C5CD72" w14:textId="77777777" w:rsidR="006A79C8" w:rsidRDefault="004C62EA" w:rsidP="00735EE7">
            <w:pPr>
              <w:pStyle w:val="TableParagraph"/>
              <w:contextualSpacing/>
              <w:rPr>
                <w:b/>
                <w:sz w:val="20"/>
              </w:rPr>
            </w:pPr>
            <w:r>
              <w:rPr>
                <w:b/>
                <w:sz w:val="20"/>
              </w:rPr>
              <w:t>Total annual responses</w:t>
            </w:r>
          </w:p>
        </w:tc>
        <w:tc>
          <w:tcPr>
            <w:tcW w:w="720" w:type="dxa"/>
            <w:tcBorders>
              <w:top w:val="nil"/>
              <w:bottom w:val="nil"/>
            </w:tcBorders>
          </w:tcPr>
          <w:p w14:paraId="7F675345" w14:textId="2BEF5699" w:rsidR="006A79C8" w:rsidRDefault="004C62EA" w:rsidP="00703EFA">
            <w:pPr>
              <w:pStyle w:val="TableParagraph"/>
              <w:contextualSpacing/>
              <w:jc w:val="right"/>
              <w:rPr>
                <w:b/>
                <w:sz w:val="20"/>
              </w:rPr>
            </w:pPr>
            <w:r>
              <w:rPr>
                <w:b/>
                <w:sz w:val="20"/>
              </w:rPr>
              <w:t>2</w:t>
            </w:r>
            <w:r w:rsidR="00482CC6">
              <w:rPr>
                <w:b/>
                <w:sz w:val="20"/>
              </w:rPr>
              <w:t>6</w:t>
            </w:r>
          </w:p>
        </w:tc>
      </w:tr>
      <w:tr w:rsidR="006A79C8" w14:paraId="1BF3D73B" w14:textId="77777777" w:rsidTr="003B6300">
        <w:trPr>
          <w:trHeight w:val="228"/>
          <w:jc w:val="center"/>
        </w:trPr>
        <w:tc>
          <w:tcPr>
            <w:tcW w:w="3554" w:type="dxa"/>
            <w:tcBorders>
              <w:top w:val="nil"/>
              <w:bottom w:val="nil"/>
            </w:tcBorders>
          </w:tcPr>
          <w:p w14:paraId="267893AD" w14:textId="77777777" w:rsidR="006A79C8" w:rsidRDefault="004C62EA" w:rsidP="00735EE7">
            <w:pPr>
              <w:pStyle w:val="TableParagraph"/>
              <w:contextualSpacing/>
              <w:rPr>
                <w:sz w:val="20"/>
              </w:rPr>
            </w:pPr>
            <w:r>
              <w:rPr>
                <w:sz w:val="20"/>
              </w:rPr>
              <w:t>Number of responses = 1</w:t>
            </w:r>
          </w:p>
        </w:tc>
        <w:tc>
          <w:tcPr>
            <w:tcW w:w="720" w:type="dxa"/>
            <w:tcBorders>
              <w:top w:val="nil"/>
              <w:bottom w:val="nil"/>
            </w:tcBorders>
          </w:tcPr>
          <w:p w14:paraId="7AC613D5" w14:textId="77777777" w:rsidR="006A79C8" w:rsidRDefault="006A79C8" w:rsidP="00703EFA">
            <w:pPr>
              <w:pStyle w:val="TableParagraph"/>
              <w:contextualSpacing/>
              <w:jc w:val="right"/>
              <w:rPr>
                <w:sz w:val="16"/>
              </w:rPr>
            </w:pPr>
          </w:p>
        </w:tc>
      </w:tr>
      <w:tr w:rsidR="006A79C8" w14:paraId="260596F9" w14:textId="77777777" w:rsidTr="003B6300">
        <w:trPr>
          <w:trHeight w:val="232"/>
          <w:jc w:val="center"/>
        </w:trPr>
        <w:tc>
          <w:tcPr>
            <w:tcW w:w="3554" w:type="dxa"/>
            <w:tcBorders>
              <w:top w:val="nil"/>
              <w:bottom w:val="nil"/>
            </w:tcBorders>
          </w:tcPr>
          <w:p w14:paraId="7494A7DB" w14:textId="5D8E52F0" w:rsidR="006A79C8" w:rsidRDefault="00757DEC" w:rsidP="00735EE7">
            <w:pPr>
              <w:pStyle w:val="TableParagraph"/>
              <w:contextualSpacing/>
              <w:rPr>
                <w:sz w:val="20"/>
              </w:rPr>
            </w:pPr>
            <w:r>
              <w:rPr>
                <w:b/>
                <w:sz w:val="20"/>
              </w:rPr>
              <w:t>Total t</w:t>
            </w:r>
            <w:r w:rsidR="004C62EA">
              <w:rPr>
                <w:b/>
                <w:sz w:val="20"/>
              </w:rPr>
              <w:t xml:space="preserve">ime burden </w:t>
            </w:r>
            <w:r w:rsidR="004C62EA">
              <w:rPr>
                <w:sz w:val="20"/>
              </w:rPr>
              <w:t>(6.5)</w:t>
            </w:r>
          </w:p>
        </w:tc>
        <w:tc>
          <w:tcPr>
            <w:tcW w:w="720" w:type="dxa"/>
            <w:tcBorders>
              <w:top w:val="nil"/>
              <w:bottom w:val="nil"/>
            </w:tcBorders>
          </w:tcPr>
          <w:p w14:paraId="05F869F5" w14:textId="2170B905" w:rsidR="006A79C8" w:rsidRDefault="00482CC6" w:rsidP="00703EFA">
            <w:pPr>
              <w:pStyle w:val="TableParagraph"/>
              <w:contextualSpacing/>
              <w:jc w:val="right"/>
              <w:rPr>
                <w:b/>
                <w:sz w:val="20"/>
              </w:rPr>
            </w:pPr>
            <w:r>
              <w:rPr>
                <w:b/>
                <w:sz w:val="20"/>
              </w:rPr>
              <w:t>7</w:t>
            </w:r>
            <w:r w:rsidR="004C62EA">
              <w:rPr>
                <w:b/>
                <w:sz w:val="20"/>
              </w:rPr>
              <w:t xml:space="preserve"> hr</w:t>
            </w:r>
          </w:p>
        </w:tc>
      </w:tr>
      <w:tr w:rsidR="006A79C8" w14:paraId="3C917548" w14:textId="77777777" w:rsidTr="003B6300">
        <w:trPr>
          <w:trHeight w:val="228"/>
          <w:jc w:val="center"/>
        </w:trPr>
        <w:tc>
          <w:tcPr>
            <w:tcW w:w="3554" w:type="dxa"/>
            <w:tcBorders>
              <w:top w:val="nil"/>
              <w:bottom w:val="nil"/>
            </w:tcBorders>
          </w:tcPr>
          <w:p w14:paraId="3F7DA66C" w14:textId="77777777" w:rsidR="006A79C8" w:rsidRDefault="004C62EA" w:rsidP="00735EE7">
            <w:pPr>
              <w:pStyle w:val="TableParagraph"/>
              <w:contextualSpacing/>
              <w:rPr>
                <w:sz w:val="20"/>
              </w:rPr>
            </w:pPr>
            <w:r>
              <w:rPr>
                <w:sz w:val="20"/>
              </w:rPr>
              <w:t>Time per response = 15 min</w:t>
            </w:r>
          </w:p>
        </w:tc>
        <w:tc>
          <w:tcPr>
            <w:tcW w:w="720" w:type="dxa"/>
            <w:tcBorders>
              <w:top w:val="nil"/>
              <w:bottom w:val="nil"/>
            </w:tcBorders>
          </w:tcPr>
          <w:p w14:paraId="52666083" w14:textId="77777777" w:rsidR="006A79C8" w:rsidRDefault="006A79C8" w:rsidP="00703EFA">
            <w:pPr>
              <w:pStyle w:val="TableParagraph"/>
              <w:contextualSpacing/>
              <w:jc w:val="right"/>
              <w:rPr>
                <w:sz w:val="16"/>
              </w:rPr>
            </w:pPr>
          </w:p>
        </w:tc>
      </w:tr>
      <w:tr w:rsidR="006A79C8" w14:paraId="09F40AB5" w14:textId="77777777" w:rsidTr="003B6300">
        <w:trPr>
          <w:trHeight w:val="233"/>
          <w:jc w:val="center"/>
        </w:trPr>
        <w:tc>
          <w:tcPr>
            <w:tcW w:w="3554" w:type="dxa"/>
            <w:tcBorders>
              <w:top w:val="nil"/>
              <w:bottom w:val="nil"/>
            </w:tcBorders>
          </w:tcPr>
          <w:p w14:paraId="334D1004" w14:textId="7C76CAAE" w:rsidR="006A79C8" w:rsidRDefault="004C62EA" w:rsidP="00735EE7">
            <w:pPr>
              <w:pStyle w:val="TableParagraph"/>
              <w:contextualSpacing/>
              <w:rPr>
                <w:sz w:val="20"/>
              </w:rPr>
            </w:pPr>
            <w:r>
              <w:rPr>
                <w:b/>
                <w:sz w:val="20"/>
              </w:rPr>
              <w:t xml:space="preserve">Total personnel cost </w:t>
            </w:r>
            <w:r>
              <w:rPr>
                <w:sz w:val="20"/>
              </w:rPr>
              <w:t xml:space="preserve">($37/hr x </w:t>
            </w:r>
            <w:r w:rsidR="00482CC6">
              <w:rPr>
                <w:sz w:val="20"/>
              </w:rPr>
              <w:t>7</w:t>
            </w:r>
            <w:r>
              <w:rPr>
                <w:sz w:val="20"/>
              </w:rPr>
              <w:t>)</w:t>
            </w:r>
          </w:p>
        </w:tc>
        <w:tc>
          <w:tcPr>
            <w:tcW w:w="720" w:type="dxa"/>
            <w:tcBorders>
              <w:top w:val="nil"/>
              <w:bottom w:val="nil"/>
            </w:tcBorders>
          </w:tcPr>
          <w:p w14:paraId="2E6C4085" w14:textId="744A7B8E" w:rsidR="006A79C8" w:rsidRDefault="004C62EA" w:rsidP="00703EFA">
            <w:pPr>
              <w:pStyle w:val="TableParagraph"/>
              <w:contextualSpacing/>
              <w:jc w:val="right"/>
              <w:rPr>
                <w:b/>
                <w:sz w:val="20"/>
              </w:rPr>
            </w:pPr>
            <w:r>
              <w:rPr>
                <w:b/>
                <w:sz w:val="20"/>
              </w:rPr>
              <w:t>$2</w:t>
            </w:r>
            <w:r w:rsidR="00482CC6">
              <w:rPr>
                <w:b/>
                <w:sz w:val="20"/>
              </w:rPr>
              <w:t>59</w:t>
            </w:r>
          </w:p>
        </w:tc>
      </w:tr>
      <w:tr w:rsidR="006A79C8" w14:paraId="376B4B5A" w14:textId="77777777" w:rsidTr="003B6300">
        <w:trPr>
          <w:trHeight w:val="226"/>
          <w:jc w:val="center"/>
        </w:trPr>
        <w:tc>
          <w:tcPr>
            <w:tcW w:w="3554" w:type="dxa"/>
            <w:tcBorders>
              <w:top w:val="nil"/>
            </w:tcBorders>
          </w:tcPr>
          <w:p w14:paraId="724B73CE" w14:textId="77777777" w:rsidR="006A79C8" w:rsidRDefault="004C62EA" w:rsidP="00735EE7">
            <w:pPr>
              <w:pStyle w:val="TableParagraph"/>
              <w:contextualSpacing/>
              <w:rPr>
                <w:b/>
                <w:sz w:val="20"/>
              </w:rPr>
            </w:pPr>
            <w:r>
              <w:rPr>
                <w:b/>
                <w:sz w:val="20"/>
              </w:rPr>
              <w:t>Total miscellaneous cost</w:t>
            </w:r>
          </w:p>
        </w:tc>
        <w:tc>
          <w:tcPr>
            <w:tcW w:w="720" w:type="dxa"/>
            <w:tcBorders>
              <w:top w:val="nil"/>
            </w:tcBorders>
          </w:tcPr>
          <w:p w14:paraId="53A68C90" w14:textId="77777777" w:rsidR="006A79C8" w:rsidRDefault="004C62EA" w:rsidP="00703EFA">
            <w:pPr>
              <w:pStyle w:val="TableParagraph"/>
              <w:contextualSpacing/>
              <w:jc w:val="right"/>
              <w:rPr>
                <w:b/>
                <w:sz w:val="20"/>
              </w:rPr>
            </w:pPr>
            <w:r>
              <w:rPr>
                <w:b/>
                <w:w w:val="99"/>
                <w:sz w:val="20"/>
              </w:rPr>
              <w:t>0</w:t>
            </w:r>
          </w:p>
        </w:tc>
      </w:tr>
    </w:tbl>
    <w:p w14:paraId="2A3689C6" w14:textId="77777777" w:rsidR="006A79C8" w:rsidRDefault="006A79C8" w:rsidP="00735EE7">
      <w:pPr>
        <w:pStyle w:val="BodyText"/>
        <w:contextualSpacing/>
        <w:rPr>
          <w:sz w:val="14"/>
        </w:rPr>
      </w:pPr>
    </w:p>
    <w:p w14:paraId="23C006A6" w14:textId="77777777" w:rsidR="00F338EE" w:rsidRDefault="00F338EE" w:rsidP="00DB448A">
      <w:pPr>
        <w:pStyle w:val="Heading1"/>
        <w:tabs>
          <w:tab w:val="left" w:pos="360"/>
        </w:tabs>
        <w:ind w:left="0"/>
        <w:contextualSpacing/>
        <w:rPr>
          <w:u w:val="none"/>
        </w:rPr>
      </w:pPr>
    </w:p>
    <w:p w14:paraId="18CBC1B6" w14:textId="0A8F8FCE" w:rsidR="006A79C8" w:rsidRDefault="000B728F" w:rsidP="00DB448A">
      <w:pPr>
        <w:pStyle w:val="Heading1"/>
        <w:tabs>
          <w:tab w:val="left" w:pos="360"/>
        </w:tabs>
        <w:ind w:left="0"/>
        <w:contextualSpacing/>
        <w:rPr>
          <w:u w:val="none"/>
        </w:rPr>
      </w:pPr>
      <w:r w:rsidRPr="00353196">
        <w:rPr>
          <w:u w:val="none"/>
        </w:rPr>
        <w:t>n</w:t>
      </w:r>
      <w:r w:rsidR="00DB448A" w:rsidRPr="00353196">
        <w:rPr>
          <w:u w:val="none"/>
        </w:rPr>
        <w:t>.</w:t>
      </w:r>
      <w:r w:rsidR="00DB448A" w:rsidRPr="00353196">
        <w:rPr>
          <w:u w:val="none"/>
        </w:rPr>
        <w:tab/>
      </w:r>
      <w:r w:rsidR="004C62EA" w:rsidRPr="00353196">
        <w:rPr>
          <w:u w:val="none"/>
        </w:rPr>
        <w:t>Transshipment</w:t>
      </w:r>
      <w:r w:rsidR="004C62EA" w:rsidRPr="00353196">
        <w:rPr>
          <w:spacing w:val="-2"/>
          <w:u w:val="none"/>
        </w:rPr>
        <w:t xml:space="preserve"> </w:t>
      </w:r>
      <w:r w:rsidR="004C62EA" w:rsidRPr="00353196">
        <w:rPr>
          <w:u w:val="none"/>
        </w:rPr>
        <w:t>Authorization</w:t>
      </w:r>
      <w:r w:rsidR="007D3F66">
        <w:rPr>
          <w:u w:val="none"/>
        </w:rPr>
        <w:t xml:space="preserve"> [</w:t>
      </w:r>
      <w:r w:rsidR="006A0CC1">
        <w:rPr>
          <w:u w:val="none"/>
        </w:rPr>
        <w:t>no change</w:t>
      </w:r>
      <w:r w:rsidR="007D3F66">
        <w:rPr>
          <w:u w:val="none"/>
        </w:rPr>
        <w:t>]</w:t>
      </w:r>
    </w:p>
    <w:p w14:paraId="5BD31E76" w14:textId="77777777" w:rsidR="006A79C8" w:rsidRDefault="006A79C8" w:rsidP="00735EE7">
      <w:pPr>
        <w:pStyle w:val="BodyText"/>
        <w:contextualSpacing/>
        <w:rPr>
          <w:b/>
          <w:sz w:val="23"/>
        </w:rPr>
      </w:pPr>
    </w:p>
    <w:p w14:paraId="4D446950" w14:textId="77777777" w:rsidR="006A79C8" w:rsidRDefault="004C62EA" w:rsidP="00735EE7">
      <w:pPr>
        <w:pStyle w:val="BodyText"/>
        <w:contextualSpacing/>
      </w:pPr>
      <w:r>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14:paraId="5488F0BC" w14:textId="77777777" w:rsidR="006A79C8" w:rsidRDefault="006A79C8" w:rsidP="00735EE7">
      <w:pPr>
        <w:pStyle w:val="BodyText"/>
        <w:contextualSpacing/>
      </w:pPr>
    </w:p>
    <w:p w14:paraId="248851DD" w14:textId="77777777" w:rsidR="00F97D34" w:rsidRDefault="004C62EA" w:rsidP="00735EE7">
      <w:pPr>
        <w:pStyle w:val="BodyText"/>
        <w:contextualSpacing/>
      </w:pPr>
      <w:r w:rsidRPr="00444518">
        <w:t>The authorization is requested from OLE by telephone at 800-304-4846.</w:t>
      </w:r>
      <w:r w:rsidR="00AE57C3" w:rsidRPr="00517766">
        <w:t xml:space="preserve"> </w:t>
      </w:r>
      <w:r w:rsidR="008E1264" w:rsidRPr="009D78F0">
        <w:t>No form exists for this item</w:t>
      </w:r>
      <w:r w:rsidR="008E1264" w:rsidRPr="00444518">
        <w:t>.</w:t>
      </w:r>
    </w:p>
    <w:p w14:paraId="1CB93E8A" w14:textId="77777777" w:rsidR="006A79C8" w:rsidRDefault="006A79C8" w:rsidP="00735EE7">
      <w:pPr>
        <w:pStyle w:val="BodyText"/>
        <w:contextualSpacing/>
      </w:pPr>
    </w:p>
    <w:p w14:paraId="09A0F0E7" w14:textId="77777777" w:rsidR="006A79C8" w:rsidRDefault="004C62EA" w:rsidP="00735EE7">
      <w:pPr>
        <w:pStyle w:val="BodyText"/>
        <w:contextualSpacing/>
      </w:pPr>
      <w:r>
        <w:t>To obtain a Transshipment Authorization, the vessel operator must provide the following information to the clearing officer.</w:t>
      </w:r>
    </w:p>
    <w:p w14:paraId="7E468D4E" w14:textId="77777777" w:rsidR="006A79C8" w:rsidRPr="009762D5" w:rsidRDefault="006A79C8" w:rsidP="00735EE7">
      <w:pPr>
        <w:pStyle w:val="BodyText"/>
        <w:contextualSpacing/>
      </w:pPr>
    </w:p>
    <w:p w14:paraId="73A7DCCC" w14:textId="3D283F39" w:rsidR="002875EA" w:rsidRPr="009762D5" w:rsidRDefault="009762D5" w:rsidP="00735EE7">
      <w:pPr>
        <w:contextualSpacing/>
        <w:rPr>
          <w:sz w:val="24"/>
          <w:szCs w:val="24"/>
        </w:rPr>
      </w:pPr>
      <w:r w:rsidRPr="009762D5">
        <w:rPr>
          <w:sz w:val="24"/>
          <w:szCs w:val="24"/>
        </w:rPr>
        <w:t>The following information is collected in a Transshipment Authorization.</w:t>
      </w:r>
    </w:p>
    <w:p w14:paraId="46A182EB" w14:textId="77777777" w:rsidR="009762D5" w:rsidRPr="009762D5" w:rsidRDefault="009762D5" w:rsidP="00735EE7">
      <w:pPr>
        <w:contextualSpacing/>
        <w:rPr>
          <w:sz w:val="24"/>
          <w:szCs w:val="24"/>
        </w:rPr>
      </w:pPr>
    </w:p>
    <w:p w14:paraId="09CE7ADE" w14:textId="77777777" w:rsidR="003F3893" w:rsidRDefault="003F3893" w:rsidP="00735EE7">
      <w:pPr>
        <w:contextualSpacing/>
        <w:rPr>
          <w:b/>
          <w:sz w:val="20"/>
        </w:rPr>
      </w:pPr>
      <w:r w:rsidRPr="00236A01">
        <w:rPr>
          <w:i/>
          <w:sz w:val="20"/>
          <w:u w:val="single"/>
        </w:rPr>
        <w:t>Toll-free telephone call to OLE</w:t>
      </w:r>
    </w:p>
    <w:p w14:paraId="514C5AC2" w14:textId="77777777" w:rsidR="002875EA" w:rsidRDefault="004C62EA" w:rsidP="00735EE7">
      <w:pPr>
        <w:contextualSpacing/>
        <w:rPr>
          <w:sz w:val="20"/>
        </w:rPr>
      </w:pPr>
      <w:r>
        <w:rPr>
          <w:sz w:val="20"/>
        </w:rPr>
        <w:t xml:space="preserve">Time and date of transshipment </w:t>
      </w:r>
    </w:p>
    <w:p w14:paraId="7942A295" w14:textId="77777777" w:rsidR="006A79C8" w:rsidRDefault="004C62EA" w:rsidP="00735EE7">
      <w:pPr>
        <w:contextualSpacing/>
        <w:rPr>
          <w:sz w:val="20"/>
        </w:rPr>
      </w:pPr>
      <w:r>
        <w:rPr>
          <w:sz w:val="20"/>
        </w:rPr>
        <w:t>Location of transshipment</w:t>
      </w:r>
    </w:p>
    <w:p w14:paraId="0C6433BB" w14:textId="77777777" w:rsidR="002875EA" w:rsidRDefault="004C62EA" w:rsidP="00735EE7">
      <w:pPr>
        <w:contextualSpacing/>
        <w:rPr>
          <w:sz w:val="20"/>
        </w:rPr>
      </w:pPr>
      <w:r>
        <w:rPr>
          <w:sz w:val="20"/>
        </w:rPr>
        <w:t xml:space="preserve">Name and ADF&amp;G vessel registration number of vessel offloading transshipment </w:t>
      </w:r>
    </w:p>
    <w:p w14:paraId="7B213B50" w14:textId="77777777" w:rsidR="006A79C8" w:rsidRDefault="004C62EA" w:rsidP="00735EE7">
      <w:pPr>
        <w:contextualSpacing/>
        <w:rPr>
          <w:sz w:val="20"/>
        </w:rPr>
      </w:pPr>
      <w:r>
        <w:rPr>
          <w:sz w:val="20"/>
        </w:rPr>
        <w:t>Name of vessel receiving the transshipment</w:t>
      </w:r>
    </w:p>
    <w:p w14:paraId="44ED569C" w14:textId="77777777" w:rsidR="006A79C8" w:rsidRDefault="004C62EA" w:rsidP="00735EE7">
      <w:pPr>
        <w:contextualSpacing/>
        <w:rPr>
          <w:sz w:val="20"/>
        </w:rPr>
      </w:pPr>
      <w:r>
        <w:rPr>
          <w:sz w:val="20"/>
        </w:rPr>
        <w:t>Product destination</w:t>
      </w:r>
    </w:p>
    <w:p w14:paraId="602083E6" w14:textId="77777777" w:rsidR="002875EA" w:rsidRDefault="004C62EA" w:rsidP="00735EE7">
      <w:pPr>
        <w:contextualSpacing/>
        <w:rPr>
          <w:sz w:val="20"/>
        </w:rPr>
      </w:pPr>
      <w:r>
        <w:rPr>
          <w:sz w:val="20"/>
        </w:rPr>
        <w:t xml:space="preserve">Species code and product type code </w:t>
      </w:r>
    </w:p>
    <w:p w14:paraId="5A70F79A" w14:textId="77777777" w:rsidR="006A79C8" w:rsidRDefault="004C62EA" w:rsidP="00735EE7">
      <w:pPr>
        <w:contextualSpacing/>
        <w:rPr>
          <w:sz w:val="20"/>
        </w:rPr>
      </w:pPr>
      <w:r>
        <w:rPr>
          <w:sz w:val="20"/>
        </w:rPr>
        <w:t>Total product weight</w:t>
      </w:r>
    </w:p>
    <w:p w14:paraId="3AD7C21C" w14:textId="77777777" w:rsidR="006A79C8" w:rsidRDefault="004C62EA" w:rsidP="00735EE7">
      <w:pPr>
        <w:contextualSpacing/>
        <w:rPr>
          <w:sz w:val="20"/>
        </w:rPr>
      </w:pPr>
      <w:r>
        <w:rPr>
          <w:sz w:val="20"/>
        </w:rPr>
        <w:t>Time (A.l.t.) and date of request</w:t>
      </w:r>
    </w:p>
    <w:p w14:paraId="023E8CFC" w14:textId="77777777" w:rsidR="006A79C8" w:rsidRDefault="004C62EA" w:rsidP="00735EE7">
      <w:pPr>
        <w:contextualSpacing/>
        <w:rPr>
          <w:sz w:val="20"/>
        </w:rPr>
      </w:pPr>
      <w:r>
        <w:rPr>
          <w:sz w:val="20"/>
        </w:rPr>
        <w:t>Name, telephone number, fax number for person making the request</w:t>
      </w:r>
    </w:p>
    <w:p w14:paraId="34B346BC" w14:textId="77777777" w:rsidR="006A79C8" w:rsidRDefault="006A79C8" w:rsidP="00735EE7">
      <w:pPr>
        <w:pStyle w:val="BodyText"/>
        <w:contextualSpacing/>
        <w:rPr>
          <w:sz w:val="19"/>
        </w:rPr>
      </w:pPr>
    </w:p>
    <w:p w14:paraId="5CAD7410" w14:textId="77777777" w:rsidR="006A79C8" w:rsidRDefault="006A79C8" w:rsidP="00735EE7">
      <w:pPr>
        <w:pStyle w:val="BodyText"/>
        <w:contextualSpacing/>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0"/>
        <w:gridCol w:w="809"/>
      </w:tblGrid>
      <w:tr w:rsidR="006A79C8" w14:paraId="130BA1C3" w14:textId="77777777" w:rsidTr="003B6300">
        <w:trPr>
          <w:trHeight w:val="230"/>
          <w:jc w:val="center"/>
        </w:trPr>
        <w:tc>
          <w:tcPr>
            <w:tcW w:w="4589" w:type="dxa"/>
            <w:gridSpan w:val="2"/>
          </w:tcPr>
          <w:p w14:paraId="054A6B86" w14:textId="77777777" w:rsidR="006A79C8" w:rsidRDefault="004C62EA" w:rsidP="00735EE7">
            <w:pPr>
              <w:pStyle w:val="TableParagraph"/>
              <w:contextualSpacing/>
              <w:rPr>
                <w:b/>
                <w:sz w:val="20"/>
              </w:rPr>
            </w:pPr>
            <w:r>
              <w:rPr>
                <w:b/>
                <w:sz w:val="20"/>
              </w:rPr>
              <w:t>Transshipment Authorization, Respondent</w:t>
            </w:r>
          </w:p>
        </w:tc>
      </w:tr>
      <w:tr w:rsidR="006A79C8" w14:paraId="088030C9" w14:textId="77777777" w:rsidTr="003B6300">
        <w:trPr>
          <w:trHeight w:val="232"/>
          <w:jc w:val="center"/>
        </w:trPr>
        <w:tc>
          <w:tcPr>
            <w:tcW w:w="3780" w:type="dxa"/>
            <w:tcBorders>
              <w:bottom w:val="nil"/>
            </w:tcBorders>
          </w:tcPr>
          <w:p w14:paraId="40498484" w14:textId="77777777" w:rsidR="006A79C8" w:rsidRDefault="004C62EA" w:rsidP="00735EE7">
            <w:pPr>
              <w:pStyle w:val="TableParagraph"/>
              <w:contextualSpacing/>
              <w:rPr>
                <w:b/>
                <w:sz w:val="20"/>
              </w:rPr>
            </w:pPr>
            <w:r>
              <w:rPr>
                <w:b/>
                <w:sz w:val="20"/>
              </w:rPr>
              <w:t>Estimated number of respondents</w:t>
            </w:r>
          </w:p>
        </w:tc>
        <w:tc>
          <w:tcPr>
            <w:tcW w:w="809" w:type="dxa"/>
            <w:tcBorders>
              <w:bottom w:val="nil"/>
            </w:tcBorders>
          </w:tcPr>
          <w:p w14:paraId="5F6D8B27" w14:textId="77777777" w:rsidR="006A79C8" w:rsidRDefault="004C62EA" w:rsidP="002951B0">
            <w:pPr>
              <w:pStyle w:val="TableParagraph"/>
              <w:contextualSpacing/>
              <w:jc w:val="right"/>
              <w:rPr>
                <w:b/>
                <w:sz w:val="20"/>
              </w:rPr>
            </w:pPr>
            <w:r>
              <w:rPr>
                <w:b/>
                <w:w w:val="99"/>
                <w:sz w:val="20"/>
              </w:rPr>
              <w:t>1</w:t>
            </w:r>
          </w:p>
        </w:tc>
      </w:tr>
      <w:tr w:rsidR="006A79C8" w14:paraId="19B8D009" w14:textId="77777777" w:rsidTr="003B6300">
        <w:trPr>
          <w:trHeight w:val="226"/>
          <w:jc w:val="center"/>
        </w:trPr>
        <w:tc>
          <w:tcPr>
            <w:tcW w:w="3780" w:type="dxa"/>
            <w:tcBorders>
              <w:top w:val="nil"/>
              <w:bottom w:val="nil"/>
            </w:tcBorders>
          </w:tcPr>
          <w:p w14:paraId="38DC4BCA" w14:textId="77777777" w:rsidR="006A79C8" w:rsidRDefault="004C62EA" w:rsidP="00735EE7">
            <w:pPr>
              <w:pStyle w:val="TableParagraph"/>
              <w:contextualSpacing/>
              <w:rPr>
                <w:b/>
                <w:sz w:val="20"/>
              </w:rPr>
            </w:pPr>
            <w:r>
              <w:rPr>
                <w:b/>
                <w:sz w:val="20"/>
              </w:rPr>
              <w:t>Total annual responses</w:t>
            </w:r>
          </w:p>
        </w:tc>
        <w:tc>
          <w:tcPr>
            <w:tcW w:w="809" w:type="dxa"/>
            <w:tcBorders>
              <w:top w:val="nil"/>
              <w:bottom w:val="nil"/>
            </w:tcBorders>
          </w:tcPr>
          <w:p w14:paraId="765443C5" w14:textId="77777777" w:rsidR="006A79C8" w:rsidRDefault="004C62EA" w:rsidP="002951B0">
            <w:pPr>
              <w:pStyle w:val="TableParagraph"/>
              <w:contextualSpacing/>
              <w:jc w:val="right"/>
              <w:rPr>
                <w:b/>
                <w:sz w:val="20"/>
              </w:rPr>
            </w:pPr>
            <w:r>
              <w:rPr>
                <w:b/>
                <w:w w:val="99"/>
                <w:sz w:val="20"/>
              </w:rPr>
              <w:t>1</w:t>
            </w:r>
          </w:p>
        </w:tc>
      </w:tr>
      <w:tr w:rsidR="006A79C8" w14:paraId="333B9ADF" w14:textId="77777777" w:rsidTr="003B6300">
        <w:trPr>
          <w:trHeight w:val="226"/>
          <w:jc w:val="center"/>
        </w:trPr>
        <w:tc>
          <w:tcPr>
            <w:tcW w:w="3780" w:type="dxa"/>
            <w:tcBorders>
              <w:top w:val="nil"/>
              <w:bottom w:val="nil"/>
            </w:tcBorders>
          </w:tcPr>
          <w:p w14:paraId="6211994C" w14:textId="77777777" w:rsidR="006A79C8" w:rsidRDefault="004C62EA" w:rsidP="00735EE7">
            <w:pPr>
              <w:pStyle w:val="TableParagraph"/>
              <w:contextualSpacing/>
              <w:rPr>
                <w:sz w:val="20"/>
              </w:rPr>
            </w:pPr>
            <w:r>
              <w:rPr>
                <w:sz w:val="20"/>
              </w:rPr>
              <w:t>Number of responses per year = 1</w:t>
            </w:r>
          </w:p>
        </w:tc>
        <w:tc>
          <w:tcPr>
            <w:tcW w:w="809" w:type="dxa"/>
            <w:tcBorders>
              <w:top w:val="nil"/>
              <w:bottom w:val="nil"/>
            </w:tcBorders>
          </w:tcPr>
          <w:p w14:paraId="5832E302" w14:textId="77777777" w:rsidR="006A79C8" w:rsidRDefault="006A79C8" w:rsidP="002951B0">
            <w:pPr>
              <w:pStyle w:val="TableParagraph"/>
              <w:contextualSpacing/>
              <w:jc w:val="right"/>
              <w:rPr>
                <w:sz w:val="16"/>
              </w:rPr>
            </w:pPr>
          </w:p>
        </w:tc>
      </w:tr>
      <w:tr w:rsidR="006A79C8" w14:paraId="1D385023" w14:textId="77777777" w:rsidTr="003B6300">
        <w:trPr>
          <w:trHeight w:val="232"/>
          <w:jc w:val="center"/>
        </w:trPr>
        <w:tc>
          <w:tcPr>
            <w:tcW w:w="3780" w:type="dxa"/>
            <w:tcBorders>
              <w:top w:val="nil"/>
              <w:bottom w:val="nil"/>
            </w:tcBorders>
          </w:tcPr>
          <w:p w14:paraId="10B11A02" w14:textId="361AE3FC" w:rsidR="006A79C8" w:rsidRDefault="00757DEC" w:rsidP="00735EE7">
            <w:pPr>
              <w:pStyle w:val="TableParagraph"/>
              <w:contextualSpacing/>
              <w:rPr>
                <w:sz w:val="20"/>
              </w:rPr>
            </w:pPr>
            <w:r>
              <w:rPr>
                <w:b/>
                <w:sz w:val="20"/>
              </w:rPr>
              <w:t>Total t</w:t>
            </w:r>
            <w:r w:rsidR="004C62EA">
              <w:rPr>
                <w:b/>
                <w:sz w:val="20"/>
              </w:rPr>
              <w:t xml:space="preserve">ime burden </w:t>
            </w:r>
          </w:p>
        </w:tc>
        <w:tc>
          <w:tcPr>
            <w:tcW w:w="809" w:type="dxa"/>
            <w:tcBorders>
              <w:top w:val="nil"/>
              <w:bottom w:val="nil"/>
            </w:tcBorders>
          </w:tcPr>
          <w:p w14:paraId="753F6CA8" w14:textId="77777777" w:rsidR="006A79C8" w:rsidRDefault="004C62EA" w:rsidP="002951B0">
            <w:pPr>
              <w:pStyle w:val="TableParagraph"/>
              <w:contextualSpacing/>
              <w:jc w:val="right"/>
              <w:rPr>
                <w:b/>
                <w:sz w:val="20"/>
              </w:rPr>
            </w:pPr>
            <w:r>
              <w:rPr>
                <w:b/>
                <w:sz w:val="20"/>
              </w:rPr>
              <w:t>1 hr</w:t>
            </w:r>
          </w:p>
        </w:tc>
      </w:tr>
      <w:tr w:rsidR="006A79C8" w14:paraId="361535D9" w14:textId="77777777" w:rsidTr="003B6300">
        <w:trPr>
          <w:trHeight w:val="228"/>
          <w:jc w:val="center"/>
        </w:trPr>
        <w:tc>
          <w:tcPr>
            <w:tcW w:w="3780" w:type="dxa"/>
            <w:tcBorders>
              <w:top w:val="nil"/>
              <w:bottom w:val="nil"/>
            </w:tcBorders>
          </w:tcPr>
          <w:p w14:paraId="1466FFCC" w14:textId="77777777" w:rsidR="006A79C8" w:rsidRDefault="004C62EA" w:rsidP="00735EE7">
            <w:pPr>
              <w:pStyle w:val="TableParagraph"/>
              <w:contextualSpacing/>
              <w:rPr>
                <w:sz w:val="20"/>
              </w:rPr>
            </w:pPr>
            <w:r>
              <w:rPr>
                <w:sz w:val="20"/>
              </w:rPr>
              <w:t>Time per response = 12 min</w:t>
            </w:r>
          </w:p>
        </w:tc>
        <w:tc>
          <w:tcPr>
            <w:tcW w:w="809" w:type="dxa"/>
            <w:tcBorders>
              <w:top w:val="nil"/>
              <w:bottom w:val="nil"/>
            </w:tcBorders>
          </w:tcPr>
          <w:p w14:paraId="4E6FE79C" w14:textId="77777777" w:rsidR="006A79C8" w:rsidRDefault="006A79C8" w:rsidP="002951B0">
            <w:pPr>
              <w:pStyle w:val="TableParagraph"/>
              <w:contextualSpacing/>
              <w:jc w:val="right"/>
              <w:rPr>
                <w:sz w:val="16"/>
              </w:rPr>
            </w:pPr>
          </w:p>
        </w:tc>
      </w:tr>
      <w:tr w:rsidR="006A79C8" w14:paraId="47DA9B5D" w14:textId="77777777" w:rsidTr="003B6300">
        <w:trPr>
          <w:trHeight w:val="235"/>
          <w:jc w:val="center"/>
        </w:trPr>
        <w:tc>
          <w:tcPr>
            <w:tcW w:w="3780" w:type="dxa"/>
            <w:tcBorders>
              <w:top w:val="nil"/>
              <w:bottom w:val="nil"/>
            </w:tcBorders>
          </w:tcPr>
          <w:p w14:paraId="66BF8811" w14:textId="77777777" w:rsidR="006A79C8" w:rsidRDefault="004C62EA" w:rsidP="00735EE7">
            <w:pPr>
              <w:pStyle w:val="TableParagraph"/>
              <w:contextualSpacing/>
              <w:rPr>
                <w:sz w:val="20"/>
              </w:rPr>
            </w:pPr>
            <w:r>
              <w:rPr>
                <w:b/>
                <w:sz w:val="20"/>
              </w:rPr>
              <w:t xml:space="preserve">Total personnel cost </w:t>
            </w:r>
            <w:r w:rsidR="002951B0">
              <w:rPr>
                <w:sz w:val="20"/>
              </w:rPr>
              <w:t>($37/hr x 1</w:t>
            </w:r>
            <w:r>
              <w:rPr>
                <w:sz w:val="20"/>
              </w:rPr>
              <w:t>)</w:t>
            </w:r>
          </w:p>
        </w:tc>
        <w:tc>
          <w:tcPr>
            <w:tcW w:w="809" w:type="dxa"/>
            <w:tcBorders>
              <w:top w:val="nil"/>
              <w:bottom w:val="nil"/>
            </w:tcBorders>
          </w:tcPr>
          <w:p w14:paraId="5CD3E3E4" w14:textId="77777777" w:rsidR="006A79C8" w:rsidRDefault="004C62EA" w:rsidP="002951B0">
            <w:pPr>
              <w:pStyle w:val="TableParagraph"/>
              <w:contextualSpacing/>
              <w:jc w:val="right"/>
              <w:rPr>
                <w:b/>
                <w:sz w:val="20"/>
              </w:rPr>
            </w:pPr>
            <w:r>
              <w:rPr>
                <w:b/>
                <w:sz w:val="20"/>
              </w:rPr>
              <w:t>$37</w:t>
            </w:r>
          </w:p>
        </w:tc>
      </w:tr>
      <w:tr w:rsidR="006A79C8" w14:paraId="5318C3B6" w14:textId="77777777" w:rsidTr="003B6300">
        <w:trPr>
          <w:trHeight w:val="227"/>
          <w:jc w:val="center"/>
        </w:trPr>
        <w:tc>
          <w:tcPr>
            <w:tcW w:w="3780" w:type="dxa"/>
            <w:tcBorders>
              <w:top w:val="nil"/>
            </w:tcBorders>
          </w:tcPr>
          <w:p w14:paraId="28870A17" w14:textId="77777777" w:rsidR="006A79C8" w:rsidRDefault="004C62EA" w:rsidP="00735EE7">
            <w:pPr>
              <w:pStyle w:val="TableParagraph"/>
              <w:contextualSpacing/>
              <w:rPr>
                <w:b/>
                <w:sz w:val="20"/>
              </w:rPr>
            </w:pPr>
            <w:r>
              <w:rPr>
                <w:b/>
                <w:sz w:val="20"/>
              </w:rPr>
              <w:t>Total miscellaneous cost</w:t>
            </w:r>
          </w:p>
        </w:tc>
        <w:tc>
          <w:tcPr>
            <w:tcW w:w="809" w:type="dxa"/>
            <w:tcBorders>
              <w:top w:val="nil"/>
            </w:tcBorders>
          </w:tcPr>
          <w:p w14:paraId="5F9ADCE2" w14:textId="77777777" w:rsidR="006A79C8" w:rsidRDefault="004C62EA" w:rsidP="002951B0">
            <w:pPr>
              <w:pStyle w:val="TableParagraph"/>
              <w:contextualSpacing/>
              <w:jc w:val="right"/>
              <w:rPr>
                <w:b/>
                <w:sz w:val="20"/>
              </w:rPr>
            </w:pPr>
            <w:r>
              <w:rPr>
                <w:b/>
                <w:w w:val="99"/>
                <w:sz w:val="20"/>
              </w:rPr>
              <w:t>0</w:t>
            </w:r>
          </w:p>
        </w:tc>
      </w:tr>
    </w:tbl>
    <w:p w14:paraId="7818EF63" w14:textId="77777777" w:rsidR="006A79C8" w:rsidRDefault="006A79C8" w:rsidP="00735EE7">
      <w:pPr>
        <w:pStyle w:val="BodyText"/>
        <w:contextualSpacing/>
        <w:rPr>
          <w:sz w:val="20"/>
        </w:rPr>
      </w:pPr>
    </w:p>
    <w:p w14:paraId="0651F549" w14:textId="77777777" w:rsidR="006A0D8A" w:rsidRPr="00C82994" w:rsidRDefault="006A0D8A" w:rsidP="00DB448A">
      <w:pPr>
        <w:pStyle w:val="Heading1"/>
        <w:tabs>
          <w:tab w:val="left" w:pos="360"/>
        </w:tabs>
        <w:ind w:left="0"/>
        <w:contextualSpacing/>
        <w:rPr>
          <w:u w:val="none"/>
        </w:rPr>
      </w:pPr>
    </w:p>
    <w:p w14:paraId="27AF5D79" w14:textId="76BCBC55" w:rsidR="006A79C8" w:rsidRDefault="000B728F" w:rsidP="00DB448A">
      <w:pPr>
        <w:pStyle w:val="Heading1"/>
        <w:tabs>
          <w:tab w:val="left" w:pos="360"/>
        </w:tabs>
        <w:ind w:left="0"/>
        <w:contextualSpacing/>
        <w:rPr>
          <w:u w:val="none"/>
        </w:rPr>
      </w:pPr>
      <w:r w:rsidRPr="00EB422F">
        <w:rPr>
          <w:u w:val="none"/>
        </w:rPr>
        <w:t>o</w:t>
      </w:r>
      <w:r w:rsidR="00DB448A" w:rsidRPr="00EB422F">
        <w:rPr>
          <w:u w:val="none"/>
        </w:rPr>
        <w:t>.</w:t>
      </w:r>
      <w:r w:rsidR="00DB448A" w:rsidRPr="00EB422F">
        <w:rPr>
          <w:u w:val="none"/>
        </w:rPr>
        <w:tab/>
      </w:r>
      <w:r w:rsidR="004C62EA" w:rsidRPr="00EB422F">
        <w:rPr>
          <w:u w:val="none"/>
        </w:rPr>
        <w:t xml:space="preserve">Dockside </w:t>
      </w:r>
      <w:r w:rsidR="00444518">
        <w:rPr>
          <w:u w:val="none"/>
        </w:rPr>
        <w:t>S</w:t>
      </w:r>
      <w:r w:rsidR="004C62EA" w:rsidRPr="00EB422F">
        <w:rPr>
          <w:u w:val="none"/>
        </w:rPr>
        <w:t>ales</w:t>
      </w:r>
      <w:r w:rsidR="004C62EA" w:rsidRPr="00EB422F">
        <w:rPr>
          <w:spacing w:val="-2"/>
          <w:u w:val="none"/>
        </w:rPr>
        <w:t xml:space="preserve"> </w:t>
      </w:r>
      <w:r w:rsidR="00444518">
        <w:rPr>
          <w:u w:val="none"/>
        </w:rPr>
        <w:t>R</w:t>
      </w:r>
      <w:r w:rsidR="004C62EA" w:rsidRPr="00EB422F">
        <w:rPr>
          <w:u w:val="none"/>
        </w:rPr>
        <w:t>eceipt</w:t>
      </w:r>
      <w:r w:rsidR="006A0D8A">
        <w:rPr>
          <w:u w:val="none"/>
        </w:rPr>
        <w:t xml:space="preserve"> [adjusted]</w:t>
      </w:r>
    </w:p>
    <w:p w14:paraId="0DA1B12B" w14:textId="77777777" w:rsidR="006A79C8" w:rsidRDefault="006A79C8" w:rsidP="00735EE7">
      <w:pPr>
        <w:pStyle w:val="BodyText"/>
        <w:contextualSpacing/>
        <w:rPr>
          <w:b/>
          <w:sz w:val="23"/>
        </w:rPr>
      </w:pPr>
    </w:p>
    <w:p w14:paraId="0F1679AB" w14:textId="77777777" w:rsidR="006A79C8" w:rsidRDefault="004C62EA" w:rsidP="00735EE7">
      <w:pPr>
        <w:pStyle w:val="BodyText"/>
        <w:contextualSpacing/>
      </w:pPr>
      <w:r>
        <w:t>The purpose of reporting the amount of IFQ fish involved in a dockside sale is to provide OLE with the ability to monitor and inspect the shipment of IFQ fish to determine whether there was proper accounting for all IFQ fish landed.</w:t>
      </w:r>
    </w:p>
    <w:p w14:paraId="6C464DB1" w14:textId="77777777" w:rsidR="006A79C8" w:rsidRDefault="006A79C8" w:rsidP="00735EE7">
      <w:pPr>
        <w:pStyle w:val="BodyText"/>
        <w:contextualSpacing/>
      </w:pPr>
    </w:p>
    <w:p w14:paraId="601F5E75" w14:textId="04FA52DE" w:rsidR="006A79C8" w:rsidRDefault="004C62EA" w:rsidP="00735EE7">
      <w:pPr>
        <w:pStyle w:val="BodyText"/>
        <w:contextualSpacing/>
      </w:pPr>
      <w:r>
        <w:t xml:space="preserve">A person holding a valid IFQ permit or IFQ hired master permit, and a </w:t>
      </w:r>
      <w:r w:rsidR="00920F8B">
        <w:t>registered buyer</w:t>
      </w:r>
      <w:r>
        <w:t xml:space="preserve"> permit may conduct a dockside sale of IFQ halibut or IFQ sablefish with a person who has not been issued a </w:t>
      </w:r>
      <w:r w:rsidR="00920F8B">
        <w:t>registered buyer</w:t>
      </w:r>
      <w:r>
        <w:t xml:space="preserve"> permit after all IFQ halibut and IFQ sablefish have been landed and reported.</w:t>
      </w:r>
    </w:p>
    <w:p w14:paraId="2E77A2B8" w14:textId="77777777" w:rsidR="006A79C8" w:rsidRDefault="006A79C8" w:rsidP="00735EE7">
      <w:pPr>
        <w:pStyle w:val="BodyText"/>
        <w:contextualSpacing/>
      </w:pPr>
    </w:p>
    <w:p w14:paraId="3EAA3C1E" w14:textId="655A51D9" w:rsidR="006A79C8" w:rsidRDefault="004C62EA" w:rsidP="00735EE7">
      <w:pPr>
        <w:pStyle w:val="BodyText"/>
        <w:contextualSpacing/>
      </w:pPr>
      <w:r>
        <w:t xml:space="preserve">A person holding a valid halibut CDQ hired master permit and </w:t>
      </w:r>
      <w:r w:rsidR="00920F8B">
        <w:t>registered buyer</w:t>
      </w:r>
      <w:r>
        <w:t xml:space="preserve"> permit may conduct a dockside sale of CDQ halibut with a person who has not been issued a </w:t>
      </w:r>
      <w:r w:rsidR="00920F8B">
        <w:t>registered buyer</w:t>
      </w:r>
      <w:r>
        <w:t xml:space="preserve"> permit after all CDQ halibut have been landed and reported.</w:t>
      </w:r>
    </w:p>
    <w:p w14:paraId="23D12B7C" w14:textId="77777777" w:rsidR="006A79C8" w:rsidRDefault="006A79C8" w:rsidP="00735EE7">
      <w:pPr>
        <w:pStyle w:val="BodyText"/>
        <w:contextualSpacing/>
      </w:pPr>
    </w:p>
    <w:p w14:paraId="2A7DECB2" w14:textId="4B026345" w:rsidR="00D72607" w:rsidRDefault="004C62EA" w:rsidP="00735EE7">
      <w:pPr>
        <w:pStyle w:val="BodyText"/>
        <w:contextualSpacing/>
      </w:pPr>
      <w:r>
        <w:t xml:space="preserve">A </w:t>
      </w:r>
      <w:r w:rsidR="00920F8B">
        <w:t>registered buyer</w:t>
      </w:r>
      <w:r>
        <w:t xml:space="preserve"> conducting dockside sales must issue a receipt to each individual receiving IFQ halibut, CDQ halibut, or IFQ sablefish in lieu of a pr</w:t>
      </w:r>
      <w:r w:rsidR="008B16A0">
        <w:t>oduct transfer report (see OMB c</w:t>
      </w:r>
      <w:r>
        <w:t xml:space="preserve">ontrol </w:t>
      </w:r>
      <w:r w:rsidR="008B16A0">
        <w:t>number</w:t>
      </w:r>
      <w:r w:rsidRPr="00444518">
        <w:t xml:space="preserve"> 0648-0213).</w:t>
      </w:r>
      <w:r w:rsidR="00857F62" w:rsidRPr="00444518">
        <w:t xml:space="preserve"> </w:t>
      </w:r>
      <w:r w:rsidR="00640FDD" w:rsidRPr="00444518">
        <w:t>No form exists for this item.</w:t>
      </w:r>
    </w:p>
    <w:p w14:paraId="3BEE286E" w14:textId="77777777" w:rsidR="006A79C8" w:rsidRDefault="006A79C8" w:rsidP="00735EE7">
      <w:pPr>
        <w:pStyle w:val="BodyText"/>
        <w:contextualSpacing/>
      </w:pPr>
    </w:p>
    <w:p w14:paraId="3A91CD8B" w14:textId="7B64FB35" w:rsidR="002E6440" w:rsidRDefault="002E6440" w:rsidP="00735EE7">
      <w:pPr>
        <w:pStyle w:val="BodyText"/>
        <w:contextualSpacing/>
      </w:pPr>
      <w:r>
        <w:t>The dockside sales receipt must include the following</w:t>
      </w:r>
      <w:r w:rsidR="00D72607">
        <w:t xml:space="preserve"> information</w:t>
      </w:r>
      <w:r w:rsidR="0013005F">
        <w:t>.</w:t>
      </w:r>
    </w:p>
    <w:p w14:paraId="06870F36" w14:textId="77777777" w:rsidR="002E6440" w:rsidRDefault="002E6440" w:rsidP="00735EE7">
      <w:pPr>
        <w:pStyle w:val="BodyText"/>
        <w:contextualSpacing/>
      </w:pPr>
    </w:p>
    <w:p w14:paraId="1095BC9B" w14:textId="77777777" w:rsidR="006A79C8" w:rsidRDefault="004C62EA" w:rsidP="00735EE7">
      <w:pPr>
        <w:contextualSpacing/>
        <w:rPr>
          <w:sz w:val="20"/>
        </w:rPr>
      </w:pPr>
      <w:r>
        <w:rPr>
          <w:sz w:val="20"/>
        </w:rPr>
        <w:t>Date of sale</w:t>
      </w:r>
    </w:p>
    <w:p w14:paraId="5B714EFD" w14:textId="77777777" w:rsidR="006A79C8" w:rsidRDefault="004C62EA" w:rsidP="00735EE7">
      <w:pPr>
        <w:contextualSpacing/>
        <w:rPr>
          <w:sz w:val="20"/>
        </w:rPr>
      </w:pPr>
      <w:r>
        <w:rPr>
          <w:sz w:val="20"/>
        </w:rPr>
        <w:t>Registered buyer permit number</w:t>
      </w:r>
    </w:p>
    <w:p w14:paraId="24F02118" w14:textId="77777777" w:rsidR="006A79C8" w:rsidRDefault="004C62EA" w:rsidP="00735EE7">
      <w:pPr>
        <w:contextualSpacing/>
        <w:rPr>
          <w:sz w:val="20"/>
        </w:rPr>
      </w:pPr>
      <w:r>
        <w:rPr>
          <w:sz w:val="20"/>
        </w:rPr>
        <w:t>Weight by product of the IFQ halibut, CDQ halibut, or sablefish IFQ transferred</w:t>
      </w:r>
    </w:p>
    <w:p w14:paraId="2B325FC0" w14:textId="77777777" w:rsidR="006A79C8" w:rsidRDefault="006A79C8" w:rsidP="00735EE7">
      <w:pPr>
        <w:pStyle w:val="BodyText"/>
        <w:contextualSpacing/>
        <w:rPr>
          <w:sz w:val="19"/>
        </w:rPr>
      </w:pPr>
    </w:p>
    <w:p w14:paraId="46900DE9" w14:textId="77777777" w:rsidR="006A79C8" w:rsidRDefault="006A79C8" w:rsidP="00735EE7">
      <w:pPr>
        <w:pStyle w:val="BodyText"/>
        <w:contextualSpacing/>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823"/>
      </w:tblGrid>
      <w:tr w:rsidR="006A79C8" w14:paraId="0448069D" w14:textId="77777777" w:rsidTr="003B6300">
        <w:trPr>
          <w:trHeight w:val="230"/>
          <w:jc w:val="center"/>
        </w:trPr>
        <w:tc>
          <w:tcPr>
            <w:tcW w:w="4783" w:type="dxa"/>
            <w:gridSpan w:val="2"/>
          </w:tcPr>
          <w:p w14:paraId="1F727039" w14:textId="77777777" w:rsidR="006A79C8" w:rsidRDefault="004C62EA" w:rsidP="005E1E9C">
            <w:pPr>
              <w:pStyle w:val="TableParagraph"/>
              <w:keepNext/>
              <w:contextualSpacing/>
              <w:rPr>
                <w:b/>
                <w:sz w:val="20"/>
              </w:rPr>
            </w:pPr>
            <w:r>
              <w:rPr>
                <w:b/>
                <w:sz w:val="20"/>
              </w:rPr>
              <w:t>Dockside Sales Receipt, Respondent</w:t>
            </w:r>
          </w:p>
        </w:tc>
      </w:tr>
      <w:tr w:rsidR="006A79C8" w14:paraId="5594BC9E" w14:textId="77777777" w:rsidTr="003B6300">
        <w:trPr>
          <w:trHeight w:val="232"/>
          <w:jc w:val="center"/>
        </w:trPr>
        <w:tc>
          <w:tcPr>
            <w:tcW w:w="3960" w:type="dxa"/>
            <w:tcBorders>
              <w:bottom w:val="nil"/>
            </w:tcBorders>
          </w:tcPr>
          <w:p w14:paraId="5A326896" w14:textId="77777777" w:rsidR="006A79C8" w:rsidRDefault="004C62EA" w:rsidP="005E1E9C">
            <w:pPr>
              <w:pStyle w:val="TableParagraph"/>
              <w:keepNext/>
              <w:contextualSpacing/>
              <w:rPr>
                <w:b/>
                <w:sz w:val="20"/>
              </w:rPr>
            </w:pPr>
            <w:r>
              <w:rPr>
                <w:b/>
                <w:sz w:val="20"/>
              </w:rPr>
              <w:t>Estimated number of respondents</w:t>
            </w:r>
          </w:p>
        </w:tc>
        <w:tc>
          <w:tcPr>
            <w:tcW w:w="823" w:type="dxa"/>
            <w:tcBorders>
              <w:bottom w:val="nil"/>
            </w:tcBorders>
          </w:tcPr>
          <w:p w14:paraId="5AE31B22" w14:textId="1601FA96" w:rsidR="006A79C8" w:rsidRDefault="008F22C1" w:rsidP="005E1E9C">
            <w:pPr>
              <w:pStyle w:val="TableParagraph"/>
              <w:keepNext/>
              <w:contextualSpacing/>
              <w:jc w:val="right"/>
              <w:rPr>
                <w:b/>
                <w:sz w:val="20"/>
              </w:rPr>
            </w:pPr>
            <w:r>
              <w:rPr>
                <w:b/>
                <w:sz w:val="20"/>
              </w:rPr>
              <w:t>235</w:t>
            </w:r>
          </w:p>
        </w:tc>
      </w:tr>
      <w:tr w:rsidR="006A79C8" w14:paraId="77372D2F" w14:textId="77777777" w:rsidTr="003B6300">
        <w:trPr>
          <w:trHeight w:val="228"/>
          <w:jc w:val="center"/>
        </w:trPr>
        <w:tc>
          <w:tcPr>
            <w:tcW w:w="3960" w:type="dxa"/>
            <w:tcBorders>
              <w:top w:val="nil"/>
              <w:bottom w:val="nil"/>
            </w:tcBorders>
          </w:tcPr>
          <w:p w14:paraId="4614EE5D" w14:textId="77777777" w:rsidR="006A79C8" w:rsidRDefault="004C62EA" w:rsidP="005E1E9C">
            <w:pPr>
              <w:pStyle w:val="TableParagraph"/>
              <w:keepNext/>
              <w:contextualSpacing/>
              <w:rPr>
                <w:b/>
                <w:sz w:val="20"/>
              </w:rPr>
            </w:pPr>
            <w:r>
              <w:rPr>
                <w:b/>
                <w:sz w:val="20"/>
              </w:rPr>
              <w:t>Total annual responses</w:t>
            </w:r>
          </w:p>
        </w:tc>
        <w:tc>
          <w:tcPr>
            <w:tcW w:w="823" w:type="dxa"/>
            <w:tcBorders>
              <w:top w:val="nil"/>
              <w:bottom w:val="nil"/>
            </w:tcBorders>
          </w:tcPr>
          <w:p w14:paraId="2C092E04" w14:textId="6052FE00" w:rsidR="006A79C8" w:rsidRDefault="008F22C1" w:rsidP="005E1E9C">
            <w:pPr>
              <w:pStyle w:val="TableParagraph"/>
              <w:keepNext/>
              <w:contextualSpacing/>
              <w:jc w:val="right"/>
              <w:rPr>
                <w:b/>
                <w:sz w:val="20"/>
              </w:rPr>
            </w:pPr>
            <w:r>
              <w:rPr>
                <w:b/>
                <w:sz w:val="20"/>
              </w:rPr>
              <w:t>1,175</w:t>
            </w:r>
          </w:p>
        </w:tc>
      </w:tr>
      <w:tr w:rsidR="006A79C8" w14:paraId="7ADAAC59" w14:textId="77777777" w:rsidTr="003B6300">
        <w:trPr>
          <w:trHeight w:val="229"/>
          <w:jc w:val="center"/>
        </w:trPr>
        <w:tc>
          <w:tcPr>
            <w:tcW w:w="3960" w:type="dxa"/>
            <w:tcBorders>
              <w:top w:val="nil"/>
              <w:bottom w:val="nil"/>
            </w:tcBorders>
          </w:tcPr>
          <w:p w14:paraId="1ACD6D32" w14:textId="77777777" w:rsidR="006A79C8" w:rsidRDefault="008F22C1" w:rsidP="005E1E9C">
            <w:pPr>
              <w:pStyle w:val="TableParagraph"/>
              <w:keepNext/>
              <w:contextualSpacing/>
              <w:rPr>
                <w:sz w:val="20"/>
              </w:rPr>
            </w:pPr>
            <w:r>
              <w:rPr>
                <w:sz w:val="20"/>
              </w:rPr>
              <w:t>N</w:t>
            </w:r>
            <w:r w:rsidR="004C62EA">
              <w:rPr>
                <w:sz w:val="20"/>
              </w:rPr>
              <w:t>umber of responses per year = 5</w:t>
            </w:r>
          </w:p>
        </w:tc>
        <w:tc>
          <w:tcPr>
            <w:tcW w:w="823" w:type="dxa"/>
            <w:tcBorders>
              <w:top w:val="nil"/>
              <w:bottom w:val="nil"/>
            </w:tcBorders>
          </w:tcPr>
          <w:p w14:paraId="55E2DA39" w14:textId="77777777" w:rsidR="006A79C8" w:rsidRDefault="006A79C8" w:rsidP="005E1E9C">
            <w:pPr>
              <w:pStyle w:val="TableParagraph"/>
              <w:keepNext/>
              <w:contextualSpacing/>
              <w:jc w:val="right"/>
              <w:rPr>
                <w:sz w:val="16"/>
              </w:rPr>
            </w:pPr>
          </w:p>
        </w:tc>
      </w:tr>
      <w:tr w:rsidR="006A79C8" w14:paraId="67359735" w14:textId="77777777" w:rsidTr="003B6300">
        <w:trPr>
          <w:trHeight w:val="229"/>
          <w:jc w:val="center"/>
        </w:trPr>
        <w:tc>
          <w:tcPr>
            <w:tcW w:w="3960" w:type="dxa"/>
            <w:tcBorders>
              <w:top w:val="nil"/>
              <w:bottom w:val="nil"/>
            </w:tcBorders>
          </w:tcPr>
          <w:p w14:paraId="3212C4E6" w14:textId="77777777" w:rsidR="006A79C8" w:rsidRDefault="004C62EA" w:rsidP="005E1E9C">
            <w:pPr>
              <w:pStyle w:val="TableParagraph"/>
              <w:keepNext/>
              <w:contextualSpacing/>
              <w:rPr>
                <w:b/>
                <w:sz w:val="20"/>
              </w:rPr>
            </w:pPr>
            <w:r>
              <w:rPr>
                <w:b/>
                <w:sz w:val="20"/>
              </w:rPr>
              <w:t>Total Time burden</w:t>
            </w:r>
            <w:r w:rsidR="00551BD9" w:rsidRPr="00551BD9">
              <w:rPr>
                <w:sz w:val="20"/>
              </w:rPr>
              <w:t xml:space="preserve"> (117.50)</w:t>
            </w:r>
          </w:p>
        </w:tc>
        <w:tc>
          <w:tcPr>
            <w:tcW w:w="823" w:type="dxa"/>
            <w:tcBorders>
              <w:top w:val="nil"/>
              <w:bottom w:val="nil"/>
            </w:tcBorders>
          </w:tcPr>
          <w:p w14:paraId="15187B0E" w14:textId="6AE72408" w:rsidR="006A79C8" w:rsidRDefault="00551BD9" w:rsidP="005E1E9C">
            <w:pPr>
              <w:pStyle w:val="TableParagraph"/>
              <w:keepNext/>
              <w:contextualSpacing/>
              <w:jc w:val="right"/>
              <w:rPr>
                <w:b/>
                <w:sz w:val="20"/>
              </w:rPr>
            </w:pPr>
            <w:r>
              <w:rPr>
                <w:b/>
                <w:sz w:val="20"/>
              </w:rPr>
              <w:t xml:space="preserve">118 </w:t>
            </w:r>
            <w:r w:rsidR="004C62EA">
              <w:rPr>
                <w:b/>
                <w:sz w:val="20"/>
              </w:rPr>
              <w:t>hr</w:t>
            </w:r>
          </w:p>
        </w:tc>
      </w:tr>
      <w:tr w:rsidR="006A79C8" w14:paraId="7B70C03B" w14:textId="77777777" w:rsidTr="003B6300">
        <w:trPr>
          <w:trHeight w:val="228"/>
          <w:jc w:val="center"/>
        </w:trPr>
        <w:tc>
          <w:tcPr>
            <w:tcW w:w="3960" w:type="dxa"/>
            <w:tcBorders>
              <w:top w:val="nil"/>
              <w:bottom w:val="nil"/>
            </w:tcBorders>
          </w:tcPr>
          <w:p w14:paraId="0DF6C544" w14:textId="77777777" w:rsidR="006A79C8" w:rsidRDefault="004C62EA" w:rsidP="005E1E9C">
            <w:pPr>
              <w:pStyle w:val="TableParagraph"/>
              <w:keepNext/>
              <w:contextualSpacing/>
              <w:rPr>
                <w:sz w:val="20"/>
              </w:rPr>
            </w:pPr>
            <w:r>
              <w:rPr>
                <w:sz w:val="20"/>
              </w:rPr>
              <w:t>Time per response = 6 min</w:t>
            </w:r>
          </w:p>
        </w:tc>
        <w:tc>
          <w:tcPr>
            <w:tcW w:w="823" w:type="dxa"/>
            <w:tcBorders>
              <w:top w:val="nil"/>
              <w:bottom w:val="nil"/>
            </w:tcBorders>
          </w:tcPr>
          <w:p w14:paraId="4EFA8297" w14:textId="77777777" w:rsidR="006A79C8" w:rsidRDefault="006A79C8" w:rsidP="005E1E9C">
            <w:pPr>
              <w:pStyle w:val="TableParagraph"/>
              <w:keepNext/>
              <w:contextualSpacing/>
              <w:jc w:val="right"/>
              <w:rPr>
                <w:sz w:val="16"/>
              </w:rPr>
            </w:pPr>
          </w:p>
        </w:tc>
      </w:tr>
      <w:tr w:rsidR="006A79C8" w14:paraId="0F2A124E" w14:textId="77777777" w:rsidTr="003B6300">
        <w:trPr>
          <w:trHeight w:val="235"/>
          <w:jc w:val="center"/>
        </w:trPr>
        <w:tc>
          <w:tcPr>
            <w:tcW w:w="3960" w:type="dxa"/>
            <w:tcBorders>
              <w:top w:val="nil"/>
              <w:bottom w:val="nil"/>
            </w:tcBorders>
          </w:tcPr>
          <w:p w14:paraId="2F8B8E6C" w14:textId="405E4589" w:rsidR="006A79C8" w:rsidRDefault="004C62EA" w:rsidP="005E1E9C">
            <w:pPr>
              <w:pStyle w:val="TableParagraph"/>
              <w:keepNext/>
              <w:contextualSpacing/>
              <w:rPr>
                <w:sz w:val="20"/>
              </w:rPr>
            </w:pPr>
            <w:r>
              <w:rPr>
                <w:b/>
                <w:sz w:val="20"/>
              </w:rPr>
              <w:t xml:space="preserve">Total personnel cost </w:t>
            </w:r>
            <w:r>
              <w:rPr>
                <w:sz w:val="20"/>
              </w:rPr>
              <w:t xml:space="preserve">($37/hr x </w:t>
            </w:r>
            <w:r w:rsidR="006442C8">
              <w:rPr>
                <w:sz w:val="20"/>
              </w:rPr>
              <w:t>118</w:t>
            </w:r>
            <w:r>
              <w:rPr>
                <w:sz w:val="20"/>
              </w:rPr>
              <w:t>)</w:t>
            </w:r>
          </w:p>
        </w:tc>
        <w:tc>
          <w:tcPr>
            <w:tcW w:w="823" w:type="dxa"/>
            <w:tcBorders>
              <w:top w:val="nil"/>
              <w:bottom w:val="nil"/>
            </w:tcBorders>
          </w:tcPr>
          <w:p w14:paraId="17E389CC" w14:textId="7B9E71B5" w:rsidR="006A79C8" w:rsidRPr="006442C8" w:rsidRDefault="004C62EA" w:rsidP="005E1E9C">
            <w:pPr>
              <w:pStyle w:val="TableParagraph"/>
              <w:keepNext/>
              <w:contextualSpacing/>
              <w:jc w:val="right"/>
              <w:rPr>
                <w:b/>
                <w:sz w:val="20"/>
              </w:rPr>
            </w:pPr>
            <w:r w:rsidRPr="006442C8">
              <w:rPr>
                <w:b/>
                <w:sz w:val="20"/>
              </w:rPr>
              <w:t>$</w:t>
            </w:r>
            <w:r w:rsidR="006442C8" w:rsidRPr="006442C8">
              <w:rPr>
                <w:b/>
                <w:sz w:val="20"/>
              </w:rPr>
              <w:t>4,366</w:t>
            </w:r>
          </w:p>
        </w:tc>
      </w:tr>
      <w:tr w:rsidR="006A79C8" w14:paraId="0F9AE56B" w14:textId="77777777" w:rsidTr="003B6300">
        <w:trPr>
          <w:trHeight w:val="227"/>
          <w:jc w:val="center"/>
        </w:trPr>
        <w:tc>
          <w:tcPr>
            <w:tcW w:w="3960" w:type="dxa"/>
            <w:tcBorders>
              <w:top w:val="nil"/>
            </w:tcBorders>
          </w:tcPr>
          <w:p w14:paraId="5C0D00D8" w14:textId="77777777" w:rsidR="006A79C8" w:rsidRDefault="004C62EA" w:rsidP="005E1E9C">
            <w:pPr>
              <w:pStyle w:val="TableParagraph"/>
              <w:keepNext/>
              <w:contextualSpacing/>
              <w:rPr>
                <w:b/>
                <w:sz w:val="20"/>
              </w:rPr>
            </w:pPr>
            <w:r>
              <w:rPr>
                <w:b/>
                <w:sz w:val="20"/>
              </w:rPr>
              <w:t>Total miscellaneous cost</w:t>
            </w:r>
          </w:p>
        </w:tc>
        <w:tc>
          <w:tcPr>
            <w:tcW w:w="823" w:type="dxa"/>
            <w:tcBorders>
              <w:top w:val="nil"/>
            </w:tcBorders>
          </w:tcPr>
          <w:p w14:paraId="79E63562" w14:textId="77777777" w:rsidR="006A79C8" w:rsidRDefault="004C62EA" w:rsidP="005E1E9C">
            <w:pPr>
              <w:pStyle w:val="TableParagraph"/>
              <w:keepNext/>
              <w:contextualSpacing/>
              <w:jc w:val="right"/>
              <w:rPr>
                <w:b/>
                <w:sz w:val="20"/>
              </w:rPr>
            </w:pPr>
            <w:r>
              <w:rPr>
                <w:b/>
                <w:w w:val="99"/>
                <w:sz w:val="20"/>
              </w:rPr>
              <w:t>0</w:t>
            </w:r>
          </w:p>
        </w:tc>
      </w:tr>
    </w:tbl>
    <w:p w14:paraId="445FF43E" w14:textId="77777777" w:rsidR="006A79C8" w:rsidRDefault="006A79C8" w:rsidP="00735EE7">
      <w:pPr>
        <w:pStyle w:val="BodyText"/>
        <w:contextualSpacing/>
        <w:rPr>
          <w:sz w:val="20"/>
        </w:rPr>
      </w:pPr>
    </w:p>
    <w:p w14:paraId="39558366" w14:textId="77777777" w:rsidR="00DB448A" w:rsidRPr="00CD4898" w:rsidRDefault="00DB448A" w:rsidP="00735EE7">
      <w:pPr>
        <w:pStyle w:val="BodyText"/>
        <w:contextualSpacing/>
      </w:pPr>
    </w:p>
    <w:p w14:paraId="209EC330" w14:textId="77777777" w:rsidR="00DE2113" w:rsidRPr="00CD4898" w:rsidRDefault="00DE2113" w:rsidP="00735EE7">
      <w:pPr>
        <w:pStyle w:val="BodyText"/>
        <w:contextualSpacing/>
      </w:pPr>
      <w:r w:rsidRPr="00BE47E7">
        <w:rPr>
          <w:u w:val="thick"/>
        </w:rPr>
        <w:t>If the information collected will be disseminated to the public or used to support information that will be disseminated to the public, then explain how the collection complies with all applicable Information Quality</w:t>
      </w:r>
      <w:r w:rsidRPr="00BE47E7">
        <w:rPr>
          <w:spacing w:val="-4"/>
          <w:u w:val="thick"/>
        </w:rPr>
        <w:t xml:space="preserve"> </w:t>
      </w:r>
      <w:r w:rsidRPr="00BE47E7">
        <w:rPr>
          <w:u w:val="thick"/>
        </w:rPr>
        <w:t>Guidelines</w:t>
      </w:r>
      <w:r w:rsidRPr="00BE47E7">
        <w:t>.</w:t>
      </w:r>
    </w:p>
    <w:p w14:paraId="05B2C7D5" w14:textId="77777777" w:rsidR="00DB448A" w:rsidRPr="00CD4898" w:rsidRDefault="00DB448A" w:rsidP="00735EE7">
      <w:pPr>
        <w:pStyle w:val="BodyText"/>
        <w:contextualSpacing/>
      </w:pPr>
    </w:p>
    <w:p w14:paraId="769D37EF" w14:textId="088C35AC" w:rsidR="00B8700E" w:rsidRPr="00B8700E" w:rsidRDefault="00B8700E" w:rsidP="00B8700E">
      <w:pPr>
        <w:widowControl/>
        <w:autoSpaceDE/>
        <w:autoSpaceDN/>
        <w:rPr>
          <w:color w:val="000000" w:themeColor="text1"/>
          <w:sz w:val="24"/>
          <w:szCs w:val="24"/>
        </w:rPr>
      </w:pPr>
      <w:r w:rsidRPr="00B8700E">
        <w:rPr>
          <w:color w:val="000000" w:themeColor="text1"/>
          <w:sz w:val="24"/>
          <w:szCs w:val="24"/>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00151DFB" w:rsidRPr="00E82AD3">
          <w:rPr>
            <w:color w:val="0000FF"/>
            <w:sz w:val="24"/>
            <w:szCs w:val="24"/>
            <w:u w:val="single"/>
          </w:rPr>
          <w:t>Section 515 of Public Law 106-554</w:t>
        </w:r>
      </w:hyperlink>
      <w:r w:rsidRPr="00B8700E">
        <w:rPr>
          <w:color w:val="000000" w:themeColor="text1"/>
          <w:sz w:val="24"/>
          <w:szCs w:val="24"/>
        </w:rPr>
        <w:t xml:space="preserve"> </w:t>
      </w:r>
      <w:r w:rsidRPr="00B8700E">
        <w:rPr>
          <w:rFonts w:eastAsia="Calibri"/>
          <w:color w:val="000000" w:themeColor="text1"/>
          <w:sz w:val="24"/>
          <w:szCs w:val="24"/>
        </w:rPr>
        <w:t>(the Information Quality Act)</w:t>
      </w:r>
      <w:r w:rsidRPr="00B8700E">
        <w:rPr>
          <w:color w:val="000000" w:themeColor="text1"/>
          <w:sz w:val="24"/>
          <w:szCs w:val="24"/>
        </w:rPr>
        <w:t xml:space="preserve">, which requires </w:t>
      </w:r>
      <w:r w:rsidRPr="00B8700E">
        <w:rPr>
          <w:rFonts w:eastAsia="Calibri"/>
          <w:color w:val="000000" w:themeColor="text1"/>
          <w:sz w:val="24"/>
          <w:szCs w:val="24"/>
        </w:rPr>
        <w:t>NMFS to ensure the quality, objectivity, utility, and integrity of information it publicly disseminates. Public dissemination of data collected by this information collection is governed by NOAA's information quality guidelines, which were issued on October 30, 2014.</w:t>
      </w:r>
      <w:r w:rsidRPr="00B8700E">
        <w:rPr>
          <w:rFonts w:eastAsia="Calibri"/>
          <w:color w:val="000000" w:themeColor="text1"/>
          <w:sz w:val="24"/>
          <w:szCs w:val="24"/>
          <w:vertAlign w:val="superscript"/>
        </w:rPr>
        <w:footnoteReference w:id="2"/>
      </w:r>
      <w:r w:rsidRPr="00B8700E">
        <w:rPr>
          <w:color w:val="000000" w:themeColor="text1"/>
          <w:sz w:val="24"/>
          <w:szCs w:val="24"/>
        </w:rPr>
        <w:t xml:space="preserve"> </w:t>
      </w:r>
    </w:p>
    <w:p w14:paraId="0877B76D" w14:textId="77777777" w:rsidR="00B8700E" w:rsidRPr="00B8700E" w:rsidRDefault="00B8700E" w:rsidP="00B8700E">
      <w:pPr>
        <w:autoSpaceDE/>
        <w:autoSpaceDN/>
        <w:rPr>
          <w:color w:val="000000" w:themeColor="text1"/>
          <w:sz w:val="24"/>
          <w:szCs w:val="24"/>
        </w:rPr>
      </w:pPr>
    </w:p>
    <w:p w14:paraId="0AB487FB" w14:textId="10D54C47" w:rsidR="00B8700E" w:rsidRPr="00B8700E" w:rsidRDefault="00B8700E" w:rsidP="00151DFB">
      <w:pPr>
        <w:autoSpaceDE/>
        <w:autoSpaceDN/>
        <w:rPr>
          <w:color w:val="000000" w:themeColor="text1"/>
          <w:sz w:val="24"/>
          <w:szCs w:val="24"/>
        </w:rPr>
      </w:pPr>
      <w:r w:rsidRPr="00B8700E">
        <w:rPr>
          <w:color w:val="000000" w:themeColor="text1"/>
          <w:sz w:val="24"/>
          <w:szCs w:val="18"/>
        </w:rPr>
        <w:t xml:space="preserve">It is anticipated that the information collected will be disseminated to the public or used to support publicly disseminated information. </w:t>
      </w:r>
      <w:r w:rsidRPr="00B8700E">
        <w:rPr>
          <w:color w:val="000000" w:themeColor="text1"/>
          <w:sz w:val="24"/>
          <w:szCs w:val="24"/>
        </w:rPr>
        <w:t xml:space="preserve">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14:paraId="07379E38" w14:textId="77777777" w:rsidR="008B6DE6" w:rsidRPr="00CD4898" w:rsidRDefault="008B6DE6" w:rsidP="00735EE7">
      <w:pPr>
        <w:pStyle w:val="BodyText"/>
        <w:contextualSpacing/>
      </w:pPr>
    </w:p>
    <w:p w14:paraId="7BBD8768" w14:textId="6C248888" w:rsidR="006A79C8" w:rsidRPr="00920AA2" w:rsidRDefault="00A13E8D" w:rsidP="00A13E8D">
      <w:pPr>
        <w:pStyle w:val="Heading1"/>
        <w:tabs>
          <w:tab w:val="left" w:pos="360"/>
        </w:tabs>
        <w:ind w:left="0"/>
        <w:contextualSpacing/>
        <w:rPr>
          <w:u w:val="none"/>
        </w:rPr>
      </w:pPr>
      <w:r w:rsidRPr="00920AA2">
        <w:rPr>
          <w:u w:val="none"/>
        </w:rPr>
        <w:t xml:space="preserve">3. </w:t>
      </w:r>
      <w:r w:rsidR="004C62EA" w:rsidRPr="00920AA2">
        <w:rPr>
          <w:u w:val="thick"/>
        </w:rPr>
        <w:t>Describe whether, and to what extent, the collection of information involves the use</w:t>
      </w:r>
      <w:r w:rsidR="004C62EA" w:rsidRPr="00920AA2">
        <w:rPr>
          <w:spacing w:val="-28"/>
          <w:u w:val="thick"/>
        </w:rPr>
        <w:t xml:space="preserve"> </w:t>
      </w:r>
      <w:r w:rsidR="004C62EA" w:rsidRPr="00920AA2">
        <w:rPr>
          <w:u w:val="thick"/>
        </w:rPr>
        <w:t>of automated, electronic, mechanical, or other technological techniques or other forms of information</w:t>
      </w:r>
      <w:r w:rsidR="004C62EA" w:rsidRPr="00920AA2">
        <w:rPr>
          <w:spacing w:val="-1"/>
          <w:u w:val="thick"/>
        </w:rPr>
        <w:t xml:space="preserve"> </w:t>
      </w:r>
      <w:r w:rsidR="004C62EA" w:rsidRPr="00920AA2">
        <w:rPr>
          <w:u w:val="thick"/>
        </w:rPr>
        <w:t>technology</w:t>
      </w:r>
      <w:r w:rsidR="004C62EA" w:rsidRPr="00920AA2">
        <w:rPr>
          <w:u w:val="none"/>
        </w:rPr>
        <w:t>.</w:t>
      </w:r>
    </w:p>
    <w:p w14:paraId="3100A269" w14:textId="77777777" w:rsidR="006A79C8" w:rsidRPr="00CD4898" w:rsidRDefault="006A79C8" w:rsidP="00735EE7">
      <w:pPr>
        <w:pStyle w:val="BodyText"/>
        <w:contextualSpacing/>
        <w:rPr>
          <w:b/>
        </w:rPr>
      </w:pPr>
    </w:p>
    <w:p w14:paraId="57FBC188" w14:textId="77777777" w:rsidR="00DF6640" w:rsidRDefault="00DF6640" w:rsidP="00DF6640">
      <w:pPr>
        <w:pStyle w:val="BodyText"/>
        <w:contextualSpacing/>
      </w:pPr>
      <w:r>
        <w:t xml:space="preserve">Registered buyers may renew or amend their registered buyer permit online using eFISH at </w:t>
      </w:r>
      <w:hyperlink r:id="rId16" w:history="1">
        <w:r w:rsidRPr="002360C4">
          <w:rPr>
            <w:rStyle w:val="Hyperlink"/>
          </w:rPr>
          <w:t>https://alaskafisheries.noaa.gov/webapps/efish/login</w:t>
        </w:r>
      </w:hyperlink>
      <w:r>
        <w:t xml:space="preserve">. Registered buyers submit their Registered Buyer Landing Reports online using eLandings at </w:t>
      </w:r>
      <w:hyperlink r:id="rId17" w:history="1">
        <w:r w:rsidRPr="006117EE">
          <w:rPr>
            <w:rStyle w:val="Hyperlink"/>
          </w:rPr>
          <w:t>https://elandings.alaska.gov/</w:t>
        </w:r>
      </w:hyperlink>
      <w:r>
        <w:t xml:space="preserve">. </w:t>
      </w:r>
    </w:p>
    <w:p w14:paraId="4691872E" w14:textId="77777777" w:rsidR="00DF6640" w:rsidRDefault="00DF6640" w:rsidP="00735EE7">
      <w:pPr>
        <w:pStyle w:val="BodyText"/>
        <w:contextualSpacing/>
      </w:pPr>
    </w:p>
    <w:p w14:paraId="006352EA" w14:textId="703C65BB" w:rsidR="006A79C8" w:rsidRDefault="009D7EFA" w:rsidP="00735EE7">
      <w:pPr>
        <w:pStyle w:val="BodyText"/>
        <w:contextualSpacing/>
      </w:pPr>
      <w:r>
        <w:t xml:space="preserve">Except for the </w:t>
      </w:r>
      <w:r w:rsidR="00375131">
        <w:t xml:space="preserve">dockside </w:t>
      </w:r>
      <w:r w:rsidR="007A731B">
        <w:t>sales</w:t>
      </w:r>
      <w:r w:rsidR="00375131">
        <w:t xml:space="preserve"> receipt and the </w:t>
      </w:r>
      <w:r>
        <w:t xml:space="preserve">information collected </w:t>
      </w:r>
      <w:r w:rsidRPr="00CD4898">
        <w:t xml:space="preserve">by OLE </w:t>
      </w:r>
      <w:r w:rsidR="00375131">
        <w:t>over</w:t>
      </w:r>
      <w:r w:rsidRPr="00CD4898">
        <w:t xml:space="preserve"> the telephone</w:t>
      </w:r>
      <w:r>
        <w:t xml:space="preserve">, all of the forms and applications are </w:t>
      </w:r>
      <w:r w:rsidR="00DF6640">
        <w:t xml:space="preserve">available as </w:t>
      </w:r>
      <w:r w:rsidR="004C62EA" w:rsidRPr="00CD4898">
        <w:t>fillable</w:t>
      </w:r>
      <w:r>
        <w:t xml:space="preserve"> pdfs posted on </w:t>
      </w:r>
      <w:r w:rsidR="004C62EA" w:rsidRPr="00CD4898">
        <w:t xml:space="preserve">the NMFS Alaska Region </w:t>
      </w:r>
      <w:r w:rsidR="00CD4898" w:rsidRPr="00CD4898">
        <w:t>website</w:t>
      </w:r>
      <w:r w:rsidR="004C62EA" w:rsidRPr="00CD4898">
        <w:t xml:space="preserve"> at </w:t>
      </w:r>
      <w:hyperlink r:id="rId18">
        <w:r w:rsidR="004C62EA" w:rsidRPr="00CD4898">
          <w:rPr>
            <w:color w:val="0000FF"/>
            <w:u w:val="single" w:color="0000FF"/>
          </w:rPr>
          <w:t>www.alaskafisheries.noaa.gov</w:t>
        </w:r>
      </w:hyperlink>
      <w:r w:rsidR="004C62EA" w:rsidRPr="00CD4898">
        <w:t xml:space="preserve">. These forms and applications may be completed </w:t>
      </w:r>
      <w:r w:rsidR="00482CC6" w:rsidRPr="00CD4898">
        <w:t>electronically</w:t>
      </w:r>
      <w:r w:rsidR="004C62EA" w:rsidRPr="00CD4898">
        <w:t xml:space="preserve"> by the participant, downloaded, printed, and </w:t>
      </w:r>
      <w:r>
        <w:t xml:space="preserve">mailed or </w:t>
      </w:r>
      <w:r w:rsidR="004C62EA" w:rsidRPr="00CD4898">
        <w:t>faxed to NMFS.</w:t>
      </w:r>
    </w:p>
    <w:p w14:paraId="4F08EABE" w14:textId="7D7ECC19" w:rsidR="00B55B9B" w:rsidRDefault="00B55B9B" w:rsidP="00735EE7">
      <w:pPr>
        <w:pStyle w:val="BodyText"/>
        <w:contextualSpacing/>
      </w:pPr>
    </w:p>
    <w:p w14:paraId="63E00828" w14:textId="77777777" w:rsidR="00DA73BD" w:rsidRDefault="00DA73BD" w:rsidP="00735EE7">
      <w:pPr>
        <w:pStyle w:val="BodyText"/>
        <w:contextualSpacing/>
      </w:pPr>
      <w:r>
        <w:t>NMFS Alaska Region is working toward offering more on-line services.</w:t>
      </w:r>
    </w:p>
    <w:p w14:paraId="24A5CB50" w14:textId="77777777" w:rsidR="00DA73BD" w:rsidRDefault="00DA73BD" w:rsidP="00735EE7">
      <w:pPr>
        <w:pStyle w:val="BodyText"/>
        <w:contextualSpacing/>
      </w:pPr>
    </w:p>
    <w:p w14:paraId="07757B4E" w14:textId="0BAEAC72" w:rsidR="006A79C8" w:rsidRPr="00CD4898" w:rsidRDefault="00166B9F" w:rsidP="00166B9F">
      <w:pPr>
        <w:pStyle w:val="Heading1"/>
        <w:tabs>
          <w:tab w:val="left" w:pos="360"/>
        </w:tabs>
        <w:ind w:left="0"/>
        <w:contextualSpacing/>
        <w:rPr>
          <w:u w:val="none"/>
        </w:rPr>
      </w:pPr>
      <w:r w:rsidRPr="00166B9F">
        <w:rPr>
          <w:u w:val="none"/>
        </w:rPr>
        <w:t xml:space="preserve">4. </w:t>
      </w:r>
      <w:r w:rsidR="004C62EA" w:rsidRPr="00CD4898">
        <w:rPr>
          <w:u w:val="thick"/>
        </w:rPr>
        <w:t>Describe efforts to identify</w:t>
      </w:r>
      <w:r w:rsidR="004C62EA" w:rsidRPr="00CD4898">
        <w:rPr>
          <w:spacing w:val="-2"/>
          <w:u w:val="thick"/>
        </w:rPr>
        <w:t xml:space="preserve"> </w:t>
      </w:r>
      <w:r w:rsidR="004C62EA" w:rsidRPr="00CD4898">
        <w:rPr>
          <w:u w:val="thick"/>
        </w:rPr>
        <w:t>duplication</w:t>
      </w:r>
      <w:r w:rsidR="004C62EA" w:rsidRPr="00CD4898">
        <w:rPr>
          <w:u w:val="none"/>
        </w:rPr>
        <w:t>.</w:t>
      </w:r>
    </w:p>
    <w:p w14:paraId="41081E80" w14:textId="77777777" w:rsidR="00DA73BD" w:rsidRDefault="00DA73BD" w:rsidP="00735EE7">
      <w:pPr>
        <w:pStyle w:val="BodyText"/>
        <w:contextualSpacing/>
      </w:pPr>
    </w:p>
    <w:p w14:paraId="6F86F30F" w14:textId="77777777" w:rsidR="006A79C8" w:rsidRPr="00CD4898" w:rsidRDefault="004C62EA" w:rsidP="00735EE7">
      <w:pPr>
        <w:pStyle w:val="BodyText"/>
        <w:contextualSpacing/>
      </w:pPr>
      <w:r w:rsidRPr="00CD4898">
        <w:t>None of the information collected as part of this information collection duplicates other collections. This information collection is part of a specialized and technical program that is not like any other.</w:t>
      </w:r>
    </w:p>
    <w:p w14:paraId="27276922" w14:textId="77777777" w:rsidR="006A79C8" w:rsidRPr="00CD4898" w:rsidRDefault="006A79C8" w:rsidP="00735EE7">
      <w:pPr>
        <w:pStyle w:val="BodyText"/>
        <w:contextualSpacing/>
      </w:pPr>
    </w:p>
    <w:p w14:paraId="2DF8F95F" w14:textId="2371FD46" w:rsidR="006A79C8" w:rsidRPr="003364DE" w:rsidRDefault="00BF53B4" w:rsidP="00BF53B4">
      <w:pPr>
        <w:pStyle w:val="Heading1"/>
        <w:tabs>
          <w:tab w:val="left" w:pos="360"/>
        </w:tabs>
        <w:ind w:left="0"/>
        <w:contextualSpacing/>
        <w:rPr>
          <w:u w:val="none"/>
        </w:rPr>
      </w:pPr>
      <w:r w:rsidRPr="003364DE">
        <w:rPr>
          <w:u w:val="none"/>
        </w:rPr>
        <w:t xml:space="preserve">5. </w:t>
      </w:r>
      <w:r w:rsidR="004C62EA" w:rsidRPr="003364DE">
        <w:rPr>
          <w:u w:val="thick"/>
        </w:rPr>
        <w:t>If the collection of information involves small businesses or other small entities, describe the methods used to minimize burden</w:t>
      </w:r>
      <w:r w:rsidR="004C62EA" w:rsidRPr="003364DE">
        <w:rPr>
          <w:u w:val="none"/>
        </w:rPr>
        <w:t>.</w:t>
      </w:r>
    </w:p>
    <w:p w14:paraId="438377F2" w14:textId="77777777" w:rsidR="006A79C8" w:rsidRPr="003364DE" w:rsidRDefault="006A79C8" w:rsidP="00735EE7">
      <w:pPr>
        <w:pStyle w:val="BodyText"/>
        <w:contextualSpacing/>
        <w:rPr>
          <w:b/>
        </w:rPr>
      </w:pPr>
    </w:p>
    <w:p w14:paraId="7C11C30D" w14:textId="4E0905A5" w:rsidR="00656536" w:rsidRDefault="00552FEF" w:rsidP="00A45265">
      <w:pPr>
        <w:rPr>
          <w:sz w:val="24"/>
          <w:szCs w:val="24"/>
        </w:rPr>
      </w:pPr>
      <w:r w:rsidRPr="003364DE">
        <w:rPr>
          <w:sz w:val="24"/>
          <w:szCs w:val="24"/>
        </w:rPr>
        <w:t xml:space="preserve">NMFS attempts to minimize the burden of this collection on all respondents by collecting only information necessary to manage the IFQ Program, by providing and supporting the online data collection and reporting systems eFISH and eLandings, and by providing help to participants in writing and by phone. eFISH and eLandings include online help options and user guides at </w:t>
      </w:r>
      <w:hyperlink r:id="rId19" w:history="1">
        <w:r w:rsidR="00656536" w:rsidRPr="003364DE">
          <w:rPr>
            <w:rStyle w:val="Hyperlink"/>
            <w:sz w:val="24"/>
            <w:szCs w:val="24"/>
          </w:rPr>
          <w:t>https://alaskafisheries.noaa.gov/services</w:t>
        </w:r>
      </w:hyperlink>
      <w:r w:rsidRPr="003364DE">
        <w:rPr>
          <w:sz w:val="24"/>
          <w:szCs w:val="24"/>
        </w:rPr>
        <w:t>.</w:t>
      </w:r>
      <w:r w:rsidR="00465EB4" w:rsidRPr="003364DE">
        <w:rPr>
          <w:sz w:val="24"/>
          <w:szCs w:val="24"/>
        </w:rPr>
        <w:t xml:space="preserve"> NMFS also maintains documentation about eFISH in the eLandings Wiki (Confluence) at </w:t>
      </w:r>
      <w:hyperlink r:id="rId20" w:tgtFrame="_blank" w:history="1">
        <w:r w:rsidR="00465EB4" w:rsidRPr="003364DE">
          <w:rPr>
            <w:sz w:val="24"/>
            <w:szCs w:val="24"/>
            <w:u w:val="single"/>
          </w:rPr>
          <w:t>https://elandings.atlassian.net/wiki/spaces/doc/pages/31096857/eFISH+Web+Application</w:t>
        </w:r>
      </w:hyperlink>
      <w:r w:rsidR="00465EB4" w:rsidRPr="003364DE">
        <w:rPr>
          <w:sz w:val="24"/>
          <w:szCs w:val="24"/>
        </w:rPr>
        <w:t xml:space="preserve">. </w:t>
      </w:r>
      <w:r w:rsidR="00465EB4" w:rsidRPr="00465EB4">
        <w:rPr>
          <w:sz w:val="24"/>
          <w:szCs w:val="24"/>
        </w:rPr>
        <w:t xml:space="preserve">In addition, NMFS maintains a help/support call center with contractors available by phone Monday through Friday from 8:00 am to 4:30 pm Alaska time. </w:t>
      </w:r>
    </w:p>
    <w:p w14:paraId="1ECBB319" w14:textId="77777777" w:rsidR="00A939D7" w:rsidRPr="00A939D7" w:rsidRDefault="00A939D7" w:rsidP="00A45265">
      <w:pPr>
        <w:rPr>
          <w:sz w:val="24"/>
          <w:szCs w:val="24"/>
        </w:rPr>
      </w:pPr>
    </w:p>
    <w:p w14:paraId="07A282C7" w14:textId="2039F4B8" w:rsidR="00A939D7" w:rsidRPr="00A939D7" w:rsidRDefault="00A939D7" w:rsidP="00A45265">
      <w:pPr>
        <w:rPr>
          <w:sz w:val="24"/>
          <w:szCs w:val="24"/>
        </w:rPr>
      </w:pPr>
      <w:r w:rsidRPr="00A939D7">
        <w:rPr>
          <w:sz w:val="24"/>
          <w:szCs w:val="24"/>
        </w:rPr>
        <w:t xml:space="preserve">Additionally, </w:t>
      </w:r>
      <w:r w:rsidR="002F18B3">
        <w:rPr>
          <w:sz w:val="24"/>
          <w:szCs w:val="24"/>
        </w:rPr>
        <w:t>most</w:t>
      </w:r>
      <w:r w:rsidRPr="00A939D7">
        <w:rPr>
          <w:sz w:val="24"/>
          <w:szCs w:val="24"/>
        </w:rPr>
        <w:t xml:space="preserve"> of the </w:t>
      </w:r>
      <w:r w:rsidR="002F18B3">
        <w:rPr>
          <w:sz w:val="24"/>
          <w:szCs w:val="24"/>
        </w:rPr>
        <w:t>elements</w:t>
      </w:r>
      <w:r w:rsidRPr="00A939D7">
        <w:rPr>
          <w:sz w:val="24"/>
          <w:szCs w:val="24"/>
        </w:rPr>
        <w:t xml:space="preserve"> in this information collection are available online as fillable pdfs. A toll-free phone number is available for participants to contact NMFS </w:t>
      </w:r>
      <w:r w:rsidR="002F18B3">
        <w:rPr>
          <w:sz w:val="24"/>
          <w:szCs w:val="24"/>
        </w:rPr>
        <w:t>RAM</w:t>
      </w:r>
      <w:r w:rsidRPr="00A939D7">
        <w:rPr>
          <w:sz w:val="24"/>
          <w:szCs w:val="24"/>
        </w:rPr>
        <w:t xml:space="preserve"> for help or information</w:t>
      </w:r>
      <w:r w:rsidR="002F18B3">
        <w:rPr>
          <w:sz w:val="24"/>
          <w:szCs w:val="24"/>
        </w:rPr>
        <w:t xml:space="preserve"> on these elements</w:t>
      </w:r>
      <w:r w:rsidRPr="00A939D7">
        <w:rPr>
          <w:sz w:val="24"/>
          <w:szCs w:val="24"/>
        </w:rPr>
        <w:t xml:space="preserve">.  </w:t>
      </w:r>
    </w:p>
    <w:p w14:paraId="2D3C6635" w14:textId="77777777" w:rsidR="00656536" w:rsidRPr="00A939D7" w:rsidRDefault="00656536" w:rsidP="00656536">
      <w:pPr>
        <w:pStyle w:val="BodyText"/>
        <w:contextualSpacing/>
      </w:pPr>
    </w:p>
    <w:p w14:paraId="29961FD8" w14:textId="5074D5D6" w:rsidR="006A79C8" w:rsidRPr="000134E1" w:rsidRDefault="00BF53B4" w:rsidP="00656536">
      <w:pPr>
        <w:pStyle w:val="BodyText"/>
        <w:contextualSpacing/>
        <w:rPr>
          <w:b/>
        </w:rPr>
      </w:pPr>
      <w:r w:rsidRPr="004B69AA">
        <w:rPr>
          <w:b/>
        </w:rPr>
        <w:t>6</w:t>
      </w:r>
      <w:r w:rsidRPr="000134E1">
        <w:rPr>
          <w:b/>
        </w:rPr>
        <w:t xml:space="preserve">. </w:t>
      </w:r>
      <w:r w:rsidR="004C62EA" w:rsidRPr="000134E1">
        <w:rPr>
          <w:b/>
          <w:u w:val="thick"/>
        </w:rPr>
        <w:t>Describe the consequences to the Federal program or policy activities if the collection is not conducted or is conducted less</w:t>
      </w:r>
      <w:r w:rsidR="004C62EA" w:rsidRPr="000134E1">
        <w:rPr>
          <w:b/>
          <w:spacing w:val="-4"/>
          <w:u w:val="thick"/>
        </w:rPr>
        <w:t xml:space="preserve"> </w:t>
      </w:r>
      <w:r w:rsidR="004C62EA" w:rsidRPr="000134E1">
        <w:rPr>
          <w:b/>
          <w:u w:val="thick"/>
        </w:rPr>
        <w:t>frequently</w:t>
      </w:r>
      <w:r w:rsidR="004C62EA" w:rsidRPr="000134E1">
        <w:rPr>
          <w:b/>
        </w:rPr>
        <w:t>.</w:t>
      </w:r>
    </w:p>
    <w:p w14:paraId="7F50649A" w14:textId="77777777" w:rsidR="006A79C8" w:rsidRPr="00CD4898" w:rsidRDefault="006A79C8" w:rsidP="00735EE7">
      <w:pPr>
        <w:pStyle w:val="BodyText"/>
        <w:contextualSpacing/>
        <w:rPr>
          <w:b/>
        </w:rPr>
      </w:pPr>
    </w:p>
    <w:p w14:paraId="4A305E8E" w14:textId="378D050C" w:rsidR="006A79C8" w:rsidRPr="00905398" w:rsidRDefault="00905398" w:rsidP="00905398">
      <w:pPr>
        <w:pStyle w:val="BodyText"/>
        <w:contextualSpacing/>
      </w:pPr>
      <w:r>
        <w:t>I</w:t>
      </w:r>
      <w:r w:rsidRPr="00905398">
        <w:t>t would not be possible to effectively manage the</w:t>
      </w:r>
      <w:r>
        <w:t xml:space="preserve"> IFQ Program</w:t>
      </w:r>
      <w:r w:rsidRPr="00905398">
        <w:t xml:space="preserve"> or carry out the mandates of the Halibut Act and the Magnuson-Stevens Act if this collection were not conducted or conducted less frequently.</w:t>
      </w:r>
    </w:p>
    <w:p w14:paraId="3CA85C1B" w14:textId="77777777" w:rsidR="006A79C8" w:rsidRPr="00CD4898" w:rsidRDefault="006A79C8" w:rsidP="00735EE7">
      <w:pPr>
        <w:pStyle w:val="BodyText"/>
        <w:contextualSpacing/>
      </w:pPr>
    </w:p>
    <w:p w14:paraId="21E24E94" w14:textId="504C6252" w:rsidR="006A79C8" w:rsidRPr="00CD4898" w:rsidRDefault="004C62EA" w:rsidP="00735EE7">
      <w:pPr>
        <w:pStyle w:val="BodyText"/>
        <w:contextualSpacing/>
      </w:pPr>
      <w:r w:rsidRPr="00CD4898">
        <w:t xml:space="preserve">The lack of adequate information to manage the IFQ </w:t>
      </w:r>
      <w:r w:rsidR="00F3397C">
        <w:t>P</w:t>
      </w:r>
      <w:r w:rsidRPr="00CD4898">
        <w:t>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w:t>
      </w:r>
      <w:r w:rsidRPr="00CD4898">
        <w:rPr>
          <w:spacing w:val="-22"/>
        </w:rPr>
        <w:t xml:space="preserve"> </w:t>
      </w:r>
      <w:r w:rsidRPr="00CD4898">
        <w:t>based on inadequate information would adversely affect the viability of the IFQ fishing</w:t>
      </w:r>
      <w:r w:rsidRPr="00CD4898">
        <w:rPr>
          <w:spacing w:val="-18"/>
        </w:rPr>
        <w:t xml:space="preserve"> </w:t>
      </w:r>
      <w:r w:rsidRPr="00CD4898">
        <w:t>industry.</w:t>
      </w:r>
    </w:p>
    <w:p w14:paraId="01ED4448" w14:textId="77777777" w:rsidR="006A79C8" w:rsidRDefault="006A79C8" w:rsidP="00735EE7">
      <w:pPr>
        <w:pStyle w:val="BodyText"/>
        <w:contextualSpacing/>
      </w:pPr>
    </w:p>
    <w:p w14:paraId="066140B2" w14:textId="4BCA0EAD" w:rsidR="006A79C8" w:rsidRPr="004E0BF0" w:rsidRDefault="00111813" w:rsidP="00111813">
      <w:pPr>
        <w:pStyle w:val="Heading1"/>
        <w:tabs>
          <w:tab w:val="left" w:pos="360"/>
        </w:tabs>
        <w:ind w:left="0"/>
        <w:contextualSpacing/>
        <w:rPr>
          <w:u w:val="none"/>
        </w:rPr>
      </w:pPr>
      <w:r w:rsidRPr="00111813">
        <w:rPr>
          <w:u w:val="none"/>
        </w:rPr>
        <w:t xml:space="preserve">7. </w:t>
      </w:r>
      <w:r w:rsidR="004C62EA" w:rsidRPr="004E0BF0">
        <w:rPr>
          <w:u w:val="thick"/>
        </w:rPr>
        <w:t>Explain any special circumstances that require the collection to be conducted in a manner inconsistent with OMB</w:t>
      </w:r>
      <w:r w:rsidR="004C62EA" w:rsidRPr="004E0BF0">
        <w:rPr>
          <w:spacing w:val="-3"/>
          <w:u w:val="thick"/>
        </w:rPr>
        <w:t xml:space="preserve"> </w:t>
      </w:r>
      <w:r w:rsidR="004C62EA" w:rsidRPr="004E0BF0">
        <w:rPr>
          <w:u w:val="thick"/>
        </w:rPr>
        <w:t>guidelines</w:t>
      </w:r>
      <w:r w:rsidR="004C62EA" w:rsidRPr="004E0BF0">
        <w:rPr>
          <w:u w:val="none"/>
        </w:rPr>
        <w:t>.</w:t>
      </w:r>
    </w:p>
    <w:p w14:paraId="5BFBAB88" w14:textId="77777777" w:rsidR="006A79C8" w:rsidRPr="00CD4898" w:rsidRDefault="006A79C8" w:rsidP="00735EE7">
      <w:pPr>
        <w:pStyle w:val="BodyText"/>
        <w:contextualSpacing/>
        <w:rPr>
          <w:b/>
        </w:rPr>
      </w:pPr>
    </w:p>
    <w:p w14:paraId="60F05A16" w14:textId="77777777" w:rsidR="006A79C8" w:rsidRPr="00CD4898" w:rsidRDefault="004C62EA" w:rsidP="00735EE7">
      <w:pPr>
        <w:pStyle w:val="BodyText"/>
        <w:contextualSpacing/>
      </w:pPr>
      <w:r w:rsidRPr="00CD4898">
        <w:t>Not Applicable</w:t>
      </w:r>
    </w:p>
    <w:p w14:paraId="7FBCD8CD" w14:textId="77777777" w:rsidR="006A79C8" w:rsidRPr="00CD4898" w:rsidRDefault="006A79C8" w:rsidP="00735EE7">
      <w:pPr>
        <w:pStyle w:val="BodyText"/>
        <w:contextualSpacing/>
      </w:pPr>
    </w:p>
    <w:p w14:paraId="0AD63660" w14:textId="03793BB8" w:rsidR="006A79C8" w:rsidRPr="00BD512F" w:rsidRDefault="00111813" w:rsidP="00111813">
      <w:pPr>
        <w:pStyle w:val="Heading1"/>
        <w:tabs>
          <w:tab w:val="left" w:pos="360"/>
        </w:tabs>
        <w:ind w:left="0"/>
        <w:contextualSpacing/>
        <w:rPr>
          <w:u w:val="none"/>
        </w:rPr>
      </w:pPr>
      <w:r w:rsidRPr="00111813">
        <w:rPr>
          <w:u w:val="none"/>
        </w:rPr>
        <w:t xml:space="preserve">8. </w:t>
      </w:r>
      <w:r w:rsidR="004C62EA" w:rsidRPr="00BD512F">
        <w:rPr>
          <w:u w:val="thick"/>
        </w:rPr>
        <w:t>Provide information on the PRA Federal Register Notice that solicited public comments on the information collection prior to this submission. Summarize the public comments received in response to that notice and describe the actions taken by the agency in</w:t>
      </w:r>
      <w:r w:rsidR="004C62EA" w:rsidRPr="00BD512F">
        <w:rPr>
          <w:spacing w:val="-30"/>
          <w:u w:val="thick"/>
        </w:rPr>
        <w:t xml:space="preserve"> </w:t>
      </w:r>
      <w:r w:rsidR="004C62EA" w:rsidRPr="00BD512F">
        <w:rPr>
          <w:u w:val="thick"/>
        </w:rPr>
        <w:t>response to those comments</w:t>
      </w:r>
      <w:r w:rsidR="004C62EA" w:rsidRPr="00BD512F">
        <w:rPr>
          <w:u w:val="none"/>
        </w:rPr>
        <w:t xml:space="preserve">. </w:t>
      </w:r>
      <w:r w:rsidR="004C62EA" w:rsidRPr="00BD512F">
        <w:rPr>
          <w:u w:val="thick"/>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sidR="004C62EA" w:rsidRPr="00BD512F">
        <w:rPr>
          <w:spacing w:val="-1"/>
          <w:u w:val="thick"/>
        </w:rPr>
        <w:t xml:space="preserve"> </w:t>
      </w:r>
      <w:r w:rsidR="004C62EA" w:rsidRPr="00BD512F">
        <w:rPr>
          <w:u w:val="thick"/>
        </w:rPr>
        <w:t>reported</w:t>
      </w:r>
      <w:r w:rsidR="004C62EA" w:rsidRPr="00BD512F">
        <w:rPr>
          <w:u w:val="none"/>
        </w:rPr>
        <w:t>.</w:t>
      </w:r>
    </w:p>
    <w:p w14:paraId="56F0A4C4" w14:textId="77777777" w:rsidR="006A79C8" w:rsidRPr="00CD4898" w:rsidRDefault="006A79C8" w:rsidP="00735EE7">
      <w:pPr>
        <w:pStyle w:val="BodyText"/>
        <w:contextualSpacing/>
        <w:rPr>
          <w:b/>
        </w:rPr>
      </w:pPr>
    </w:p>
    <w:p w14:paraId="68EDCD44" w14:textId="0A2DEC3D" w:rsidR="000B0552" w:rsidRDefault="004C62EA" w:rsidP="00735EE7">
      <w:pPr>
        <w:pStyle w:val="BodyText"/>
        <w:contextualSpacing/>
      </w:pPr>
      <w:r w:rsidRPr="00CD4898">
        <w:t xml:space="preserve">A </w:t>
      </w:r>
      <w:r w:rsidRPr="004E0BF0">
        <w:rPr>
          <w:i/>
        </w:rPr>
        <w:t>Federal Register</w:t>
      </w:r>
      <w:r w:rsidRPr="00CD4898">
        <w:t xml:space="preserve"> notice published </w:t>
      </w:r>
      <w:r w:rsidR="00C344FD">
        <w:t>September 19, 2017</w:t>
      </w:r>
      <w:r w:rsidRPr="00CD4898">
        <w:t xml:space="preserve"> (</w:t>
      </w:r>
      <w:r w:rsidR="00CC3F11">
        <w:t>82</w:t>
      </w:r>
      <w:r w:rsidRPr="00CD4898">
        <w:t xml:space="preserve"> FR </w:t>
      </w:r>
      <w:r w:rsidR="00CC3F11">
        <w:t>43746</w:t>
      </w:r>
      <w:r w:rsidRPr="00CD4898">
        <w:t>)</w:t>
      </w:r>
      <w:r w:rsidR="00CC3F11">
        <w:t>,</w:t>
      </w:r>
      <w:r w:rsidRPr="00CD4898">
        <w:t xml:space="preserve"> to solicit public comments on the information collection. </w:t>
      </w:r>
      <w:r w:rsidR="00CC3F11">
        <w:t xml:space="preserve">The comment period ended November 20, 2017. </w:t>
      </w:r>
      <w:r w:rsidRPr="00CD4898">
        <w:t>No comments were received</w:t>
      </w:r>
      <w:r w:rsidR="00DB0F9B">
        <w:t xml:space="preserve"> on this</w:t>
      </w:r>
      <w:r w:rsidR="00CC3F11">
        <w:t xml:space="preserve"> notice. I</w:t>
      </w:r>
      <w:r w:rsidRPr="00CD4898">
        <w:t xml:space="preserve">n addition, selected </w:t>
      </w:r>
      <w:r w:rsidR="00430EBD">
        <w:t>participants</w:t>
      </w:r>
      <w:r w:rsidRPr="00CD4898">
        <w:t xml:space="preserve"> </w:t>
      </w:r>
      <w:r w:rsidR="000B0552">
        <w:t xml:space="preserve">were contacted </w:t>
      </w:r>
      <w:r w:rsidRPr="00CD4898">
        <w:t xml:space="preserve">to solicit comments. </w:t>
      </w:r>
      <w:r w:rsidR="00DB0F9B">
        <w:t xml:space="preserve">Two comments were received. </w:t>
      </w:r>
    </w:p>
    <w:p w14:paraId="05E89049" w14:textId="77777777" w:rsidR="000B0552" w:rsidRDefault="000B0552" w:rsidP="00735EE7">
      <w:pPr>
        <w:pStyle w:val="BodyText"/>
        <w:contextualSpacing/>
      </w:pPr>
    </w:p>
    <w:p w14:paraId="45F3E72F" w14:textId="792F6B0E" w:rsidR="000B0552" w:rsidRDefault="00DB0F9B" w:rsidP="00735EE7">
      <w:pPr>
        <w:pStyle w:val="BodyText"/>
        <w:contextualSpacing/>
      </w:pPr>
      <w:r>
        <w:t xml:space="preserve">One </w:t>
      </w:r>
      <w:r w:rsidR="00430EBD">
        <w:t xml:space="preserve">IFQ </w:t>
      </w:r>
      <w:r>
        <w:t>permit holder replied “</w:t>
      </w:r>
      <w:r w:rsidR="000B0552">
        <w:t>n</w:t>
      </w:r>
      <w:r>
        <w:t xml:space="preserve">o comment.” </w:t>
      </w:r>
    </w:p>
    <w:p w14:paraId="38F8C56D" w14:textId="77777777" w:rsidR="000B0552" w:rsidRDefault="000B0552" w:rsidP="00735EE7">
      <w:pPr>
        <w:pStyle w:val="BodyText"/>
        <w:contextualSpacing/>
      </w:pPr>
    </w:p>
    <w:p w14:paraId="3ABAA7C9" w14:textId="339311C9" w:rsidR="00BD512F" w:rsidRDefault="00DB0F9B" w:rsidP="00441D34">
      <w:pPr>
        <w:pStyle w:val="BodyText"/>
        <w:contextualSpacing/>
      </w:pPr>
      <w:r>
        <w:t>The second commenter is fro</w:t>
      </w:r>
      <w:r w:rsidR="00965E4F">
        <w:t>m a marine brokerage firm</w:t>
      </w:r>
      <w:r w:rsidR="00441D34">
        <w:t xml:space="preserve">.  </w:t>
      </w:r>
      <w:r w:rsidR="004812BB">
        <w:t>The commenter s</w:t>
      </w:r>
      <w:r w:rsidR="00BD512F">
        <w:t>uggests</w:t>
      </w:r>
      <w:r w:rsidR="004812BB">
        <w:t xml:space="preserve"> NMFS accept electronic submissions for transferring IFQ, which would benefit the commercial fishing industry and lower operating costs. </w:t>
      </w:r>
      <w:r w:rsidR="00441D34">
        <w:t xml:space="preserve">The commenter noted that other agencies the firm works with accept scanned </w:t>
      </w:r>
      <w:r w:rsidR="004812BB">
        <w:t>or</w:t>
      </w:r>
      <w:r w:rsidR="00441D34">
        <w:t xml:space="preserve"> emailed submission of forms that require</w:t>
      </w:r>
      <w:r w:rsidR="004812BB">
        <w:t xml:space="preserve"> notarized</w:t>
      </w:r>
      <w:r w:rsidR="00441D34">
        <w:t xml:space="preserve"> signatures. </w:t>
      </w:r>
      <w:r w:rsidR="004812BB">
        <w:t xml:space="preserve">They are able to conduct </w:t>
      </w:r>
      <w:r w:rsidR="00B14312">
        <w:t>most</w:t>
      </w:r>
      <w:r w:rsidR="004812BB">
        <w:t xml:space="preserve"> of their </w:t>
      </w:r>
      <w:r w:rsidR="00441D34">
        <w:t xml:space="preserve">business with </w:t>
      </w:r>
      <w:r w:rsidR="004812BB">
        <w:t xml:space="preserve">these agencies electronically and email the documents between the buyer and seller, which </w:t>
      </w:r>
      <w:r w:rsidR="00441D34">
        <w:t>results in a</w:t>
      </w:r>
      <w:r w:rsidR="004812BB">
        <w:t xml:space="preserve"> t</w:t>
      </w:r>
      <w:r w:rsidR="00441D34">
        <w:t>remendous savings of time and expense.</w:t>
      </w:r>
      <w:r w:rsidR="00965E4F">
        <w:t xml:space="preserve"> </w:t>
      </w:r>
    </w:p>
    <w:p w14:paraId="25C3A4E9" w14:textId="77777777" w:rsidR="00BD512F" w:rsidRDefault="00BD512F" w:rsidP="00441D34">
      <w:pPr>
        <w:pStyle w:val="BodyText"/>
        <w:contextualSpacing/>
      </w:pPr>
    </w:p>
    <w:p w14:paraId="5D9A3EC8" w14:textId="3597A0E4" w:rsidR="008B6DE6" w:rsidRPr="00CD4898" w:rsidRDefault="00BD512F" w:rsidP="00735EE7">
      <w:pPr>
        <w:pStyle w:val="BodyText"/>
        <w:contextualSpacing/>
      </w:pPr>
      <w:r>
        <w:t>NMFS responds</w:t>
      </w:r>
      <w:r w:rsidR="00B14312">
        <w:t xml:space="preserve"> that the</w:t>
      </w:r>
      <w:r w:rsidR="00B14312" w:rsidRPr="00B14312">
        <w:t xml:space="preserve"> Alaska Region is working toward offering more online services.  Regulatory requirements sometimes prohibit electronic submission of the documents, especially in cases where confidential or b</w:t>
      </w:r>
      <w:r w:rsidR="00B14312">
        <w:t>usiness identifying information</w:t>
      </w:r>
      <w:r w:rsidR="00B14312" w:rsidRPr="00B14312">
        <w:t xml:space="preserve"> or Personally Identifiable Information is required on the application form.</w:t>
      </w:r>
    </w:p>
    <w:p w14:paraId="01676B15" w14:textId="77777777" w:rsidR="006A79C8" w:rsidRPr="00CD4898" w:rsidRDefault="006A79C8" w:rsidP="00735EE7">
      <w:pPr>
        <w:pStyle w:val="BodyText"/>
        <w:contextualSpacing/>
      </w:pPr>
    </w:p>
    <w:p w14:paraId="7783B1BC" w14:textId="4FA77F97" w:rsidR="006A79C8" w:rsidRPr="00EF40F6" w:rsidRDefault="00111813" w:rsidP="00111813">
      <w:pPr>
        <w:pStyle w:val="Heading1"/>
        <w:tabs>
          <w:tab w:val="left" w:pos="360"/>
        </w:tabs>
        <w:ind w:left="0"/>
        <w:contextualSpacing/>
        <w:rPr>
          <w:u w:val="none"/>
        </w:rPr>
      </w:pPr>
      <w:r w:rsidRPr="00111813">
        <w:rPr>
          <w:u w:val="none"/>
        </w:rPr>
        <w:t xml:space="preserve">9. </w:t>
      </w:r>
      <w:r w:rsidR="004C62EA" w:rsidRPr="00EF40F6">
        <w:rPr>
          <w:u w:val="thick"/>
        </w:rPr>
        <w:t>Explain any decisions to provide payments or gifts to respondents, other</w:t>
      </w:r>
      <w:r w:rsidR="004C62EA" w:rsidRPr="00EF40F6">
        <w:rPr>
          <w:spacing w:val="-24"/>
          <w:u w:val="thick"/>
        </w:rPr>
        <w:t xml:space="preserve"> </w:t>
      </w:r>
      <w:r w:rsidR="004C62EA" w:rsidRPr="00EF40F6">
        <w:rPr>
          <w:u w:val="thick"/>
        </w:rPr>
        <w:t>than remuneration of contractors or</w:t>
      </w:r>
      <w:r w:rsidR="004C62EA" w:rsidRPr="00EF40F6">
        <w:rPr>
          <w:spacing w:val="-1"/>
          <w:u w:val="thick"/>
        </w:rPr>
        <w:t xml:space="preserve"> </w:t>
      </w:r>
      <w:r w:rsidR="004C62EA" w:rsidRPr="00EF40F6">
        <w:rPr>
          <w:u w:val="thick"/>
        </w:rPr>
        <w:t>grantees</w:t>
      </w:r>
      <w:r w:rsidR="004C62EA" w:rsidRPr="00EF40F6">
        <w:rPr>
          <w:u w:val="none"/>
        </w:rPr>
        <w:t>.</w:t>
      </w:r>
    </w:p>
    <w:p w14:paraId="1246607A" w14:textId="77777777" w:rsidR="006A79C8" w:rsidRPr="00EF40F6" w:rsidRDefault="006A79C8" w:rsidP="00735EE7">
      <w:pPr>
        <w:pStyle w:val="BodyText"/>
        <w:contextualSpacing/>
        <w:rPr>
          <w:b/>
        </w:rPr>
      </w:pPr>
    </w:p>
    <w:p w14:paraId="30EFEBFB" w14:textId="77777777" w:rsidR="006A79C8" w:rsidRPr="00CD4898" w:rsidRDefault="004C62EA" w:rsidP="00735EE7">
      <w:pPr>
        <w:pStyle w:val="BodyText"/>
        <w:contextualSpacing/>
      </w:pPr>
      <w:r w:rsidRPr="00EF40F6">
        <w:t xml:space="preserve">No payment or gift </w:t>
      </w:r>
      <w:r w:rsidR="005C585F">
        <w:t>is</w:t>
      </w:r>
      <w:r w:rsidRPr="00EF40F6">
        <w:t xml:space="preserve"> provided under this program.</w:t>
      </w:r>
    </w:p>
    <w:p w14:paraId="7F3CD6D8" w14:textId="77777777" w:rsidR="006A79C8" w:rsidRPr="00CD4898" w:rsidRDefault="006A79C8" w:rsidP="00735EE7">
      <w:pPr>
        <w:pStyle w:val="BodyText"/>
        <w:contextualSpacing/>
      </w:pPr>
    </w:p>
    <w:p w14:paraId="5C0B146D" w14:textId="67D69CDE" w:rsidR="006A79C8" w:rsidRPr="00E33E6B" w:rsidRDefault="00111813" w:rsidP="00111813">
      <w:pPr>
        <w:pStyle w:val="Heading1"/>
        <w:tabs>
          <w:tab w:val="left" w:pos="360"/>
        </w:tabs>
        <w:ind w:left="0"/>
        <w:contextualSpacing/>
        <w:rPr>
          <w:u w:val="none"/>
        </w:rPr>
      </w:pPr>
      <w:r w:rsidRPr="00111813">
        <w:rPr>
          <w:u w:val="none"/>
        </w:rPr>
        <w:t xml:space="preserve">10. </w:t>
      </w:r>
      <w:r w:rsidR="004C62EA" w:rsidRPr="00E33E6B">
        <w:rPr>
          <w:u w:val="thick"/>
        </w:rPr>
        <w:t>Describe any assurance of confidentiality provided to respondents and the basis for assurance in statute, regulation, or agency</w:t>
      </w:r>
      <w:r w:rsidR="004C62EA" w:rsidRPr="00E33E6B">
        <w:rPr>
          <w:spacing w:val="-4"/>
          <w:u w:val="thick"/>
        </w:rPr>
        <w:t xml:space="preserve"> </w:t>
      </w:r>
      <w:r w:rsidR="004C62EA" w:rsidRPr="00E33E6B">
        <w:rPr>
          <w:u w:val="thick"/>
        </w:rPr>
        <w:t>policy</w:t>
      </w:r>
      <w:r w:rsidR="004C62EA" w:rsidRPr="00E33E6B">
        <w:rPr>
          <w:u w:val="none"/>
        </w:rPr>
        <w:t>.</w:t>
      </w:r>
    </w:p>
    <w:p w14:paraId="301B9275" w14:textId="77777777" w:rsidR="006A79C8" w:rsidRPr="00CD4898" w:rsidRDefault="006A79C8" w:rsidP="00735EE7">
      <w:pPr>
        <w:pStyle w:val="BodyText"/>
        <w:contextualSpacing/>
        <w:rPr>
          <w:b/>
        </w:rPr>
      </w:pPr>
    </w:p>
    <w:p w14:paraId="2CCE6BD2" w14:textId="77777777" w:rsidR="007B1BC1" w:rsidRPr="007B1BC1" w:rsidRDefault="007B1BC1" w:rsidP="007B1BC1">
      <w:pPr>
        <w:autoSpaceDE/>
        <w:autoSpaceDN/>
        <w:rPr>
          <w:sz w:val="24"/>
          <w:szCs w:val="24"/>
        </w:rPr>
      </w:pPr>
      <w:r w:rsidRPr="007B1BC1">
        <w:rPr>
          <w:sz w:val="24"/>
          <w:szCs w:val="24"/>
        </w:rPr>
        <w:t xml:space="preserve">All information collections by NMFS, Alaska Region, are protected under confidentiality provisions of section 402(b) of the Magnuson-Stevens Act as amended in 2006 (16 U.S.C. 1801, </w:t>
      </w:r>
      <w:r w:rsidRPr="007B1BC1">
        <w:rPr>
          <w:i/>
          <w:sz w:val="24"/>
          <w:szCs w:val="24"/>
        </w:rPr>
        <w:t>et seq</w:t>
      </w:r>
      <w:r w:rsidRPr="007B1BC1">
        <w:rPr>
          <w:sz w:val="24"/>
          <w:szCs w:val="24"/>
        </w:rPr>
        <w:t xml:space="preserve">.) and under </w:t>
      </w:r>
      <w:hyperlink r:id="rId21">
        <w:r w:rsidRPr="007B1BC1">
          <w:rPr>
            <w:sz w:val="24"/>
            <w:szCs w:val="24"/>
          </w:rPr>
          <w:t>NOAA</w:t>
        </w:r>
      </w:hyperlink>
      <w:hyperlink r:id="rId22">
        <w:r w:rsidRPr="007B1BC1">
          <w:rPr>
            <w:sz w:val="24"/>
            <w:szCs w:val="24"/>
          </w:rPr>
          <w:t xml:space="preserve"> Administrative Order 216-100,</w:t>
        </w:r>
      </w:hyperlink>
      <w:r w:rsidRPr="007B1BC1">
        <w:rPr>
          <w:sz w:val="24"/>
          <w:szCs w:val="24"/>
        </w:rPr>
        <w:t xml:space="preserve"> which sets forth procedures to protect confidentiality of fishery statistics. The System of Records Notice that covers this information collection is </w:t>
      </w:r>
      <w:hyperlink r:id="rId23" w:history="1">
        <w:r w:rsidRPr="007B1BC1">
          <w:rPr>
            <w:color w:val="0000FF"/>
            <w:sz w:val="24"/>
            <w:szCs w:val="24"/>
            <w:u w:val="single"/>
          </w:rPr>
          <w:t>COMMERCE/NOAA-19, Permits and Registrations for United States Federally Regulated Fisheries</w:t>
        </w:r>
      </w:hyperlink>
      <w:r w:rsidRPr="007B1BC1">
        <w:rPr>
          <w:sz w:val="24"/>
          <w:szCs w:val="24"/>
        </w:rPr>
        <w:t xml:space="preserve">. An amended Privacy Act system of records notice was published in the </w:t>
      </w:r>
      <w:r w:rsidRPr="007B1BC1">
        <w:rPr>
          <w:i/>
          <w:sz w:val="24"/>
          <w:szCs w:val="24"/>
        </w:rPr>
        <w:t>Federal Register</w:t>
      </w:r>
      <w:r w:rsidRPr="007B1BC1">
        <w:rPr>
          <w:sz w:val="24"/>
          <w:szCs w:val="24"/>
        </w:rPr>
        <w:t xml:space="preserve"> on August 7, 2015 (80 FR 47457), and became effective September 15, 2015 (80 FR 55327).</w:t>
      </w:r>
    </w:p>
    <w:p w14:paraId="060B1E8D" w14:textId="77777777" w:rsidR="006A79C8" w:rsidRPr="00CD4898" w:rsidRDefault="006A79C8" w:rsidP="00735EE7">
      <w:pPr>
        <w:pStyle w:val="BodyText"/>
        <w:contextualSpacing/>
      </w:pPr>
    </w:p>
    <w:p w14:paraId="739FB0BB" w14:textId="593161CE" w:rsidR="006A79C8" w:rsidRPr="00A87EE9" w:rsidRDefault="0064090D" w:rsidP="0064090D">
      <w:pPr>
        <w:pStyle w:val="Heading1"/>
        <w:tabs>
          <w:tab w:val="left" w:pos="360"/>
        </w:tabs>
        <w:ind w:left="0"/>
        <w:contextualSpacing/>
        <w:rPr>
          <w:u w:val="none"/>
        </w:rPr>
      </w:pPr>
      <w:r w:rsidRPr="0064090D">
        <w:rPr>
          <w:u w:val="none"/>
        </w:rPr>
        <w:t xml:space="preserve">11. </w:t>
      </w:r>
      <w:r w:rsidR="004C62EA" w:rsidRPr="00A87EE9">
        <w:rPr>
          <w:u w:val="thick"/>
        </w:rPr>
        <w:t>Provide additional justification for any questions of a sensitive nature, such as sexual behavior and attitudes, religious beliefs, and other matters that are commonly</w:t>
      </w:r>
      <w:r w:rsidR="004C62EA" w:rsidRPr="00A87EE9">
        <w:rPr>
          <w:spacing w:val="-34"/>
          <w:u w:val="thick"/>
        </w:rPr>
        <w:t xml:space="preserve"> </w:t>
      </w:r>
      <w:r w:rsidR="004C62EA" w:rsidRPr="00A87EE9">
        <w:rPr>
          <w:u w:val="thick"/>
        </w:rPr>
        <w:t>considered private</w:t>
      </w:r>
      <w:r w:rsidR="004C62EA" w:rsidRPr="00A87EE9">
        <w:rPr>
          <w:u w:val="none"/>
        </w:rPr>
        <w:t>.</w:t>
      </w:r>
    </w:p>
    <w:p w14:paraId="504BE7E6" w14:textId="77777777" w:rsidR="006A79C8" w:rsidRPr="00CD4898" w:rsidRDefault="006A79C8" w:rsidP="00735EE7">
      <w:pPr>
        <w:pStyle w:val="BodyText"/>
        <w:contextualSpacing/>
        <w:rPr>
          <w:b/>
        </w:rPr>
      </w:pPr>
    </w:p>
    <w:p w14:paraId="0B0C4709" w14:textId="77777777" w:rsidR="006A79C8" w:rsidRPr="00CD4898" w:rsidRDefault="004C62EA" w:rsidP="00735EE7">
      <w:pPr>
        <w:pStyle w:val="BodyText"/>
        <w:contextualSpacing/>
      </w:pPr>
      <w:r w:rsidRPr="00CD4898">
        <w:t>This information collection does not involve information of a sensitive nature.</w:t>
      </w:r>
    </w:p>
    <w:p w14:paraId="710DEDFF" w14:textId="77777777" w:rsidR="006A79C8" w:rsidRPr="00CD4898" w:rsidRDefault="006A79C8" w:rsidP="00735EE7">
      <w:pPr>
        <w:pStyle w:val="BodyText"/>
        <w:contextualSpacing/>
      </w:pPr>
    </w:p>
    <w:p w14:paraId="3E7045A6" w14:textId="3D37355A" w:rsidR="006A79C8" w:rsidRPr="00580AD2" w:rsidRDefault="0064090D" w:rsidP="0064090D">
      <w:pPr>
        <w:pStyle w:val="Heading1"/>
        <w:tabs>
          <w:tab w:val="left" w:pos="360"/>
        </w:tabs>
        <w:ind w:left="0"/>
        <w:contextualSpacing/>
        <w:rPr>
          <w:u w:val="none"/>
        </w:rPr>
      </w:pPr>
      <w:r w:rsidRPr="00DB6C5F">
        <w:rPr>
          <w:u w:val="none"/>
        </w:rPr>
        <w:t xml:space="preserve">12. </w:t>
      </w:r>
      <w:r w:rsidR="004C62EA" w:rsidRPr="00DB6C5F">
        <w:rPr>
          <w:u w:val="thick"/>
        </w:rPr>
        <w:t>Provide an estimate in hours of the burden of the collection of</w:t>
      </w:r>
      <w:r w:rsidR="004C62EA" w:rsidRPr="00DB6C5F">
        <w:rPr>
          <w:spacing w:val="-7"/>
          <w:u w:val="thick"/>
        </w:rPr>
        <w:t xml:space="preserve"> </w:t>
      </w:r>
      <w:r w:rsidR="004C62EA" w:rsidRPr="00DB6C5F">
        <w:rPr>
          <w:u w:val="thick"/>
        </w:rPr>
        <w:t>information</w:t>
      </w:r>
      <w:r w:rsidR="004C62EA" w:rsidRPr="00DB6C5F">
        <w:rPr>
          <w:u w:val="none"/>
        </w:rPr>
        <w:t>.</w:t>
      </w:r>
    </w:p>
    <w:p w14:paraId="742CCE70" w14:textId="77777777" w:rsidR="006A79C8" w:rsidRPr="00CD4898" w:rsidRDefault="006A79C8" w:rsidP="00735EE7">
      <w:pPr>
        <w:pStyle w:val="BodyText"/>
        <w:contextualSpacing/>
        <w:rPr>
          <w:b/>
        </w:rPr>
      </w:pPr>
    </w:p>
    <w:p w14:paraId="75F8966C" w14:textId="68F92D0F" w:rsidR="006A79C8" w:rsidRPr="00CD4898" w:rsidRDefault="004C62EA" w:rsidP="00735EE7">
      <w:pPr>
        <w:pStyle w:val="BodyText"/>
        <w:contextualSpacing/>
      </w:pPr>
      <w:r w:rsidRPr="00CD4898">
        <w:t xml:space="preserve">Estimated total respondents: </w:t>
      </w:r>
      <w:r w:rsidR="00800A57">
        <w:t xml:space="preserve"> </w:t>
      </w:r>
      <w:r w:rsidR="007E50C0">
        <w:t>2,793</w:t>
      </w:r>
      <w:r w:rsidR="008F6935" w:rsidRPr="008F6935">
        <w:t xml:space="preserve"> (2,412 IFQ permit holders, </w:t>
      </w:r>
      <w:r w:rsidR="00B5775E">
        <w:t xml:space="preserve">6 CDQ permit holders, </w:t>
      </w:r>
      <w:r w:rsidR="008F6935" w:rsidRPr="008F6935">
        <w:t>235 registered buyers</w:t>
      </w:r>
      <w:r w:rsidR="007E50C0">
        <w:t>, and 140 medical professionals</w:t>
      </w:r>
      <w:r w:rsidR="00941191">
        <w:t xml:space="preserve"> (included as respondents for the medical transfers</w:t>
      </w:r>
      <w:r w:rsidR="008F6935" w:rsidRPr="008F6935">
        <w:t>)</w:t>
      </w:r>
      <w:r w:rsidRPr="00CD4898">
        <w:t xml:space="preserve">, </w:t>
      </w:r>
      <w:r w:rsidR="00800A57">
        <w:t>up</w:t>
      </w:r>
      <w:r w:rsidR="00800A57" w:rsidRPr="00CD4898">
        <w:t xml:space="preserve"> </w:t>
      </w:r>
      <w:r w:rsidRPr="00CD4898">
        <w:t xml:space="preserve">from </w:t>
      </w:r>
      <w:r w:rsidR="008B4299">
        <w:t>1,639</w:t>
      </w:r>
      <w:r w:rsidRPr="00CD4898">
        <w:t xml:space="preserve">. Estimated total responses: </w:t>
      </w:r>
      <w:r w:rsidR="00364FAD">
        <w:t>14,406</w:t>
      </w:r>
      <w:r w:rsidRPr="00CD4898">
        <w:t xml:space="preserve">, </w:t>
      </w:r>
      <w:r w:rsidR="00D915E4">
        <w:t>up</w:t>
      </w:r>
      <w:r w:rsidR="00D915E4" w:rsidRPr="00CD4898">
        <w:t xml:space="preserve"> </w:t>
      </w:r>
      <w:r w:rsidRPr="00CD4898">
        <w:t xml:space="preserve">from </w:t>
      </w:r>
      <w:r w:rsidR="008B4299">
        <w:t>11,250</w:t>
      </w:r>
      <w:r w:rsidRPr="00CD4898">
        <w:t xml:space="preserve">. Estimated total burden hours: </w:t>
      </w:r>
      <w:r w:rsidR="000B29EB">
        <w:t>4,980</w:t>
      </w:r>
      <w:r w:rsidRPr="00CD4898">
        <w:t xml:space="preserve">, </w:t>
      </w:r>
      <w:r w:rsidR="009F6916">
        <w:t>up</w:t>
      </w:r>
      <w:r w:rsidR="009F6916" w:rsidRPr="00CD4898">
        <w:t xml:space="preserve"> </w:t>
      </w:r>
      <w:r w:rsidRPr="00CD4898">
        <w:t xml:space="preserve">from </w:t>
      </w:r>
      <w:r w:rsidR="009F6916">
        <w:t>3,930</w:t>
      </w:r>
      <w:r w:rsidRPr="00CD4898">
        <w:t>. Estimated total personnel costs: $</w:t>
      </w:r>
      <w:r w:rsidR="001F3420">
        <w:t>184,408</w:t>
      </w:r>
      <w:r w:rsidRPr="00CD4898">
        <w:t xml:space="preserve">, </w:t>
      </w:r>
      <w:r w:rsidR="00500774">
        <w:t>up</w:t>
      </w:r>
      <w:r w:rsidR="00500774" w:rsidRPr="00CD4898">
        <w:t xml:space="preserve"> </w:t>
      </w:r>
      <w:r w:rsidRPr="00CD4898">
        <w:t xml:space="preserve">from $ </w:t>
      </w:r>
      <w:r w:rsidR="00500774">
        <w:t>119,511</w:t>
      </w:r>
      <w:r w:rsidRPr="00CD4898">
        <w:t>.</w:t>
      </w:r>
    </w:p>
    <w:p w14:paraId="5CAF9143" w14:textId="77777777" w:rsidR="006A79C8" w:rsidRPr="00CD4898" w:rsidRDefault="006A79C8" w:rsidP="00735EE7">
      <w:pPr>
        <w:pStyle w:val="BodyText"/>
        <w:contextualSpacing/>
      </w:pPr>
    </w:p>
    <w:p w14:paraId="5664A40F" w14:textId="0196431E" w:rsidR="006A79C8" w:rsidRPr="00AE7103" w:rsidRDefault="00072B2C" w:rsidP="00072B2C">
      <w:pPr>
        <w:pStyle w:val="Heading1"/>
        <w:tabs>
          <w:tab w:val="left" w:pos="360"/>
        </w:tabs>
        <w:ind w:left="0"/>
        <w:contextualSpacing/>
        <w:rPr>
          <w:u w:val="none"/>
        </w:rPr>
      </w:pPr>
      <w:r w:rsidRPr="00DB6C5F">
        <w:rPr>
          <w:u w:val="none"/>
        </w:rPr>
        <w:t xml:space="preserve">13. </w:t>
      </w:r>
      <w:r w:rsidR="004C62EA" w:rsidRPr="00DB6C5F">
        <w:rPr>
          <w:u w:val="thick"/>
        </w:rPr>
        <w:t>Provide an estimate of the total annual cost burden to the respondents or record- keepers resulting from the collection (excluding the value of the burden hours in Question 12</w:t>
      </w:r>
      <w:r w:rsidR="004C62EA" w:rsidRPr="00DB6C5F">
        <w:rPr>
          <w:spacing w:val="-1"/>
          <w:u w:val="thick"/>
        </w:rPr>
        <w:t xml:space="preserve"> </w:t>
      </w:r>
      <w:r w:rsidR="004C62EA" w:rsidRPr="00DB6C5F">
        <w:rPr>
          <w:u w:val="thick"/>
        </w:rPr>
        <w:t>above)</w:t>
      </w:r>
      <w:r w:rsidR="004C62EA" w:rsidRPr="00DB6C5F">
        <w:rPr>
          <w:u w:val="none"/>
        </w:rPr>
        <w:t>.</w:t>
      </w:r>
    </w:p>
    <w:p w14:paraId="6DF6C2CA" w14:textId="77777777" w:rsidR="006A79C8" w:rsidRPr="00CD4898" w:rsidRDefault="006A79C8" w:rsidP="00735EE7">
      <w:pPr>
        <w:pStyle w:val="BodyText"/>
        <w:contextualSpacing/>
        <w:rPr>
          <w:b/>
        </w:rPr>
      </w:pPr>
    </w:p>
    <w:p w14:paraId="2E9BBC71" w14:textId="3A427FC7" w:rsidR="006A79C8" w:rsidRPr="00CD4898" w:rsidRDefault="004C62EA" w:rsidP="00735EE7">
      <w:pPr>
        <w:pStyle w:val="BodyText"/>
        <w:contextualSpacing/>
      </w:pPr>
      <w:r w:rsidRPr="00CD4898">
        <w:t>Estimated total miscellaneous costs: $</w:t>
      </w:r>
      <w:r w:rsidR="00183A0A">
        <w:t>8,0</w:t>
      </w:r>
      <w:r w:rsidR="00C35EA7">
        <w:t>82</w:t>
      </w:r>
      <w:r w:rsidRPr="00CD4898">
        <w:t xml:space="preserve">, </w:t>
      </w:r>
      <w:r w:rsidR="002B45DB">
        <w:t>up</w:t>
      </w:r>
      <w:r w:rsidR="002B45DB" w:rsidRPr="00CD4898">
        <w:t xml:space="preserve"> </w:t>
      </w:r>
      <w:r w:rsidRPr="00CD4898">
        <w:t>from $</w:t>
      </w:r>
      <w:r w:rsidR="002B45DB">
        <w:t>5,127</w:t>
      </w:r>
      <w:r w:rsidRPr="00CD4898">
        <w:t>.</w:t>
      </w:r>
    </w:p>
    <w:p w14:paraId="2798F4AC" w14:textId="77777777" w:rsidR="006A79C8" w:rsidRPr="00CD4898" w:rsidRDefault="006A79C8" w:rsidP="00735EE7">
      <w:pPr>
        <w:pStyle w:val="BodyText"/>
        <w:contextualSpacing/>
      </w:pPr>
    </w:p>
    <w:p w14:paraId="31EF381C" w14:textId="3885FFEA" w:rsidR="006A79C8" w:rsidRPr="00241FDE" w:rsidRDefault="00072B2C" w:rsidP="00072B2C">
      <w:pPr>
        <w:pStyle w:val="Heading1"/>
        <w:tabs>
          <w:tab w:val="left" w:pos="360"/>
        </w:tabs>
        <w:ind w:left="0"/>
        <w:contextualSpacing/>
        <w:rPr>
          <w:u w:val="none"/>
        </w:rPr>
      </w:pPr>
      <w:r w:rsidRPr="00072B2C">
        <w:rPr>
          <w:u w:val="none"/>
        </w:rPr>
        <w:t xml:space="preserve">14. </w:t>
      </w:r>
      <w:r w:rsidR="004C62EA" w:rsidRPr="00241FDE">
        <w:rPr>
          <w:u w:val="thick"/>
        </w:rPr>
        <w:t>Provide estimates of annualized cost to the Federal</w:t>
      </w:r>
      <w:r w:rsidR="004C62EA" w:rsidRPr="00241FDE">
        <w:rPr>
          <w:spacing w:val="-3"/>
          <w:u w:val="thick"/>
        </w:rPr>
        <w:t xml:space="preserve"> </w:t>
      </w:r>
      <w:r w:rsidR="004C62EA" w:rsidRPr="00241FDE">
        <w:rPr>
          <w:u w:val="thick"/>
        </w:rPr>
        <w:t>government</w:t>
      </w:r>
      <w:r w:rsidR="004C62EA" w:rsidRPr="00241FDE">
        <w:rPr>
          <w:u w:val="none"/>
        </w:rPr>
        <w:t>.</w:t>
      </w:r>
    </w:p>
    <w:p w14:paraId="41486AE8" w14:textId="77777777" w:rsidR="006A79C8" w:rsidRPr="00CD4898" w:rsidRDefault="006A79C8" w:rsidP="00735EE7">
      <w:pPr>
        <w:pStyle w:val="BodyText"/>
        <w:contextualSpacing/>
        <w:rPr>
          <w:b/>
        </w:rPr>
      </w:pPr>
    </w:p>
    <w:p w14:paraId="5C800337" w14:textId="4F56F3C5" w:rsidR="008E7D10" w:rsidRPr="00C01040" w:rsidRDefault="008E7D10" w:rsidP="008E7D10">
      <w:pPr>
        <w:adjustRightInd w:val="0"/>
        <w:rPr>
          <w:sz w:val="24"/>
          <w:szCs w:val="24"/>
        </w:rPr>
      </w:pPr>
      <w:r w:rsidRPr="00C01040">
        <w:rPr>
          <w:sz w:val="24"/>
          <w:szCs w:val="24"/>
        </w:rPr>
        <w:t xml:space="preserve">A cost recovery program is in effect for the </w:t>
      </w:r>
      <w:r w:rsidR="00674E97" w:rsidRPr="00C01040">
        <w:rPr>
          <w:sz w:val="24"/>
          <w:szCs w:val="24"/>
        </w:rPr>
        <w:t>IFQ</w:t>
      </w:r>
      <w:r w:rsidRPr="00C01040">
        <w:rPr>
          <w:sz w:val="24"/>
          <w:szCs w:val="24"/>
        </w:rPr>
        <w:t xml:space="preserve"> Program. Under this cost recovery program, NMFS is authorized to collect direct program costs from the </w:t>
      </w:r>
      <w:r w:rsidR="00674E97" w:rsidRPr="00C01040">
        <w:rPr>
          <w:sz w:val="24"/>
          <w:szCs w:val="24"/>
        </w:rPr>
        <w:t>permit holders.</w:t>
      </w:r>
      <w:r w:rsidRPr="00C01040">
        <w:rPr>
          <w:sz w:val="24"/>
          <w:szCs w:val="24"/>
        </w:rPr>
        <w:t xml:space="preserve"> Therefore, the information collection requirements of the </w:t>
      </w:r>
      <w:r w:rsidR="00674E97" w:rsidRPr="00C01040">
        <w:rPr>
          <w:sz w:val="24"/>
          <w:szCs w:val="24"/>
        </w:rPr>
        <w:t>IFQ</w:t>
      </w:r>
      <w:r w:rsidRPr="00C01040">
        <w:rPr>
          <w:sz w:val="24"/>
          <w:szCs w:val="24"/>
        </w:rPr>
        <w:t xml:space="preserve"> Program do not impose a cost on the Federal </w:t>
      </w:r>
      <w:r w:rsidR="00430EBD">
        <w:rPr>
          <w:sz w:val="24"/>
          <w:szCs w:val="24"/>
        </w:rPr>
        <w:t>G</w:t>
      </w:r>
      <w:r w:rsidRPr="00C01040">
        <w:rPr>
          <w:sz w:val="24"/>
          <w:szCs w:val="24"/>
        </w:rPr>
        <w:t xml:space="preserve">overnment. Direct program costs are the costs NMFS incurs to manage, collect data from, and enforce the </w:t>
      </w:r>
      <w:r w:rsidR="00674E97" w:rsidRPr="00C01040">
        <w:rPr>
          <w:sz w:val="24"/>
          <w:szCs w:val="24"/>
        </w:rPr>
        <w:t>IFQ</w:t>
      </w:r>
      <w:r w:rsidRPr="00C01040">
        <w:rPr>
          <w:sz w:val="24"/>
          <w:szCs w:val="24"/>
        </w:rPr>
        <w:t xml:space="preserve"> Program. </w:t>
      </w:r>
    </w:p>
    <w:p w14:paraId="36082F92" w14:textId="77777777" w:rsidR="008E7D10" w:rsidRPr="00C01040" w:rsidRDefault="008E7D10" w:rsidP="008E7D10">
      <w:pPr>
        <w:adjustRightInd w:val="0"/>
        <w:rPr>
          <w:sz w:val="24"/>
          <w:szCs w:val="24"/>
        </w:rPr>
      </w:pPr>
    </w:p>
    <w:p w14:paraId="7315BEAA" w14:textId="7C855CBF" w:rsidR="008E7D10" w:rsidRPr="008E7D10" w:rsidRDefault="008E7D10" w:rsidP="008E7D10">
      <w:pPr>
        <w:adjustRightInd w:val="0"/>
        <w:rPr>
          <w:sz w:val="24"/>
          <w:szCs w:val="24"/>
        </w:rPr>
      </w:pPr>
      <w:r w:rsidRPr="00C01040">
        <w:rPr>
          <w:sz w:val="24"/>
          <w:szCs w:val="24"/>
        </w:rPr>
        <w:t xml:space="preserve">The direct program costs for the </w:t>
      </w:r>
      <w:r w:rsidR="00674E97" w:rsidRPr="00C01040">
        <w:rPr>
          <w:sz w:val="24"/>
          <w:szCs w:val="24"/>
        </w:rPr>
        <w:t>IFQ</w:t>
      </w:r>
      <w:r w:rsidRPr="00C01040">
        <w:rPr>
          <w:sz w:val="24"/>
          <w:szCs w:val="24"/>
        </w:rPr>
        <w:t xml:space="preserve"> Program in 2017 were $</w:t>
      </w:r>
      <w:r w:rsidR="00674E97" w:rsidRPr="00C01040">
        <w:rPr>
          <w:sz w:val="24"/>
          <w:szCs w:val="24"/>
        </w:rPr>
        <w:t>4,659,859</w:t>
      </w:r>
      <w:r w:rsidRPr="00C01040">
        <w:rPr>
          <w:sz w:val="24"/>
          <w:szCs w:val="24"/>
        </w:rPr>
        <w:t>.</w:t>
      </w:r>
      <w:r w:rsidRPr="008E7D10">
        <w:rPr>
          <w:sz w:val="24"/>
          <w:szCs w:val="24"/>
        </w:rPr>
        <w:t xml:space="preserve"> </w:t>
      </w:r>
    </w:p>
    <w:p w14:paraId="1FEA14B1" w14:textId="3A242C60" w:rsidR="008E7D10" w:rsidRDefault="008E7D10" w:rsidP="00241FDE">
      <w:pPr>
        <w:pStyle w:val="BodyText"/>
        <w:contextualSpacing/>
      </w:pPr>
    </w:p>
    <w:p w14:paraId="39B84242" w14:textId="02C399DF" w:rsidR="00674E97" w:rsidRDefault="005A0707" w:rsidP="00674E97">
      <w:pPr>
        <w:pStyle w:val="BodyText"/>
        <w:contextualSpacing/>
      </w:pPr>
      <w:r>
        <w:t>The following are e</w:t>
      </w:r>
      <w:r w:rsidR="00674E97">
        <w:t>xamples of the types of tasks that were included under the 2017 IFQ direct program costs:</w:t>
      </w:r>
    </w:p>
    <w:p w14:paraId="14B2F402" w14:textId="13457F26" w:rsidR="00674E97" w:rsidRDefault="00674E97" w:rsidP="000A58B7">
      <w:pPr>
        <w:pStyle w:val="BodyText"/>
        <w:numPr>
          <w:ilvl w:val="0"/>
          <w:numId w:val="19"/>
        </w:numPr>
        <w:contextualSpacing/>
      </w:pPr>
      <w:r>
        <w:t>ana</w:t>
      </w:r>
      <w:r w:rsidR="00A33612">
        <w:t>lysis and rulemaking activities:</w:t>
      </w:r>
      <w:r>
        <w:t xml:space="preserve"> regulations to authorize longline pot gear</w:t>
      </w:r>
      <w:r w:rsidR="00A33612">
        <w:t xml:space="preserve"> </w:t>
      </w:r>
      <w:r>
        <w:t>in the Gulf of Alaska sablefish IFQ fishery, and analysis of potential revisions to IFQ</w:t>
      </w:r>
      <w:r w:rsidR="003D40AD">
        <w:t xml:space="preserve"> P</w:t>
      </w:r>
      <w:r>
        <w:t>rogram rules, including medical lease and r</w:t>
      </w:r>
      <w:r w:rsidR="003D40AD">
        <w:t>ight of survivorship provisions;</w:t>
      </w:r>
    </w:p>
    <w:p w14:paraId="46AFB95B" w14:textId="6BC047DA" w:rsidR="00674E97" w:rsidRDefault="00674E97" w:rsidP="000A58B7">
      <w:pPr>
        <w:pStyle w:val="BodyText"/>
        <w:numPr>
          <w:ilvl w:val="0"/>
          <w:numId w:val="19"/>
        </w:numPr>
        <w:contextualSpacing/>
      </w:pPr>
      <w:r>
        <w:t>maintenance of the electronic reporting systems, including the catch accounting system</w:t>
      </w:r>
      <w:r w:rsidR="003D40AD">
        <w:t>;</w:t>
      </w:r>
    </w:p>
    <w:p w14:paraId="5E66BD23" w14:textId="72BD8566" w:rsidR="00674E97" w:rsidRDefault="00674E97" w:rsidP="00674E97">
      <w:pPr>
        <w:pStyle w:val="BodyText"/>
        <w:numPr>
          <w:ilvl w:val="0"/>
          <w:numId w:val="19"/>
        </w:numPr>
        <w:contextualSpacing/>
      </w:pPr>
      <w:r>
        <w:t>programming and web desig</w:t>
      </w:r>
      <w:r w:rsidR="003D40AD">
        <w:t>n for online applications;</w:t>
      </w:r>
    </w:p>
    <w:p w14:paraId="2672C2D4" w14:textId="180D56C6" w:rsidR="00674E97" w:rsidRDefault="00674E97" w:rsidP="00674E97">
      <w:pPr>
        <w:pStyle w:val="BodyText"/>
        <w:numPr>
          <w:ilvl w:val="0"/>
          <w:numId w:val="19"/>
        </w:numPr>
        <w:contextualSpacing/>
      </w:pPr>
      <w:r>
        <w:t>issuance of IFQ and hired master permits, responding t</w:t>
      </w:r>
      <w:r w:rsidR="003D40AD">
        <w:t>o questions about permits;</w:t>
      </w:r>
    </w:p>
    <w:p w14:paraId="1BA91410" w14:textId="6A75091A" w:rsidR="00674E97" w:rsidRDefault="00674E97" w:rsidP="00674E97">
      <w:pPr>
        <w:pStyle w:val="BodyText"/>
        <w:numPr>
          <w:ilvl w:val="0"/>
          <w:numId w:val="19"/>
        </w:numPr>
        <w:contextualSpacing/>
      </w:pPr>
      <w:r>
        <w:t xml:space="preserve">transfers of QS and IFQ, responding to </w:t>
      </w:r>
      <w:r w:rsidR="003D40AD">
        <w:t>questions about transfers;</w:t>
      </w:r>
    </w:p>
    <w:p w14:paraId="40736382" w14:textId="55406F79" w:rsidR="00674E97" w:rsidRDefault="003D40AD" w:rsidP="00674E97">
      <w:pPr>
        <w:pStyle w:val="BodyText"/>
        <w:numPr>
          <w:ilvl w:val="0"/>
          <w:numId w:val="19"/>
        </w:numPr>
        <w:contextualSpacing/>
      </w:pPr>
      <w:r>
        <w:t>annual transfer report;</w:t>
      </w:r>
    </w:p>
    <w:p w14:paraId="6952C2E6" w14:textId="17258BB0" w:rsidR="00674E97" w:rsidRDefault="00674E97" w:rsidP="000A58B7">
      <w:pPr>
        <w:pStyle w:val="BodyText"/>
        <w:numPr>
          <w:ilvl w:val="0"/>
          <w:numId w:val="19"/>
        </w:numPr>
        <w:contextualSpacing/>
      </w:pPr>
      <w:r>
        <w:t>determine standard ex-vessel prices using value and volume reports submitted by IFQ</w:t>
      </w:r>
      <w:r w:rsidR="00A33612">
        <w:t xml:space="preserve"> </w:t>
      </w:r>
      <w:r w:rsidR="00920F8B">
        <w:t>registered buyer</w:t>
      </w:r>
      <w:r>
        <w:t>s</w:t>
      </w:r>
      <w:r w:rsidR="003D40AD">
        <w:t>;</w:t>
      </w:r>
    </w:p>
    <w:p w14:paraId="270BDEE0" w14:textId="2CB2A54D" w:rsidR="00674E97" w:rsidRDefault="00674E97" w:rsidP="00674E97">
      <w:pPr>
        <w:pStyle w:val="BodyText"/>
        <w:numPr>
          <w:ilvl w:val="0"/>
          <w:numId w:val="19"/>
        </w:numPr>
        <w:contextualSpacing/>
      </w:pPr>
      <w:r>
        <w:t>fee determination and collection process</w:t>
      </w:r>
      <w:r w:rsidR="003D40AD">
        <w:t>;</w:t>
      </w:r>
    </w:p>
    <w:p w14:paraId="0D7211BE" w14:textId="53FF6587" w:rsidR="00674E97" w:rsidRDefault="003D40AD" w:rsidP="00674E97">
      <w:pPr>
        <w:pStyle w:val="BodyText"/>
        <w:numPr>
          <w:ilvl w:val="0"/>
          <w:numId w:val="19"/>
        </w:numPr>
        <w:contextualSpacing/>
      </w:pPr>
      <w:r>
        <w:t>port sampling;</w:t>
      </w:r>
    </w:p>
    <w:p w14:paraId="6C1F5BBF" w14:textId="1C4C43D0" w:rsidR="00674E97" w:rsidRDefault="00674E97" w:rsidP="00674E97">
      <w:pPr>
        <w:pStyle w:val="BodyText"/>
        <w:numPr>
          <w:ilvl w:val="0"/>
          <w:numId w:val="19"/>
        </w:numPr>
        <w:contextualSpacing/>
      </w:pPr>
      <w:r>
        <w:t>processing North Pacific IFQ</w:t>
      </w:r>
      <w:r w:rsidR="003D40AD">
        <w:t xml:space="preserve"> loan program applications; and</w:t>
      </w:r>
    </w:p>
    <w:p w14:paraId="18C73A5D" w14:textId="1F0A244B" w:rsidR="00674E97" w:rsidRDefault="00674E97" w:rsidP="000A58B7">
      <w:pPr>
        <w:pStyle w:val="BodyText"/>
        <w:numPr>
          <w:ilvl w:val="0"/>
          <w:numId w:val="19"/>
        </w:numPr>
        <w:contextualSpacing/>
      </w:pPr>
      <w:r>
        <w:t>inspections, boardings, investigations, outreach and education, and compliance assistance</w:t>
      </w:r>
      <w:r w:rsidR="003D40AD">
        <w:t>.</w:t>
      </w:r>
    </w:p>
    <w:p w14:paraId="6C9F5A50" w14:textId="77777777" w:rsidR="006A79C8" w:rsidRPr="00CD4898" w:rsidRDefault="006A79C8" w:rsidP="00735EE7">
      <w:pPr>
        <w:pStyle w:val="BodyText"/>
        <w:contextualSpacing/>
      </w:pPr>
    </w:p>
    <w:p w14:paraId="38589018" w14:textId="0AC62802" w:rsidR="006A79C8" w:rsidRPr="00C93DA6" w:rsidRDefault="00072B2C" w:rsidP="00072B2C">
      <w:pPr>
        <w:pStyle w:val="Heading1"/>
        <w:tabs>
          <w:tab w:val="left" w:pos="360"/>
        </w:tabs>
        <w:ind w:left="0"/>
        <w:contextualSpacing/>
        <w:rPr>
          <w:u w:val="none"/>
        </w:rPr>
      </w:pPr>
      <w:r w:rsidRPr="00072B2C">
        <w:rPr>
          <w:u w:val="none"/>
        </w:rPr>
        <w:t xml:space="preserve">15. </w:t>
      </w:r>
      <w:r w:rsidR="004C62EA" w:rsidRPr="00C93DA6">
        <w:rPr>
          <w:u w:val="thick"/>
        </w:rPr>
        <w:t>Explain the reasons for any program changes or</w:t>
      </w:r>
      <w:r w:rsidR="004C62EA" w:rsidRPr="00C93DA6">
        <w:rPr>
          <w:spacing w:val="-9"/>
          <w:u w:val="thick"/>
        </w:rPr>
        <w:t xml:space="preserve"> </w:t>
      </w:r>
      <w:r w:rsidR="004C62EA" w:rsidRPr="00C93DA6">
        <w:rPr>
          <w:u w:val="thick"/>
        </w:rPr>
        <w:t>adjustments</w:t>
      </w:r>
      <w:r w:rsidR="004C62EA" w:rsidRPr="00C93DA6">
        <w:rPr>
          <w:u w:val="none"/>
        </w:rPr>
        <w:t>.</w:t>
      </w:r>
    </w:p>
    <w:p w14:paraId="389CCB40" w14:textId="77777777" w:rsidR="00BE3232" w:rsidRDefault="00BE3232" w:rsidP="004F5A08">
      <w:pPr>
        <w:pStyle w:val="Heading1"/>
        <w:tabs>
          <w:tab w:val="left" w:pos="1500"/>
        </w:tabs>
        <w:ind w:left="0"/>
        <w:contextualSpacing/>
        <w:rPr>
          <w:u w:val="none"/>
        </w:rPr>
      </w:pPr>
    </w:p>
    <w:p w14:paraId="722E2A9E" w14:textId="77777777" w:rsidR="004F5A08" w:rsidRPr="00BE3232" w:rsidRDefault="00BE3232" w:rsidP="004F5A08">
      <w:pPr>
        <w:pStyle w:val="Heading1"/>
        <w:tabs>
          <w:tab w:val="left" w:pos="1500"/>
        </w:tabs>
        <w:ind w:left="0"/>
        <w:contextualSpacing/>
        <w:rPr>
          <w:u w:val="none"/>
        </w:rPr>
      </w:pPr>
      <w:r w:rsidRPr="00BE3232">
        <w:rPr>
          <w:u w:val="none"/>
        </w:rPr>
        <w:t>Adjustments</w:t>
      </w:r>
    </w:p>
    <w:p w14:paraId="7CDE5F8A" w14:textId="4ACCD744" w:rsidR="00DF64AA" w:rsidRPr="00DF64AA" w:rsidRDefault="00B63409" w:rsidP="004F5A08">
      <w:pPr>
        <w:pStyle w:val="Heading1"/>
        <w:tabs>
          <w:tab w:val="left" w:pos="1500"/>
        </w:tabs>
        <w:ind w:left="0"/>
        <w:contextualSpacing/>
        <w:rPr>
          <w:b w:val="0"/>
          <w:u w:val="none"/>
        </w:rPr>
      </w:pPr>
      <w:r w:rsidRPr="00DF64AA">
        <w:rPr>
          <w:b w:val="0"/>
          <w:u w:val="none"/>
        </w:rPr>
        <w:t>The numbers were adjusted to reflect the most current data (2017)</w:t>
      </w:r>
      <w:r w:rsidR="00417C5F" w:rsidRPr="00DF64AA">
        <w:rPr>
          <w:b w:val="0"/>
          <w:u w:val="none"/>
        </w:rPr>
        <w:t>.</w:t>
      </w:r>
      <w:r w:rsidR="0060663C" w:rsidRPr="00DF64AA">
        <w:rPr>
          <w:b w:val="0"/>
          <w:u w:val="none"/>
        </w:rPr>
        <w:t xml:space="preserve"> The cost of postage increased from 0.45 to 0.49.</w:t>
      </w:r>
      <w:r w:rsidR="00AB7338" w:rsidRPr="00DF64AA">
        <w:rPr>
          <w:b w:val="0"/>
          <w:u w:val="none"/>
        </w:rPr>
        <w:t xml:space="preserve"> </w:t>
      </w:r>
      <w:r w:rsidR="00850296">
        <w:rPr>
          <w:b w:val="0"/>
          <w:u w:val="none"/>
        </w:rPr>
        <w:t xml:space="preserve">Adjustments were also </w:t>
      </w:r>
      <w:r w:rsidR="00895D2B" w:rsidRPr="00DF64AA">
        <w:rPr>
          <w:b w:val="0"/>
          <w:u w:val="none"/>
        </w:rPr>
        <w:t xml:space="preserve">made to reflect </w:t>
      </w:r>
      <w:r w:rsidR="00DF64AA" w:rsidRPr="00DF64AA">
        <w:rPr>
          <w:b w:val="0"/>
          <w:u w:val="none"/>
        </w:rPr>
        <w:t>the following</w:t>
      </w:r>
      <w:r w:rsidR="006A5BAB">
        <w:rPr>
          <w:b w:val="0"/>
          <w:u w:val="none"/>
        </w:rPr>
        <w:t>,</w:t>
      </w:r>
      <w:r w:rsidR="00DF64AA" w:rsidRPr="00DF64AA">
        <w:rPr>
          <w:b w:val="0"/>
          <w:u w:val="none"/>
        </w:rPr>
        <w:t xml:space="preserve"> which are described above under </w:t>
      </w:r>
      <w:r w:rsidR="00850296">
        <w:rPr>
          <w:b w:val="0"/>
          <w:u w:val="none"/>
        </w:rPr>
        <w:t>A</w:t>
      </w:r>
      <w:r w:rsidR="00E479A6" w:rsidRPr="00DF64AA">
        <w:rPr>
          <w:b w:val="0"/>
          <w:u w:val="none"/>
        </w:rPr>
        <w:t xml:space="preserve">2: </w:t>
      </w:r>
    </w:p>
    <w:p w14:paraId="0B619EF6" w14:textId="77777777" w:rsidR="00DF64AA" w:rsidRPr="00DF64AA" w:rsidRDefault="00E479A6" w:rsidP="00DF64AA">
      <w:pPr>
        <w:pStyle w:val="Heading1"/>
        <w:numPr>
          <w:ilvl w:val="0"/>
          <w:numId w:val="18"/>
        </w:numPr>
        <w:tabs>
          <w:tab w:val="left" w:pos="1500"/>
        </w:tabs>
        <w:contextualSpacing/>
        <w:rPr>
          <w:b w:val="0"/>
          <w:u w:val="none"/>
        </w:rPr>
      </w:pPr>
      <w:r w:rsidRPr="00DF64AA">
        <w:rPr>
          <w:b w:val="0"/>
          <w:u w:val="none"/>
        </w:rPr>
        <w:t>the time per response was increased for the Application for IFQ/CDQ Hired Master Permit</w:t>
      </w:r>
      <w:r w:rsidR="00AA767E" w:rsidRPr="00DF64AA">
        <w:rPr>
          <w:b w:val="0"/>
          <w:u w:val="none"/>
        </w:rPr>
        <w:t xml:space="preserve"> and decreased for the Application for Medical Transfer of IFQ; </w:t>
      </w:r>
      <w:r w:rsidR="008940F2" w:rsidRPr="00DF64AA">
        <w:rPr>
          <w:b w:val="0"/>
          <w:u w:val="none"/>
        </w:rPr>
        <w:t xml:space="preserve">and </w:t>
      </w:r>
    </w:p>
    <w:p w14:paraId="7025DD77" w14:textId="3FCDB1AA" w:rsidR="00B63409" w:rsidRPr="00DF64AA" w:rsidRDefault="008940F2" w:rsidP="00DF64AA">
      <w:pPr>
        <w:pStyle w:val="Heading1"/>
        <w:numPr>
          <w:ilvl w:val="0"/>
          <w:numId w:val="18"/>
        </w:numPr>
        <w:tabs>
          <w:tab w:val="left" w:pos="1500"/>
        </w:tabs>
        <w:contextualSpacing/>
        <w:rPr>
          <w:b w:val="0"/>
          <w:u w:val="none"/>
        </w:rPr>
      </w:pPr>
      <w:r w:rsidRPr="00DF64AA">
        <w:rPr>
          <w:b w:val="0"/>
          <w:u w:val="none"/>
        </w:rPr>
        <w:t>the manual landing report was removed from the Registered Buyer Landing Report because the manual</w:t>
      </w:r>
      <w:r w:rsidR="00430EBD">
        <w:rPr>
          <w:b w:val="0"/>
          <w:u w:val="none"/>
        </w:rPr>
        <w:t xml:space="preserve"> landing</w:t>
      </w:r>
      <w:r w:rsidRPr="00DF64AA">
        <w:rPr>
          <w:b w:val="0"/>
          <w:u w:val="none"/>
        </w:rPr>
        <w:t xml:space="preserve"> report is included under </w:t>
      </w:r>
      <w:r w:rsidR="001B77A8" w:rsidRPr="00DF64AA">
        <w:rPr>
          <w:b w:val="0"/>
          <w:u w:val="none"/>
        </w:rPr>
        <w:t xml:space="preserve">OMB </w:t>
      </w:r>
      <w:r w:rsidR="00850296">
        <w:rPr>
          <w:b w:val="0"/>
          <w:u w:val="none"/>
        </w:rPr>
        <w:t>C</w:t>
      </w:r>
      <w:r w:rsidR="008B16A0">
        <w:rPr>
          <w:b w:val="0"/>
          <w:u w:val="none"/>
        </w:rPr>
        <w:t>ontrol</w:t>
      </w:r>
      <w:r w:rsidR="001B77A8" w:rsidRPr="00DF64AA">
        <w:rPr>
          <w:b w:val="0"/>
          <w:u w:val="none"/>
        </w:rPr>
        <w:t xml:space="preserve"> number 0648-0515</w:t>
      </w:r>
      <w:r w:rsidRPr="00DF64AA">
        <w:rPr>
          <w:b w:val="0"/>
          <w:u w:val="none"/>
        </w:rPr>
        <w:t>.</w:t>
      </w:r>
    </w:p>
    <w:p w14:paraId="77AE17FC" w14:textId="77777777" w:rsidR="00BE3232" w:rsidRPr="0060663C" w:rsidRDefault="00BE3232" w:rsidP="004F5A08">
      <w:pPr>
        <w:pStyle w:val="Heading1"/>
        <w:tabs>
          <w:tab w:val="left" w:pos="1500"/>
        </w:tabs>
        <w:ind w:left="0"/>
        <w:contextualSpacing/>
        <w:rPr>
          <w:b w:val="0"/>
          <w:u w:val="none"/>
        </w:rPr>
      </w:pPr>
    </w:p>
    <w:p w14:paraId="6CDB2531" w14:textId="77777777" w:rsidR="00BE3232" w:rsidRPr="0028194B" w:rsidRDefault="00BE3232" w:rsidP="00BE3232">
      <w:pPr>
        <w:pStyle w:val="Heading1"/>
        <w:tabs>
          <w:tab w:val="left" w:pos="1500"/>
        </w:tabs>
        <w:ind w:left="0"/>
        <w:contextualSpacing/>
        <w:rPr>
          <w:b w:val="0"/>
        </w:rPr>
      </w:pPr>
      <w:r w:rsidRPr="0028194B">
        <w:rPr>
          <w:b w:val="0"/>
        </w:rPr>
        <w:t>Application for Eligibility to Receive QS/IFQ by Transfer</w:t>
      </w:r>
    </w:p>
    <w:p w14:paraId="2E2EB260" w14:textId="5A78D39D" w:rsidR="0028194B" w:rsidRDefault="0028194B" w:rsidP="00BE3232">
      <w:pPr>
        <w:pStyle w:val="Heading1"/>
        <w:tabs>
          <w:tab w:val="left" w:pos="1500"/>
        </w:tabs>
        <w:ind w:left="0"/>
        <w:contextualSpacing/>
        <w:rPr>
          <w:b w:val="0"/>
          <w:u w:val="none"/>
        </w:rPr>
      </w:pPr>
      <w:r>
        <w:rPr>
          <w:b w:val="0"/>
          <w:u w:val="none"/>
        </w:rPr>
        <w:t>increase of 88 respondents and responses, 100 instead of 22</w:t>
      </w:r>
    </w:p>
    <w:p w14:paraId="507DE42A" w14:textId="304FF4B6" w:rsidR="0028194B" w:rsidRDefault="0028194B" w:rsidP="00BE3232">
      <w:pPr>
        <w:pStyle w:val="Heading1"/>
        <w:tabs>
          <w:tab w:val="left" w:pos="1500"/>
        </w:tabs>
        <w:ind w:left="0"/>
        <w:contextualSpacing/>
        <w:rPr>
          <w:b w:val="0"/>
          <w:u w:val="none"/>
        </w:rPr>
      </w:pPr>
      <w:r>
        <w:rPr>
          <w:b w:val="0"/>
          <w:u w:val="none"/>
        </w:rPr>
        <w:t>increase of 156 hr burden, 200 hr instead of 44 hr</w:t>
      </w:r>
    </w:p>
    <w:p w14:paraId="08A7108E" w14:textId="11E45F2A" w:rsidR="0028194B" w:rsidRDefault="0028194B" w:rsidP="00BE3232">
      <w:pPr>
        <w:pStyle w:val="Heading1"/>
        <w:tabs>
          <w:tab w:val="left" w:pos="1500"/>
        </w:tabs>
        <w:ind w:left="0"/>
        <w:contextualSpacing/>
        <w:rPr>
          <w:b w:val="0"/>
          <w:u w:val="none"/>
        </w:rPr>
      </w:pPr>
      <w:r>
        <w:rPr>
          <w:b w:val="0"/>
          <w:u w:val="none"/>
        </w:rPr>
        <w:t>increase of $5,772 personnel cost, $7,400 instead of $1,628</w:t>
      </w:r>
    </w:p>
    <w:p w14:paraId="0C32BD47" w14:textId="4B7A11A9" w:rsidR="0028194B" w:rsidRDefault="0028194B" w:rsidP="00BE3232">
      <w:pPr>
        <w:pStyle w:val="Heading1"/>
        <w:tabs>
          <w:tab w:val="left" w:pos="1500"/>
        </w:tabs>
        <w:ind w:left="0"/>
        <w:contextualSpacing/>
        <w:rPr>
          <w:b w:val="0"/>
          <w:u w:val="none"/>
        </w:rPr>
      </w:pPr>
      <w:r>
        <w:rPr>
          <w:b w:val="0"/>
          <w:u w:val="none"/>
        </w:rPr>
        <w:t>increase of $441 miscellaneous cost, $564 instead of $123</w:t>
      </w:r>
    </w:p>
    <w:p w14:paraId="11940E49" w14:textId="77777777" w:rsidR="0028194B" w:rsidRPr="00BE3232" w:rsidRDefault="0028194B" w:rsidP="00BE3232">
      <w:pPr>
        <w:pStyle w:val="Heading1"/>
        <w:tabs>
          <w:tab w:val="left" w:pos="1500"/>
        </w:tabs>
        <w:ind w:left="0"/>
        <w:contextualSpacing/>
        <w:rPr>
          <w:b w:val="0"/>
          <w:u w:val="none"/>
        </w:rPr>
      </w:pPr>
    </w:p>
    <w:p w14:paraId="77F4B08D" w14:textId="77777777" w:rsidR="00BE3232" w:rsidRPr="0028194B" w:rsidRDefault="00BE3232" w:rsidP="00BE3232">
      <w:pPr>
        <w:pStyle w:val="Heading1"/>
        <w:tabs>
          <w:tab w:val="left" w:pos="1500"/>
        </w:tabs>
        <w:ind w:left="0"/>
        <w:contextualSpacing/>
        <w:rPr>
          <w:b w:val="0"/>
        </w:rPr>
      </w:pPr>
      <w:r w:rsidRPr="0028194B">
        <w:rPr>
          <w:b w:val="0"/>
        </w:rPr>
        <w:t>Quota Share (QS) Holder: Identification of Ownership Interest</w:t>
      </w:r>
    </w:p>
    <w:p w14:paraId="01260D9C" w14:textId="777E4BF7" w:rsidR="00A31729" w:rsidRPr="00A31729" w:rsidRDefault="00A31729" w:rsidP="00A31729">
      <w:pPr>
        <w:pStyle w:val="Heading1"/>
        <w:tabs>
          <w:tab w:val="left" w:pos="1500"/>
        </w:tabs>
        <w:ind w:left="0"/>
        <w:contextualSpacing/>
        <w:rPr>
          <w:b w:val="0"/>
          <w:u w:val="none"/>
        </w:rPr>
      </w:pPr>
      <w:r>
        <w:rPr>
          <w:b w:val="0"/>
          <w:u w:val="none"/>
        </w:rPr>
        <w:t xml:space="preserve">decrease of 10 </w:t>
      </w:r>
      <w:r w:rsidRPr="00A31729">
        <w:rPr>
          <w:b w:val="0"/>
          <w:u w:val="none"/>
        </w:rPr>
        <w:t xml:space="preserve">respondents and responses, </w:t>
      </w:r>
      <w:r>
        <w:rPr>
          <w:b w:val="0"/>
          <w:u w:val="none"/>
        </w:rPr>
        <w:t>15</w:t>
      </w:r>
      <w:r w:rsidRPr="00A31729">
        <w:rPr>
          <w:b w:val="0"/>
          <w:u w:val="none"/>
        </w:rPr>
        <w:t xml:space="preserve">0 instead of </w:t>
      </w:r>
      <w:r>
        <w:rPr>
          <w:b w:val="0"/>
          <w:u w:val="none"/>
        </w:rPr>
        <w:t>160</w:t>
      </w:r>
    </w:p>
    <w:p w14:paraId="2BE4BADE" w14:textId="1108202F" w:rsidR="00A31729" w:rsidRPr="00A31729" w:rsidRDefault="00A31729" w:rsidP="00A31729">
      <w:pPr>
        <w:pStyle w:val="Heading1"/>
        <w:tabs>
          <w:tab w:val="left" w:pos="1500"/>
        </w:tabs>
        <w:ind w:left="0"/>
        <w:contextualSpacing/>
        <w:rPr>
          <w:b w:val="0"/>
          <w:u w:val="none"/>
        </w:rPr>
      </w:pPr>
      <w:r>
        <w:rPr>
          <w:b w:val="0"/>
          <w:u w:val="none"/>
        </w:rPr>
        <w:t>decrease of 20</w:t>
      </w:r>
      <w:r w:rsidRPr="00A31729">
        <w:rPr>
          <w:b w:val="0"/>
          <w:u w:val="none"/>
        </w:rPr>
        <w:t xml:space="preserve"> hr burden, </w:t>
      </w:r>
      <w:r>
        <w:rPr>
          <w:b w:val="0"/>
          <w:u w:val="none"/>
        </w:rPr>
        <w:t>30</w:t>
      </w:r>
      <w:r w:rsidRPr="00A31729">
        <w:rPr>
          <w:b w:val="0"/>
          <w:u w:val="none"/>
        </w:rPr>
        <w:t xml:space="preserve">0 hr instead of </w:t>
      </w:r>
      <w:r>
        <w:rPr>
          <w:b w:val="0"/>
          <w:u w:val="none"/>
        </w:rPr>
        <w:t>320</w:t>
      </w:r>
      <w:r w:rsidRPr="00A31729">
        <w:rPr>
          <w:b w:val="0"/>
          <w:u w:val="none"/>
        </w:rPr>
        <w:t xml:space="preserve"> hr</w:t>
      </w:r>
    </w:p>
    <w:p w14:paraId="00E19C0A" w14:textId="27DE3CB9" w:rsidR="00A31729" w:rsidRPr="00A31729" w:rsidRDefault="00A31729" w:rsidP="00A31729">
      <w:pPr>
        <w:pStyle w:val="Heading1"/>
        <w:tabs>
          <w:tab w:val="left" w:pos="1500"/>
        </w:tabs>
        <w:ind w:left="0"/>
        <w:contextualSpacing/>
        <w:rPr>
          <w:b w:val="0"/>
          <w:u w:val="none"/>
        </w:rPr>
      </w:pPr>
      <w:r>
        <w:rPr>
          <w:b w:val="0"/>
          <w:u w:val="none"/>
        </w:rPr>
        <w:t>decrease</w:t>
      </w:r>
      <w:r w:rsidRPr="00A31729">
        <w:rPr>
          <w:b w:val="0"/>
          <w:u w:val="none"/>
        </w:rPr>
        <w:t xml:space="preserve"> of $</w:t>
      </w:r>
      <w:r>
        <w:rPr>
          <w:b w:val="0"/>
          <w:u w:val="none"/>
        </w:rPr>
        <w:t>740</w:t>
      </w:r>
      <w:r w:rsidRPr="00A31729">
        <w:rPr>
          <w:b w:val="0"/>
          <w:u w:val="none"/>
        </w:rPr>
        <w:t xml:space="preserve"> personnel cost, $</w:t>
      </w:r>
      <w:r>
        <w:rPr>
          <w:b w:val="0"/>
          <w:u w:val="none"/>
        </w:rPr>
        <w:t>11,1</w:t>
      </w:r>
      <w:r w:rsidRPr="00A31729">
        <w:rPr>
          <w:b w:val="0"/>
          <w:u w:val="none"/>
        </w:rPr>
        <w:t>00 instead of $</w:t>
      </w:r>
      <w:r>
        <w:rPr>
          <w:b w:val="0"/>
          <w:u w:val="none"/>
        </w:rPr>
        <w:t>1</w:t>
      </w:r>
      <w:r w:rsidRPr="00A31729">
        <w:rPr>
          <w:b w:val="0"/>
          <w:u w:val="none"/>
        </w:rPr>
        <w:t>1,</w:t>
      </w:r>
      <w:r>
        <w:rPr>
          <w:b w:val="0"/>
          <w:u w:val="none"/>
        </w:rPr>
        <w:t>840</w:t>
      </w:r>
    </w:p>
    <w:p w14:paraId="6A2BCBE3" w14:textId="44429B19" w:rsidR="0028194B" w:rsidRDefault="00A31729" w:rsidP="00A31729">
      <w:pPr>
        <w:pStyle w:val="Heading1"/>
        <w:tabs>
          <w:tab w:val="left" w:pos="1500"/>
        </w:tabs>
        <w:ind w:left="0"/>
        <w:contextualSpacing/>
        <w:rPr>
          <w:b w:val="0"/>
          <w:u w:val="none"/>
        </w:rPr>
      </w:pPr>
      <w:r>
        <w:rPr>
          <w:b w:val="0"/>
          <w:u w:val="none"/>
        </w:rPr>
        <w:t>decrease</w:t>
      </w:r>
      <w:r w:rsidRPr="00A31729">
        <w:rPr>
          <w:b w:val="0"/>
          <w:u w:val="none"/>
        </w:rPr>
        <w:t xml:space="preserve"> of $</w:t>
      </w:r>
      <w:r>
        <w:rPr>
          <w:b w:val="0"/>
          <w:u w:val="none"/>
        </w:rPr>
        <w:t>30</w:t>
      </w:r>
      <w:r w:rsidRPr="00A31729">
        <w:rPr>
          <w:b w:val="0"/>
          <w:u w:val="none"/>
        </w:rPr>
        <w:t xml:space="preserve"> miscellaneous cost, $</w:t>
      </w:r>
      <w:r>
        <w:rPr>
          <w:b w:val="0"/>
          <w:u w:val="none"/>
        </w:rPr>
        <w:t>504</w:t>
      </w:r>
      <w:r w:rsidRPr="00A31729">
        <w:rPr>
          <w:b w:val="0"/>
          <w:u w:val="none"/>
        </w:rPr>
        <w:t xml:space="preserve"> instead of $</w:t>
      </w:r>
      <w:r>
        <w:rPr>
          <w:b w:val="0"/>
          <w:u w:val="none"/>
        </w:rPr>
        <w:t>474</w:t>
      </w:r>
    </w:p>
    <w:p w14:paraId="2D39B805" w14:textId="77777777" w:rsidR="0028194B" w:rsidRDefault="0028194B" w:rsidP="00BE3232">
      <w:pPr>
        <w:pStyle w:val="Heading1"/>
        <w:tabs>
          <w:tab w:val="left" w:pos="1500"/>
        </w:tabs>
        <w:ind w:left="0"/>
        <w:contextualSpacing/>
        <w:rPr>
          <w:b w:val="0"/>
          <w:u w:val="none"/>
        </w:rPr>
      </w:pPr>
    </w:p>
    <w:p w14:paraId="1A555868" w14:textId="77777777" w:rsidR="00BE3232" w:rsidRPr="0028194B" w:rsidRDefault="00BE3232" w:rsidP="00BE3232">
      <w:pPr>
        <w:pStyle w:val="Heading1"/>
        <w:tabs>
          <w:tab w:val="left" w:pos="1500"/>
        </w:tabs>
        <w:ind w:left="0"/>
        <w:contextualSpacing/>
        <w:rPr>
          <w:b w:val="0"/>
        </w:rPr>
      </w:pPr>
      <w:r w:rsidRPr="0028194B">
        <w:rPr>
          <w:b w:val="0"/>
        </w:rPr>
        <w:t>Application for IFQ/CDQ Hired Master Permit</w:t>
      </w:r>
    </w:p>
    <w:p w14:paraId="572D5749" w14:textId="092D3899" w:rsidR="002A263B" w:rsidRPr="00A31729" w:rsidRDefault="005C78C0" w:rsidP="002A263B">
      <w:pPr>
        <w:pStyle w:val="Heading1"/>
        <w:tabs>
          <w:tab w:val="left" w:pos="1500"/>
        </w:tabs>
        <w:ind w:left="0"/>
        <w:contextualSpacing/>
        <w:rPr>
          <w:b w:val="0"/>
          <w:u w:val="none"/>
        </w:rPr>
      </w:pPr>
      <w:r>
        <w:rPr>
          <w:b w:val="0"/>
          <w:u w:val="none"/>
        </w:rPr>
        <w:t xml:space="preserve">decrease of 1,127 </w:t>
      </w:r>
      <w:r w:rsidR="002A263B" w:rsidRPr="00A31729">
        <w:rPr>
          <w:b w:val="0"/>
          <w:u w:val="none"/>
        </w:rPr>
        <w:t xml:space="preserve">respondents and responses, </w:t>
      </w:r>
      <w:r>
        <w:rPr>
          <w:b w:val="0"/>
          <w:u w:val="none"/>
        </w:rPr>
        <w:t>200</w:t>
      </w:r>
      <w:r w:rsidR="002A263B" w:rsidRPr="00A31729">
        <w:rPr>
          <w:b w:val="0"/>
          <w:u w:val="none"/>
        </w:rPr>
        <w:t xml:space="preserve"> instead of </w:t>
      </w:r>
      <w:r>
        <w:rPr>
          <w:b w:val="0"/>
          <w:u w:val="none"/>
        </w:rPr>
        <w:t>1,327</w:t>
      </w:r>
    </w:p>
    <w:p w14:paraId="017A6CA1" w14:textId="341AC7AE" w:rsidR="002A263B" w:rsidRPr="00A31729" w:rsidRDefault="002A263B" w:rsidP="002A263B">
      <w:pPr>
        <w:pStyle w:val="Heading1"/>
        <w:tabs>
          <w:tab w:val="left" w:pos="1500"/>
        </w:tabs>
        <w:ind w:left="0"/>
        <w:contextualSpacing/>
        <w:rPr>
          <w:b w:val="0"/>
          <w:u w:val="none"/>
        </w:rPr>
      </w:pPr>
      <w:r>
        <w:rPr>
          <w:b w:val="0"/>
          <w:u w:val="none"/>
        </w:rPr>
        <w:t xml:space="preserve">decrease of </w:t>
      </w:r>
      <w:r w:rsidR="005C78C0">
        <w:rPr>
          <w:b w:val="0"/>
          <w:u w:val="none"/>
        </w:rPr>
        <w:t>464</w:t>
      </w:r>
      <w:r w:rsidRPr="00A31729">
        <w:rPr>
          <w:b w:val="0"/>
          <w:u w:val="none"/>
        </w:rPr>
        <w:t xml:space="preserve"> hr burden, </w:t>
      </w:r>
      <w:r w:rsidR="005C78C0">
        <w:rPr>
          <w:b w:val="0"/>
          <w:u w:val="none"/>
        </w:rPr>
        <w:t>2</w:t>
      </w:r>
      <w:r>
        <w:rPr>
          <w:b w:val="0"/>
          <w:u w:val="none"/>
        </w:rPr>
        <w:t>0</w:t>
      </w:r>
      <w:r w:rsidRPr="00A31729">
        <w:rPr>
          <w:b w:val="0"/>
          <w:u w:val="none"/>
        </w:rPr>
        <w:t xml:space="preserve">0 hr instead of </w:t>
      </w:r>
      <w:r w:rsidR="005C78C0">
        <w:rPr>
          <w:b w:val="0"/>
          <w:u w:val="none"/>
        </w:rPr>
        <w:t>664</w:t>
      </w:r>
      <w:r w:rsidRPr="00A31729">
        <w:rPr>
          <w:b w:val="0"/>
          <w:u w:val="none"/>
        </w:rPr>
        <w:t xml:space="preserve"> hr</w:t>
      </w:r>
    </w:p>
    <w:p w14:paraId="50A61F8C" w14:textId="2FD6233F" w:rsidR="002A263B" w:rsidRPr="00A31729" w:rsidRDefault="002A263B" w:rsidP="002A263B">
      <w:pPr>
        <w:pStyle w:val="Heading1"/>
        <w:tabs>
          <w:tab w:val="left" w:pos="1500"/>
        </w:tabs>
        <w:ind w:left="0"/>
        <w:contextualSpacing/>
        <w:rPr>
          <w:b w:val="0"/>
          <w:u w:val="none"/>
        </w:rPr>
      </w:pPr>
      <w:r>
        <w:rPr>
          <w:b w:val="0"/>
          <w:u w:val="none"/>
        </w:rPr>
        <w:t>decrease</w:t>
      </w:r>
      <w:r w:rsidRPr="00A31729">
        <w:rPr>
          <w:b w:val="0"/>
          <w:u w:val="none"/>
        </w:rPr>
        <w:t xml:space="preserve"> of $</w:t>
      </w:r>
      <w:r w:rsidR="005C78C0">
        <w:rPr>
          <w:b w:val="0"/>
          <w:u w:val="none"/>
        </w:rPr>
        <w:t>6,475</w:t>
      </w:r>
      <w:r w:rsidRPr="00A31729">
        <w:rPr>
          <w:b w:val="0"/>
          <w:u w:val="none"/>
        </w:rPr>
        <w:t xml:space="preserve"> personnel cost, $</w:t>
      </w:r>
      <w:r w:rsidR="005C78C0">
        <w:rPr>
          <w:b w:val="0"/>
          <w:u w:val="none"/>
        </w:rPr>
        <w:t>7,400</w:t>
      </w:r>
      <w:r w:rsidRPr="00A31729">
        <w:rPr>
          <w:b w:val="0"/>
          <w:u w:val="none"/>
        </w:rPr>
        <w:t xml:space="preserve"> instead of $</w:t>
      </w:r>
      <w:r w:rsidR="005C78C0">
        <w:rPr>
          <w:b w:val="0"/>
          <w:u w:val="none"/>
        </w:rPr>
        <w:t>13,875</w:t>
      </w:r>
    </w:p>
    <w:p w14:paraId="10152D82" w14:textId="2EEA7341" w:rsidR="002A263B" w:rsidRDefault="002A263B" w:rsidP="002A263B">
      <w:pPr>
        <w:pStyle w:val="Heading1"/>
        <w:tabs>
          <w:tab w:val="left" w:pos="1500"/>
        </w:tabs>
        <w:ind w:left="0"/>
        <w:contextualSpacing/>
        <w:rPr>
          <w:b w:val="0"/>
          <w:u w:val="none"/>
        </w:rPr>
      </w:pPr>
      <w:r>
        <w:rPr>
          <w:b w:val="0"/>
          <w:u w:val="none"/>
        </w:rPr>
        <w:t>decrease</w:t>
      </w:r>
      <w:r w:rsidRPr="00A31729">
        <w:rPr>
          <w:b w:val="0"/>
          <w:u w:val="none"/>
        </w:rPr>
        <w:t xml:space="preserve"> of $</w:t>
      </w:r>
      <w:r w:rsidR="005C78C0">
        <w:rPr>
          <w:b w:val="0"/>
          <w:u w:val="none"/>
        </w:rPr>
        <w:t>71</w:t>
      </w:r>
      <w:r>
        <w:rPr>
          <w:b w:val="0"/>
          <w:u w:val="none"/>
        </w:rPr>
        <w:t>0</w:t>
      </w:r>
      <w:r w:rsidRPr="00A31729">
        <w:rPr>
          <w:b w:val="0"/>
          <w:u w:val="none"/>
        </w:rPr>
        <w:t xml:space="preserve"> miscellaneous cost, $</w:t>
      </w:r>
      <w:r w:rsidR="005C78C0">
        <w:rPr>
          <w:b w:val="0"/>
          <w:u w:val="none"/>
        </w:rPr>
        <w:t>170</w:t>
      </w:r>
      <w:r w:rsidRPr="00A31729">
        <w:rPr>
          <w:b w:val="0"/>
          <w:u w:val="none"/>
        </w:rPr>
        <w:t xml:space="preserve"> instead of $</w:t>
      </w:r>
      <w:r w:rsidR="005C78C0">
        <w:rPr>
          <w:b w:val="0"/>
          <w:u w:val="none"/>
        </w:rPr>
        <w:t>880</w:t>
      </w:r>
    </w:p>
    <w:p w14:paraId="177F8588" w14:textId="77777777" w:rsidR="0028194B" w:rsidRDefault="0028194B" w:rsidP="00BE3232">
      <w:pPr>
        <w:pStyle w:val="Heading1"/>
        <w:tabs>
          <w:tab w:val="left" w:pos="1500"/>
        </w:tabs>
        <w:ind w:left="0"/>
        <w:contextualSpacing/>
        <w:rPr>
          <w:b w:val="0"/>
          <w:u w:val="none"/>
        </w:rPr>
      </w:pPr>
    </w:p>
    <w:p w14:paraId="123279D1" w14:textId="77777777" w:rsidR="00BE3232" w:rsidRPr="0028194B" w:rsidRDefault="00BE3232" w:rsidP="00BE3232">
      <w:pPr>
        <w:pStyle w:val="Heading1"/>
        <w:tabs>
          <w:tab w:val="left" w:pos="1500"/>
        </w:tabs>
        <w:ind w:left="0"/>
        <w:contextualSpacing/>
        <w:rPr>
          <w:b w:val="0"/>
        </w:rPr>
      </w:pPr>
      <w:r w:rsidRPr="0028194B">
        <w:rPr>
          <w:b w:val="0"/>
        </w:rPr>
        <w:t>Application for IFQ/CDQ Registered Buyer Permit</w:t>
      </w:r>
    </w:p>
    <w:p w14:paraId="3577FE60" w14:textId="1958C67A" w:rsidR="007C508C" w:rsidRPr="00A31729" w:rsidRDefault="007C508C" w:rsidP="007C508C">
      <w:pPr>
        <w:pStyle w:val="Heading1"/>
        <w:tabs>
          <w:tab w:val="left" w:pos="1500"/>
        </w:tabs>
        <w:ind w:left="0"/>
        <w:contextualSpacing/>
        <w:rPr>
          <w:b w:val="0"/>
          <w:u w:val="none"/>
        </w:rPr>
      </w:pPr>
      <w:r>
        <w:rPr>
          <w:b w:val="0"/>
          <w:u w:val="none"/>
        </w:rPr>
        <w:t xml:space="preserve">decrease of 55 </w:t>
      </w:r>
      <w:r w:rsidRPr="00A31729">
        <w:rPr>
          <w:b w:val="0"/>
          <w:u w:val="none"/>
        </w:rPr>
        <w:t xml:space="preserve">respondents and responses, </w:t>
      </w:r>
      <w:r>
        <w:rPr>
          <w:b w:val="0"/>
          <w:u w:val="none"/>
        </w:rPr>
        <w:t>235</w:t>
      </w:r>
      <w:r w:rsidRPr="00A31729">
        <w:rPr>
          <w:b w:val="0"/>
          <w:u w:val="none"/>
        </w:rPr>
        <w:t xml:space="preserve"> instead of </w:t>
      </w:r>
      <w:r>
        <w:rPr>
          <w:b w:val="0"/>
          <w:u w:val="none"/>
        </w:rPr>
        <w:t>290</w:t>
      </w:r>
    </w:p>
    <w:p w14:paraId="57666C3C" w14:textId="47938B7E" w:rsidR="007C508C" w:rsidRPr="00A31729" w:rsidRDefault="007C508C" w:rsidP="007C508C">
      <w:pPr>
        <w:pStyle w:val="Heading1"/>
        <w:tabs>
          <w:tab w:val="left" w:pos="1500"/>
        </w:tabs>
        <w:ind w:left="0"/>
        <w:contextualSpacing/>
        <w:rPr>
          <w:b w:val="0"/>
          <w:u w:val="none"/>
        </w:rPr>
      </w:pPr>
      <w:r>
        <w:rPr>
          <w:b w:val="0"/>
          <w:u w:val="none"/>
        </w:rPr>
        <w:t>decrease of 27</w:t>
      </w:r>
      <w:r w:rsidRPr="00A31729">
        <w:rPr>
          <w:b w:val="0"/>
          <w:u w:val="none"/>
        </w:rPr>
        <w:t xml:space="preserve"> hr burden, </w:t>
      </w:r>
      <w:r>
        <w:rPr>
          <w:b w:val="0"/>
          <w:u w:val="none"/>
        </w:rPr>
        <w:t>118</w:t>
      </w:r>
      <w:r w:rsidRPr="00A31729">
        <w:rPr>
          <w:b w:val="0"/>
          <w:u w:val="none"/>
        </w:rPr>
        <w:t xml:space="preserve"> hr instead of </w:t>
      </w:r>
      <w:r>
        <w:rPr>
          <w:b w:val="0"/>
          <w:u w:val="none"/>
        </w:rPr>
        <w:t>145</w:t>
      </w:r>
      <w:r w:rsidRPr="00A31729">
        <w:rPr>
          <w:b w:val="0"/>
          <w:u w:val="none"/>
        </w:rPr>
        <w:t xml:space="preserve"> hr</w:t>
      </w:r>
    </w:p>
    <w:p w14:paraId="0F531EF4" w14:textId="0360885E" w:rsidR="007C508C" w:rsidRPr="00A31729" w:rsidRDefault="007C508C" w:rsidP="007C508C">
      <w:pPr>
        <w:pStyle w:val="Heading1"/>
        <w:tabs>
          <w:tab w:val="left" w:pos="1500"/>
        </w:tabs>
        <w:ind w:left="0"/>
        <w:contextualSpacing/>
        <w:rPr>
          <w:b w:val="0"/>
          <w:u w:val="none"/>
        </w:rPr>
      </w:pPr>
      <w:r>
        <w:rPr>
          <w:b w:val="0"/>
          <w:u w:val="none"/>
        </w:rPr>
        <w:t>decrease</w:t>
      </w:r>
      <w:r w:rsidRPr="00A31729">
        <w:rPr>
          <w:b w:val="0"/>
          <w:u w:val="none"/>
        </w:rPr>
        <w:t xml:space="preserve"> of $</w:t>
      </w:r>
      <w:r w:rsidR="00903FC0">
        <w:rPr>
          <w:b w:val="0"/>
          <w:u w:val="none"/>
        </w:rPr>
        <w:t>999</w:t>
      </w:r>
      <w:r w:rsidRPr="00A31729">
        <w:rPr>
          <w:b w:val="0"/>
          <w:u w:val="none"/>
        </w:rPr>
        <w:t xml:space="preserve"> personnel cost, $</w:t>
      </w:r>
      <w:r w:rsidR="00903FC0">
        <w:rPr>
          <w:b w:val="0"/>
          <w:u w:val="none"/>
        </w:rPr>
        <w:t>4,366</w:t>
      </w:r>
      <w:r w:rsidRPr="00A31729">
        <w:rPr>
          <w:b w:val="0"/>
          <w:u w:val="none"/>
        </w:rPr>
        <w:t xml:space="preserve"> instead of $</w:t>
      </w:r>
      <w:r w:rsidR="00903FC0">
        <w:rPr>
          <w:b w:val="0"/>
          <w:u w:val="none"/>
        </w:rPr>
        <w:t>5,365</w:t>
      </w:r>
    </w:p>
    <w:p w14:paraId="02D7325D" w14:textId="2D5C74F4" w:rsidR="007C508C" w:rsidRDefault="007C508C" w:rsidP="007C508C">
      <w:pPr>
        <w:pStyle w:val="Heading1"/>
        <w:tabs>
          <w:tab w:val="left" w:pos="1500"/>
        </w:tabs>
        <w:ind w:left="0"/>
        <w:contextualSpacing/>
        <w:rPr>
          <w:b w:val="0"/>
          <w:u w:val="none"/>
        </w:rPr>
      </w:pPr>
      <w:r>
        <w:rPr>
          <w:b w:val="0"/>
          <w:u w:val="none"/>
        </w:rPr>
        <w:t>decrease</w:t>
      </w:r>
      <w:r w:rsidRPr="00A31729">
        <w:rPr>
          <w:b w:val="0"/>
          <w:u w:val="none"/>
        </w:rPr>
        <w:t xml:space="preserve"> of $</w:t>
      </w:r>
      <w:r w:rsidR="00920AE9">
        <w:rPr>
          <w:b w:val="0"/>
          <w:u w:val="none"/>
        </w:rPr>
        <w:t>28</w:t>
      </w:r>
      <w:r w:rsidRPr="00A31729">
        <w:rPr>
          <w:b w:val="0"/>
          <w:u w:val="none"/>
        </w:rPr>
        <w:t xml:space="preserve"> miscellaneous cost, $</w:t>
      </w:r>
      <w:r w:rsidR="00920AE9">
        <w:rPr>
          <w:b w:val="0"/>
          <w:u w:val="none"/>
        </w:rPr>
        <w:t>69</w:t>
      </w:r>
      <w:r w:rsidRPr="00A31729">
        <w:rPr>
          <w:b w:val="0"/>
          <w:u w:val="none"/>
        </w:rPr>
        <w:t xml:space="preserve"> instead of $</w:t>
      </w:r>
      <w:r w:rsidR="004C183D">
        <w:rPr>
          <w:b w:val="0"/>
          <w:u w:val="none"/>
        </w:rPr>
        <w:t>97</w:t>
      </w:r>
    </w:p>
    <w:p w14:paraId="14B3C459" w14:textId="77777777" w:rsidR="0028194B" w:rsidRPr="00C82994" w:rsidRDefault="0028194B" w:rsidP="00BE3232">
      <w:pPr>
        <w:pStyle w:val="Heading1"/>
        <w:tabs>
          <w:tab w:val="left" w:pos="1500"/>
        </w:tabs>
        <w:ind w:left="0"/>
        <w:contextualSpacing/>
        <w:rPr>
          <w:b w:val="0"/>
          <w:u w:val="none"/>
        </w:rPr>
      </w:pPr>
    </w:p>
    <w:p w14:paraId="4F804467" w14:textId="77777777" w:rsidR="00BE3232" w:rsidRPr="0028194B" w:rsidRDefault="00BE3232" w:rsidP="00BE3232">
      <w:pPr>
        <w:pStyle w:val="Heading1"/>
        <w:tabs>
          <w:tab w:val="left" w:pos="1500"/>
        </w:tabs>
        <w:ind w:left="0"/>
        <w:contextualSpacing/>
        <w:rPr>
          <w:b w:val="0"/>
        </w:rPr>
      </w:pPr>
      <w:r w:rsidRPr="00050EF9">
        <w:rPr>
          <w:b w:val="0"/>
        </w:rPr>
        <w:t>QS/IFQ Beneficiary Designation Form</w:t>
      </w:r>
    </w:p>
    <w:p w14:paraId="56E551E5" w14:textId="19FFFA0F" w:rsidR="00050EF9" w:rsidRPr="00050EF9" w:rsidRDefault="00050EF9" w:rsidP="00050EF9">
      <w:pPr>
        <w:pStyle w:val="Heading1"/>
        <w:tabs>
          <w:tab w:val="left" w:pos="1500"/>
        </w:tabs>
        <w:ind w:left="0"/>
        <w:contextualSpacing/>
        <w:rPr>
          <w:b w:val="0"/>
          <w:u w:val="none"/>
        </w:rPr>
      </w:pPr>
      <w:r w:rsidRPr="00050EF9">
        <w:rPr>
          <w:b w:val="0"/>
          <w:u w:val="none"/>
        </w:rPr>
        <w:t xml:space="preserve">decrease of </w:t>
      </w:r>
      <w:r>
        <w:rPr>
          <w:b w:val="0"/>
          <w:u w:val="none"/>
        </w:rPr>
        <w:t>126</w:t>
      </w:r>
      <w:r w:rsidRPr="00050EF9">
        <w:rPr>
          <w:b w:val="0"/>
          <w:u w:val="none"/>
        </w:rPr>
        <w:t xml:space="preserve"> respondents and responses, </w:t>
      </w:r>
      <w:r>
        <w:rPr>
          <w:b w:val="0"/>
          <w:u w:val="none"/>
        </w:rPr>
        <w:t>12</w:t>
      </w:r>
      <w:r w:rsidRPr="00050EF9">
        <w:rPr>
          <w:b w:val="0"/>
          <w:u w:val="none"/>
        </w:rPr>
        <w:t xml:space="preserve"> instead of </w:t>
      </w:r>
      <w:r>
        <w:rPr>
          <w:b w:val="0"/>
          <w:u w:val="none"/>
        </w:rPr>
        <w:t>138</w:t>
      </w:r>
    </w:p>
    <w:p w14:paraId="36839B67" w14:textId="0102F005" w:rsidR="00050EF9" w:rsidRPr="00050EF9" w:rsidRDefault="00050EF9" w:rsidP="00050EF9">
      <w:pPr>
        <w:pStyle w:val="Heading1"/>
        <w:tabs>
          <w:tab w:val="left" w:pos="1500"/>
        </w:tabs>
        <w:ind w:left="0"/>
        <w:contextualSpacing/>
        <w:rPr>
          <w:b w:val="0"/>
          <w:u w:val="none"/>
        </w:rPr>
      </w:pPr>
      <w:r w:rsidRPr="00050EF9">
        <w:rPr>
          <w:b w:val="0"/>
          <w:u w:val="none"/>
        </w:rPr>
        <w:t xml:space="preserve">decrease of </w:t>
      </w:r>
      <w:r>
        <w:rPr>
          <w:b w:val="0"/>
          <w:u w:val="none"/>
        </w:rPr>
        <w:t>63</w:t>
      </w:r>
      <w:r w:rsidRPr="00050EF9">
        <w:rPr>
          <w:b w:val="0"/>
          <w:u w:val="none"/>
        </w:rPr>
        <w:t xml:space="preserve"> hr burden, </w:t>
      </w:r>
      <w:r>
        <w:rPr>
          <w:b w:val="0"/>
          <w:u w:val="none"/>
        </w:rPr>
        <w:t>6</w:t>
      </w:r>
      <w:r w:rsidRPr="00050EF9">
        <w:rPr>
          <w:b w:val="0"/>
          <w:u w:val="none"/>
        </w:rPr>
        <w:t xml:space="preserve"> hr instead of </w:t>
      </w:r>
      <w:r>
        <w:rPr>
          <w:b w:val="0"/>
          <w:u w:val="none"/>
        </w:rPr>
        <w:t>69</w:t>
      </w:r>
      <w:r w:rsidRPr="00050EF9">
        <w:rPr>
          <w:b w:val="0"/>
          <w:u w:val="none"/>
        </w:rPr>
        <w:t xml:space="preserve"> hr</w:t>
      </w:r>
    </w:p>
    <w:p w14:paraId="71ED96C1" w14:textId="1C02FE49" w:rsidR="00050EF9" w:rsidRPr="00050EF9" w:rsidRDefault="00050EF9" w:rsidP="00050EF9">
      <w:pPr>
        <w:pStyle w:val="Heading1"/>
        <w:tabs>
          <w:tab w:val="left" w:pos="1500"/>
        </w:tabs>
        <w:ind w:left="0"/>
        <w:contextualSpacing/>
        <w:rPr>
          <w:b w:val="0"/>
          <w:u w:val="none"/>
        </w:rPr>
      </w:pPr>
      <w:r w:rsidRPr="00050EF9">
        <w:rPr>
          <w:b w:val="0"/>
          <w:u w:val="none"/>
        </w:rPr>
        <w:t>decrease of $</w:t>
      </w:r>
      <w:r>
        <w:rPr>
          <w:b w:val="0"/>
          <w:u w:val="none"/>
        </w:rPr>
        <w:t>2,331</w:t>
      </w:r>
      <w:r w:rsidRPr="00050EF9">
        <w:rPr>
          <w:b w:val="0"/>
          <w:u w:val="none"/>
        </w:rPr>
        <w:t xml:space="preserve"> personnel cost, $</w:t>
      </w:r>
      <w:r>
        <w:rPr>
          <w:b w:val="0"/>
          <w:u w:val="none"/>
        </w:rPr>
        <w:t>222</w:t>
      </w:r>
      <w:r w:rsidRPr="00050EF9">
        <w:rPr>
          <w:b w:val="0"/>
          <w:u w:val="none"/>
        </w:rPr>
        <w:t xml:space="preserve"> instead of $</w:t>
      </w:r>
      <w:r>
        <w:rPr>
          <w:b w:val="0"/>
          <w:u w:val="none"/>
        </w:rPr>
        <w:t>2,553</w:t>
      </w:r>
    </w:p>
    <w:p w14:paraId="06CD0B7F" w14:textId="7E694396" w:rsidR="0028194B" w:rsidRDefault="00050EF9" w:rsidP="00050EF9">
      <w:pPr>
        <w:pStyle w:val="Heading1"/>
        <w:tabs>
          <w:tab w:val="left" w:pos="1500"/>
        </w:tabs>
        <w:ind w:left="0"/>
        <w:contextualSpacing/>
        <w:rPr>
          <w:b w:val="0"/>
          <w:u w:val="none"/>
        </w:rPr>
      </w:pPr>
      <w:r>
        <w:rPr>
          <w:b w:val="0"/>
          <w:u w:val="none"/>
        </w:rPr>
        <w:t>decrease of $699</w:t>
      </w:r>
      <w:r w:rsidRPr="00050EF9">
        <w:rPr>
          <w:b w:val="0"/>
          <w:u w:val="none"/>
        </w:rPr>
        <w:t xml:space="preserve"> miscellaneous cost, $</w:t>
      </w:r>
      <w:r>
        <w:rPr>
          <w:b w:val="0"/>
          <w:u w:val="none"/>
        </w:rPr>
        <w:t>67</w:t>
      </w:r>
      <w:r w:rsidRPr="00050EF9">
        <w:rPr>
          <w:b w:val="0"/>
          <w:u w:val="none"/>
        </w:rPr>
        <w:t xml:space="preserve"> instead of $</w:t>
      </w:r>
      <w:r>
        <w:rPr>
          <w:b w:val="0"/>
          <w:u w:val="none"/>
        </w:rPr>
        <w:t>766</w:t>
      </w:r>
    </w:p>
    <w:p w14:paraId="033EC615" w14:textId="77777777" w:rsidR="0028194B" w:rsidRDefault="0028194B" w:rsidP="00BE3232">
      <w:pPr>
        <w:pStyle w:val="Heading1"/>
        <w:tabs>
          <w:tab w:val="left" w:pos="1500"/>
        </w:tabs>
        <w:ind w:left="0"/>
        <w:contextualSpacing/>
        <w:rPr>
          <w:b w:val="0"/>
          <w:u w:val="none"/>
        </w:rPr>
      </w:pPr>
    </w:p>
    <w:p w14:paraId="1A41B6EC" w14:textId="77777777" w:rsidR="00BE3232" w:rsidRPr="0028194B" w:rsidRDefault="00BE3232" w:rsidP="00BE3232">
      <w:pPr>
        <w:pStyle w:val="Heading1"/>
        <w:tabs>
          <w:tab w:val="left" w:pos="1500"/>
        </w:tabs>
        <w:ind w:left="0"/>
        <w:contextualSpacing/>
        <w:rPr>
          <w:b w:val="0"/>
        </w:rPr>
      </w:pPr>
      <w:r w:rsidRPr="0028194B">
        <w:rPr>
          <w:b w:val="0"/>
        </w:rPr>
        <w:t>Application for Transfer of QS/IFQ (includes transfer by sweep-up)</w:t>
      </w:r>
    </w:p>
    <w:p w14:paraId="6613446A" w14:textId="242CBB47" w:rsidR="007D08A5" w:rsidRDefault="007D08A5" w:rsidP="007D08A5">
      <w:pPr>
        <w:pStyle w:val="Heading1"/>
        <w:tabs>
          <w:tab w:val="left" w:pos="1500"/>
        </w:tabs>
        <w:ind w:left="0"/>
        <w:contextualSpacing/>
        <w:rPr>
          <w:b w:val="0"/>
          <w:u w:val="none"/>
        </w:rPr>
      </w:pPr>
      <w:r>
        <w:rPr>
          <w:b w:val="0"/>
          <w:u w:val="none"/>
        </w:rPr>
        <w:t>increase of 812 respondents, 1204 instead of 392</w:t>
      </w:r>
    </w:p>
    <w:p w14:paraId="2D0C5A89" w14:textId="46DC84A5" w:rsidR="004B5022" w:rsidRDefault="004B5022" w:rsidP="007D08A5">
      <w:pPr>
        <w:pStyle w:val="Heading1"/>
        <w:tabs>
          <w:tab w:val="left" w:pos="1500"/>
        </w:tabs>
        <w:ind w:left="0"/>
        <w:contextualSpacing/>
        <w:rPr>
          <w:b w:val="0"/>
          <w:u w:val="none"/>
        </w:rPr>
      </w:pPr>
      <w:r>
        <w:rPr>
          <w:b w:val="0"/>
          <w:u w:val="none"/>
        </w:rPr>
        <w:t>increase of 210 responses, 602 instead of 392</w:t>
      </w:r>
    </w:p>
    <w:p w14:paraId="0C348EB2" w14:textId="5F69AB8B" w:rsidR="007D08A5" w:rsidRDefault="007D08A5" w:rsidP="007D08A5">
      <w:pPr>
        <w:pStyle w:val="Heading1"/>
        <w:tabs>
          <w:tab w:val="left" w:pos="1500"/>
        </w:tabs>
        <w:ind w:left="0"/>
        <w:contextualSpacing/>
        <w:rPr>
          <w:b w:val="0"/>
          <w:u w:val="none"/>
        </w:rPr>
      </w:pPr>
      <w:r>
        <w:rPr>
          <w:b w:val="0"/>
          <w:u w:val="none"/>
        </w:rPr>
        <w:t xml:space="preserve">increase of </w:t>
      </w:r>
      <w:r w:rsidR="00762C99">
        <w:rPr>
          <w:b w:val="0"/>
          <w:u w:val="none"/>
        </w:rPr>
        <w:t>420</w:t>
      </w:r>
      <w:r>
        <w:rPr>
          <w:b w:val="0"/>
          <w:u w:val="none"/>
        </w:rPr>
        <w:t xml:space="preserve"> hr burden, </w:t>
      </w:r>
      <w:r w:rsidR="00762C99">
        <w:rPr>
          <w:b w:val="0"/>
          <w:u w:val="none"/>
        </w:rPr>
        <w:t>1,204</w:t>
      </w:r>
      <w:r>
        <w:rPr>
          <w:b w:val="0"/>
          <w:u w:val="none"/>
        </w:rPr>
        <w:t xml:space="preserve"> hr instead of 784 hr</w:t>
      </w:r>
    </w:p>
    <w:p w14:paraId="575303A0" w14:textId="790126AB" w:rsidR="007D08A5" w:rsidRDefault="007D08A5" w:rsidP="007D08A5">
      <w:pPr>
        <w:pStyle w:val="Heading1"/>
        <w:tabs>
          <w:tab w:val="left" w:pos="1500"/>
        </w:tabs>
        <w:ind w:left="0"/>
        <w:contextualSpacing/>
        <w:rPr>
          <w:b w:val="0"/>
          <w:u w:val="none"/>
        </w:rPr>
      </w:pPr>
      <w:r>
        <w:rPr>
          <w:b w:val="0"/>
          <w:u w:val="none"/>
        </w:rPr>
        <w:t>increase of $</w:t>
      </w:r>
      <w:r w:rsidR="00DD29E3">
        <w:rPr>
          <w:b w:val="0"/>
          <w:u w:val="none"/>
        </w:rPr>
        <w:t>15,540</w:t>
      </w:r>
      <w:r>
        <w:rPr>
          <w:b w:val="0"/>
          <w:u w:val="none"/>
        </w:rPr>
        <w:t xml:space="preserve"> personnel cost, $</w:t>
      </w:r>
      <w:r w:rsidR="00DD29E3">
        <w:rPr>
          <w:b w:val="0"/>
          <w:u w:val="none"/>
        </w:rPr>
        <w:t>44,548</w:t>
      </w:r>
      <w:r>
        <w:rPr>
          <w:b w:val="0"/>
          <w:u w:val="none"/>
        </w:rPr>
        <w:t xml:space="preserve"> instead of $29,008</w:t>
      </w:r>
    </w:p>
    <w:p w14:paraId="26BEFD79" w14:textId="68B3B973" w:rsidR="007D08A5" w:rsidRDefault="007D08A5" w:rsidP="007D08A5">
      <w:pPr>
        <w:pStyle w:val="Heading1"/>
        <w:tabs>
          <w:tab w:val="left" w:pos="1500"/>
        </w:tabs>
        <w:ind w:left="0"/>
        <w:contextualSpacing/>
        <w:rPr>
          <w:b w:val="0"/>
          <w:u w:val="none"/>
        </w:rPr>
      </w:pPr>
      <w:r>
        <w:rPr>
          <w:b w:val="0"/>
          <w:u w:val="none"/>
        </w:rPr>
        <w:t>increase of $</w:t>
      </w:r>
      <w:r w:rsidR="006D7A5A">
        <w:rPr>
          <w:b w:val="0"/>
          <w:u w:val="none"/>
        </w:rPr>
        <w:t>4,281</w:t>
      </w:r>
      <w:r>
        <w:rPr>
          <w:b w:val="0"/>
          <w:u w:val="none"/>
        </w:rPr>
        <w:t xml:space="preserve"> miscellaneous cost, $</w:t>
      </w:r>
      <w:r w:rsidR="006D7A5A">
        <w:rPr>
          <w:b w:val="0"/>
          <w:u w:val="none"/>
        </w:rPr>
        <w:t>6,496</w:t>
      </w:r>
      <w:r>
        <w:rPr>
          <w:b w:val="0"/>
          <w:u w:val="none"/>
        </w:rPr>
        <w:t xml:space="preserve"> instead of $2,215</w:t>
      </w:r>
    </w:p>
    <w:p w14:paraId="13921096" w14:textId="01D25217" w:rsidR="00644879" w:rsidRDefault="00644879" w:rsidP="007D08A5">
      <w:pPr>
        <w:pStyle w:val="Heading1"/>
        <w:tabs>
          <w:tab w:val="left" w:pos="1500"/>
        </w:tabs>
        <w:ind w:left="0"/>
        <w:contextualSpacing/>
        <w:rPr>
          <w:b w:val="0"/>
          <w:u w:val="none"/>
        </w:rPr>
      </w:pPr>
    </w:p>
    <w:p w14:paraId="0E178043" w14:textId="3DBAA13B" w:rsidR="00644879" w:rsidRPr="0028194B" w:rsidRDefault="00644879" w:rsidP="00644879">
      <w:pPr>
        <w:pStyle w:val="Heading1"/>
        <w:tabs>
          <w:tab w:val="left" w:pos="1500"/>
        </w:tabs>
        <w:ind w:left="0"/>
        <w:contextualSpacing/>
        <w:rPr>
          <w:b w:val="0"/>
        </w:rPr>
      </w:pPr>
      <w:r w:rsidRPr="0028194B">
        <w:rPr>
          <w:b w:val="0"/>
        </w:rPr>
        <w:t xml:space="preserve">Application for </w:t>
      </w:r>
      <w:r>
        <w:rPr>
          <w:b w:val="0"/>
        </w:rPr>
        <w:t>Military</w:t>
      </w:r>
      <w:r w:rsidRPr="0028194B">
        <w:rPr>
          <w:b w:val="0"/>
        </w:rPr>
        <w:t xml:space="preserve"> Transfer</w:t>
      </w:r>
      <w:r>
        <w:rPr>
          <w:b w:val="0"/>
        </w:rPr>
        <w:t xml:space="preserve"> of IFQ</w:t>
      </w:r>
    </w:p>
    <w:p w14:paraId="7CA3DE4B" w14:textId="46FFBF5F" w:rsidR="00644879" w:rsidRDefault="00644879" w:rsidP="007D08A5">
      <w:pPr>
        <w:pStyle w:val="Heading1"/>
        <w:tabs>
          <w:tab w:val="left" w:pos="1500"/>
        </w:tabs>
        <w:ind w:left="0"/>
        <w:contextualSpacing/>
        <w:rPr>
          <w:b w:val="0"/>
          <w:u w:val="none"/>
        </w:rPr>
      </w:pPr>
      <w:r>
        <w:rPr>
          <w:b w:val="0"/>
          <w:u w:val="none"/>
        </w:rPr>
        <w:t>increase of 1 respondent, 2 instead of 1</w:t>
      </w:r>
    </w:p>
    <w:p w14:paraId="7E957285" w14:textId="6AA70930" w:rsidR="00644879" w:rsidRDefault="00644879" w:rsidP="007D08A5">
      <w:pPr>
        <w:pStyle w:val="Heading1"/>
        <w:tabs>
          <w:tab w:val="left" w:pos="1500"/>
        </w:tabs>
        <w:ind w:left="0"/>
        <w:contextualSpacing/>
        <w:rPr>
          <w:b w:val="0"/>
          <w:u w:val="none"/>
        </w:rPr>
      </w:pPr>
      <w:r>
        <w:rPr>
          <w:b w:val="0"/>
          <w:u w:val="none"/>
        </w:rPr>
        <w:t>increase of $5 miscellaneous cost, $11 instead of $6</w:t>
      </w:r>
    </w:p>
    <w:p w14:paraId="080ED776" w14:textId="77777777" w:rsidR="0028194B" w:rsidRDefault="0028194B" w:rsidP="00BE3232">
      <w:pPr>
        <w:pStyle w:val="Heading1"/>
        <w:tabs>
          <w:tab w:val="left" w:pos="1500"/>
        </w:tabs>
        <w:ind w:left="0"/>
        <w:contextualSpacing/>
        <w:rPr>
          <w:b w:val="0"/>
          <w:u w:val="none"/>
        </w:rPr>
      </w:pPr>
    </w:p>
    <w:p w14:paraId="3C6C8ECD" w14:textId="77777777" w:rsidR="00BE3232" w:rsidRPr="0028194B" w:rsidRDefault="00BE3232" w:rsidP="00BE3232">
      <w:pPr>
        <w:pStyle w:val="Heading1"/>
        <w:tabs>
          <w:tab w:val="left" w:pos="1500"/>
        </w:tabs>
        <w:ind w:left="0"/>
        <w:contextualSpacing/>
        <w:rPr>
          <w:b w:val="0"/>
        </w:rPr>
      </w:pPr>
      <w:r w:rsidRPr="0028194B">
        <w:rPr>
          <w:b w:val="0"/>
        </w:rPr>
        <w:t>Application for Medical Transfer</w:t>
      </w:r>
    </w:p>
    <w:p w14:paraId="2BAF2C82" w14:textId="36F8FD3C" w:rsidR="00AF1E55" w:rsidRDefault="00AF1E55" w:rsidP="00AF1E55">
      <w:pPr>
        <w:pStyle w:val="Heading1"/>
        <w:tabs>
          <w:tab w:val="left" w:pos="1500"/>
        </w:tabs>
        <w:ind w:left="0"/>
        <w:contextualSpacing/>
        <w:rPr>
          <w:b w:val="0"/>
          <w:u w:val="none"/>
        </w:rPr>
      </w:pPr>
      <w:r>
        <w:rPr>
          <w:b w:val="0"/>
          <w:u w:val="none"/>
        </w:rPr>
        <w:t xml:space="preserve">increase of </w:t>
      </w:r>
      <w:r w:rsidR="00956D15">
        <w:rPr>
          <w:b w:val="0"/>
          <w:u w:val="none"/>
        </w:rPr>
        <w:t xml:space="preserve">326 </w:t>
      </w:r>
      <w:r>
        <w:rPr>
          <w:b w:val="0"/>
          <w:u w:val="none"/>
        </w:rPr>
        <w:t xml:space="preserve">respondents, </w:t>
      </w:r>
      <w:r w:rsidR="00956D15">
        <w:rPr>
          <w:b w:val="0"/>
          <w:u w:val="none"/>
        </w:rPr>
        <w:t xml:space="preserve">420 </w:t>
      </w:r>
      <w:r>
        <w:rPr>
          <w:b w:val="0"/>
          <w:u w:val="none"/>
        </w:rPr>
        <w:t>instead of 94</w:t>
      </w:r>
    </w:p>
    <w:p w14:paraId="684D6140" w14:textId="0DCFF0B6" w:rsidR="002F2A98" w:rsidRDefault="002F2A98" w:rsidP="00AF1E55">
      <w:pPr>
        <w:pStyle w:val="Heading1"/>
        <w:tabs>
          <w:tab w:val="left" w:pos="1500"/>
        </w:tabs>
        <w:ind w:left="0"/>
        <w:contextualSpacing/>
        <w:rPr>
          <w:b w:val="0"/>
          <w:u w:val="none"/>
        </w:rPr>
      </w:pPr>
      <w:r>
        <w:rPr>
          <w:b w:val="0"/>
          <w:u w:val="none"/>
        </w:rPr>
        <w:t>increase of 46 responses, 140 instead of 94</w:t>
      </w:r>
    </w:p>
    <w:p w14:paraId="7A4B4F7D" w14:textId="6F3A7F67" w:rsidR="00AF1E55" w:rsidRDefault="00AF1E55" w:rsidP="00AF1E55">
      <w:pPr>
        <w:pStyle w:val="Heading1"/>
        <w:tabs>
          <w:tab w:val="left" w:pos="1500"/>
        </w:tabs>
        <w:ind w:left="0"/>
        <w:contextualSpacing/>
        <w:rPr>
          <w:b w:val="0"/>
          <w:u w:val="none"/>
        </w:rPr>
      </w:pPr>
      <w:r>
        <w:rPr>
          <w:b w:val="0"/>
          <w:u w:val="none"/>
        </w:rPr>
        <w:t xml:space="preserve">increase of </w:t>
      </w:r>
      <w:r w:rsidR="00AF7B38">
        <w:rPr>
          <w:b w:val="0"/>
          <w:u w:val="none"/>
        </w:rPr>
        <w:t xml:space="preserve">22 </w:t>
      </w:r>
      <w:r>
        <w:rPr>
          <w:b w:val="0"/>
          <w:u w:val="none"/>
        </w:rPr>
        <w:t xml:space="preserve">hr burden, </w:t>
      </w:r>
      <w:r w:rsidR="00AF7B38">
        <w:rPr>
          <w:b w:val="0"/>
          <w:u w:val="none"/>
        </w:rPr>
        <w:t xml:space="preserve">210 </w:t>
      </w:r>
      <w:r>
        <w:rPr>
          <w:b w:val="0"/>
          <w:u w:val="none"/>
        </w:rPr>
        <w:t>hr instead of 188 hr</w:t>
      </w:r>
    </w:p>
    <w:p w14:paraId="36356D90" w14:textId="6F4B160C" w:rsidR="00AF1E55" w:rsidRDefault="00AF1E55" w:rsidP="00AF1E55">
      <w:pPr>
        <w:pStyle w:val="Heading1"/>
        <w:tabs>
          <w:tab w:val="left" w:pos="1500"/>
        </w:tabs>
        <w:ind w:left="0"/>
        <w:contextualSpacing/>
        <w:rPr>
          <w:b w:val="0"/>
          <w:u w:val="none"/>
        </w:rPr>
      </w:pPr>
      <w:r>
        <w:rPr>
          <w:b w:val="0"/>
          <w:u w:val="none"/>
        </w:rPr>
        <w:t>increase of $</w:t>
      </w:r>
      <w:r w:rsidR="003F59FE">
        <w:rPr>
          <w:b w:val="0"/>
          <w:u w:val="none"/>
        </w:rPr>
        <w:t>814</w:t>
      </w:r>
      <w:r>
        <w:rPr>
          <w:b w:val="0"/>
          <w:u w:val="none"/>
        </w:rPr>
        <w:t xml:space="preserve"> personnel cost, $</w:t>
      </w:r>
      <w:r w:rsidR="003F59FE">
        <w:rPr>
          <w:b w:val="0"/>
          <w:u w:val="none"/>
        </w:rPr>
        <w:t>7,770</w:t>
      </w:r>
      <w:r>
        <w:rPr>
          <w:b w:val="0"/>
          <w:u w:val="none"/>
        </w:rPr>
        <w:t xml:space="preserve"> instead of $</w:t>
      </w:r>
      <w:r w:rsidR="00626FFD">
        <w:rPr>
          <w:b w:val="0"/>
          <w:u w:val="none"/>
        </w:rPr>
        <w:t>6,956</w:t>
      </w:r>
    </w:p>
    <w:p w14:paraId="3AB91098" w14:textId="34376B74" w:rsidR="00AF1E55" w:rsidRDefault="00626FFD" w:rsidP="00AF1E55">
      <w:pPr>
        <w:pStyle w:val="Heading1"/>
        <w:tabs>
          <w:tab w:val="left" w:pos="1500"/>
        </w:tabs>
        <w:ind w:left="0"/>
        <w:contextualSpacing/>
        <w:rPr>
          <w:b w:val="0"/>
          <w:u w:val="none"/>
        </w:rPr>
      </w:pPr>
      <w:r>
        <w:rPr>
          <w:b w:val="0"/>
          <w:u w:val="none"/>
        </w:rPr>
        <w:t>decrease</w:t>
      </w:r>
      <w:r w:rsidR="00AF1E55">
        <w:rPr>
          <w:b w:val="0"/>
          <w:u w:val="none"/>
        </w:rPr>
        <w:t xml:space="preserve"> of $</w:t>
      </w:r>
      <w:r w:rsidR="003F59FE">
        <w:rPr>
          <w:b w:val="0"/>
          <w:u w:val="none"/>
        </w:rPr>
        <w:t>3</w:t>
      </w:r>
      <w:r w:rsidR="000D2709">
        <w:rPr>
          <w:b w:val="0"/>
          <w:u w:val="none"/>
        </w:rPr>
        <w:t>48</w:t>
      </w:r>
      <w:r w:rsidR="003F59FE">
        <w:rPr>
          <w:b w:val="0"/>
          <w:u w:val="none"/>
        </w:rPr>
        <w:t xml:space="preserve"> </w:t>
      </w:r>
      <w:r w:rsidR="00AF1E55">
        <w:rPr>
          <w:b w:val="0"/>
          <w:u w:val="none"/>
        </w:rPr>
        <w:t>miscellaneous cost, $</w:t>
      </w:r>
      <w:r w:rsidR="000D2709">
        <w:rPr>
          <w:b w:val="0"/>
          <w:u w:val="none"/>
        </w:rPr>
        <w:t>174</w:t>
      </w:r>
      <w:r w:rsidR="003F59FE">
        <w:rPr>
          <w:b w:val="0"/>
          <w:u w:val="none"/>
        </w:rPr>
        <w:t xml:space="preserve"> </w:t>
      </w:r>
      <w:r w:rsidR="00AF1E55">
        <w:rPr>
          <w:b w:val="0"/>
          <w:u w:val="none"/>
        </w:rPr>
        <w:t>instead of $</w:t>
      </w:r>
      <w:r>
        <w:rPr>
          <w:b w:val="0"/>
          <w:u w:val="none"/>
        </w:rPr>
        <w:t>522</w:t>
      </w:r>
    </w:p>
    <w:p w14:paraId="68BE648B" w14:textId="77777777" w:rsidR="0028194B" w:rsidRDefault="0028194B" w:rsidP="00BE3232">
      <w:pPr>
        <w:pStyle w:val="Heading1"/>
        <w:tabs>
          <w:tab w:val="left" w:pos="1500"/>
        </w:tabs>
        <w:ind w:left="0"/>
        <w:contextualSpacing/>
        <w:rPr>
          <w:b w:val="0"/>
          <w:u w:val="none"/>
        </w:rPr>
      </w:pPr>
    </w:p>
    <w:p w14:paraId="6B2413B7" w14:textId="77777777" w:rsidR="00BE3232" w:rsidRPr="0028194B" w:rsidRDefault="00BE3232" w:rsidP="00BE3232">
      <w:pPr>
        <w:pStyle w:val="Heading1"/>
        <w:tabs>
          <w:tab w:val="left" w:pos="1500"/>
        </w:tabs>
        <w:ind w:left="0"/>
        <w:contextualSpacing/>
        <w:rPr>
          <w:b w:val="0"/>
        </w:rPr>
      </w:pPr>
      <w:r w:rsidRPr="0028194B">
        <w:rPr>
          <w:b w:val="0"/>
        </w:rPr>
        <w:t>Application for Replacement of Certificates or Permits</w:t>
      </w:r>
    </w:p>
    <w:p w14:paraId="621550E9" w14:textId="74B42CD1" w:rsidR="00280F60" w:rsidRDefault="00F2140C" w:rsidP="00280F60">
      <w:pPr>
        <w:pStyle w:val="Heading1"/>
        <w:tabs>
          <w:tab w:val="left" w:pos="1500"/>
        </w:tabs>
        <w:ind w:left="0"/>
        <w:contextualSpacing/>
        <w:rPr>
          <w:b w:val="0"/>
          <w:u w:val="none"/>
        </w:rPr>
      </w:pPr>
      <w:r>
        <w:rPr>
          <w:b w:val="0"/>
          <w:u w:val="none"/>
        </w:rPr>
        <w:t>i</w:t>
      </w:r>
      <w:r w:rsidR="00280F60">
        <w:rPr>
          <w:b w:val="0"/>
          <w:u w:val="none"/>
        </w:rPr>
        <w:t>ncrease of 25 respondents and responses, 50 instead of 25</w:t>
      </w:r>
    </w:p>
    <w:p w14:paraId="66CDD72E" w14:textId="21E8D939" w:rsidR="00280F60" w:rsidRDefault="00280F60" w:rsidP="00280F60">
      <w:pPr>
        <w:pStyle w:val="Heading1"/>
        <w:tabs>
          <w:tab w:val="left" w:pos="1500"/>
        </w:tabs>
        <w:ind w:left="0"/>
        <w:contextualSpacing/>
        <w:rPr>
          <w:b w:val="0"/>
          <w:u w:val="none"/>
        </w:rPr>
      </w:pPr>
      <w:r>
        <w:rPr>
          <w:b w:val="0"/>
          <w:u w:val="none"/>
        </w:rPr>
        <w:t>increase of 12 hr burden, 25 hr instead of 13 hr</w:t>
      </w:r>
    </w:p>
    <w:p w14:paraId="01C4E611" w14:textId="580502BB" w:rsidR="00280F60" w:rsidRDefault="00280F60" w:rsidP="00280F60">
      <w:pPr>
        <w:pStyle w:val="Heading1"/>
        <w:tabs>
          <w:tab w:val="left" w:pos="1500"/>
        </w:tabs>
        <w:ind w:left="0"/>
        <w:contextualSpacing/>
        <w:rPr>
          <w:b w:val="0"/>
          <w:u w:val="none"/>
        </w:rPr>
      </w:pPr>
      <w:r>
        <w:rPr>
          <w:b w:val="0"/>
          <w:u w:val="none"/>
        </w:rPr>
        <w:t>increase of $444 personnel cost, $925 instead of $481</w:t>
      </w:r>
    </w:p>
    <w:p w14:paraId="79BAD24B" w14:textId="1ED47A8F" w:rsidR="00280F60" w:rsidRDefault="00280F60" w:rsidP="00280F60">
      <w:pPr>
        <w:pStyle w:val="Heading1"/>
        <w:tabs>
          <w:tab w:val="left" w:pos="1500"/>
        </w:tabs>
        <w:ind w:left="0"/>
        <w:contextualSpacing/>
        <w:rPr>
          <w:b w:val="0"/>
          <w:u w:val="none"/>
        </w:rPr>
      </w:pPr>
      <w:r>
        <w:rPr>
          <w:b w:val="0"/>
          <w:u w:val="none"/>
        </w:rPr>
        <w:t>increase of $43 miscellaneous cost, $57 instead of $14</w:t>
      </w:r>
    </w:p>
    <w:p w14:paraId="0F228954" w14:textId="77777777" w:rsidR="0028194B" w:rsidRDefault="0028194B" w:rsidP="00BE3232">
      <w:pPr>
        <w:pStyle w:val="Heading1"/>
        <w:tabs>
          <w:tab w:val="left" w:pos="1500"/>
        </w:tabs>
        <w:ind w:left="0"/>
        <w:contextualSpacing/>
        <w:rPr>
          <w:b w:val="0"/>
          <w:u w:val="none"/>
        </w:rPr>
      </w:pPr>
    </w:p>
    <w:p w14:paraId="3AFB0C4B" w14:textId="77777777" w:rsidR="00BE3232" w:rsidRPr="0028194B" w:rsidRDefault="00BE3232" w:rsidP="00BE3232">
      <w:pPr>
        <w:pStyle w:val="Heading1"/>
        <w:tabs>
          <w:tab w:val="left" w:pos="1500"/>
        </w:tabs>
        <w:ind w:left="0"/>
        <w:contextualSpacing/>
        <w:rPr>
          <w:b w:val="0"/>
        </w:rPr>
      </w:pPr>
      <w:r w:rsidRPr="0028194B">
        <w:rPr>
          <w:b w:val="0"/>
        </w:rPr>
        <w:t>Registered Buyer Landing Report</w:t>
      </w:r>
    </w:p>
    <w:p w14:paraId="4C137C9A" w14:textId="03318319" w:rsidR="00147B4A" w:rsidRDefault="00147B4A" w:rsidP="00147B4A">
      <w:pPr>
        <w:pStyle w:val="Heading1"/>
        <w:tabs>
          <w:tab w:val="left" w:pos="1500"/>
        </w:tabs>
        <w:ind w:left="0"/>
        <w:contextualSpacing/>
        <w:rPr>
          <w:b w:val="0"/>
          <w:u w:val="none"/>
        </w:rPr>
      </w:pPr>
      <w:r>
        <w:rPr>
          <w:b w:val="0"/>
          <w:u w:val="none"/>
        </w:rPr>
        <w:t xml:space="preserve">decrease of 55 </w:t>
      </w:r>
      <w:r w:rsidRPr="00A31729">
        <w:rPr>
          <w:b w:val="0"/>
          <w:u w:val="none"/>
        </w:rPr>
        <w:t xml:space="preserve">respondents, </w:t>
      </w:r>
      <w:r>
        <w:rPr>
          <w:b w:val="0"/>
          <w:u w:val="none"/>
        </w:rPr>
        <w:t>235</w:t>
      </w:r>
      <w:r w:rsidRPr="00A31729">
        <w:rPr>
          <w:b w:val="0"/>
          <w:u w:val="none"/>
        </w:rPr>
        <w:t xml:space="preserve"> instead of </w:t>
      </w:r>
      <w:r>
        <w:rPr>
          <w:b w:val="0"/>
          <w:u w:val="none"/>
        </w:rPr>
        <w:t>290</w:t>
      </w:r>
    </w:p>
    <w:p w14:paraId="229FF43E" w14:textId="1F2F5E2D" w:rsidR="00147B4A" w:rsidRPr="00A31729" w:rsidRDefault="00F2140C" w:rsidP="00147B4A">
      <w:pPr>
        <w:pStyle w:val="Heading1"/>
        <w:tabs>
          <w:tab w:val="left" w:pos="1500"/>
        </w:tabs>
        <w:ind w:left="0"/>
        <w:contextualSpacing/>
        <w:rPr>
          <w:b w:val="0"/>
          <w:u w:val="none"/>
        </w:rPr>
      </w:pPr>
      <w:r>
        <w:rPr>
          <w:b w:val="0"/>
          <w:u w:val="none"/>
        </w:rPr>
        <w:t>d</w:t>
      </w:r>
      <w:r w:rsidR="00147B4A">
        <w:rPr>
          <w:b w:val="0"/>
          <w:u w:val="none"/>
        </w:rPr>
        <w:t>ecrease of 26 responses</w:t>
      </w:r>
      <w:r w:rsidR="00147B4A" w:rsidRPr="00A31729">
        <w:rPr>
          <w:b w:val="0"/>
          <w:u w:val="none"/>
        </w:rPr>
        <w:t xml:space="preserve">, </w:t>
      </w:r>
      <w:r w:rsidR="00147B4A">
        <w:rPr>
          <w:b w:val="0"/>
          <w:u w:val="none"/>
        </w:rPr>
        <w:t>5,774</w:t>
      </w:r>
      <w:r w:rsidR="00147B4A" w:rsidRPr="00A31729">
        <w:rPr>
          <w:b w:val="0"/>
          <w:u w:val="none"/>
        </w:rPr>
        <w:t xml:space="preserve"> instead of </w:t>
      </w:r>
      <w:r w:rsidR="00147B4A">
        <w:rPr>
          <w:b w:val="0"/>
          <w:u w:val="none"/>
        </w:rPr>
        <w:t>5,800</w:t>
      </w:r>
    </w:p>
    <w:p w14:paraId="6D69AF42" w14:textId="2382048C" w:rsidR="00147B4A" w:rsidRPr="00A31729" w:rsidRDefault="00147B4A" w:rsidP="00147B4A">
      <w:pPr>
        <w:pStyle w:val="Heading1"/>
        <w:tabs>
          <w:tab w:val="left" w:pos="1500"/>
        </w:tabs>
        <w:ind w:left="0"/>
        <w:contextualSpacing/>
        <w:rPr>
          <w:b w:val="0"/>
          <w:u w:val="none"/>
        </w:rPr>
      </w:pPr>
      <w:r>
        <w:rPr>
          <w:b w:val="0"/>
          <w:u w:val="none"/>
        </w:rPr>
        <w:t xml:space="preserve">decrease of </w:t>
      </w:r>
      <w:r w:rsidR="00C540FB">
        <w:rPr>
          <w:b w:val="0"/>
          <w:u w:val="none"/>
        </w:rPr>
        <w:t>5</w:t>
      </w:r>
      <w:r w:rsidRPr="00A31729">
        <w:rPr>
          <w:b w:val="0"/>
          <w:u w:val="none"/>
        </w:rPr>
        <w:t xml:space="preserve"> hr burden, </w:t>
      </w:r>
      <w:r w:rsidR="00C540FB">
        <w:rPr>
          <w:b w:val="0"/>
          <w:u w:val="none"/>
        </w:rPr>
        <w:t>1,155</w:t>
      </w:r>
      <w:r w:rsidRPr="00A31729">
        <w:rPr>
          <w:b w:val="0"/>
          <w:u w:val="none"/>
        </w:rPr>
        <w:t xml:space="preserve"> hr instead of </w:t>
      </w:r>
      <w:r>
        <w:rPr>
          <w:b w:val="0"/>
          <w:u w:val="none"/>
        </w:rPr>
        <w:t>1</w:t>
      </w:r>
      <w:r w:rsidR="00C540FB">
        <w:rPr>
          <w:b w:val="0"/>
          <w:u w:val="none"/>
        </w:rPr>
        <w:t>,160</w:t>
      </w:r>
      <w:r w:rsidRPr="00A31729">
        <w:rPr>
          <w:b w:val="0"/>
          <w:u w:val="none"/>
        </w:rPr>
        <w:t xml:space="preserve"> hr</w:t>
      </w:r>
    </w:p>
    <w:p w14:paraId="0A7574C9" w14:textId="50319D3A" w:rsidR="00147B4A" w:rsidRPr="00A31729" w:rsidRDefault="00147B4A" w:rsidP="00147B4A">
      <w:pPr>
        <w:pStyle w:val="Heading1"/>
        <w:tabs>
          <w:tab w:val="left" w:pos="1500"/>
        </w:tabs>
        <w:ind w:left="0"/>
        <w:contextualSpacing/>
        <w:rPr>
          <w:b w:val="0"/>
          <w:u w:val="none"/>
        </w:rPr>
      </w:pPr>
      <w:r>
        <w:rPr>
          <w:b w:val="0"/>
          <w:u w:val="none"/>
        </w:rPr>
        <w:t>decrease</w:t>
      </w:r>
      <w:r w:rsidRPr="00A31729">
        <w:rPr>
          <w:b w:val="0"/>
          <w:u w:val="none"/>
        </w:rPr>
        <w:t xml:space="preserve"> of $</w:t>
      </w:r>
      <w:r w:rsidR="00C540FB">
        <w:rPr>
          <w:b w:val="0"/>
          <w:u w:val="none"/>
        </w:rPr>
        <w:t>37</w:t>
      </w:r>
      <w:r w:rsidRPr="00A31729">
        <w:rPr>
          <w:b w:val="0"/>
          <w:u w:val="none"/>
        </w:rPr>
        <w:t xml:space="preserve"> personnel cost, $</w:t>
      </w:r>
      <w:r w:rsidR="00C540FB">
        <w:rPr>
          <w:b w:val="0"/>
          <w:u w:val="none"/>
        </w:rPr>
        <w:t>42,883</w:t>
      </w:r>
      <w:r w:rsidRPr="00A31729">
        <w:rPr>
          <w:b w:val="0"/>
          <w:u w:val="none"/>
        </w:rPr>
        <w:t xml:space="preserve"> instead of $</w:t>
      </w:r>
      <w:r w:rsidR="00C540FB">
        <w:rPr>
          <w:b w:val="0"/>
          <w:u w:val="none"/>
        </w:rPr>
        <w:t>42,920</w:t>
      </w:r>
    </w:p>
    <w:p w14:paraId="570DF598" w14:textId="77777777" w:rsidR="0028194B" w:rsidRDefault="0028194B" w:rsidP="00BE3232">
      <w:pPr>
        <w:pStyle w:val="Heading1"/>
        <w:tabs>
          <w:tab w:val="left" w:pos="1500"/>
        </w:tabs>
        <w:ind w:left="0"/>
        <w:contextualSpacing/>
        <w:rPr>
          <w:b w:val="0"/>
          <w:u w:val="none"/>
        </w:rPr>
      </w:pPr>
    </w:p>
    <w:p w14:paraId="4D93B95C" w14:textId="77777777" w:rsidR="00BE3232" w:rsidRPr="0028194B" w:rsidRDefault="00BE3232" w:rsidP="00BE3232">
      <w:pPr>
        <w:pStyle w:val="Heading1"/>
        <w:tabs>
          <w:tab w:val="left" w:pos="1500"/>
        </w:tabs>
        <w:ind w:left="0"/>
        <w:contextualSpacing/>
        <w:rPr>
          <w:b w:val="0"/>
        </w:rPr>
      </w:pPr>
      <w:r w:rsidRPr="0028194B">
        <w:rPr>
          <w:b w:val="0"/>
        </w:rPr>
        <w:t>IFQ Administrative Waiver</w:t>
      </w:r>
    </w:p>
    <w:p w14:paraId="373AE2E7" w14:textId="6A0FDB56" w:rsidR="002E6336" w:rsidRDefault="002E6336" w:rsidP="002E6336">
      <w:pPr>
        <w:pStyle w:val="Heading1"/>
        <w:tabs>
          <w:tab w:val="left" w:pos="1500"/>
        </w:tabs>
        <w:ind w:left="0"/>
        <w:contextualSpacing/>
        <w:rPr>
          <w:b w:val="0"/>
          <w:u w:val="none"/>
        </w:rPr>
      </w:pPr>
      <w:r>
        <w:rPr>
          <w:b w:val="0"/>
          <w:u w:val="none"/>
        </w:rPr>
        <w:t xml:space="preserve">decrease of 165 </w:t>
      </w:r>
      <w:r w:rsidRPr="00A31729">
        <w:rPr>
          <w:b w:val="0"/>
          <w:u w:val="none"/>
        </w:rPr>
        <w:t xml:space="preserve">respondents, </w:t>
      </w:r>
      <w:r>
        <w:rPr>
          <w:b w:val="0"/>
          <w:u w:val="none"/>
        </w:rPr>
        <w:t>235</w:t>
      </w:r>
      <w:r w:rsidRPr="00A31729">
        <w:rPr>
          <w:b w:val="0"/>
          <w:u w:val="none"/>
        </w:rPr>
        <w:t xml:space="preserve"> instead of </w:t>
      </w:r>
      <w:r>
        <w:rPr>
          <w:b w:val="0"/>
          <w:u w:val="none"/>
        </w:rPr>
        <w:t>400</w:t>
      </w:r>
    </w:p>
    <w:p w14:paraId="691F81A5" w14:textId="13D61DA0" w:rsidR="002E6336" w:rsidRPr="00A31729" w:rsidRDefault="002E6336" w:rsidP="002E6336">
      <w:pPr>
        <w:pStyle w:val="Heading1"/>
        <w:tabs>
          <w:tab w:val="left" w:pos="1500"/>
        </w:tabs>
        <w:ind w:left="0"/>
        <w:contextualSpacing/>
        <w:rPr>
          <w:b w:val="0"/>
          <w:u w:val="none"/>
        </w:rPr>
      </w:pPr>
      <w:r>
        <w:rPr>
          <w:b w:val="0"/>
          <w:u w:val="none"/>
        </w:rPr>
        <w:t>decrease of 54 responses</w:t>
      </w:r>
      <w:r w:rsidRPr="00A31729">
        <w:rPr>
          <w:b w:val="0"/>
          <w:u w:val="none"/>
        </w:rPr>
        <w:t xml:space="preserve">, </w:t>
      </w:r>
      <w:r>
        <w:rPr>
          <w:b w:val="0"/>
          <w:u w:val="none"/>
        </w:rPr>
        <w:t>346</w:t>
      </w:r>
      <w:r w:rsidRPr="00A31729">
        <w:rPr>
          <w:b w:val="0"/>
          <w:u w:val="none"/>
        </w:rPr>
        <w:t xml:space="preserve"> instead of </w:t>
      </w:r>
      <w:r>
        <w:rPr>
          <w:b w:val="0"/>
          <w:u w:val="none"/>
        </w:rPr>
        <w:t>400</w:t>
      </w:r>
    </w:p>
    <w:p w14:paraId="78BD8CF3" w14:textId="36DA1347" w:rsidR="002E6336" w:rsidRPr="00A31729" w:rsidRDefault="002E6336" w:rsidP="002E6336">
      <w:pPr>
        <w:pStyle w:val="Heading1"/>
        <w:tabs>
          <w:tab w:val="left" w:pos="1500"/>
        </w:tabs>
        <w:ind w:left="0"/>
        <w:contextualSpacing/>
        <w:rPr>
          <w:b w:val="0"/>
          <w:u w:val="none"/>
        </w:rPr>
      </w:pPr>
      <w:r>
        <w:rPr>
          <w:b w:val="0"/>
          <w:u w:val="none"/>
        </w:rPr>
        <w:t>decrease of 5</w:t>
      </w:r>
      <w:r w:rsidRPr="00A31729">
        <w:rPr>
          <w:b w:val="0"/>
          <w:u w:val="none"/>
        </w:rPr>
        <w:t xml:space="preserve"> hr burden, </w:t>
      </w:r>
      <w:r>
        <w:rPr>
          <w:b w:val="0"/>
          <w:u w:val="none"/>
        </w:rPr>
        <w:t>35</w:t>
      </w:r>
      <w:r w:rsidRPr="00A31729">
        <w:rPr>
          <w:b w:val="0"/>
          <w:u w:val="none"/>
        </w:rPr>
        <w:t xml:space="preserve"> hr instead of </w:t>
      </w:r>
      <w:r>
        <w:rPr>
          <w:b w:val="0"/>
          <w:u w:val="none"/>
        </w:rPr>
        <w:t>40</w:t>
      </w:r>
      <w:r w:rsidRPr="00A31729">
        <w:rPr>
          <w:b w:val="0"/>
          <w:u w:val="none"/>
        </w:rPr>
        <w:t xml:space="preserve"> hr</w:t>
      </w:r>
    </w:p>
    <w:p w14:paraId="1AD549B4" w14:textId="04E70BF8" w:rsidR="002E6336" w:rsidRPr="00A31729" w:rsidRDefault="002E6336" w:rsidP="002E6336">
      <w:pPr>
        <w:pStyle w:val="Heading1"/>
        <w:tabs>
          <w:tab w:val="left" w:pos="1500"/>
        </w:tabs>
        <w:ind w:left="0"/>
        <w:contextualSpacing/>
        <w:rPr>
          <w:b w:val="0"/>
          <w:u w:val="none"/>
        </w:rPr>
      </w:pPr>
      <w:r>
        <w:rPr>
          <w:b w:val="0"/>
          <w:u w:val="none"/>
        </w:rPr>
        <w:t>decrease</w:t>
      </w:r>
      <w:r w:rsidRPr="00A31729">
        <w:rPr>
          <w:b w:val="0"/>
          <w:u w:val="none"/>
        </w:rPr>
        <w:t xml:space="preserve"> of $</w:t>
      </w:r>
      <w:r>
        <w:rPr>
          <w:b w:val="0"/>
          <w:u w:val="none"/>
        </w:rPr>
        <w:t>185</w:t>
      </w:r>
      <w:r w:rsidRPr="00A31729">
        <w:rPr>
          <w:b w:val="0"/>
          <w:u w:val="none"/>
        </w:rPr>
        <w:t xml:space="preserve"> personnel cost, $</w:t>
      </w:r>
      <w:r>
        <w:rPr>
          <w:b w:val="0"/>
          <w:u w:val="none"/>
        </w:rPr>
        <w:t>1,480</w:t>
      </w:r>
      <w:r w:rsidRPr="00A31729">
        <w:rPr>
          <w:b w:val="0"/>
          <w:u w:val="none"/>
        </w:rPr>
        <w:t xml:space="preserve"> instead of $</w:t>
      </w:r>
      <w:r>
        <w:rPr>
          <w:b w:val="0"/>
          <w:u w:val="none"/>
        </w:rPr>
        <w:t>1,295</w:t>
      </w:r>
    </w:p>
    <w:p w14:paraId="037948F3" w14:textId="77777777" w:rsidR="0028194B" w:rsidRPr="00C82994" w:rsidRDefault="0028194B" w:rsidP="00BE3232">
      <w:pPr>
        <w:pStyle w:val="Heading1"/>
        <w:tabs>
          <w:tab w:val="left" w:pos="1500"/>
        </w:tabs>
        <w:ind w:left="0"/>
        <w:contextualSpacing/>
        <w:rPr>
          <w:b w:val="0"/>
          <w:u w:val="none"/>
        </w:rPr>
      </w:pPr>
    </w:p>
    <w:p w14:paraId="5EF03B7D" w14:textId="77777777" w:rsidR="00BE3232" w:rsidRPr="0028194B" w:rsidRDefault="00BE3232" w:rsidP="00BE3232">
      <w:pPr>
        <w:pStyle w:val="Heading1"/>
        <w:tabs>
          <w:tab w:val="left" w:pos="1500"/>
        </w:tabs>
        <w:ind w:left="0"/>
        <w:contextualSpacing/>
        <w:rPr>
          <w:b w:val="0"/>
        </w:rPr>
      </w:pPr>
      <w:r w:rsidRPr="00FF7D42">
        <w:rPr>
          <w:b w:val="0"/>
        </w:rPr>
        <w:t>Prior Notice of Landing</w:t>
      </w:r>
    </w:p>
    <w:p w14:paraId="070C4E34" w14:textId="553228E2" w:rsidR="00FF7D42" w:rsidRDefault="00FF7D42" w:rsidP="00FF7D42">
      <w:pPr>
        <w:pStyle w:val="Heading1"/>
        <w:tabs>
          <w:tab w:val="left" w:pos="1500"/>
        </w:tabs>
        <w:ind w:left="0"/>
        <w:contextualSpacing/>
        <w:rPr>
          <w:b w:val="0"/>
          <w:u w:val="none"/>
        </w:rPr>
      </w:pPr>
      <w:r>
        <w:rPr>
          <w:b w:val="0"/>
          <w:u w:val="none"/>
        </w:rPr>
        <w:t>increase of 2,103 respondents, 2,418 instead of 315</w:t>
      </w:r>
    </w:p>
    <w:p w14:paraId="7E20C514" w14:textId="0EC6C14A" w:rsidR="00FF7D42" w:rsidRDefault="00FF7D42" w:rsidP="00FF7D42">
      <w:pPr>
        <w:pStyle w:val="Heading1"/>
        <w:tabs>
          <w:tab w:val="left" w:pos="1500"/>
        </w:tabs>
        <w:ind w:left="0"/>
        <w:contextualSpacing/>
        <w:rPr>
          <w:b w:val="0"/>
          <w:u w:val="none"/>
        </w:rPr>
      </w:pPr>
      <w:r>
        <w:rPr>
          <w:b w:val="0"/>
          <w:u w:val="none"/>
        </w:rPr>
        <w:t>increase of 4,019 responses, 5,594 instead of 1,575</w:t>
      </w:r>
    </w:p>
    <w:p w14:paraId="4A358634" w14:textId="67E077CA" w:rsidR="00FF7D42" w:rsidRDefault="00FF7D42" w:rsidP="00FF7D42">
      <w:pPr>
        <w:pStyle w:val="Heading1"/>
        <w:tabs>
          <w:tab w:val="left" w:pos="1500"/>
        </w:tabs>
        <w:ind w:left="0"/>
        <w:contextualSpacing/>
        <w:rPr>
          <w:b w:val="0"/>
          <w:u w:val="none"/>
        </w:rPr>
      </w:pPr>
      <w:r>
        <w:rPr>
          <w:b w:val="0"/>
          <w:u w:val="none"/>
        </w:rPr>
        <w:t>increase of 1,005 hr burden, 1,399 hr instead of 394 hr</w:t>
      </w:r>
    </w:p>
    <w:p w14:paraId="41270081" w14:textId="6178EAAD" w:rsidR="0028194B" w:rsidRDefault="00FF7D42" w:rsidP="00FF7D42">
      <w:pPr>
        <w:pStyle w:val="Heading1"/>
        <w:tabs>
          <w:tab w:val="left" w:pos="1500"/>
        </w:tabs>
        <w:ind w:left="0"/>
        <w:contextualSpacing/>
        <w:rPr>
          <w:b w:val="0"/>
          <w:u w:val="none"/>
        </w:rPr>
      </w:pPr>
      <w:r>
        <w:rPr>
          <w:b w:val="0"/>
          <w:u w:val="none"/>
        </w:rPr>
        <w:t>increase of $37,185 personnel cost, $51,763 instead of $14,578</w:t>
      </w:r>
    </w:p>
    <w:p w14:paraId="104B2364" w14:textId="77777777" w:rsidR="0028194B" w:rsidRDefault="0028194B" w:rsidP="00BE3232">
      <w:pPr>
        <w:pStyle w:val="Heading1"/>
        <w:tabs>
          <w:tab w:val="left" w:pos="1500"/>
        </w:tabs>
        <w:ind w:left="0"/>
        <w:contextualSpacing/>
        <w:rPr>
          <w:b w:val="0"/>
          <w:u w:val="none"/>
        </w:rPr>
      </w:pPr>
    </w:p>
    <w:p w14:paraId="2D997498" w14:textId="77777777" w:rsidR="00BE3232" w:rsidRPr="0028194B" w:rsidRDefault="00BE3232" w:rsidP="00BE3232">
      <w:pPr>
        <w:pStyle w:val="Heading1"/>
        <w:tabs>
          <w:tab w:val="left" w:pos="1500"/>
        </w:tabs>
        <w:ind w:left="0"/>
        <w:contextualSpacing/>
        <w:rPr>
          <w:b w:val="0"/>
        </w:rPr>
      </w:pPr>
      <w:r w:rsidRPr="0028194B">
        <w:rPr>
          <w:b w:val="0"/>
        </w:rPr>
        <w:t>IFQ Departure Report</w:t>
      </w:r>
    </w:p>
    <w:p w14:paraId="731AA6B6" w14:textId="523FC3BE" w:rsidR="00FB7B31" w:rsidRDefault="00FB7B31" w:rsidP="00FB7B31">
      <w:pPr>
        <w:pStyle w:val="Heading1"/>
        <w:tabs>
          <w:tab w:val="left" w:pos="1500"/>
        </w:tabs>
        <w:ind w:left="0"/>
        <w:contextualSpacing/>
        <w:rPr>
          <w:b w:val="0"/>
          <w:u w:val="none"/>
        </w:rPr>
      </w:pPr>
      <w:r>
        <w:rPr>
          <w:b w:val="0"/>
          <w:u w:val="none"/>
        </w:rPr>
        <w:t>increase of 1 respondent and response, 26 instead of 25</w:t>
      </w:r>
    </w:p>
    <w:p w14:paraId="607A767F" w14:textId="0E3B7C7E" w:rsidR="00FB7B31" w:rsidRDefault="00FB7B31" w:rsidP="00FB7B31">
      <w:pPr>
        <w:pStyle w:val="Heading1"/>
        <w:tabs>
          <w:tab w:val="left" w:pos="1500"/>
        </w:tabs>
        <w:ind w:left="0"/>
        <w:contextualSpacing/>
        <w:rPr>
          <w:b w:val="0"/>
          <w:u w:val="none"/>
        </w:rPr>
      </w:pPr>
      <w:r>
        <w:rPr>
          <w:b w:val="0"/>
          <w:u w:val="none"/>
        </w:rPr>
        <w:t>increase of 1 hr burden, 7 hr instead of 6 hr</w:t>
      </w:r>
    </w:p>
    <w:p w14:paraId="5520D302" w14:textId="3C2F5CC7" w:rsidR="00FB7B31" w:rsidRDefault="00FB7B31" w:rsidP="00FB7B31">
      <w:pPr>
        <w:pStyle w:val="Heading1"/>
        <w:tabs>
          <w:tab w:val="left" w:pos="1500"/>
        </w:tabs>
        <w:ind w:left="0"/>
        <w:contextualSpacing/>
        <w:rPr>
          <w:b w:val="0"/>
          <w:u w:val="none"/>
        </w:rPr>
      </w:pPr>
      <w:r>
        <w:rPr>
          <w:b w:val="0"/>
          <w:u w:val="none"/>
        </w:rPr>
        <w:t>increase of $</w:t>
      </w:r>
      <w:r w:rsidR="002D2C89">
        <w:rPr>
          <w:b w:val="0"/>
          <w:u w:val="none"/>
        </w:rPr>
        <w:t>37</w:t>
      </w:r>
      <w:r>
        <w:rPr>
          <w:b w:val="0"/>
          <w:u w:val="none"/>
        </w:rPr>
        <w:t xml:space="preserve"> personnel cost, $</w:t>
      </w:r>
      <w:r w:rsidR="002D2C89">
        <w:rPr>
          <w:b w:val="0"/>
          <w:u w:val="none"/>
        </w:rPr>
        <w:t>259</w:t>
      </w:r>
      <w:r>
        <w:rPr>
          <w:b w:val="0"/>
          <w:u w:val="none"/>
        </w:rPr>
        <w:t xml:space="preserve"> instead of $</w:t>
      </w:r>
      <w:r w:rsidR="002D2C89">
        <w:rPr>
          <w:b w:val="0"/>
          <w:u w:val="none"/>
        </w:rPr>
        <w:t>222</w:t>
      </w:r>
    </w:p>
    <w:p w14:paraId="674BCAA4" w14:textId="77777777" w:rsidR="0028194B" w:rsidRDefault="0028194B" w:rsidP="00BE3232">
      <w:pPr>
        <w:pStyle w:val="Heading1"/>
        <w:tabs>
          <w:tab w:val="left" w:pos="1500"/>
        </w:tabs>
        <w:ind w:left="0"/>
        <w:contextualSpacing/>
        <w:rPr>
          <w:b w:val="0"/>
          <w:u w:val="none"/>
        </w:rPr>
      </w:pPr>
    </w:p>
    <w:p w14:paraId="61A9EA64" w14:textId="77777777" w:rsidR="004F5A08" w:rsidRPr="0028194B" w:rsidRDefault="00BE3232" w:rsidP="00BE3232">
      <w:pPr>
        <w:pStyle w:val="Heading1"/>
        <w:tabs>
          <w:tab w:val="left" w:pos="1500"/>
        </w:tabs>
        <w:ind w:left="0"/>
        <w:contextualSpacing/>
        <w:rPr>
          <w:b w:val="0"/>
        </w:rPr>
      </w:pPr>
      <w:r w:rsidRPr="0028194B">
        <w:rPr>
          <w:b w:val="0"/>
        </w:rPr>
        <w:t>Dockside sales</w:t>
      </w:r>
    </w:p>
    <w:p w14:paraId="4E91DEFC" w14:textId="1D5CAA60" w:rsidR="003C3661" w:rsidRDefault="003C3661" w:rsidP="003C3661">
      <w:pPr>
        <w:pStyle w:val="Heading1"/>
        <w:tabs>
          <w:tab w:val="left" w:pos="1500"/>
        </w:tabs>
        <w:ind w:left="0"/>
        <w:contextualSpacing/>
        <w:rPr>
          <w:b w:val="0"/>
          <w:u w:val="none"/>
        </w:rPr>
      </w:pPr>
      <w:r>
        <w:rPr>
          <w:b w:val="0"/>
          <w:u w:val="none"/>
        </w:rPr>
        <w:t>increase of 35 respondents, 235 instead of 200</w:t>
      </w:r>
    </w:p>
    <w:p w14:paraId="4D244F86" w14:textId="6028C7C7" w:rsidR="003C3661" w:rsidRDefault="003C3661" w:rsidP="003C3661">
      <w:pPr>
        <w:pStyle w:val="Heading1"/>
        <w:tabs>
          <w:tab w:val="left" w:pos="1500"/>
        </w:tabs>
        <w:ind w:left="0"/>
        <w:contextualSpacing/>
        <w:rPr>
          <w:b w:val="0"/>
          <w:u w:val="none"/>
        </w:rPr>
      </w:pPr>
      <w:r>
        <w:rPr>
          <w:b w:val="0"/>
          <w:u w:val="none"/>
        </w:rPr>
        <w:t>increase of 175 responses, 1,175 instead of 1,000</w:t>
      </w:r>
    </w:p>
    <w:p w14:paraId="050BA9B1" w14:textId="4E5BA7ED" w:rsidR="003C3661" w:rsidRDefault="003C3661" w:rsidP="003C3661">
      <w:pPr>
        <w:pStyle w:val="Heading1"/>
        <w:tabs>
          <w:tab w:val="left" w:pos="1500"/>
        </w:tabs>
        <w:ind w:left="0"/>
        <w:contextualSpacing/>
        <w:rPr>
          <w:b w:val="0"/>
          <w:u w:val="none"/>
        </w:rPr>
      </w:pPr>
      <w:r>
        <w:rPr>
          <w:b w:val="0"/>
          <w:u w:val="none"/>
        </w:rPr>
        <w:t>increase of 18 hr burden, 118 hr instead of 100 hr</w:t>
      </w:r>
    </w:p>
    <w:p w14:paraId="2B798EE5" w14:textId="087F3C36" w:rsidR="003C3661" w:rsidRDefault="003C3661" w:rsidP="003C3661">
      <w:pPr>
        <w:pStyle w:val="Heading1"/>
        <w:tabs>
          <w:tab w:val="left" w:pos="1500"/>
        </w:tabs>
        <w:ind w:left="0"/>
        <w:contextualSpacing/>
        <w:rPr>
          <w:b w:val="0"/>
          <w:u w:val="none"/>
        </w:rPr>
      </w:pPr>
      <w:r>
        <w:rPr>
          <w:b w:val="0"/>
          <w:u w:val="none"/>
        </w:rPr>
        <w:t>increase of $2,516 personnel cost, $4,366 instead of $1,850</w:t>
      </w:r>
    </w:p>
    <w:p w14:paraId="49B4714D" w14:textId="77777777" w:rsidR="006A79C8" w:rsidRPr="00B63409" w:rsidRDefault="006A79C8" w:rsidP="00735EE7">
      <w:pPr>
        <w:pStyle w:val="BodyText"/>
        <w:contextualSpacing/>
      </w:pPr>
    </w:p>
    <w:p w14:paraId="2A6B6294" w14:textId="1584FCDB" w:rsidR="006A79C8" w:rsidRPr="00F2234C" w:rsidRDefault="00072B2C" w:rsidP="00072B2C">
      <w:pPr>
        <w:pStyle w:val="Heading1"/>
        <w:tabs>
          <w:tab w:val="left" w:pos="360"/>
        </w:tabs>
        <w:ind w:left="0"/>
        <w:contextualSpacing/>
        <w:rPr>
          <w:u w:val="none"/>
        </w:rPr>
      </w:pPr>
      <w:r w:rsidRPr="00F2234C">
        <w:rPr>
          <w:u w:val="none"/>
        </w:rPr>
        <w:t xml:space="preserve">16. </w:t>
      </w:r>
      <w:r w:rsidR="004C62EA" w:rsidRPr="00F2234C">
        <w:rPr>
          <w:u w:val="thick"/>
        </w:rPr>
        <w:t>For collections whose results will be published, outline the plans for tabulation and publication</w:t>
      </w:r>
      <w:r w:rsidR="004C62EA" w:rsidRPr="00F2234C">
        <w:rPr>
          <w:u w:val="none"/>
        </w:rPr>
        <w:t>.</w:t>
      </w:r>
    </w:p>
    <w:p w14:paraId="74B185CE" w14:textId="77777777" w:rsidR="006A79C8" w:rsidRPr="00CD4898" w:rsidRDefault="006A79C8" w:rsidP="00735EE7">
      <w:pPr>
        <w:pStyle w:val="BodyText"/>
        <w:contextualSpacing/>
        <w:rPr>
          <w:b/>
        </w:rPr>
      </w:pPr>
    </w:p>
    <w:p w14:paraId="5EC4C9E0" w14:textId="764DAD99" w:rsidR="00F2234C" w:rsidRDefault="00F2234C" w:rsidP="00735EE7">
      <w:pPr>
        <w:pStyle w:val="BodyText"/>
        <w:contextualSpacing/>
      </w:pPr>
      <w:r w:rsidRPr="000A58B7">
        <w:t xml:space="preserve">NMFS publishes some information from this collection on the NMFS Alaska Region website, including </w:t>
      </w:r>
      <w:r w:rsidR="000A58B7" w:rsidRPr="000A58B7">
        <w:t>lists of persons eligible to receive QS by transfer (business name and address, NMFS</w:t>
      </w:r>
      <w:r w:rsidR="000A58B7">
        <w:t xml:space="preserve"> ID) and registered buyers (business name and address, NMFS ID, registered buyer permit number). Additionally a list of QS holders is posted that includes the business name and address, species, regulatory area, and number of QS units. </w:t>
      </w:r>
    </w:p>
    <w:p w14:paraId="60042050" w14:textId="77777777" w:rsidR="00F2234C" w:rsidRDefault="00F2234C" w:rsidP="00735EE7">
      <w:pPr>
        <w:pStyle w:val="BodyText"/>
        <w:contextualSpacing/>
      </w:pPr>
    </w:p>
    <w:p w14:paraId="21EFBF6B" w14:textId="6054F197" w:rsidR="006A79C8" w:rsidRPr="006B30D7" w:rsidRDefault="00072B2C" w:rsidP="00072B2C">
      <w:pPr>
        <w:pStyle w:val="Heading1"/>
        <w:tabs>
          <w:tab w:val="left" w:pos="360"/>
        </w:tabs>
        <w:ind w:left="0"/>
        <w:contextualSpacing/>
        <w:rPr>
          <w:u w:val="none"/>
        </w:rPr>
      </w:pPr>
      <w:r w:rsidRPr="00072B2C">
        <w:rPr>
          <w:u w:val="none"/>
        </w:rPr>
        <w:t xml:space="preserve">17. </w:t>
      </w:r>
      <w:r w:rsidR="004C62EA" w:rsidRPr="006B30D7">
        <w:rPr>
          <w:u w:val="thick"/>
        </w:rPr>
        <w:t>If seeking approval to not display the expiration date for OMB approval of the information collection, explain the reasons why display would be</w:t>
      </w:r>
      <w:r w:rsidR="004C62EA" w:rsidRPr="006B30D7">
        <w:rPr>
          <w:spacing w:val="-20"/>
          <w:u w:val="thick"/>
        </w:rPr>
        <w:t xml:space="preserve"> </w:t>
      </w:r>
      <w:r w:rsidR="004C62EA" w:rsidRPr="006B30D7">
        <w:rPr>
          <w:u w:val="thick"/>
        </w:rPr>
        <w:t>inappropriate</w:t>
      </w:r>
      <w:r w:rsidR="004C62EA" w:rsidRPr="006B30D7">
        <w:rPr>
          <w:u w:val="none"/>
        </w:rPr>
        <w:t>.</w:t>
      </w:r>
    </w:p>
    <w:p w14:paraId="058F1E74" w14:textId="77777777" w:rsidR="006A79C8" w:rsidRPr="00CD4898" w:rsidRDefault="006A79C8" w:rsidP="00735EE7">
      <w:pPr>
        <w:pStyle w:val="BodyText"/>
        <w:contextualSpacing/>
        <w:rPr>
          <w:b/>
        </w:rPr>
      </w:pPr>
    </w:p>
    <w:p w14:paraId="5E8FEC8E" w14:textId="3358C18C" w:rsidR="00444518" w:rsidRDefault="004C62EA" w:rsidP="00444518">
      <w:pPr>
        <w:pStyle w:val="BodyText"/>
        <w:contextualSpacing/>
      </w:pPr>
      <w:r w:rsidRPr="00CD4898">
        <w:t>The OMB control number and the expiration date are not found</w:t>
      </w:r>
      <w:r w:rsidR="00750ED5">
        <w:t xml:space="preserve"> on</w:t>
      </w:r>
      <w:r w:rsidRPr="00CD4898">
        <w:t xml:space="preserve"> </w:t>
      </w:r>
      <w:r w:rsidR="00444518">
        <w:t xml:space="preserve">the following, which do not have forms: </w:t>
      </w:r>
      <w:r w:rsidR="00860069">
        <w:t xml:space="preserve">IFQ </w:t>
      </w:r>
      <w:r w:rsidRPr="00CD4898">
        <w:t>Administrative Waiver, P</w:t>
      </w:r>
      <w:r w:rsidR="00860069">
        <w:t>rior Notice of Landing</w:t>
      </w:r>
      <w:r w:rsidRPr="00CD4898">
        <w:t xml:space="preserve">, </w:t>
      </w:r>
      <w:r w:rsidR="00860069">
        <w:t xml:space="preserve">IFQ </w:t>
      </w:r>
      <w:r w:rsidRPr="00CD4898">
        <w:t>Departure Report, Transshipment Authorization</w:t>
      </w:r>
      <w:r w:rsidR="00444518">
        <w:t>, and Dockside Sales Receipt. All but the Dockside Sales Receipt are submitted by telephone</w:t>
      </w:r>
      <w:r w:rsidR="00EF6860">
        <w:t xml:space="preserve">. The Dockside Sales Receipt is given by the permit holder to the buyer; the mode of this receipt is up to the permit holder. </w:t>
      </w:r>
    </w:p>
    <w:p w14:paraId="5272E810" w14:textId="77777777" w:rsidR="00444518" w:rsidRDefault="00444518" w:rsidP="00444518">
      <w:pPr>
        <w:pStyle w:val="BodyText"/>
        <w:contextualSpacing/>
      </w:pPr>
    </w:p>
    <w:p w14:paraId="1D3D9DE8" w14:textId="05026EB9" w:rsidR="006A79C8" w:rsidRPr="00B55590" w:rsidRDefault="00072B2C" w:rsidP="00444518">
      <w:pPr>
        <w:pStyle w:val="BodyText"/>
        <w:contextualSpacing/>
      </w:pPr>
      <w:r w:rsidRPr="00072B2C">
        <w:rPr>
          <w:b/>
        </w:rPr>
        <w:t xml:space="preserve">18. </w:t>
      </w:r>
      <w:r w:rsidR="004C62EA" w:rsidRPr="00B55590">
        <w:rPr>
          <w:u w:val="thick"/>
        </w:rPr>
        <w:t>Explain each exception to the certification</w:t>
      </w:r>
      <w:r w:rsidR="004C62EA" w:rsidRPr="00B55590">
        <w:rPr>
          <w:spacing w:val="-3"/>
          <w:u w:val="thick"/>
        </w:rPr>
        <w:t xml:space="preserve"> </w:t>
      </w:r>
      <w:r w:rsidR="004C62EA" w:rsidRPr="00B55590">
        <w:rPr>
          <w:u w:val="thick"/>
        </w:rPr>
        <w:t>statement</w:t>
      </w:r>
      <w:r w:rsidR="004C62EA" w:rsidRPr="00B55590">
        <w:t>.</w:t>
      </w:r>
    </w:p>
    <w:p w14:paraId="5FDF9CEE" w14:textId="77777777" w:rsidR="006A79C8" w:rsidRPr="00B55590" w:rsidRDefault="006A79C8" w:rsidP="00735EE7">
      <w:pPr>
        <w:pStyle w:val="BodyText"/>
        <w:contextualSpacing/>
        <w:rPr>
          <w:b/>
        </w:rPr>
      </w:pPr>
    </w:p>
    <w:p w14:paraId="20943386" w14:textId="77777777" w:rsidR="006A79C8" w:rsidRPr="00CD4898" w:rsidRDefault="004C62EA" w:rsidP="00735EE7">
      <w:pPr>
        <w:pStyle w:val="BodyText"/>
        <w:contextualSpacing/>
      </w:pPr>
      <w:r w:rsidRPr="00B55590">
        <w:t>Not Applicable.</w:t>
      </w:r>
    </w:p>
    <w:p w14:paraId="70896615" w14:textId="77777777" w:rsidR="006A79C8" w:rsidRDefault="006A79C8" w:rsidP="00735EE7">
      <w:pPr>
        <w:pStyle w:val="BodyText"/>
        <w:contextualSpacing/>
        <w:rPr>
          <w:sz w:val="26"/>
        </w:rPr>
      </w:pPr>
    </w:p>
    <w:p w14:paraId="621E1BA1" w14:textId="77777777" w:rsidR="006A79C8" w:rsidRDefault="006A79C8" w:rsidP="00735EE7">
      <w:pPr>
        <w:pStyle w:val="BodyText"/>
        <w:contextualSpacing/>
        <w:rPr>
          <w:sz w:val="22"/>
        </w:rPr>
      </w:pPr>
    </w:p>
    <w:p w14:paraId="3816CDD3" w14:textId="77777777" w:rsidR="006A79C8" w:rsidRDefault="004C62EA" w:rsidP="008B6DE6">
      <w:pPr>
        <w:pStyle w:val="Heading1"/>
        <w:numPr>
          <w:ilvl w:val="0"/>
          <w:numId w:val="2"/>
        </w:numPr>
        <w:tabs>
          <w:tab w:val="left" w:pos="360"/>
        </w:tabs>
        <w:ind w:left="0" w:firstLine="0"/>
        <w:contextualSpacing/>
        <w:rPr>
          <w:u w:val="none"/>
        </w:rPr>
      </w:pPr>
      <w:r>
        <w:rPr>
          <w:u w:val="none"/>
        </w:rPr>
        <w:t>COLLECTIONS OF INFORMATION EMPLOYING STATISTICAL</w:t>
      </w:r>
      <w:r>
        <w:rPr>
          <w:spacing w:val="-9"/>
          <w:u w:val="none"/>
        </w:rPr>
        <w:t xml:space="preserve"> </w:t>
      </w:r>
      <w:r>
        <w:rPr>
          <w:u w:val="none"/>
        </w:rPr>
        <w:t>METHODS</w:t>
      </w:r>
    </w:p>
    <w:p w14:paraId="5DE2E56D" w14:textId="77777777" w:rsidR="006A79C8" w:rsidRDefault="006A79C8" w:rsidP="00735EE7">
      <w:pPr>
        <w:pStyle w:val="BodyText"/>
        <w:contextualSpacing/>
        <w:rPr>
          <w:b/>
          <w:sz w:val="23"/>
        </w:rPr>
      </w:pPr>
    </w:p>
    <w:p w14:paraId="64887544" w14:textId="77777777" w:rsidR="006A79C8" w:rsidRDefault="004C62EA" w:rsidP="00735EE7">
      <w:pPr>
        <w:pStyle w:val="BodyText"/>
        <w:contextualSpacing/>
      </w:pPr>
      <w:r>
        <w:t>This collection does not employ statistical methods.</w:t>
      </w:r>
    </w:p>
    <w:sectPr w:rsidR="006A79C8" w:rsidSect="00B42D4A">
      <w:footerReference w:type="default" r:id="rId24"/>
      <w:pgSz w:w="12240" w:h="15840"/>
      <w:pgMar w:top="1440" w:right="1440" w:bottom="1440" w:left="1440" w:header="0" w:footer="111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99D798" w15:done="0"/>
  <w15:commentEx w15:paraId="5A74FE8E" w15:done="0"/>
  <w15:commentEx w15:paraId="7496DE09" w15:paraIdParent="5A74FE8E" w15:done="0"/>
  <w15:commentEx w15:paraId="2EDE549E" w15:done="0"/>
  <w15:commentEx w15:paraId="10A01BA3" w15:paraIdParent="2EDE549E" w15:done="0"/>
  <w15:commentEx w15:paraId="15E396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C4049" w14:textId="77777777" w:rsidR="005C2375" w:rsidRDefault="005C2375">
      <w:r>
        <w:separator/>
      </w:r>
    </w:p>
  </w:endnote>
  <w:endnote w:type="continuationSeparator" w:id="0">
    <w:p w14:paraId="4E7EBC85" w14:textId="77777777" w:rsidR="005C2375" w:rsidRDefault="005C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1014"/>
      <w:docPartObj>
        <w:docPartGallery w:val="Page Numbers (Bottom of Page)"/>
        <w:docPartUnique/>
      </w:docPartObj>
    </w:sdtPr>
    <w:sdtEndPr>
      <w:rPr>
        <w:noProof/>
      </w:rPr>
    </w:sdtEndPr>
    <w:sdtContent>
      <w:p w14:paraId="2F36A72D" w14:textId="57AB04B4" w:rsidR="00AE46A9" w:rsidRDefault="00AE46A9">
        <w:pPr>
          <w:pStyle w:val="Footer"/>
          <w:jc w:val="center"/>
        </w:pPr>
        <w:r>
          <w:fldChar w:fldCharType="begin"/>
        </w:r>
        <w:r>
          <w:instrText xml:space="preserve"> PAGE   \* MERGEFORMAT </w:instrText>
        </w:r>
        <w:r>
          <w:fldChar w:fldCharType="separate"/>
        </w:r>
        <w:r w:rsidR="001D12BB">
          <w:rPr>
            <w:noProof/>
          </w:rPr>
          <w:t>1</w:t>
        </w:r>
        <w:r>
          <w:rPr>
            <w:noProof/>
          </w:rPr>
          <w:fldChar w:fldCharType="end"/>
        </w:r>
      </w:p>
    </w:sdtContent>
  </w:sdt>
  <w:p w14:paraId="5EB82750" w14:textId="77777777" w:rsidR="00AE46A9" w:rsidRDefault="00AE46A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06293" w14:textId="77777777" w:rsidR="005C2375" w:rsidRDefault="005C2375">
      <w:r>
        <w:separator/>
      </w:r>
    </w:p>
  </w:footnote>
  <w:footnote w:type="continuationSeparator" w:id="0">
    <w:p w14:paraId="32C9F7FC" w14:textId="77777777" w:rsidR="005C2375" w:rsidRDefault="005C2375">
      <w:r>
        <w:continuationSeparator/>
      </w:r>
    </w:p>
  </w:footnote>
  <w:footnote w:id="1">
    <w:p w14:paraId="79EF801B" w14:textId="427E046F" w:rsidR="00AE46A9" w:rsidRDefault="00AE46A9" w:rsidP="008F3C8F">
      <w:pPr>
        <w:pStyle w:val="FootnoteText"/>
      </w:pPr>
      <w:r>
        <w:rPr>
          <w:rStyle w:val="FootnoteReference"/>
        </w:rPr>
        <w:footnoteRef/>
      </w:r>
      <w:r>
        <w:t xml:space="preserve"> </w:t>
      </w:r>
      <w:hyperlink r:id="rId1" w:history="1">
        <w:r w:rsidRPr="00085D1E">
          <w:rPr>
            <w:rStyle w:val="Hyperlink"/>
          </w:rPr>
          <w:t>https://alaskafisheries.noaa.gov/fisheries/ifq</w:t>
        </w:r>
      </w:hyperlink>
    </w:p>
  </w:footnote>
  <w:footnote w:id="2">
    <w:p w14:paraId="4AD156F0" w14:textId="77777777" w:rsidR="00AE46A9" w:rsidRDefault="00AE46A9" w:rsidP="00B8700E">
      <w:pPr>
        <w:pStyle w:val="FootnoteText"/>
      </w:pPr>
      <w:r>
        <w:rPr>
          <w:rStyle w:val="FootnoteReference"/>
        </w:rPr>
        <w:footnoteRef/>
      </w:r>
      <w:r>
        <w:t xml:space="preserve"> </w:t>
      </w:r>
      <w:hyperlink r:id="rId2" w:history="1">
        <w:r w:rsidRPr="00BE0746">
          <w:rPr>
            <w:color w:val="0000FF"/>
            <w:u w:val="single"/>
          </w:rPr>
          <w:t>http://www.cio.noaa.gov/services_programs/IQ_Guidelines_103014.html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8A5"/>
    <w:multiLevelType w:val="hybridMultilevel"/>
    <w:tmpl w:val="4312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07E9F"/>
    <w:multiLevelType w:val="hybridMultilevel"/>
    <w:tmpl w:val="E62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82F1C"/>
    <w:multiLevelType w:val="multilevel"/>
    <w:tmpl w:val="12B61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501BE5"/>
    <w:multiLevelType w:val="hybridMultilevel"/>
    <w:tmpl w:val="B408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56E5F"/>
    <w:multiLevelType w:val="hybridMultilevel"/>
    <w:tmpl w:val="2020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32F18"/>
    <w:multiLevelType w:val="hybridMultilevel"/>
    <w:tmpl w:val="B7049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C58CF"/>
    <w:multiLevelType w:val="hybridMultilevel"/>
    <w:tmpl w:val="6A5CB63C"/>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119B8"/>
    <w:multiLevelType w:val="hybridMultilevel"/>
    <w:tmpl w:val="A4D2BEDC"/>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7820F1"/>
    <w:multiLevelType w:val="hybridMultilevel"/>
    <w:tmpl w:val="0AD0408E"/>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2782F"/>
    <w:multiLevelType w:val="hybridMultilevel"/>
    <w:tmpl w:val="ECBC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F26D3"/>
    <w:multiLevelType w:val="hybridMultilevel"/>
    <w:tmpl w:val="724C5342"/>
    <w:lvl w:ilvl="0" w:tplc="7E6C7044">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5D88B236">
      <w:numFmt w:val="bullet"/>
      <w:lvlText w:val="◆"/>
      <w:lvlJc w:val="left"/>
      <w:pPr>
        <w:ind w:left="2088" w:hanging="720"/>
      </w:pPr>
      <w:rPr>
        <w:rFonts w:ascii="Times New Roman" w:eastAsia="Times New Roman" w:hAnsi="Times New Roman" w:cs="Times New Roman" w:hint="default"/>
        <w:w w:val="65"/>
        <w:sz w:val="24"/>
        <w:szCs w:val="24"/>
      </w:rPr>
    </w:lvl>
    <w:lvl w:ilvl="2" w:tplc="680C0DBC">
      <w:numFmt w:val="bullet"/>
      <w:lvlText w:val="•"/>
      <w:lvlJc w:val="left"/>
      <w:pPr>
        <w:ind w:left="3146" w:hanging="720"/>
      </w:pPr>
      <w:rPr>
        <w:rFonts w:hint="default"/>
      </w:rPr>
    </w:lvl>
    <w:lvl w:ilvl="3" w:tplc="4A7CFA76">
      <w:numFmt w:val="bullet"/>
      <w:lvlText w:val="•"/>
      <w:lvlJc w:val="left"/>
      <w:pPr>
        <w:ind w:left="4213" w:hanging="720"/>
      </w:pPr>
      <w:rPr>
        <w:rFonts w:hint="default"/>
      </w:rPr>
    </w:lvl>
    <w:lvl w:ilvl="4" w:tplc="4AA28C52">
      <w:numFmt w:val="bullet"/>
      <w:lvlText w:val="•"/>
      <w:lvlJc w:val="left"/>
      <w:pPr>
        <w:ind w:left="5280" w:hanging="720"/>
      </w:pPr>
      <w:rPr>
        <w:rFonts w:hint="default"/>
      </w:rPr>
    </w:lvl>
    <w:lvl w:ilvl="5" w:tplc="A3380394">
      <w:numFmt w:val="bullet"/>
      <w:lvlText w:val="•"/>
      <w:lvlJc w:val="left"/>
      <w:pPr>
        <w:ind w:left="6346" w:hanging="720"/>
      </w:pPr>
      <w:rPr>
        <w:rFonts w:hint="default"/>
      </w:rPr>
    </w:lvl>
    <w:lvl w:ilvl="6" w:tplc="8FCCEF60">
      <w:numFmt w:val="bullet"/>
      <w:lvlText w:val="•"/>
      <w:lvlJc w:val="left"/>
      <w:pPr>
        <w:ind w:left="7413" w:hanging="720"/>
      </w:pPr>
      <w:rPr>
        <w:rFonts w:hint="default"/>
      </w:rPr>
    </w:lvl>
    <w:lvl w:ilvl="7" w:tplc="D54C3CE4">
      <w:numFmt w:val="bullet"/>
      <w:lvlText w:val="•"/>
      <w:lvlJc w:val="left"/>
      <w:pPr>
        <w:ind w:left="8480" w:hanging="720"/>
      </w:pPr>
      <w:rPr>
        <w:rFonts w:hint="default"/>
      </w:rPr>
    </w:lvl>
    <w:lvl w:ilvl="8" w:tplc="8B66644A">
      <w:numFmt w:val="bullet"/>
      <w:lvlText w:val="•"/>
      <w:lvlJc w:val="left"/>
      <w:pPr>
        <w:ind w:left="9546" w:hanging="720"/>
      </w:pPr>
      <w:rPr>
        <w:rFonts w:hint="default"/>
      </w:rPr>
    </w:lvl>
  </w:abstractNum>
  <w:abstractNum w:abstractNumId="11">
    <w:nsid w:val="431253A3"/>
    <w:multiLevelType w:val="hybridMultilevel"/>
    <w:tmpl w:val="B05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503EC3"/>
    <w:multiLevelType w:val="hybridMultilevel"/>
    <w:tmpl w:val="4B0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5656BB"/>
    <w:multiLevelType w:val="hybridMultilevel"/>
    <w:tmpl w:val="F8EAE218"/>
    <w:lvl w:ilvl="0" w:tplc="D95E7350">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869086F"/>
    <w:multiLevelType w:val="hybridMultilevel"/>
    <w:tmpl w:val="6FB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436FF8"/>
    <w:multiLevelType w:val="hybridMultilevel"/>
    <w:tmpl w:val="B3FC697C"/>
    <w:lvl w:ilvl="0" w:tplc="35521B14">
      <w:start w:val="1"/>
      <w:numFmt w:val="decimal"/>
      <w:lvlText w:val="%1."/>
      <w:lvlJc w:val="left"/>
      <w:pPr>
        <w:ind w:left="1080" w:hanging="300"/>
      </w:pPr>
      <w:rPr>
        <w:rFonts w:ascii="Times New Roman" w:eastAsia="Times New Roman" w:hAnsi="Times New Roman" w:cs="Times New Roman" w:hint="default"/>
        <w:b/>
        <w:bCs/>
        <w:spacing w:val="-4"/>
        <w:w w:val="99"/>
        <w:sz w:val="24"/>
        <w:szCs w:val="24"/>
      </w:rPr>
    </w:lvl>
    <w:lvl w:ilvl="1" w:tplc="2A741CB0">
      <w:start w:val="1"/>
      <w:numFmt w:val="lowerLetter"/>
      <w:lvlText w:val="%2."/>
      <w:lvlJc w:val="left"/>
      <w:pPr>
        <w:ind w:left="1380" w:hanging="300"/>
      </w:pPr>
      <w:rPr>
        <w:rFonts w:ascii="Times New Roman" w:eastAsia="Times New Roman" w:hAnsi="Times New Roman" w:cs="Times New Roman" w:hint="default"/>
        <w:b/>
        <w:bCs/>
        <w:spacing w:val="-3"/>
        <w:w w:val="99"/>
        <w:sz w:val="24"/>
        <w:szCs w:val="24"/>
      </w:rPr>
    </w:lvl>
    <w:lvl w:ilvl="2" w:tplc="E99CCC2E">
      <w:numFmt w:val="bullet"/>
      <w:lvlText w:val="◆"/>
      <w:lvlJc w:val="left"/>
      <w:pPr>
        <w:ind w:left="1800" w:hanging="360"/>
      </w:pPr>
      <w:rPr>
        <w:rFonts w:ascii="Times New Roman" w:eastAsia="Times New Roman" w:hAnsi="Times New Roman" w:cs="Times New Roman" w:hint="default"/>
        <w:w w:val="65"/>
        <w:sz w:val="24"/>
        <w:szCs w:val="24"/>
      </w:rPr>
    </w:lvl>
    <w:lvl w:ilvl="3" w:tplc="AF7CB29E">
      <w:numFmt w:val="bullet"/>
      <w:lvlText w:val="▪"/>
      <w:lvlJc w:val="left"/>
      <w:pPr>
        <w:ind w:left="2160" w:hanging="360"/>
      </w:pPr>
      <w:rPr>
        <w:rFonts w:ascii="Times New Roman" w:eastAsia="Times New Roman" w:hAnsi="Times New Roman" w:cs="Times New Roman" w:hint="default"/>
        <w:spacing w:val="-5"/>
        <w:w w:val="99"/>
        <w:sz w:val="24"/>
        <w:szCs w:val="24"/>
      </w:rPr>
    </w:lvl>
    <w:lvl w:ilvl="4" w:tplc="D95E7350">
      <w:numFmt w:val="bullet"/>
      <w:lvlText w:val="•"/>
      <w:lvlJc w:val="left"/>
      <w:pPr>
        <w:ind w:left="3520" w:hanging="360"/>
      </w:pPr>
      <w:rPr>
        <w:rFonts w:hint="default"/>
      </w:rPr>
    </w:lvl>
    <w:lvl w:ilvl="5" w:tplc="63BEE044">
      <w:numFmt w:val="bullet"/>
      <w:lvlText w:val="•"/>
      <w:lvlJc w:val="left"/>
      <w:pPr>
        <w:ind w:left="4880" w:hanging="360"/>
      </w:pPr>
      <w:rPr>
        <w:rFonts w:hint="default"/>
      </w:rPr>
    </w:lvl>
    <w:lvl w:ilvl="6" w:tplc="498AB152">
      <w:numFmt w:val="bullet"/>
      <w:lvlText w:val="•"/>
      <w:lvlJc w:val="left"/>
      <w:pPr>
        <w:ind w:left="6240" w:hanging="360"/>
      </w:pPr>
      <w:rPr>
        <w:rFonts w:hint="default"/>
      </w:rPr>
    </w:lvl>
    <w:lvl w:ilvl="7" w:tplc="3B0A7B20">
      <w:numFmt w:val="bullet"/>
      <w:lvlText w:val="•"/>
      <w:lvlJc w:val="left"/>
      <w:pPr>
        <w:ind w:left="7600" w:hanging="360"/>
      </w:pPr>
      <w:rPr>
        <w:rFonts w:hint="default"/>
      </w:rPr>
    </w:lvl>
    <w:lvl w:ilvl="8" w:tplc="0F941DAA">
      <w:numFmt w:val="bullet"/>
      <w:lvlText w:val="•"/>
      <w:lvlJc w:val="left"/>
      <w:pPr>
        <w:ind w:left="8960" w:hanging="360"/>
      </w:pPr>
      <w:rPr>
        <w:rFonts w:hint="default"/>
      </w:rPr>
    </w:lvl>
  </w:abstractNum>
  <w:abstractNum w:abstractNumId="16">
    <w:nsid w:val="75A633E4"/>
    <w:multiLevelType w:val="hybridMultilevel"/>
    <w:tmpl w:val="474A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CA4FD1"/>
    <w:multiLevelType w:val="hybridMultilevel"/>
    <w:tmpl w:val="5A0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153738"/>
    <w:multiLevelType w:val="hybridMultilevel"/>
    <w:tmpl w:val="47C2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7"/>
  </w:num>
  <w:num w:numId="4">
    <w:abstractNumId w:val="16"/>
  </w:num>
  <w:num w:numId="5">
    <w:abstractNumId w:val="1"/>
  </w:num>
  <w:num w:numId="6">
    <w:abstractNumId w:val="3"/>
  </w:num>
  <w:num w:numId="7">
    <w:abstractNumId w:val="12"/>
  </w:num>
  <w:num w:numId="8">
    <w:abstractNumId w:val="14"/>
  </w:num>
  <w:num w:numId="9">
    <w:abstractNumId w:val="18"/>
  </w:num>
  <w:num w:numId="10">
    <w:abstractNumId w:val="13"/>
  </w:num>
  <w:num w:numId="11">
    <w:abstractNumId w:val="7"/>
  </w:num>
  <w:num w:numId="12">
    <w:abstractNumId w:val="6"/>
  </w:num>
  <w:num w:numId="13">
    <w:abstractNumId w:val="8"/>
  </w:num>
  <w:num w:numId="14">
    <w:abstractNumId w:val="11"/>
  </w:num>
  <w:num w:numId="15">
    <w:abstractNumId w:val="5"/>
  </w:num>
  <w:num w:numId="16">
    <w:abstractNumId w:val="0"/>
  </w:num>
  <w:num w:numId="17">
    <w:abstractNumId w:val="2"/>
  </w:num>
  <w:num w:numId="18">
    <w:abstractNumId w:val="9"/>
  </w:num>
  <w:num w:numId="19">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brielle Aberle">
    <w15:presenceInfo w15:providerId="None" w15:userId="Gabrielle Aber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0"/>
  <w:activeWritingStyle w:appName="MSWord" w:lang="en-CA" w:vendorID="64" w:dllVersion="131078" w:nlCheck="1" w:checkStyle="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9C8"/>
    <w:rsid w:val="00001CDE"/>
    <w:rsid w:val="00005112"/>
    <w:rsid w:val="00005862"/>
    <w:rsid w:val="00005CF7"/>
    <w:rsid w:val="00007354"/>
    <w:rsid w:val="00013265"/>
    <w:rsid w:val="000134E1"/>
    <w:rsid w:val="00013E3B"/>
    <w:rsid w:val="0001466E"/>
    <w:rsid w:val="00014C43"/>
    <w:rsid w:val="00015E2A"/>
    <w:rsid w:val="00016491"/>
    <w:rsid w:val="0001795F"/>
    <w:rsid w:val="000248E6"/>
    <w:rsid w:val="00024CD0"/>
    <w:rsid w:val="00031F04"/>
    <w:rsid w:val="00032B23"/>
    <w:rsid w:val="00033186"/>
    <w:rsid w:val="000338E6"/>
    <w:rsid w:val="00035E5F"/>
    <w:rsid w:val="00036A06"/>
    <w:rsid w:val="00041A1C"/>
    <w:rsid w:val="000440CF"/>
    <w:rsid w:val="00050EF9"/>
    <w:rsid w:val="00051E6D"/>
    <w:rsid w:val="000557D4"/>
    <w:rsid w:val="0005625D"/>
    <w:rsid w:val="0005649D"/>
    <w:rsid w:val="0005657A"/>
    <w:rsid w:val="00057B9D"/>
    <w:rsid w:val="00065643"/>
    <w:rsid w:val="00067B59"/>
    <w:rsid w:val="00071401"/>
    <w:rsid w:val="00071896"/>
    <w:rsid w:val="00071DDE"/>
    <w:rsid w:val="00072B2C"/>
    <w:rsid w:val="000737CC"/>
    <w:rsid w:val="00085D1E"/>
    <w:rsid w:val="0009053F"/>
    <w:rsid w:val="00093B04"/>
    <w:rsid w:val="000A1944"/>
    <w:rsid w:val="000A38D9"/>
    <w:rsid w:val="000A5005"/>
    <w:rsid w:val="000A58B7"/>
    <w:rsid w:val="000B0552"/>
    <w:rsid w:val="000B29EB"/>
    <w:rsid w:val="000B5A4D"/>
    <w:rsid w:val="000B728F"/>
    <w:rsid w:val="000C3E51"/>
    <w:rsid w:val="000C5C81"/>
    <w:rsid w:val="000D1873"/>
    <w:rsid w:val="000D2709"/>
    <w:rsid w:val="000D3A80"/>
    <w:rsid w:val="000D5F8F"/>
    <w:rsid w:val="000D7FE6"/>
    <w:rsid w:val="000F78B1"/>
    <w:rsid w:val="0010087D"/>
    <w:rsid w:val="00100CF4"/>
    <w:rsid w:val="00101575"/>
    <w:rsid w:val="001026B7"/>
    <w:rsid w:val="001026F9"/>
    <w:rsid w:val="00102D9C"/>
    <w:rsid w:val="00104061"/>
    <w:rsid w:val="00104DFF"/>
    <w:rsid w:val="00106911"/>
    <w:rsid w:val="00111813"/>
    <w:rsid w:val="001229AA"/>
    <w:rsid w:val="00123919"/>
    <w:rsid w:val="00123FED"/>
    <w:rsid w:val="0012416B"/>
    <w:rsid w:val="00127DCE"/>
    <w:rsid w:val="0013005F"/>
    <w:rsid w:val="00136C84"/>
    <w:rsid w:val="00140921"/>
    <w:rsid w:val="00142764"/>
    <w:rsid w:val="00142E8C"/>
    <w:rsid w:val="0014416B"/>
    <w:rsid w:val="00147B4A"/>
    <w:rsid w:val="00147C39"/>
    <w:rsid w:val="00150F1C"/>
    <w:rsid w:val="00151B83"/>
    <w:rsid w:val="00151DFB"/>
    <w:rsid w:val="00155F76"/>
    <w:rsid w:val="00161366"/>
    <w:rsid w:val="00165566"/>
    <w:rsid w:val="00166B9F"/>
    <w:rsid w:val="00171587"/>
    <w:rsid w:val="00173AF5"/>
    <w:rsid w:val="001808A6"/>
    <w:rsid w:val="00181897"/>
    <w:rsid w:val="00181C62"/>
    <w:rsid w:val="001835EB"/>
    <w:rsid w:val="00183A0A"/>
    <w:rsid w:val="00183D03"/>
    <w:rsid w:val="001860DF"/>
    <w:rsid w:val="0018755B"/>
    <w:rsid w:val="001A30F2"/>
    <w:rsid w:val="001A4D59"/>
    <w:rsid w:val="001A4DAF"/>
    <w:rsid w:val="001B1BFC"/>
    <w:rsid w:val="001B2F1B"/>
    <w:rsid w:val="001B32DE"/>
    <w:rsid w:val="001B365A"/>
    <w:rsid w:val="001B5A78"/>
    <w:rsid w:val="001B77A8"/>
    <w:rsid w:val="001C010C"/>
    <w:rsid w:val="001C06DC"/>
    <w:rsid w:val="001C1A19"/>
    <w:rsid w:val="001C239D"/>
    <w:rsid w:val="001C2AE9"/>
    <w:rsid w:val="001C6739"/>
    <w:rsid w:val="001D12BB"/>
    <w:rsid w:val="001D5D83"/>
    <w:rsid w:val="001E0605"/>
    <w:rsid w:val="001E11AA"/>
    <w:rsid w:val="001E13EF"/>
    <w:rsid w:val="001E68CE"/>
    <w:rsid w:val="001E7CF7"/>
    <w:rsid w:val="001F2A56"/>
    <w:rsid w:val="001F3420"/>
    <w:rsid w:val="001F5734"/>
    <w:rsid w:val="0020110F"/>
    <w:rsid w:val="002015E0"/>
    <w:rsid w:val="00201696"/>
    <w:rsid w:val="00202A9C"/>
    <w:rsid w:val="00202E4E"/>
    <w:rsid w:val="00205207"/>
    <w:rsid w:val="002109A5"/>
    <w:rsid w:val="00213101"/>
    <w:rsid w:val="002236B8"/>
    <w:rsid w:val="00223879"/>
    <w:rsid w:val="00225D39"/>
    <w:rsid w:val="0022649C"/>
    <w:rsid w:val="00231D7F"/>
    <w:rsid w:val="00232D88"/>
    <w:rsid w:val="00236A01"/>
    <w:rsid w:val="002405B9"/>
    <w:rsid w:val="0024108E"/>
    <w:rsid w:val="00241FDE"/>
    <w:rsid w:val="00254478"/>
    <w:rsid w:val="00257060"/>
    <w:rsid w:val="00257184"/>
    <w:rsid w:val="00260035"/>
    <w:rsid w:val="00260B7A"/>
    <w:rsid w:val="00261AD5"/>
    <w:rsid w:val="00264133"/>
    <w:rsid w:val="002738A2"/>
    <w:rsid w:val="00273A81"/>
    <w:rsid w:val="00275F65"/>
    <w:rsid w:val="00280CE6"/>
    <w:rsid w:val="00280F60"/>
    <w:rsid w:val="00280F67"/>
    <w:rsid w:val="00280F76"/>
    <w:rsid w:val="0028194B"/>
    <w:rsid w:val="00283EFC"/>
    <w:rsid w:val="00285746"/>
    <w:rsid w:val="0028601E"/>
    <w:rsid w:val="00286330"/>
    <w:rsid w:val="002875EA"/>
    <w:rsid w:val="00290522"/>
    <w:rsid w:val="00291371"/>
    <w:rsid w:val="00292F0B"/>
    <w:rsid w:val="002951B0"/>
    <w:rsid w:val="002A263B"/>
    <w:rsid w:val="002A4465"/>
    <w:rsid w:val="002A7387"/>
    <w:rsid w:val="002B0725"/>
    <w:rsid w:val="002B1284"/>
    <w:rsid w:val="002B45DB"/>
    <w:rsid w:val="002B571A"/>
    <w:rsid w:val="002B5A96"/>
    <w:rsid w:val="002B5EF4"/>
    <w:rsid w:val="002C0388"/>
    <w:rsid w:val="002C0D5D"/>
    <w:rsid w:val="002C3F21"/>
    <w:rsid w:val="002C51E3"/>
    <w:rsid w:val="002C7C05"/>
    <w:rsid w:val="002D204E"/>
    <w:rsid w:val="002D2C89"/>
    <w:rsid w:val="002D2CCC"/>
    <w:rsid w:val="002D4E47"/>
    <w:rsid w:val="002D6AA7"/>
    <w:rsid w:val="002D6EDA"/>
    <w:rsid w:val="002E198E"/>
    <w:rsid w:val="002E3E38"/>
    <w:rsid w:val="002E6336"/>
    <w:rsid w:val="002E6440"/>
    <w:rsid w:val="002E6C0E"/>
    <w:rsid w:val="002F133E"/>
    <w:rsid w:val="002F18B3"/>
    <w:rsid w:val="002F273C"/>
    <w:rsid w:val="002F2A98"/>
    <w:rsid w:val="002F6805"/>
    <w:rsid w:val="0030622A"/>
    <w:rsid w:val="003206D5"/>
    <w:rsid w:val="00320822"/>
    <w:rsid w:val="00323276"/>
    <w:rsid w:val="00326E56"/>
    <w:rsid w:val="00327096"/>
    <w:rsid w:val="00327F98"/>
    <w:rsid w:val="003333DA"/>
    <w:rsid w:val="003357AA"/>
    <w:rsid w:val="003364DE"/>
    <w:rsid w:val="00340059"/>
    <w:rsid w:val="00340B25"/>
    <w:rsid w:val="00341718"/>
    <w:rsid w:val="00341F2E"/>
    <w:rsid w:val="0034234F"/>
    <w:rsid w:val="0035068A"/>
    <w:rsid w:val="00350F68"/>
    <w:rsid w:val="00353196"/>
    <w:rsid w:val="003574C5"/>
    <w:rsid w:val="00357FC7"/>
    <w:rsid w:val="003604A7"/>
    <w:rsid w:val="0036304A"/>
    <w:rsid w:val="00364A0C"/>
    <w:rsid w:val="00364FA4"/>
    <w:rsid w:val="00364FAD"/>
    <w:rsid w:val="00367E9A"/>
    <w:rsid w:val="00371862"/>
    <w:rsid w:val="00373119"/>
    <w:rsid w:val="0037505F"/>
    <w:rsid w:val="00375131"/>
    <w:rsid w:val="003765E1"/>
    <w:rsid w:val="00377849"/>
    <w:rsid w:val="00381DEA"/>
    <w:rsid w:val="00381EE8"/>
    <w:rsid w:val="0038308A"/>
    <w:rsid w:val="00383125"/>
    <w:rsid w:val="00384AA4"/>
    <w:rsid w:val="00384AFC"/>
    <w:rsid w:val="003862B5"/>
    <w:rsid w:val="00386543"/>
    <w:rsid w:val="00390323"/>
    <w:rsid w:val="00393401"/>
    <w:rsid w:val="00395C25"/>
    <w:rsid w:val="00397A53"/>
    <w:rsid w:val="003A1FD4"/>
    <w:rsid w:val="003A3497"/>
    <w:rsid w:val="003A70BD"/>
    <w:rsid w:val="003B0C82"/>
    <w:rsid w:val="003B13E6"/>
    <w:rsid w:val="003B2819"/>
    <w:rsid w:val="003B4025"/>
    <w:rsid w:val="003B59EC"/>
    <w:rsid w:val="003B6300"/>
    <w:rsid w:val="003B6A13"/>
    <w:rsid w:val="003B7DA3"/>
    <w:rsid w:val="003C0AFC"/>
    <w:rsid w:val="003C151D"/>
    <w:rsid w:val="003C1E8F"/>
    <w:rsid w:val="003C3661"/>
    <w:rsid w:val="003C3795"/>
    <w:rsid w:val="003C4759"/>
    <w:rsid w:val="003C5B06"/>
    <w:rsid w:val="003C7802"/>
    <w:rsid w:val="003D40AD"/>
    <w:rsid w:val="003E3BA0"/>
    <w:rsid w:val="003E7539"/>
    <w:rsid w:val="003E7F94"/>
    <w:rsid w:val="003F269B"/>
    <w:rsid w:val="003F3893"/>
    <w:rsid w:val="003F4C10"/>
    <w:rsid w:val="003F59FE"/>
    <w:rsid w:val="004038B5"/>
    <w:rsid w:val="00406DD8"/>
    <w:rsid w:val="0041041A"/>
    <w:rsid w:val="00412BA6"/>
    <w:rsid w:val="00413B32"/>
    <w:rsid w:val="00416411"/>
    <w:rsid w:val="00417C5F"/>
    <w:rsid w:val="00420308"/>
    <w:rsid w:val="00421CB8"/>
    <w:rsid w:val="00423C3A"/>
    <w:rsid w:val="00430309"/>
    <w:rsid w:val="00430EBD"/>
    <w:rsid w:val="00433128"/>
    <w:rsid w:val="004419A0"/>
    <w:rsid w:val="00441D34"/>
    <w:rsid w:val="004425EA"/>
    <w:rsid w:val="00443BE5"/>
    <w:rsid w:val="00444518"/>
    <w:rsid w:val="00444B6C"/>
    <w:rsid w:val="00447BF0"/>
    <w:rsid w:val="00450968"/>
    <w:rsid w:val="00453EA6"/>
    <w:rsid w:val="00454D94"/>
    <w:rsid w:val="00455686"/>
    <w:rsid w:val="00457868"/>
    <w:rsid w:val="004632AD"/>
    <w:rsid w:val="00464D0E"/>
    <w:rsid w:val="00465EB4"/>
    <w:rsid w:val="004670F8"/>
    <w:rsid w:val="00470B0B"/>
    <w:rsid w:val="004718A6"/>
    <w:rsid w:val="00472886"/>
    <w:rsid w:val="004741DB"/>
    <w:rsid w:val="004812BB"/>
    <w:rsid w:val="00482CC6"/>
    <w:rsid w:val="00485986"/>
    <w:rsid w:val="00490339"/>
    <w:rsid w:val="00496869"/>
    <w:rsid w:val="004A12E7"/>
    <w:rsid w:val="004A1C63"/>
    <w:rsid w:val="004A23A9"/>
    <w:rsid w:val="004A346C"/>
    <w:rsid w:val="004A3D56"/>
    <w:rsid w:val="004A5000"/>
    <w:rsid w:val="004B0463"/>
    <w:rsid w:val="004B5022"/>
    <w:rsid w:val="004B69AA"/>
    <w:rsid w:val="004C183D"/>
    <w:rsid w:val="004C1B54"/>
    <w:rsid w:val="004C212A"/>
    <w:rsid w:val="004C3EA2"/>
    <w:rsid w:val="004C4D21"/>
    <w:rsid w:val="004C62EA"/>
    <w:rsid w:val="004C6D9B"/>
    <w:rsid w:val="004C7AFA"/>
    <w:rsid w:val="004C7FEC"/>
    <w:rsid w:val="004D1342"/>
    <w:rsid w:val="004D17C3"/>
    <w:rsid w:val="004D24EB"/>
    <w:rsid w:val="004E0BF0"/>
    <w:rsid w:val="004E46AC"/>
    <w:rsid w:val="004E62E3"/>
    <w:rsid w:val="004F09A4"/>
    <w:rsid w:val="004F40C0"/>
    <w:rsid w:val="004F53B1"/>
    <w:rsid w:val="004F5A08"/>
    <w:rsid w:val="004F6DD6"/>
    <w:rsid w:val="00500412"/>
    <w:rsid w:val="00500624"/>
    <w:rsid w:val="00500774"/>
    <w:rsid w:val="00504B68"/>
    <w:rsid w:val="005135C1"/>
    <w:rsid w:val="00514F52"/>
    <w:rsid w:val="00515D56"/>
    <w:rsid w:val="00517766"/>
    <w:rsid w:val="005208EB"/>
    <w:rsid w:val="00520B36"/>
    <w:rsid w:val="00521F15"/>
    <w:rsid w:val="005264E1"/>
    <w:rsid w:val="00532876"/>
    <w:rsid w:val="005335B8"/>
    <w:rsid w:val="005442B8"/>
    <w:rsid w:val="00544837"/>
    <w:rsid w:val="00546A01"/>
    <w:rsid w:val="00551BD9"/>
    <w:rsid w:val="00552FEF"/>
    <w:rsid w:val="00553B6D"/>
    <w:rsid w:val="005549E0"/>
    <w:rsid w:val="00555844"/>
    <w:rsid w:val="00556CE0"/>
    <w:rsid w:val="00557217"/>
    <w:rsid w:val="00557A43"/>
    <w:rsid w:val="0056117F"/>
    <w:rsid w:val="00561F2E"/>
    <w:rsid w:val="00563358"/>
    <w:rsid w:val="00571EFF"/>
    <w:rsid w:val="0057631A"/>
    <w:rsid w:val="005764A7"/>
    <w:rsid w:val="00577C95"/>
    <w:rsid w:val="00580AD2"/>
    <w:rsid w:val="0058338E"/>
    <w:rsid w:val="00591A4B"/>
    <w:rsid w:val="005A0707"/>
    <w:rsid w:val="005A25FE"/>
    <w:rsid w:val="005A2C01"/>
    <w:rsid w:val="005A6317"/>
    <w:rsid w:val="005A7D81"/>
    <w:rsid w:val="005B7CCC"/>
    <w:rsid w:val="005C058D"/>
    <w:rsid w:val="005C2375"/>
    <w:rsid w:val="005C585F"/>
    <w:rsid w:val="005C730F"/>
    <w:rsid w:val="005C78C0"/>
    <w:rsid w:val="005D42BD"/>
    <w:rsid w:val="005D590B"/>
    <w:rsid w:val="005E1E9C"/>
    <w:rsid w:val="005E4384"/>
    <w:rsid w:val="005E4D53"/>
    <w:rsid w:val="005E547E"/>
    <w:rsid w:val="005F2604"/>
    <w:rsid w:val="005F47CB"/>
    <w:rsid w:val="0060075F"/>
    <w:rsid w:val="00603B1F"/>
    <w:rsid w:val="00604360"/>
    <w:rsid w:val="006043D4"/>
    <w:rsid w:val="006060B8"/>
    <w:rsid w:val="0060663C"/>
    <w:rsid w:val="006117EE"/>
    <w:rsid w:val="00613BFA"/>
    <w:rsid w:val="0061481F"/>
    <w:rsid w:val="006154BF"/>
    <w:rsid w:val="00621777"/>
    <w:rsid w:val="0062636A"/>
    <w:rsid w:val="00626FFD"/>
    <w:rsid w:val="006314A7"/>
    <w:rsid w:val="006326CF"/>
    <w:rsid w:val="00635200"/>
    <w:rsid w:val="00637463"/>
    <w:rsid w:val="00640549"/>
    <w:rsid w:val="0064090D"/>
    <w:rsid w:val="00640FDD"/>
    <w:rsid w:val="006414B4"/>
    <w:rsid w:val="00642A38"/>
    <w:rsid w:val="00642E55"/>
    <w:rsid w:val="00644049"/>
    <w:rsid w:val="006442C8"/>
    <w:rsid w:val="00644879"/>
    <w:rsid w:val="00647187"/>
    <w:rsid w:val="00647F1E"/>
    <w:rsid w:val="0065018F"/>
    <w:rsid w:val="00653412"/>
    <w:rsid w:val="00653F9F"/>
    <w:rsid w:val="006558A7"/>
    <w:rsid w:val="00655938"/>
    <w:rsid w:val="00656536"/>
    <w:rsid w:val="006569C9"/>
    <w:rsid w:val="0066093F"/>
    <w:rsid w:val="006621E9"/>
    <w:rsid w:val="00662269"/>
    <w:rsid w:val="006661E9"/>
    <w:rsid w:val="006717F0"/>
    <w:rsid w:val="0067205A"/>
    <w:rsid w:val="00674E97"/>
    <w:rsid w:val="0067587F"/>
    <w:rsid w:val="00675C33"/>
    <w:rsid w:val="00683435"/>
    <w:rsid w:val="006847A5"/>
    <w:rsid w:val="0068545F"/>
    <w:rsid w:val="00690BA7"/>
    <w:rsid w:val="006939D2"/>
    <w:rsid w:val="00694B9A"/>
    <w:rsid w:val="006A0CC1"/>
    <w:rsid w:val="006A0D8A"/>
    <w:rsid w:val="006A0DCB"/>
    <w:rsid w:val="006A1706"/>
    <w:rsid w:val="006A181B"/>
    <w:rsid w:val="006A26C4"/>
    <w:rsid w:val="006A33DA"/>
    <w:rsid w:val="006A5BAB"/>
    <w:rsid w:val="006A5E07"/>
    <w:rsid w:val="006A79C8"/>
    <w:rsid w:val="006A7FD0"/>
    <w:rsid w:val="006B0EF4"/>
    <w:rsid w:val="006B30D7"/>
    <w:rsid w:val="006B5976"/>
    <w:rsid w:val="006B5AB6"/>
    <w:rsid w:val="006B76EA"/>
    <w:rsid w:val="006C2DF8"/>
    <w:rsid w:val="006D1114"/>
    <w:rsid w:val="006D47BF"/>
    <w:rsid w:val="006D7A5A"/>
    <w:rsid w:val="006E10AC"/>
    <w:rsid w:val="006E16DE"/>
    <w:rsid w:val="006F04CF"/>
    <w:rsid w:val="006F2CB1"/>
    <w:rsid w:val="006F35B4"/>
    <w:rsid w:val="006F6144"/>
    <w:rsid w:val="006F70EE"/>
    <w:rsid w:val="007021BA"/>
    <w:rsid w:val="00703778"/>
    <w:rsid w:val="00703EFA"/>
    <w:rsid w:val="00710643"/>
    <w:rsid w:val="00716410"/>
    <w:rsid w:val="007172D8"/>
    <w:rsid w:val="007174ED"/>
    <w:rsid w:val="00717F22"/>
    <w:rsid w:val="00721F22"/>
    <w:rsid w:val="00726CA4"/>
    <w:rsid w:val="007316B1"/>
    <w:rsid w:val="00732D93"/>
    <w:rsid w:val="00735EE7"/>
    <w:rsid w:val="00741490"/>
    <w:rsid w:val="00741821"/>
    <w:rsid w:val="00741D7E"/>
    <w:rsid w:val="007465F2"/>
    <w:rsid w:val="007475C7"/>
    <w:rsid w:val="00750092"/>
    <w:rsid w:val="00750ED5"/>
    <w:rsid w:val="00754401"/>
    <w:rsid w:val="00757DEC"/>
    <w:rsid w:val="00761610"/>
    <w:rsid w:val="00762521"/>
    <w:rsid w:val="00762BE0"/>
    <w:rsid w:val="00762C99"/>
    <w:rsid w:val="007676DE"/>
    <w:rsid w:val="00771145"/>
    <w:rsid w:val="0077331A"/>
    <w:rsid w:val="007753DC"/>
    <w:rsid w:val="007768C8"/>
    <w:rsid w:val="00776B86"/>
    <w:rsid w:val="00776D32"/>
    <w:rsid w:val="0078576C"/>
    <w:rsid w:val="0079508A"/>
    <w:rsid w:val="007A4586"/>
    <w:rsid w:val="007A4B73"/>
    <w:rsid w:val="007A4C8F"/>
    <w:rsid w:val="007A5965"/>
    <w:rsid w:val="007A63DC"/>
    <w:rsid w:val="007A731B"/>
    <w:rsid w:val="007B0A65"/>
    <w:rsid w:val="007B1BC1"/>
    <w:rsid w:val="007B7827"/>
    <w:rsid w:val="007C457C"/>
    <w:rsid w:val="007C4879"/>
    <w:rsid w:val="007C508C"/>
    <w:rsid w:val="007C6CF4"/>
    <w:rsid w:val="007C6D78"/>
    <w:rsid w:val="007D08A5"/>
    <w:rsid w:val="007D214E"/>
    <w:rsid w:val="007D3DDA"/>
    <w:rsid w:val="007D3F66"/>
    <w:rsid w:val="007D54A3"/>
    <w:rsid w:val="007D5F3F"/>
    <w:rsid w:val="007D6D14"/>
    <w:rsid w:val="007E1336"/>
    <w:rsid w:val="007E40D6"/>
    <w:rsid w:val="007E50C0"/>
    <w:rsid w:val="007E67C1"/>
    <w:rsid w:val="007F29C7"/>
    <w:rsid w:val="007F5228"/>
    <w:rsid w:val="007F5CE3"/>
    <w:rsid w:val="007F66F6"/>
    <w:rsid w:val="007F70CE"/>
    <w:rsid w:val="007F7222"/>
    <w:rsid w:val="00800A57"/>
    <w:rsid w:val="00803B3A"/>
    <w:rsid w:val="00804969"/>
    <w:rsid w:val="00810026"/>
    <w:rsid w:val="008121AF"/>
    <w:rsid w:val="008151F1"/>
    <w:rsid w:val="00816F4B"/>
    <w:rsid w:val="00817525"/>
    <w:rsid w:val="0082132A"/>
    <w:rsid w:val="008233D0"/>
    <w:rsid w:val="00823E80"/>
    <w:rsid w:val="008354B4"/>
    <w:rsid w:val="00837E21"/>
    <w:rsid w:val="00841619"/>
    <w:rsid w:val="008425CC"/>
    <w:rsid w:val="00842DA2"/>
    <w:rsid w:val="00843517"/>
    <w:rsid w:val="00843E45"/>
    <w:rsid w:val="008462C0"/>
    <w:rsid w:val="00850296"/>
    <w:rsid w:val="0085550E"/>
    <w:rsid w:val="00856906"/>
    <w:rsid w:val="00857F62"/>
    <w:rsid w:val="00860069"/>
    <w:rsid w:val="00863C35"/>
    <w:rsid w:val="00866506"/>
    <w:rsid w:val="008733B1"/>
    <w:rsid w:val="00874E00"/>
    <w:rsid w:val="00882A5F"/>
    <w:rsid w:val="008830D3"/>
    <w:rsid w:val="00885352"/>
    <w:rsid w:val="00887CDC"/>
    <w:rsid w:val="00887D60"/>
    <w:rsid w:val="00887EE2"/>
    <w:rsid w:val="00890893"/>
    <w:rsid w:val="00890C73"/>
    <w:rsid w:val="008940F2"/>
    <w:rsid w:val="00894732"/>
    <w:rsid w:val="00895D2B"/>
    <w:rsid w:val="00897008"/>
    <w:rsid w:val="008A154E"/>
    <w:rsid w:val="008A2C7B"/>
    <w:rsid w:val="008A4122"/>
    <w:rsid w:val="008A5EC3"/>
    <w:rsid w:val="008B16A0"/>
    <w:rsid w:val="008B4299"/>
    <w:rsid w:val="008B532B"/>
    <w:rsid w:val="008B6152"/>
    <w:rsid w:val="008B6B87"/>
    <w:rsid w:val="008B6DE6"/>
    <w:rsid w:val="008C2415"/>
    <w:rsid w:val="008D6E1E"/>
    <w:rsid w:val="008E0AA4"/>
    <w:rsid w:val="008E1264"/>
    <w:rsid w:val="008E4AEB"/>
    <w:rsid w:val="008E7D10"/>
    <w:rsid w:val="008F1C11"/>
    <w:rsid w:val="008F213B"/>
    <w:rsid w:val="008F22C1"/>
    <w:rsid w:val="008F3C8F"/>
    <w:rsid w:val="008F5D21"/>
    <w:rsid w:val="008F6264"/>
    <w:rsid w:val="008F6935"/>
    <w:rsid w:val="009002F9"/>
    <w:rsid w:val="00903FC0"/>
    <w:rsid w:val="00905398"/>
    <w:rsid w:val="009061BB"/>
    <w:rsid w:val="00907229"/>
    <w:rsid w:val="009103A7"/>
    <w:rsid w:val="00912006"/>
    <w:rsid w:val="009123A9"/>
    <w:rsid w:val="00916963"/>
    <w:rsid w:val="00920A19"/>
    <w:rsid w:val="00920AA2"/>
    <w:rsid w:val="00920AE9"/>
    <w:rsid w:val="00920AEE"/>
    <w:rsid w:val="00920F8B"/>
    <w:rsid w:val="00921F56"/>
    <w:rsid w:val="00921FCB"/>
    <w:rsid w:val="00927E41"/>
    <w:rsid w:val="00932464"/>
    <w:rsid w:val="009338C2"/>
    <w:rsid w:val="00940135"/>
    <w:rsid w:val="00941191"/>
    <w:rsid w:val="00943D0A"/>
    <w:rsid w:val="0094472E"/>
    <w:rsid w:val="009507B4"/>
    <w:rsid w:val="00951158"/>
    <w:rsid w:val="00952358"/>
    <w:rsid w:val="00953469"/>
    <w:rsid w:val="00956D15"/>
    <w:rsid w:val="009621DB"/>
    <w:rsid w:val="009638B2"/>
    <w:rsid w:val="00964373"/>
    <w:rsid w:val="009654C7"/>
    <w:rsid w:val="00965E4F"/>
    <w:rsid w:val="009667AD"/>
    <w:rsid w:val="00972045"/>
    <w:rsid w:val="00972595"/>
    <w:rsid w:val="00976055"/>
    <w:rsid w:val="009762D5"/>
    <w:rsid w:val="00980E50"/>
    <w:rsid w:val="00982352"/>
    <w:rsid w:val="009839A3"/>
    <w:rsid w:val="00983B55"/>
    <w:rsid w:val="00985071"/>
    <w:rsid w:val="00991F88"/>
    <w:rsid w:val="009A3DD9"/>
    <w:rsid w:val="009A45B5"/>
    <w:rsid w:val="009A4726"/>
    <w:rsid w:val="009A53F9"/>
    <w:rsid w:val="009A60D6"/>
    <w:rsid w:val="009B1426"/>
    <w:rsid w:val="009C755C"/>
    <w:rsid w:val="009D46C5"/>
    <w:rsid w:val="009D5AA8"/>
    <w:rsid w:val="009D7751"/>
    <w:rsid w:val="009D78F0"/>
    <w:rsid w:val="009D7BB0"/>
    <w:rsid w:val="009D7EFA"/>
    <w:rsid w:val="009E2A53"/>
    <w:rsid w:val="009E59BA"/>
    <w:rsid w:val="009E63B4"/>
    <w:rsid w:val="009E79DE"/>
    <w:rsid w:val="009F5276"/>
    <w:rsid w:val="009F55D0"/>
    <w:rsid w:val="009F61A1"/>
    <w:rsid w:val="009F68DA"/>
    <w:rsid w:val="009F6916"/>
    <w:rsid w:val="00A0284F"/>
    <w:rsid w:val="00A06D28"/>
    <w:rsid w:val="00A07218"/>
    <w:rsid w:val="00A135B7"/>
    <w:rsid w:val="00A13E8D"/>
    <w:rsid w:val="00A16FA8"/>
    <w:rsid w:val="00A177E6"/>
    <w:rsid w:val="00A21F99"/>
    <w:rsid w:val="00A22917"/>
    <w:rsid w:val="00A234EC"/>
    <w:rsid w:val="00A2355D"/>
    <w:rsid w:val="00A259A1"/>
    <w:rsid w:val="00A3060E"/>
    <w:rsid w:val="00A31729"/>
    <w:rsid w:val="00A334B7"/>
    <w:rsid w:val="00A33612"/>
    <w:rsid w:val="00A33D40"/>
    <w:rsid w:val="00A35803"/>
    <w:rsid w:val="00A35A50"/>
    <w:rsid w:val="00A45265"/>
    <w:rsid w:val="00A509A2"/>
    <w:rsid w:val="00A54844"/>
    <w:rsid w:val="00A65D44"/>
    <w:rsid w:val="00A660AF"/>
    <w:rsid w:val="00A70496"/>
    <w:rsid w:val="00A7158A"/>
    <w:rsid w:val="00A73DCD"/>
    <w:rsid w:val="00A774D8"/>
    <w:rsid w:val="00A85B5C"/>
    <w:rsid w:val="00A87C62"/>
    <w:rsid w:val="00A87EE9"/>
    <w:rsid w:val="00A939D7"/>
    <w:rsid w:val="00A93ADF"/>
    <w:rsid w:val="00A93D3E"/>
    <w:rsid w:val="00AA767E"/>
    <w:rsid w:val="00AA7C44"/>
    <w:rsid w:val="00AB3B75"/>
    <w:rsid w:val="00AB43FA"/>
    <w:rsid w:val="00AB51E4"/>
    <w:rsid w:val="00AB5715"/>
    <w:rsid w:val="00AB6F74"/>
    <w:rsid w:val="00AB7338"/>
    <w:rsid w:val="00AC14B3"/>
    <w:rsid w:val="00AC358B"/>
    <w:rsid w:val="00AC391C"/>
    <w:rsid w:val="00AC3C43"/>
    <w:rsid w:val="00AC7EEC"/>
    <w:rsid w:val="00AD19B0"/>
    <w:rsid w:val="00AD4F03"/>
    <w:rsid w:val="00AD5AA3"/>
    <w:rsid w:val="00AE0736"/>
    <w:rsid w:val="00AE1010"/>
    <w:rsid w:val="00AE46A9"/>
    <w:rsid w:val="00AE57C3"/>
    <w:rsid w:val="00AE7103"/>
    <w:rsid w:val="00AE7DCE"/>
    <w:rsid w:val="00AF02E3"/>
    <w:rsid w:val="00AF1E55"/>
    <w:rsid w:val="00AF58CB"/>
    <w:rsid w:val="00AF6E15"/>
    <w:rsid w:val="00AF7A64"/>
    <w:rsid w:val="00AF7B38"/>
    <w:rsid w:val="00B0770E"/>
    <w:rsid w:val="00B07E0F"/>
    <w:rsid w:val="00B12994"/>
    <w:rsid w:val="00B14312"/>
    <w:rsid w:val="00B23C32"/>
    <w:rsid w:val="00B25DF2"/>
    <w:rsid w:val="00B27702"/>
    <w:rsid w:val="00B30640"/>
    <w:rsid w:val="00B341F0"/>
    <w:rsid w:val="00B358D1"/>
    <w:rsid w:val="00B35F83"/>
    <w:rsid w:val="00B41B47"/>
    <w:rsid w:val="00B42D4A"/>
    <w:rsid w:val="00B44402"/>
    <w:rsid w:val="00B45DBF"/>
    <w:rsid w:val="00B46BF3"/>
    <w:rsid w:val="00B51250"/>
    <w:rsid w:val="00B55590"/>
    <w:rsid w:val="00B55B9B"/>
    <w:rsid w:val="00B5722B"/>
    <w:rsid w:val="00B5775E"/>
    <w:rsid w:val="00B62D55"/>
    <w:rsid w:val="00B63409"/>
    <w:rsid w:val="00B6468C"/>
    <w:rsid w:val="00B647CF"/>
    <w:rsid w:val="00B64CB9"/>
    <w:rsid w:val="00B66289"/>
    <w:rsid w:val="00B6648F"/>
    <w:rsid w:val="00B67C60"/>
    <w:rsid w:val="00B8700E"/>
    <w:rsid w:val="00B87717"/>
    <w:rsid w:val="00B87D7A"/>
    <w:rsid w:val="00B90A73"/>
    <w:rsid w:val="00B934FB"/>
    <w:rsid w:val="00B969BC"/>
    <w:rsid w:val="00B96DA2"/>
    <w:rsid w:val="00B97EF2"/>
    <w:rsid w:val="00BA1F78"/>
    <w:rsid w:val="00BA755F"/>
    <w:rsid w:val="00BA7EEE"/>
    <w:rsid w:val="00BB15FD"/>
    <w:rsid w:val="00BC3CEA"/>
    <w:rsid w:val="00BC4E77"/>
    <w:rsid w:val="00BD4D6B"/>
    <w:rsid w:val="00BD512F"/>
    <w:rsid w:val="00BD6EBB"/>
    <w:rsid w:val="00BE3232"/>
    <w:rsid w:val="00BE3D9B"/>
    <w:rsid w:val="00BE448C"/>
    <w:rsid w:val="00BE47E7"/>
    <w:rsid w:val="00BE5073"/>
    <w:rsid w:val="00BF0400"/>
    <w:rsid w:val="00BF1857"/>
    <w:rsid w:val="00BF314E"/>
    <w:rsid w:val="00BF53B4"/>
    <w:rsid w:val="00BF66A3"/>
    <w:rsid w:val="00C00752"/>
    <w:rsid w:val="00C01040"/>
    <w:rsid w:val="00C0194A"/>
    <w:rsid w:val="00C03DA8"/>
    <w:rsid w:val="00C0621B"/>
    <w:rsid w:val="00C10443"/>
    <w:rsid w:val="00C15AB2"/>
    <w:rsid w:val="00C15BCF"/>
    <w:rsid w:val="00C16137"/>
    <w:rsid w:val="00C24C86"/>
    <w:rsid w:val="00C26E18"/>
    <w:rsid w:val="00C321FD"/>
    <w:rsid w:val="00C32861"/>
    <w:rsid w:val="00C344FD"/>
    <w:rsid w:val="00C35B1A"/>
    <w:rsid w:val="00C35EA7"/>
    <w:rsid w:val="00C41305"/>
    <w:rsid w:val="00C42063"/>
    <w:rsid w:val="00C475AB"/>
    <w:rsid w:val="00C503CC"/>
    <w:rsid w:val="00C540FB"/>
    <w:rsid w:val="00C56092"/>
    <w:rsid w:val="00C566DC"/>
    <w:rsid w:val="00C60725"/>
    <w:rsid w:val="00C60B15"/>
    <w:rsid w:val="00C638CB"/>
    <w:rsid w:val="00C641B7"/>
    <w:rsid w:val="00C64C96"/>
    <w:rsid w:val="00C707E9"/>
    <w:rsid w:val="00C731E3"/>
    <w:rsid w:val="00C73A71"/>
    <w:rsid w:val="00C763CC"/>
    <w:rsid w:val="00C77954"/>
    <w:rsid w:val="00C81059"/>
    <w:rsid w:val="00C82994"/>
    <w:rsid w:val="00C845E6"/>
    <w:rsid w:val="00C84886"/>
    <w:rsid w:val="00C860FA"/>
    <w:rsid w:val="00C8731F"/>
    <w:rsid w:val="00C90CE7"/>
    <w:rsid w:val="00C9133D"/>
    <w:rsid w:val="00C93DA6"/>
    <w:rsid w:val="00C94C05"/>
    <w:rsid w:val="00C958C5"/>
    <w:rsid w:val="00C97454"/>
    <w:rsid w:val="00CA0574"/>
    <w:rsid w:val="00CA3D61"/>
    <w:rsid w:val="00CB0EA7"/>
    <w:rsid w:val="00CB14BA"/>
    <w:rsid w:val="00CB14D9"/>
    <w:rsid w:val="00CB64B3"/>
    <w:rsid w:val="00CC3C7A"/>
    <w:rsid w:val="00CC3F11"/>
    <w:rsid w:val="00CC5F5E"/>
    <w:rsid w:val="00CC64DD"/>
    <w:rsid w:val="00CD2459"/>
    <w:rsid w:val="00CD4898"/>
    <w:rsid w:val="00CE0E15"/>
    <w:rsid w:val="00CF1EEC"/>
    <w:rsid w:val="00CF7C62"/>
    <w:rsid w:val="00D015B3"/>
    <w:rsid w:val="00D01B2D"/>
    <w:rsid w:val="00D0259A"/>
    <w:rsid w:val="00D03E28"/>
    <w:rsid w:val="00D07E92"/>
    <w:rsid w:val="00D11647"/>
    <w:rsid w:val="00D11BBC"/>
    <w:rsid w:val="00D11E48"/>
    <w:rsid w:val="00D1291A"/>
    <w:rsid w:val="00D151E0"/>
    <w:rsid w:val="00D15C88"/>
    <w:rsid w:val="00D2020E"/>
    <w:rsid w:val="00D2060A"/>
    <w:rsid w:val="00D20722"/>
    <w:rsid w:val="00D23DEB"/>
    <w:rsid w:val="00D31996"/>
    <w:rsid w:val="00D31F05"/>
    <w:rsid w:val="00D334B8"/>
    <w:rsid w:val="00D339B9"/>
    <w:rsid w:val="00D4188F"/>
    <w:rsid w:val="00D51CC1"/>
    <w:rsid w:val="00D565F6"/>
    <w:rsid w:val="00D57C36"/>
    <w:rsid w:val="00D604D8"/>
    <w:rsid w:val="00D62640"/>
    <w:rsid w:val="00D6648E"/>
    <w:rsid w:val="00D72607"/>
    <w:rsid w:val="00D76873"/>
    <w:rsid w:val="00D7706E"/>
    <w:rsid w:val="00D81DCF"/>
    <w:rsid w:val="00D83D1D"/>
    <w:rsid w:val="00D8653A"/>
    <w:rsid w:val="00D87A36"/>
    <w:rsid w:val="00D87CE1"/>
    <w:rsid w:val="00D915E4"/>
    <w:rsid w:val="00D95FDA"/>
    <w:rsid w:val="00D96A52"/>
    <w:rsid w:val="00DA53B9"/>
    <w:rsid w:val="00DA7005"/>
    <w:rsid w:val="00DA73BD"/>
    <w:rsid w:val="00DB0F9B"/>
    <w:rsid w:val="00DB3BD5"/>
    <w:rsid w:val="00DB3FAB"/>
    <w:rsid w:val="00DB420F"/>
    <w:rsid w:val="00DB448A"/>
    <w:rsid w:val="00DB661F"/>
    <w:rsid w:val="00DB6C5F"/>
    <w:rsid w:val="00DC2990"/>
    <w:rsid w:val="00DC310E"/>
    <w:rsid w:val="00DC5BB7"/>
    <w:rsid w:val="00DC5DF2"/>
    <w:rsid w:val="00DC6F94"/>
    <w:rsid w:val="00DD29E3"/>
    <w:rsid w:val="00DD2D7D"/>
    <w:rsid w:val="00DD4578"/>
    <w:rsid w:val="00DD48D3"/>
    <w:rsid w:val="00DD5015"/>
    <w:rsid w:val="00DD5B20"/>
    <w:rsid w:val="00DD6D78"/>
    <w:rsid w:val="00DE0F16"/>
    <w:rsid w:val="00DE2113"/>
    <w:rsid w:val="00DF1982"/>
    <w:rsid w:val="00DF3634"/>
    <w:rsid w:val="00DF4A40"/>
    <w:rsid w:val="00DF64AA"/>
    <w:rsid w:val="00DF64BD"/>
    <w:rsid w:val="00DF6640"/>
    <w:rsid w:val="00DF6CB2"/>
    <w:rsid w:val="00E05A17"/>
    <w:rsid w:val="00E07D4A"/>
    <w:rsid w:val="00E102D9"/>
    <w:rsid w:val="00E10E4D"/>
    <w:rsid w:val="00E13776"/>
    <w:rsid w:val="00E14563"/>
    <w:rsid w:val="00E16125"/>
    <w:rsid w:val="00E3389F"/>
    <w:rsid w:val="00E33E6B"/>
    <w:rsid w:val="00E366FB"/>
    <w:rsid w:val="00E375B6"/>
    <w:rsid w:val="00E405D3"/>
    <w:rsid w:val="00E40B19"/>
    <w:rsid w:val="00E422B4"/>
    <w:rsid w:val="00E43062"/>
    <w:rsid w:val="00E431AE"/>
    <w:rsid w:val="00E44BFA"/>
    <w:rsid w:val="00E479A6"/>
    <w:rsid w:val="00E50A1C"/>
    <w:rsid w:val="00E536E7"/>
    <w:rsid w:val="00E55678"/>
    <w:rsid w:val="00E60865"/>
    <w:rsid w:val="00E63DB5"/>
    <w:rsid w:val="00E647C9"/>
    <w:rsid w:val="00E7219B"/>
    <w:rsid w:val="00E74D8D"/>
    <w:rsid w:val="00E802AF"/>
    <w:rsid w:val="00E82AD3"/>
    <w:rsid w:val="00E8611A"/>
    <w:rsid w:val="00E86186"/>
    <w:rsid w:val="00E86A1C"/>
    <w:rsid w:val="00E91D02"/>
    <w:rsid w:val="00E93A64"/>
    <w:rsid w:val="00E94C24"/>
    <w:rsid w:val="00E94ED7"/>
    <w:rsid w:val="00E95FCF"/>
    <w:rsid w:val="00E97FEC"/>
    <w:rsid w:val="00EA0E03"/>
    <w:rsid w:val="00EA62B9"/>
    <w:rsid w:val="00EB2CF1"/>
    <w:rsid w:val="00EB422F"/>
    <w:rsid w:val="00EB6CE1"/>
    <w:rsid w:val="00EB729A"/>
    <w:rsid w:val="00EB7983"/>
    <w:rsid w:val="00EC33A4"/>
    <w:rsid w:val="00EC7398"/>
    <w:rsid w:val="00ED7A6C"/>
    <w:rsid w:val="00EF3B50"/>
    <w:rsid w:val="00EF3CA4"/>
    <w:rsid w:val="00EF40F6"/>
    <w:rsid w:val="00EF6860"/>
    <w:rsid w:val="00EF6CB2"/>
    <w:rsid w:val="00EF7C3C"/>
    <w:rsid w:val="00F00D73"/>
    <w:rsid w:val="00F06343"/>
    <w:rsid w:val="00F12A75"/>
    <w:rsid w:val="00F14C60"/>
    <w:rsid w:val="00F152D7"/>
    <w:rsid w:val="00F20274"/>
    <w:rsid w:val="00F20D3D"/>
    <w:rsid w:val="00F2140C"/>
    <w:rsid w:val="00F2234C"/>
    <w:rsid w:val="00F230FC"/>
    <w:rsid w:val="00F24FE9"/>
    <w:rsid w:val="00F30B24"/>
    <w:rsid w:val="00F31C3F"/>
    <w:rsid w:val="00F33071"/>
    <w:rsid w:val="00F338EE"/>
    <w:rsid w:val="00F33955"/>
    <w:rsid w:val="00F3397C"/>
    <w:rsid w:val="00F343A1"/>
    <w:rsid w:val="00F37A83"/>
    <w:rsid w:val="00F4024E"/>
    <w:rsid w:val="00F40A13"/>
    <w:rsid w:val="00F40C1A"/>
    <w:rsid w:val="00F41D00"/>
    <w:rsid w:val="00F41D35"/>
    <w:rsid w:val="00F452A4"/>
    <w:rsid w:val="00F505DE"/>
    <w:rsid w:val="00F50D0D"/>
    <w:rsid w:val="00F51A56"/>
    <w:rsid w:val="00F5604A"/>
    <w:rsid w:val="00F61748"/>
    <w:rsid w:val="00F64CD5"/>
    <w:rsid w:val="00F672CB"/>
    <w:rsid w:val="00F728BA"/>
    <w:rsid w:val="00F75BEB"/>
    <w:rsid w:val="00F760D1"/>
    <w:rsid w:val="00F838EE"/>
    <w:rsid w:val="00F8617B"/>
    <w:rsid w:val="00F90578"/>
    <w:rsid w:val="00F90A16"/>
    <w:rsid w:val="00F922F3"/>
    <w:rsid w:val="00F97D34"/>
    <w:rsid w:val="00FA1BDC"/>
    <w:rsid w:val="00FA1E39"/>
    <w:rsid w:val="00FA4527"/>
    <w:rsid w:val="00FB0393"/>
    <w:rsid w:val="00FB0E66"/>
    <w:rsid w:val="00FB2E92"/>
    <w:rsid w:val="00FB2FCB"/>
    <w:rsid w:val="00FB4017"/>
    <w:rsid w:val="00FB7B31"/>
    <w:rsid w:val="00FB7FF8"/>
    <w:rsid w:val="00FC5DDC"/>
    <w:rsid w:val="00FC6779"/>
    <w:rsid w:val="00FC6C32"/>
    <w:rsid w:val="00FC7643"/>
    <w:rsid w:val="00FD348A"/>
    <w:rsid w:val="00FD3A37"/>
    <w:rsid w:val="00FE4863"/>
    <w:rsid w:val="00FE4B57"/>
    <w:rsid w:val="00FE6FAF"/>
    <w:rsid w:val="00FF2FB3"/>
    <w:rsid w:val="00FF538F"/>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25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755C"/>
    <w:rPr>
      <w:rFonts w:ascii="Times New Roman" w:eastAsia="Times New Roman" w:hAnsi="Times New Roman" w:cs="Times New Roman"/>
    </w:rPr>
  </w:style>
  <w:style w:type="paragraph" w:styleId="Heading1">
    <w:name w:val="heading 1"/>
    <w:basedOn w:val="Normal"/>
    <w:link w:val="Heading1Char"/>
    <w:uiPriority w:val="1"/>
    <w:qFormat/>
    <w:pPr>
      <w:ind w:left="1080"/>
      <w:outlineLvl w:val="0"/>
    </w:pPr>
    <w:rPr>
      <w:b/>
      <w:bCs/>
      <w:sz w:val="24"/>
      <w:szCs w:val="24"/>
      <w:u w:val="single" w:color="000000"/>
    </w:rPr>
  </w:style>
  <w:style w:type="paragraph" w:styleId="Heading2">
    <w:name w:val="heading 2"/>
    <w:basedOn w:val="Normal"/>
    <w:uiPriority w:val="1"/>
    <w:qFormat/>
    <w:pPr>
      <w:spacing w:before="90"/>
      <w:ind w:left="385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41B7"/>
    <w:rPr>
      <w:sz w:val="16"/>
      <w:szCs w:val="16"/>
    </w:rPr>
  </w:style>
  <w:style w:type="paragraph" w:styleId="CommentText">
    <w:name w:val="annotation text"/>
    <w:basedOn w:val="Normal"/>
    <w:link w:val="CommentTextChar"/>
    <w:uiPriority w:val="99"/>
    <w:unhideWhenUsed/>
    <w:rsid w:val="00C641B7"/>
    <w:rPr>
      <w:sz w:val="20"/>
      <w:szCs w:val="20"/>
    </w:rPr>
  </w:style>
  <w:style w:type="character" w:customStyle="1" w:styleId="CommentTextChar">
    <w:name w:val="Comment Text Char"/>
    <w:basedOn w:val="DefaultParagraphFont"/>
    <w:link w:val="CommentText"/>
    <w:uiPriority w:val="99"/>
    <w:rsid w:val="00C641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1B7"/>
    <w:rPr>
      <w:b/>
      <w:bCs/>
    </w:rPr>
  </w:style>
  <w:style w:type="character" w:customStyle="1" w:styleId="CommentSubjectChar">
    <w:name w:val="Comment Subject Char"/>
    <w:basedOn w:val="CommentTextChar"/>
    <w:link w:val="CommentSubject"/>
    <w:uiPriority w:val="99"/>
    <w:semiHidden/>
    <w:rsid w:val="00C641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1B7"/>
    <w:rPr>
      <w:rFonts w:ascii="Tahoma" w:hAnsi="Tahoma" w:cs="Tahoma"/>
      <w:sz w:val="16"/>
      <w:szCs w:val="16"/>
    </w:rPr>
  </w:style>
  <w:style w:type="character" w:customStyle="1" w:styleId="BalloonTextChar">
    <w:name w:val="Balloon Text Char"/>
    <w:basedOn w:val="DefaultParagraphFont"/>
    <w:link w:val="BalloonText"/>
    <w:uiPriority w:val="99"/>
    <w:semiHidden/>
    <w:rsid w:val="00C641B7"/>
    <w:rPr>
      <w:rFonts w:ascii="Tahoma" w:eastAsia="Times New Roman" w:hAnsi="Tahoma" w:cs="Tahoma"/>
      <w:sz w:val="16"/>
      <w:szCs w:val="16"/>
    </w:rPr>
  </w:style>
  <w:style w:type="paragraph" w:styleId="Header">
    <w:name w:val="header"/>
    <w:basedOn w:val="Normal"/>
    <w:link w:val="HeaderChar"/>
    <w:uiPriority w:val="99"/>
    <w:unhideWhenUsed/>
    <w:rsid w:val="00A177E6"/>
    <w:pPr>
      <w:tabs>
        <w:tab w:val="center" w:pos="4680"/>
        <w:tab w:val="right" w:pos="9360"/>
      </w:tabs>
    </w:pPr>
  </w:style>
  <w:style w:type="character" w:customStyle="1" w:styleId="HeaderChar">
    <w:name w:val="Header Char"/>
    <w:basedOn w:val="DefaultParagraphFont"/>
    <w:link w:val="Header"/>
    <w:uiPriority w:val="99"/>
    <w:rsid w:val="00A177E6"/>
    <w:rPr>
      <w:rFonts w:ascii="Times New Roman" w:eastAsia="Times New Roman" w:hAnsi="Times New Roman" w:cs="Times New Roman"/>
    </w:rPr>
  </w:style>
  <w:style w:type="paragraph" w:styleId="Footer">
    <w:name w:val="footer"/>
    <w:basedOn w:val="Normal"/>
    <w:link w:val="FooterChar"/>
    <w:uiPriority w:val="99"/>
    <w:unhideWhenUsed/>
    <w:rsid w:val="00A177E6"/>
    <w:pPr>
      <w:tabs>
        <w:tab w:val="center" w:pos="4680"/>
        <w:tab w:val="right" w:pos="9360"/>
      </w:tabs>
    </w:pPr>
  </w:style>
  <w:style w:type="character" w:customStyle="1" w:styleId="FooterChar">
    <w:name w:val="Footer Char"/>
    <w:basedOn w:val="DefaultParagraphFont"/>
    <w:link w:val="Footer"/>
    <w:uiPriority w:val="99"/>
    <w:rsid w:val="00A177E6"/>
    <w:rPr>
      <w:rFonts w:ascii="Times New Roman" w:eastAsia="Times New Roman" w:hAnsi="Times New Roman" w:cs="Times New Roman"/>
    </w:rPr>
  </w:style>
  <w:style w:type="paragraph" w:styleId="Revision">
    <w:name w:val="Revision"/>
    <w:hidden/>
    <w:uiPriority w:val="99"/>
    <w:semiHidden/>
    <w:rsid w:val="00136C8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36C84"/>
    <w:rPr>
      <w:color w:val="0000FF" w:themeColor="hyperlink"/>
      <w:u w:val="single"/>
    </w:rPr>
  </w:style>
  <w:style w:type="character" w:customStyle="1" w:styleId="BodyTextChar">
    <w:name w:val="Body Text Char"/>
    <w:basedOn w:val="DefaultParagraphFont"/>
    <w:link w:val="BodyText"/>
    <w:uiPriority w:val="1"/>
    <w:rsid w:val="008E12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32AD"/>
    <w:rPr>
      <w:sz w:val="24"/>
      <w:szCs w:val="24"/>
    </w:rPr>
  </w:style>
  <w:style w:type="paragraph" w:styleId="FootnoteText">
    <w:name w:val="footnote text"/>
    <w:basedOn w:val="Normal"/>
    <w:link w:val="FootnoteTextChar"/>
    <w:uiPriority w:val="99"/>
    <w:semiHidden/>
    <w:unhideWhenUsed/>
    <w:rsid w:val="008F3C8F"/>
    <w:rPr>
      <w:sz w:val="20"/>
      <w:szCs w:val="20"/>
    </w:rPr>
  </w:style>
  <w:style w:type="character" w:customStyle="1" w:styleId="FootnoteTextChar">
    <w:name w:val="Footnote Text Char"/>
    <w:basedOn w:val="DefaultParagraphFont"/>
    <w:link w:val="FootnoteText"/>
    <w:uiPriority w:val="99"/>
    <w:semiHidden/>
    <w:rsid w:val="008F3C8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3C8F"/>
    <w:rPr>
      <w:vertAlign w:val="superscript"/>
    </w:rPr>
  </w:style>
  <w:style w:type="character" w:customStyle="1" w:styleId="Heading1Char">
    <w:name w:val="Heading 1 Char"/>
    <w:basedOn w:val="DefaultParagraphFont"/>
    <w:link w:val="Heading1"/>
    <w:uiPriority w:val="1"/>
    <w:rsid w:val="007D08A5"/>
    <w:rPr>
      <w:rFonts w:ascii="Times New Roman" w:eastAsia="Times New Roman" w:hAnsi="Times New Roman" w:cs="Times New Roman"/>
      <w:b/>
      <w:bCs/>
      <w:sz w:val="24"/>
      <w:szCs w:val="24"/>
      <w:u w:val="single" w:color="000000"/>
    </w:rPr>
  </w:style>
  <w:style w:type="character" w:styleId="FollowedHyperlink">
    <w:name w:val="FollowedHyperlink"/>
    <w:basedOn w:val="DefaultParagraphFont"/>
    <w:uiPriority w:val="99"/>
    <w:semiHidden/>
    <w:unhideWhenUsed/>
    <w:rsid w:val="00F223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755C"/>
    <w:rPr>
      <w:rFonts w:ascii="Times New Roman" w:eastAsia="Times New Roman" w:hAnsi="Times New Roman" w:cs="Times New Roman"/>
    </w:rPr>
  </w:style>
  <w:style w:type="paragraph" w:styleId="Heading1">
    <w:name w:val="heading 1"/>
    <w:basedOn w:val="Normal"/>
    <w:link w:val="Heading1Char"/>
    <w:uiPriority w:val="1"/>
    <w:qFormat/>
    <w:pPr>
      <w:ind w:left="1080"/>
      <w:outlineLvl w:val="0"/>
    </w:pPr>
    <w:rPr>
      <w:b/>
      <w:bCs/>
      <w:sz w:val="24"/>
      <w:szCs w:val="24"/>
      <w:u w:val="single" w:color="000000"/>
    </w:rPr>
  </w:style>
  <w:style w:type="paragraph" w:styleId="Heading2">
    <w:name w:val="heading 2"/>
    <w:basedOn w:val="Normal"/>
    <w:uiPriority w:val="1"/>
    <w:qFormat/>
    <w:pPr>
      <w:spacing w:before="90"/>
      <w:ind w:left="385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41B7"/>
    <w:rPr>
      <w:sz w:val="16"/>
      <w:szCs w:val="16"/>
    </w:rPr>
  </w:style>
  <w:style w:type="paragraph" w:styleId="CommentText">
    <w:name w:val="annotation text"/>
    <w:basedOn w:val="Normal"/>
    <w:link w:val="CommentTextChar"/>
    <w:uiPriority w:val="99"/>
    <w:unhideWhenUsed/>
    <w:rsid w:val="00C641B7"/>
    <w:rPr>
      <w:sz w:val="20"/>
      <w:szCs w:val="20"/>
    </w:rPr>
  </w:style>
  <w:style w:type="character" w:customStyle="1" w:styleId="CommentTextChar">
    <w:name w:val="Comment Text Char"/>
    <w:basedOn w:val="DefaultParagraphFont"/>
    <w:link w:val="CommentText"/>
    <w:uiPriority w:val="99"/>
    <w:rsid w:val="00C641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1B7"/>
    <w:rPr>
      <w:b/>
      <w:bCs/>
    </w:rPr>
  </w:style>
  <w:style w:type="character" w:customStyle="1" w:styleId="CommentSubjectChar">
    <w:name w:val="Comment Subject Char"/>
    <w:basedOn w:val="CommentTextChar"/>
    <w:link w:val="CommentSubject"/>
    <w:uiPriority w:val="99"/>
    <w:semiHidden/>
    <w:rsid w:val="00C641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1B7"/>
    <w:rPr>
      <w:rFonts w:ascii="Tahoma" w:hAnsi="Tahoma" w:cs="Tahoma"/>
      <w:sz w:val="16"/>
      <w:szCs w:val="16"/>
    </w:rPr>
  </w:style>
  <w:style w:type="character" w:customStyle="1" w:styleId="BalloonTextChar">
    <w:name w:val="Balloon Text Char"/>
    <w:basedOn w:val="DefaultParagraphFont"/>
    <w:link w:val="BalloonText"/>
    <w:uiPriority w:val="99"/>
    <w:semiHidden/>
    <w:rsid w:val="00C641B7"/>
    <w:rPr>
      <w:rFonts w:ascii="Tahoma" w:eastAsia="Times New Roman" w:hAnsi="Tahoma" w:cs="Tahoma"/>
      <w:sz w:val="16"/>
      <w:szCs w:val="16"/>
    </w:rPr>
  </w:style>
  <w:style w:type="paragraph" w:styleId="Header">
    <w:name w:val="header"/>
    <w:basedOn w:val="Normal"/>
    <w:link w:val="HeaderChar"/>
    <w:uiPriority w:val="99"/>
    <w:unhideWhenUsed/>
    <w:rsid w:val="00A177E6"/>
    <w:pPr>
      <w:tabs>
        <w:tab w:val="center" w:pos="4680"/>
        <w:tab w:val="right" w:pos="9360"/>
      </w:tabs>
    </w:pPr>
  </w:style>
  <w:style w:type="character" w:customStyle="1" w:styleId="HeaderChar">
    <w:name w:val="Header Char"/>
    <w:basedOn w:val="DefaultParagraphFont"/>
    <w:link w:val="Header"/>
    <w:uiPriority w:val="99"/>
    <w:rsid w:val="00A177E6"/>
    <w:rPr>
      <w:rFonts w:ascii="Times New Roman" w:eastAsia="Times New Roman" w:hAnsi="Times New Roman" w:cs="Times New Roman"/>
    </w:rPr>
  </w:style>
  <w:style w:type="paragraph" w:styleId="Footer">
    <w:name w:val="footer"/>
    <w:basedOn w:val="Normal"/>
    <w:link w:val="FooterChar"/>
    <w:uiPriority w:val="99"/>
    <w:unhideWhenUsed/>
    <w:rsid w:val="00A177E6"/>
    <w:pPr>
      <w:tabs>
        <w:tab w:val="center" w:pos="4680"/>
        <w:tab w:val="right" w:pos="9360"/>
      </w:tabs>
    </w:pPr>
  </w:style>
  <w:style w:type="character" w:customStyle="1" w:styleId="FooterChar">
    <w:name w:val="Footer Char"/>
    <w:basedOn w:val="DefaultParagraphFont"/>
    <w:link w:val="Footer"/>
    <w:uiPriority w:val="99"/>
    <w:rsid w:val="00A177E6"/>
    <w:rPr>
      <w:rFonts w:ascii="Times New Roman" w:eastAsia="Times New Roman" w:hAnsi="Times New Roman" w:cs="Times New Roman"/>
    </w:rPr>
  </w:style>
  <w:style w:type="paragraph" w:styleId="Revision">
    <w:name w:val="Revision"/>
    <w:hidden/>
    <w:uiPriority w:val="99"/>
    <w:semiHidden/>
    <w:rsid w:val="00136C8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36C84"/>
    <w:rPr>
      <w:color w:val="0000FF" w:themeColor="hyperlink"/>
      <w:u w:val="single"/>
    </w:rPr>
  </w:style>
  <w:style w:type="character" w:customStyle="1" w:styleId="BodyTextChar">
    <w:name w:val="Body Text Char"/>
    <w:basedOn w:val="DefaultParagraphFont"/>
    <w:link w:val="BodyText"/>
    <w:uiPriority w:val="1"/>
    <w:rsid w:val="008E12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32AD"/>
    <w:rPr>
      <w:sz w:val="24"/>
      <w:szCs w:val="24"/>
    </w:rPr>
  </w:style>
  <w:style w:type="paragraph" w:styleId="FootnoteText">
    <w:name w:val="footnote text"/>
    <w:basedOn w:val="Normal"/>
    <w:link w:val="FootnoteTextChar"/>
    <w:uiPriority w:val="99"/>
    <w:semiHidden/>
    <w:unhideWhenUsed/>
    <w:rsid w:val="008F3C8F"/>
    <w:rPr>
      <w:sz w:val="20"/>
      <w:szCs w:val="20"/>
    </w:rPr>
  </w:style>
  <w:style w:type="character" w:customStyle="1" w:styleId="FootnoteTextChar">
    <w:name w:val="Footnote Text Char"/>
    <w:basedOn w:val="DefaultParagraphFont"/>
    <w:link w:val="FootnoteText"/>
    <w:uiPriority w:val="99"/>
    <w:semiHidden/>
    <w:rsid w:val="008F3C8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3C8F"/>
    <w:rPr>
      <w:vertAlign w:val="superscript"/>
    </w:rPr>
  </w:style>
  <w:style w:type="character" w:customStyle="1" w:styleId="Heading1Char">
    <w:name w:val="Heading 1 Char"/>
    <w:basedOn w:val="DefaultParagraphFont"/>
    <w:link w:val="Heading1"/>
    <w:uiPriority w:val="1"/>
    <w:rsid w:val="007D08A5"/>
    <w:rPr>
      <w:rFonts w:ascii="Times New Roman" w:eastAsia="Times New Roman" w:hAnsi="Times New Roman" w:cs="Times New Roman"/>
      <w:b/>
      <w:bCs/>
      <w:sz w:val="24"/>
      <w:szCs w:val="24"/>
      <w:u w:val="single" w:color="000000"/>
    </w:rPr>
  </w:style>
  <w:style w:type="character" w:styleId="FollowedHyperlink">
    <w:name w:val="FollowedHyperlink"/>
    <w:basedOn w:val="DefaultParagraphFont"/>
    <w:uiPriority w:val="99"/>
    <w:semiHidden/>
    <w:unhideWhenUsed/>
    <w:rsid w:val="00F223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75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www.alaskafisheries.noa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porateservices.noaa.gov/%7Eames/NAOs/Chap_216/naos_216_100.html" TargetMode="External"/><Relationship Id="rId7" Type="http://schemas.openxmlformats.org/officeDocument/2006/relationships/footnotes" Target="footnotes.xml"/><Relationship Id="rId12" Type="http://schemas.openxmlformats.org/officeDocument/2006/relationships/hyperlink" Target="https://alaskafisheries.noaa.gov/fisheries/ifq" TargetMode="External"/><Relationship Id="rId17" Type="http://schemas.openxmlformats.org/officeDocument/2006/relationships/hyperlink" Target="https://elandings.alaska.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askafisheries.noaa.gov/webapps/efish/login" TargetMode="External"/><Relationship Id="rId20" Type="http://schemas.openxmlformats.org/officeDocument/2006/relationships/hyperlink" Target="https://elandings.atlassian.net/wiki/spaces/doc/pages/31096857/eFISH+Web+Appli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openxmlformats.org/officeDocument/2006/relationships/hyperlink" Target="http://www.osec.doc.gov/opog/PrivacyAct/SORNs/noaa-19.html" TargetMode="External"/><Relationship Id="rId28" Type="http://schemas.microsoft.com/office/2011/relationships/people" Target="people.xml"/><Relationship Id="rId10" Type="http://schemas.openxmlformats.org/officeDocument/2006/relationships/hyperlink" Target="http://www.ecfr.gov/cgi-bin/text-idx?SID=1b6410b43d5a730b28bdc5f30957551c&amp;amp;node=sp50.11.300.e&amp;amp;rgn=div6" TargetMode="External"/><Relationship Id="rId19" Type="http://schemas.openxmlformats.org/officeDocument/2006/relationships/hyperlink" Target="https://alaskafisheries.noaa.gov/services" TargetMode="External"/><Relationship Id="rId4" Type="http://schemas.microsoft.com/office/2007/relationships/stylesWithEffects" Target="stylesWithEffects.xml"/><Relationship Id="rId9" Type="http://schemas.openxmlformats.org/officeDocument/2006/relationships/hyperlink" Target="http://www.law.cornell.edu/uscode/text/16/chapter-10/subchapter-IV" TargetMode="External"/><Relationship Id="rId14" Type="http://schemas.openxmlformats.org/officeDocument/2006/relationships/hyperlink" Target="https://elandings.alaska.gov/" TargetMode="External"/><Relationship Id="rId22" Type="http://schemas.openxmlformats.org/officeDocument/2006/relationships/hyperlink" Target="http://www.corporateservices.noaa.gov/%7Eames/NAOs/Chap_216/naos_216_100.html" TargetMode="Externa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www.cio.noaa.gov/services_programs/IQ_Guidelines_103014.html" TargetMode="External"/><Relationship Id="rId1" Type="http://schemas.openxmlformats.org/officeDocument/2006/relationships/hyperlink" Target="https://alaskafisheries.noaa.gov/fisheries/i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A9475-F379-41DD-95DD-070F8A86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10636</Words>
  <Characters>60629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Hewlett-Packard</Company>
  <LinksUpToDate>false</LinksUpToDate>
  <CharactersWithSpaces>71123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SYSTEM</cp:lastModifiedBy>
  <cp:revision>2</cp:revision>
  <cp:lastPrinted>2018-03-06T17:25:00Z</cp:lastPrinted>
  <dcterms:created xsi:type="dcterms:W3CDTF">2018-03-12T16:51:00Z</dcterms:created>
  <dcterms:modified xsi:type="dcterms:W3CDTF">2018-03-12T16:51:00Z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2018-01-12T00:00:00Z</vt:filetime>
  </property>
</Properties>
</file>