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585" w:rsidRDefault="008A5585" w:rsidP="00364167">
      <w:pPr>
        <w:pStyle w:val="Heading1"/>
        <w:keepNext w:val="0"/>
        <w:widowControl w:val="0"/>
        <w:jc w:val="center"/>
      </w:pPr>
      <w:bookmarkStart w:id="0" w:name="_GoBack"/>
      <w:bookmarkEnd w:id="0"/>
      <w:r w:rsidRPr="0044566F">
        <w:t>SUPPORTING STATEMENT</w:t>
      </w:r>
    </w:p>
    <w:p w:rsidR="00364167" w:rsidRPr="00364167" w:rsidRDefault="00364167" w:rsidP="00364167">
      <w:pPr>
        <w:spacing w:line="240" w:lineRule="auto"/>
        <w:jc w:val="center"/>
      </w:pPr>
      <w:r w:rsidRPr="001B378E">
        <w:rPr>
          <w:b/>
          <w:spacing w:val="-1"/>
        </w:rPr>
        <w:t>For</w:t>
      </w:r>
      <w:r w:rsidRPr="001B378E">
        <w:rPr>
          <w:b/>
          <w:spacing w:val="1"/>
        </w:rPr>
        <w:t xml:space="preserve"> </w:t>
      </w:r>
      <w:r w:rsidRPr="001B378E">
        <w:rPr>
          <w:b/>
          <w:spacing w:val="-1"/>
        </w:rPr>
        <w:t>the</w:t>
      </w:r>
      <w:r w:rsidRPr="001B378E">
        <w:rPr>
          <w:b/>
          <w:spacing w:val="1"/>
        </w:rPr>
        <w:t xml:space="preserve"> </w:t>
      </w:r>
      <w:r w:rsidRPr="001B378E">
        <w:rPr>
          <w:b/>
          <w:spacing w:val="-1"/>
        </w:rPr>
        <w:t>Paperwork</w:t>
      </w:r>
      <w:r w:rsidRPr="001B378E">
        <w:rPr>
          <w:b/>
        </w:rPr>
        <w:t xml:space="preserve"> </w:t>
      </w:r>
      <w:r w:rsidRPr="001B378E">
        <w:rPr>
          <w:b/>
          <w:spacing w:val="-1"/>
        </w:rPr>
        <w:t>Reduction</w:t>
      </w:r>
      <w:r w:rsidRPr="001B378E">
        <w:rPr>
          <w:b/>
        </w:rPr>
        <w:t xml:space="preserve"> </w:t>
      </w:r>
      <w:r w:rsidRPr="001B378E">
        <w:rPr>
          <w:b/>
          <w:spacing w:val="-1"/>
        </w:rPr>
        <w:t>Act Information</w:t>
      </w:r>
      <w:r w:rsidRPr="001B378E">
        <w:rPr>
          <w:b/>
          <w:spacing w:val="3"/>
        </w:rPr>
        <w:t xml:space="preserve"> </w:t>
      </w:r>
      <w:r w:rsidRPr="001B378E">
        <w:rPr>
          <w:b/>
          <w:spacing w:val="-1"/>
        </w:rPr>
        <w:t>Collection</w:t>
      </w:r>
      <w:r w:rsidRPr="001B378E">
        <w:rPr>
          <w:b/>
        </w:rPr>
        <w:t xml:space="preserve"> </w:t>
      </w:r>
      <w:r w:rsidRPr="001B378E">
        <w:rPr>
          <w:b/>
          <w:spacing w:val="-1"/>
        </w:rPr>
        <w:t>Submission</w:t>
      </w:r>
      <w:r w:rsidRPr="001B378E">
        <w:rPr>
          <w:b/>
        </w:rPr>
        <w:t xml:space="preserve"> </w:t>
      </w:r>
      <w:r w:rsidRPr="001B378E">
        <w:rPr>
          <w:b/>
          <w:spacing w:val="-1"/>
        </w:rPr>
        <w:t>for</w:t>
      </w:r>
    </w:p>
    <w:p w:rsidR="008A5585" w:rsidRPr="0044566F" w:rsidRDefault="00235256" w:rsidP="00364167">
      <w:pPr>
        <w:pStyle w:val="Heading1"/>
        <w:keepNext w:val="0"/>
        <w:widowControl w:val="0"/>
        <w:jc w:val="center"/>
      </w:pPr>
      <w:r>
        <w:t>Rule 22c-2</w:t>
      </w:r>
    </w:p>
    <w:p w:rsidR="008A5585" w:rsidRPr="0044566F" w:rsidRDefault="008A5585" w:rsidP="00031418">
      <w:pPr>
        <w:pStyle w:val="Heading1"/>
        <w:keepNext w:val="0"/>
        <w:widowControl w:val="0"/>
        <w:spacing w:line="480" w:lineRule="auto"/>
        <w:jc w:val="center"/>
        <w:rPr>
          <w:b w:val="0"/>
          <w:bCs w:val="0"/>
        </w:rPr>
      </w:pPr>
    </w:p>
    <w:p w:rsidR="008A5585" w:rsidRPr="0044566F" w:rsidRDefault="008A5585" w:rsidP="00031418">
      <w:pPr>
        <w:pStyle w:val="Heading4"/>
        <w:keepNext w:val="0"/>
        <w:widowControl w:val="0"/>
        <w:tabs>
          <w:tab w:val="clear" w:pos="720"/>
          <w:tab w:val="clear" w:pos="1800"/>
          <w:tab w:val="num" w:pos="600"/>
        </w:tabs>
        <w:spacing w:line="480" w:lineRule="auto"/>
        <w:rPr>
          <w:b/>
          <w:bCs/>
        </w:rPr>
      </w:pPr>
      <w:r w:rsidRPr="0044566F">
        <w:rPr>
          <w:b/>
          <w:bCs/>
        </w:rPr>
        <w:t>JUSTIFICATION</w:t>
      </w:r>
    </w:p>
    <w:p w:rsidR="008A5585" w:rsidRPr="0044566F" w:rsidRDefault="00235256" w:rsidP="00031418">
      <w:pPr>
        <w:widowControl w:val="0"/>
        <w:numPr>
          <w:ilvl w:val="1"/>
          <w:numId w:val="1"/>
        </w:numPr>
        <w:tabs>
          <w:tab w:val="clear" w:pos="2520"/>
          <w:tab w:val="num" w:pos="600"/>
        </w:tabs>
        <w:ind w:hanging="1920"/>
        <w:rPr>
          <w:b/>
          <w:bCs/>
        </w:rPr>
      </w:pPr>
      <w:r>
        <w:rPr>
          <w:b/>
          <w:bCs/>
        </w:rPr>
        <w:t>Necessity for the</w:t>
      </w:r>
      <w:r w:rsidR="008A5585" w:rsidRPr="0044566F">
        <w:rPr>
          <w:b/>
          <w:bCs/>
        </w:rPr>
        <w:t xml:space="preserve"> Information Collection</w:t>
      </w:r>
    </w:p>
    <w:p w:rsidR="001641BA" w:rsidRDefault="008C122E" w:rsidP="00031418">
      <w:pPr>
        <w:ind w:left="0" w:firstLine="600"/>
      </w:pPr>
      <w:r>
        <w:t>R</w:t>
      </w:r>
      <w:r w:rsidR="00EC0B4A">
        <w:t>ule 22c-2 (</w:t>
      </w:r>
      <w:r w:rsidR="00C917BD" w:rsidRPr="0044566F">
        <w:t>17 CFR 270.22c-2</w:t>
      </w:r>
      <w:r w:rsidR="00EC0B4A">
        <w:t>)</w:t>
      </w:r>
      <w:r w:rsidR="00C917BD" w:rsidRPr="0044566F">
        <w:t xml:space="preserve"> </w:t>
      </w:r>
      <w:r w:rsidR="008A5585" w:rsidRPr="0044566F">
        <w:t xml:space="preserve">under the </w:t>
      </w:r>
      <w:r w:rsidR="004761E2">
        <w:t>Investment Company Act of 1940 (15 U.S.C. 80a)</w:t>
      </w:r>
      <w:r w:rsidR="008A5585" w:rsidRPr="0044566F">
        <w:t xml:space="preserve"> (the “Investment Company Act” or</w:t>
      </w:r>
      <w:r w:rsidR="00C917BD" w:rsidRPr="0044566F">
        <w:t xml:space="preserve"> “Act</w:t>
      </w:r>
      <w:r w:rsidR="001641BA" w:rsidRPr="0044566F">
        <w:t xml:space="preserve">”) requires </w:t>
      </w:r>
      <w:r w:rsidR="0038680E">
        <w:t xml:space="preserve">the </w:t>
      </w:r>
      <w:r w:rsidR="0038680E" w:rsidRPr="0044566F">
        <w:t>board of directors (including a majority of independent directors)</w:t>
      </w:r>
      <w:r w:rsidR="0038680E">
        <w:t xml:space="preserve"> of most</w:t>
      </w:r>
      <w:r w:rsidR="0038680E" w:rsidRPr="0044566F">
        <w:t xml:space="preserve"> </w:t>
      </w:r>
      <w:r w:rsidR="0038680E">
        <w:t xml:space="preserve">registered </w:t>
      </w:r>
      <w:r w:rsidR="000F233E">
        <w:t xml:space="preserve">open-end management </w:t>
      </w:r>
      <w:r w:rsidR="0038680E">
        <w:t>investment companies</w:t>
      </w:r>
      <w:r w:rsidR="003814B7" w:rsidRPr="0044566F">
        <w:t xml:space="preserve"> (“fund</w:t>
      </w:r>
      <w:r w:rsidR="0038680E">
        <w:t>s</w:t>
      </w:r>
      <w:r w:rsidR="003814B7" w:rsidRPr="0044566F">
        <w:t>”)</w:t>
      </w:r>
      <w:r w:rsidR="001641BA" w:rsidRPr="0044566F">
        <w:t xml:space="preserve"> to either approve a redemption fee</w:t>
      </w:r>
      <w:r w:rsidR="0038680E">
        <w:t xml:space="preserve"> of up to two percent</w:t>
      </w:r>
      <w:r w:rsidR="001641BA" w:rsidRPr="0044566F">
        <w:t xml:space="preserve"> or determine that imposition of a redemption fee is not</w:t>
      </w:r>
      <w:r w:rsidR="0038680E">
        <w:t xml:space="preserve"> necessary or</w:t>
      </w:r>
      <w:r w:rsidR="001641BA" w:rsidRPr="0044566F">
        <w:t xml:space="preserve"> appropriate for the fund.</w:t>
      </w:r>
      <w:r w:rsidR="0044566F">
        <w:t xml:space="preserve">  </w:t>
      </w:r>
      <w:r w:rsidR="001641BA" w:rsidRPr="0044566F">
        <w:t xml:space="preserve">Rule 22c-2 also requires </w:t>
      </w:r>
      <w:r w:rsidR="00005A2D">
        <w:t xml:space="preserve">a </w:t>
      </w:r>
      <w:r w:rsidR="001641BA" w:rsidRPr="0044566F">
        <w:t>fund</w:t>
      </w:r>
      <w:r w:rsidR="00005A2D">
        <w:t xml:space="preserve"> to enter into </w:t>
      </w:r>
      <w:r w:rsidR="001641BA" w:rsidRPr="0044566F">
        <w:t xml:space="preserve">written agreements with their </w:t>
      </w:r>
      <w:r w:rsidR="00E10A67">
        <w:t xml:space="preserve">financial </w:t>
      </w:r>
      <w:r w:rsidR="001641BA" w:rsidRPr="0044566F">
        <w:t xml:space="preserve">intermediaries </w:t>
      </w:r>
      <w:r w:rsidR="001121DB">
        <w:t xml:space="preserve">(such as broker-dealers and retirement plan administrators) </w:t>
      </w:r>
      <w:r w:rsidR="001641BA" w:rsidRPr="0044566F">
        <w:t xml:space="preserve">under which the </w:t>
      </w:r>
      <w:r w:rsidR="00005A2D">
        <w:t>fund</w:t>
      </w:r>
      <w:r w:rsidR="0038680E">
        <w:t>, upon request</w:t>
      </w:r>
      <w:r w:rsidR="001641BA" w:rsidRPr="0044566F">
        <w:t>,</w:t>
      </w:r>
      <w:r w:rsidR="0038680E">
        <w:t xml:space="preserve"> can obtain </w:t>
      </w:r>
      <w:r w:rsidR="001641BA" w:rsidRPr="0044566F">
        <w:t>certain shareholder identity and trading information</w:t>
      </w:r>
      <w:r w:rsidR="00005A2D" w:rsidRPr="00005A2D">
        <w:t xml:space="preserve"> </w:t>
      </w:r>
      <w:r w:rsidR="00005A2D">
        <w:t>from the intermediaries</w:t>
      </w:r>
      <w:r w:rsidR="001641BA" w:rsidRPr="0044566F">
        <w:t>.</w:t>
      </w:r>
      <w:r w:rsidR="0038680E">
        <w:t xml:space="preserve">  The written agreement </w:t>
      </w:r>
      <w:r w:rsidR="00005A2D">
        <w:t xml:space="preserve">must </w:t>
      </w:r>
      <w:r w:rsidR="0038680E">
        <w:t xml:space="preserve">also allow the fund to direct the intermediary to prohibit further purchases or exchanges </w:t>
      </w:r>
      <w:r w:rsidR="003B374B">
        <w:t>by</w:t>
      </w:r>
      <w:r w:rsidR="0038680E">
        <w:t xml:space="preserve"> specific shareholders </w:t>
      </w:r>
      <w:r w:rsidR="003B374B">
        <w:t xml:space="preserve">that </w:t>
      </w:r>
      <w:r w:rsidR="0038680E">
        <w:t xml:space="preserve">the fund </w:t>
      </w:r>
      <w:r w:rsidR="003B374B">
        <w:t xml:space="preserve">has </w:t>
      </w:r>
      <w:r w:rsidR="0038680E">
        <w:t>identifie</w:t>
      </w:r>
      <w:r w:rsidR="003B374B">
        <w:t>d</w:t>
      </w:r>
      <w:r w:rsidR="0038680E">
        <w:t xml:space="preserve"> </w:t>
      </w:r>
      <w:r w:rsidR="00005A2D">
        <w:t>as being</w:t>
      </w:r>
      <w:r w:rsidR="003B374B">
        <w:t xml:space="preserve"> </w:t>
      </w:r>
      <w:r w:rsidR="0038680E">
        <w:t>engaged in transactions that violate the fund’s market timing policies.</w:t>
      </w:r>
      <w:r w:rsidR="001121DB">
        <w:t xml:space="preserve">  </w:t>
      </w:r>
      <w:r w:rsidR="001641BA" w:rsidRPr="0044566F">
        <w:t>Th</w:t>
      </w:r>
      <w:r w:rsidR="0038680E">
        <w:t>ese</w:t>
      </w:r>
      <w:r w:rsidR="001641BA" w:rsidRPr="0044566F">
        <w:t xml:space="preserve"> requirement</w:t>
      </w:r>
      <w:r w:rsidR="001121DB">
        <w:t>s</w:t>
      </w:r>
      <w:r w:rsidR="001641BA" w:rsidRPr="0044566F">
        <w:t xml:space="preserve"> enable funds to obtain the information that they need to monitor the frequency of short</w:t>
      </w:r>
      <w:r w:rsidR="001641BA" w:rsidRPr="0044566F">
        <w:noBreakHyphen/>
        <w:t>term trading in omnibus accounts and enforce their market timing policies.</w:t>
      </w:r>
    </w:p>
    <w:p w:rsidR="003B374B" w:rsidRDefault="003B374B" w:rsidP="00031418">
      <w:pPr>
        <w:ind w:left="0" w:firstLine="600"/>
      </w:pPr>
      <w:r>
        <w:t xml:space="preserve">The rule includes </w:t>
      </w:r>
      <w:r w:rsidR="001861CC">
        <w:t>three</w:t>
      </w:r>
      <w:r>
        <w:t xml:space="preserve"> </w:t>
      </w:r>
      <w:r w:rsidR="00E346E8" w:rsidRPr="00DC7288">
        <w:t>“collection</w:t>
      </w:r>
      <w:r w:rsidR="00E346E8">
        <w:t>s</w:t>
      </w:r>
      <w:r w:rsidR="00E346E8" w:rsidRPr="00DC7288">
        <w:t xml:space="preserve"> of information” within the meaning of the Paperwork Reduction Act of 1995 (“PRA”).</w:t>
      </w:r>
      <w:r w:rsidR="00E346E8" w:rsidRPr="00DC7288">
        <w:rPr>
          <w:rStyle w:val="FootnoteReference"/>
        </w:rPr>
        <w:footnoteReference w:id="1"/>
      </w:r>
      <w:r w:rsidR="00E346E8" w:rsidRPr="00DC7288">
        <w:t xml:space="preserve">  </w:t>
      </w:r>
      <w:r>
        <w:t xml:space="preserve">First, the rule requires </w:t>
      </w:r>
      <w:r w:rsidR="00E346E8">
        <w:t xml:space="preserve">boards </w:t>
      </w:r>
      <w:r w:rsidR="00557004">
        <w:t xml:space="preserve">to </w:t>
      </w:r>
      <w:r w:rsidR="00E346E8" w:rsidRPr="0044566F">
        <w:t>either approve a redemption fee</w:t>
      </w:r>
      <w:r w:rsidR="00E346E8">
        <w:t xml:space="preserve"> of up to two percent</w:t>
      </w:r>
      <w:r w:rsidR="00E346E8" w:rsidRPr="0044566F">
        <w:t xml:space="preserve"> or determine that imposition of a redemption fee is not</w:t>
      </w:r>
      <w:r w:rsidR="00E346E8">
        <w:t xml:space="preserve"> necessary or</w:t>
      </w:r>
      <w:r w:rsidR="00E346E8" w:rsidRPr="0044566F">
        <w:t xml:space="preserve"> </w:t>
      </w:r>
      <w:r w:rsidR="00E346E8" w:rsidRPr="0044566F">
        <w:lastRenderedPageBreak/>
        <w:t>appropriate for the fund.</w:t>
      </w:r>
      <w:r w:rsidR="00E346E8">
        <w:t xml:space="preserve">  </w:t>
      </w:r>
      <w:r w:rsidR="00557004">
        <w:t xml:space="preserve">Second, funds must </w:t>
      </w:r>
      <w:r>
        <w:t xml:space="preserve">enter into information sharing agreements with </w:t>
      </w:r>
      <w:r w:rsidR="00557004">
        <w:t xml:space="preserve">all of </w:t>
      </w:r>
      <w:r>
        <w:t xml:space="preserve">their </w:t>
      </w:r>
      <w:r w:rsidR="00144ADE">
        <w:t xml:space="preserve">“financial </w:t>
      </w:r>
      <w:r>
        <w:t>intermediaries</w:t>
      </w:r>
      <w:r w:rsidR="00144ADE">
        <w:t>”</w:t>
      </w:r>
      <w:r w:rsidR="00144ADE">
        <w:rPr>
          <w:rStyle w:val="FootnoteReference"/>
        </w:rPr>
        <w:footnoteReference w:id="2"/>
      </w:r>
      <w:r w:rsidR="001861CC">
        <w:t xml:space="preserve"> and maintain a copy of the written information sharing agreement with each intermediary in an easily accessible place for six years.</w:t>
      </w:r>
      <w:r w:rsidR="00557004">
        <w:t xml:space="preserve"> </w:t>
      </w:r>
      <w:r w:rsidR="001861CC">
        <w:t xml:space="preserve"> </w:t>
      </w:r>
      <w:r w:rsidR="00557004">
        <w:t>Third, pursuant to the information sharing agreements, funds must have systems that enable them to request frequent trading information upon demand from their intermediaries</w:t>
      </w:r>
      <w:r w:rsidR="009E13FB">
        <w:t xml:space="preserve">, and to enforce any restrictions on trading required by funds under the rule.  </w:t>
      </w:r>
    </w:p>
    <w:p w:rsidR="008A5585" w:rsidRPr="0044566F" w:rsidRDefault="00235256" w:rsidP="00031418">
      <w:pPr>
        <w:pStyle w:val="Heading2"/>
        <w:keepNext w:val="0"/>
        <w:widowControl w:val="0"/>
        <w:numPr>
          <w:ilvl w:val="0"/>
          <w:numId w:val="2"/>
        </w:numPr>
        <w:tabs>
          <w:tab w:val="num" w:pos="1440"/>
        </w:tabs>
        <w:spacing w:line="480" w:lineRule="auto"/>
        <w:rPr>
          <w:b/>
          <w:bCs/>
        </w:rPr>
      </w:pPr>
      <w:r>
        <w:rPr>
          <w:b/>
          <w:bCs/>
        </w:rPr>
        <w:t>Purpose</w:t>
      </w:r>
      <w:r w:rsidR="00364167">
        <w:rPr>
          <w:b/>
          <w:bCs/>
        </w:rPr>
        <w:t xml:space="preserve"> and Use</w:t>
      </w:r>
      <w:r w:rsidR="008A5585" w:rsidRPr="0044566F">
        <w:rPr>
          <w:b/>
          <w:bCs/>
        </w:rPr>
        <w:t xml:space="preserve"> of the Information Collection</w:t>
      </w:r>
    </w:p>
    <w:p w:rsidR="00585EDD" w:rsidRPr="0044566F" w:rsidRDefault="00585EDD" w:rsidP="00031418">
      <w:pPr>
        <w:ind w:left="0" w:firstLine="720"/>
      </w:pPr>
      <w:r w:rsidRPr="0044566F">
        <w:t>The collect</w:t>
      </w:r>
      <w:r w:rsidR="008C122E">
        <w:t xml:space="preserve">ions of information created by </w:t>
      </w:r>
      <w:r w:rsidR="0077202D">
        <w:t>r</w:t>
      </w:r>
      <w:r w:rsidRPr="0044566F">
        <w:t xml:space="preserve">ule 22c-2 are necessary for funds to </w:t>
      </w:r>
      <w:r w:rsidR="00EE013A">
        <w:t xml:space="preserve">effectively </w:t>
      </w:r>
      <w:r w:rsidRPr="0044566F">
        <w:t>assess redemption fees</w:t>
      </w:r>
      <w:r w:rsidR="00005A2D">
        <w:t>, enforce their policies in frequent trading,</w:t>
      </w:r>
      <w:r w:rsidRPr="0044566F">
        <w:t xml:space="preserve"> and monitor short-term trading, including market timing, in omnibus accounts.  </w:t>
      </w:r>
      <w:r>
        <w:t>These</w:t>
      </w:r>
      <w:r w:rsidRPr="0044566F">
        <w:t xml:space="preserve"> collection</w:t>
      </w:r>
      <w:r>
        <w:t>s</w:t>
      </w:r>
      <w:r w:rsidRPr="0044566F">
        <w:t xml:space="preserve"> of information </w:t>
      </w:r>
      <w:r>
        <w:t>are</w:t>
      </w:r>
      <w:r w:rsidRPr="0044566F">
        <w:t xml:space="preserve"> mandatory</w:t>
      </w:r>
      <w:r>
        <w:t xml:space="preserve"> for funds that redeem shares within seven days of purchase</w:t>
      </w:r>
      <w:r w:rsidRPr="0044566F">
        <w:t xml:space="preserve">.  </w:t>
      </w:r>
      <w:r w:rsidR="00DE025C">
        <w:t>The</w:t>
      </w:r>
      <w:r w:rsidRPr="0044566F">
        <w:t xml:space="preserve"> collection</w:t>
      </w:r>
      <w:r w:rsidR="00DE025C">
        <w:t>s</w:t>
      </w:r>
      <w:r w:rsidRPr="0044566F">
        <w:t xml:space="preserve"> of information </w:t>
      </w:r>
      <w:r w:rsidR="00E857E0">
        <w:t xml:space="preserve">also </w:t>
      </w:r>
      <w:r w:rsidR="00DE025C">
        <w:t xml:space="preserve">are </w:t>
      </w:r>
      <w:r w:rsidRPr="0044566F">
        <w:t xml:space="preserve">necessary </w:t>
      </w:r>
      <w:r>
        <w:t>to allow</w:t>
      </w:r>
      <w:r w:rsidRPr="0044566F">
        <w:t xml:space="preserve"> </w:t>
      </w:r>
      <w:r>
        <w:t>Commission</w:t>
      </w:r>
      <w:r w:rsidRPr="0044566F">
        <w:t xml:space="preserve"> staff to </w:t>
      </w:r>
      <w:r>
        <w:t xml:space="preserve">fulfill </w:t>
      </w:r>
      <w:r w:rsidRPr="0044566F">
        <w:t xml:space="preserve">its examination and oversight </w:t>
      </w:r>
      <w:r>
        <w:t>responsibilities</w:t>
      </w:r>
      <w:r w:rsidRPr="0044566F">
        <w:t xml:space="preserve">.  </w:t>
      </w:r>
    </w:p>
    <w:p w:rsidR="008A5585" w:rsidRPr="0044566F" w:rsidRDefault="00364167" w:rsidP="00031418">
      <w:pPr>
        <w:widowControl w:val="0"/>
        <w:numPr>
          <w:ilvl w:val="0"/>
          <w:numId w:val="2"/>
        </w:numPr>
        <w:tabs>
          <w:tab w:val="num" w:pos="1440"/>
        </w:tabs>
        <w:rPr>
          <w:b/>
          <w:bCs/>
        </w:rPr>
      </w:pPr>
      <w:r>
        <w:rPr>
          <w:b/>
          <w:bCs/>
        </w:rPr>
        <w:t>Consideration Given to</w:t>
      </w:r>
      <w:r w:rsidR="008A5585" w:rsidRPr="0044566F">
        <w:rPr>
          <w:b/>
          <w:bCs/>
        </w:rPr>
        <w:t xml:space="preserve"> Information Technology</w:t>
      </w:r>
    </w:p>
    <w:p w:rsidR="008A5585" w:rsidRPr="0044566F" w:rsidRDefault="008A5585" w:rsidP="00031418">
      <w:pPr>
        <w:pStyle w:val="BodyText"/>
        <w:widowControl w:val="0"/>
      </w:pPr>
      <w:r w:rsidRPr="0044566F">
        <w:tab/>
      </w:r>
      <w:r w:rsidR="003814B7" w:rsidRPr="0044566F">
        <w:t>Ru</w:t>
      </w:r>
      <w:r w:rsidRPr="0044566F">
        <w:t xml:space="preserve">le 22c-2 </w:t>
      </w:r>
      <w:r w:rsidR="007B24A1">
        <w:t>does</w:t>
      </w:r>
      <w:r w:rsidRPr="0044566F">
        <w:t xml:space="preserve"> not require the reporting of any information or the filing of any documents with the Commission.  The Electronic Signatures in Global and National Commerce </w:t>
      </w:r>
      <w:r w:rsidRPr="0044566F">
        <w:lastRenderedPageBreak/>
        <w:t>Act</w:t>
      </w:r>
      <w:r w:rsidRPr="0044566F">
        <w:rPr>
          <w:rStyle w:val="FootnoteReference"/>
        </w:rPr>
        <w:footnoteReference w:id="3"/>
      </w:r>
      <w:r w:rsidRPr="0044566F">
        <w:t xml:space="preserve"> and the conforming amendments to rules under the Investment Company Act of 1940 and the Securities Exchange Act of 1934 permit funds and their financial intermediaries to maintain records electronically.  </w:t>
      </w:r>
    </w:p>
    <w:p w:rsidR="008A5585" w:rsidRPr="0044566F" w:rsidRDefault="008A5585" w:rsidP="00031418">
      <w:pPr>
        <w:pStyle w:val="BodyText"/>
        <w:widowControl w:val="0"/>
        <w:rPr>
          <w:b/>
          <w:bCs/>
        </w:rPr>
      </w:pPr>
      <w:r w:rsidRPr="0044566F">
        <w:tab/>
      </w:r>
      <w:r w:rsidRPr="0044566F">
        <w:rPr>
          <w:b/>
          <w:bCs/>
        </w:rPr>
        <w:t>4.</w:t>
      </w:r>
      <w:r w:rsidRPr="0044566F">
        <w:rPr>
          <w:b/>
          <w:bCs/>
        </w:rPr>
        <w:tab/>
        <w:t>Duplication</w:t>
      </w:r>
    </w:p>
    <w:p w:rsidR="008A5585" w:rsidRDefault="008A5585" w:rsidP="00031418">
      <w:pPr>
        <w:pStyle w:val="BodyTextIndent"/>
        <w:widowControl w:val="0"/>
      </w:pPr>
      <w:r w:rsidRPr="0044566F">
        <w:t>The Commission is not aware of any duplicate reporting or recordk</w:t>
      </w:r>
      <w:r w:rsidR="008C122E">
        <w:t xml:space="preserve">eeping requirements concerning </w:t>
      </w:r>
      <w:r w:rsidR="00E857E0">
        <w:t>r</w:t>
      </w:r>
      <w:r w:rsidRPr="0044566F">
        <w:t>ule 22c-2.</w:t>
      </w:r>
    </w:p>
    <w:p w:rsidR="001E6BA6" w:rsidRDefault="008A5585" w:rsidP="001E6BA6">
      <w:pPr>
        <w:pStyle w:val="BodyTextIndent"/>
        <w:widowControl w:val="0"/>
        <w:rPr>
          <w:b/>
          <w:bCs/>
        </w:rPr>
      </w:pPr>
      <w:r w:rsidRPr="0044566F">
        <w:rPr>
          <w:b/>
          <w:bCs/>
        </w:rPr>
        <w:t>5.</w:t>
      </w:r>
      <w:r w:rsidRPr="0044566F">
        <w:tab/>
      </w:r>
      <w:r w:rsidR="00235256">
        <w:rPr>
          <w:b/>
          <w:bCs/>
        </w:rPr>
        <w:t>Effect</w:t>
      </w:r>
      <w:r w:rsidRPr="0044566F">
        <w:rPr>
          <w:b/>
          <w:bCs/>
        </w:rPr>
        <w:t xml:space="preserve"> on Small Entities</w:t>
      </w:r>
    </w:p>
    <w:p w:rsidR="00234AED" w:rsidRDefault="001E6BA6" w:rsidP="00031418">
      <w:pPr>
        <w:pStyle w:val="BodyTextIndent"/>
        <w:widowControl w:val="0"/>
      </w:pPr>
      <w:r w:rsidRPr="00CF045A">
        <w:t xml:space="preserve">As discussed above, </w:t>
      </w:r>
      <w:r w:rsidR="00E857E0">
        <w:t>r</w:t>
      </w:r>
      <w:r w:rsidRPr="00CF045A">
        <w:t xml:space="preserve">ule 22c-2 provides funds and their boards with the ability to impose a redemption fee designed to reimburse the fund for the direct and indirect costs incurred as a result of short-term trading strategies, such as market timing.  </w:t>
      </w:r>
      <w:r w:rsidR="008C7F07">
        <w:t>T</w:t>
      </w:r>
      <w:r w:rsidRPr="00CF045A">
        <w:t>he rule</w:t>
      </w:r>
      <w:r w:rsidR="008C7F07">
        <w:t xml:space="preserve"> was designed to reduce the cost burdens of small entities.  Rule 22c-2</w:t>
      </w:r>
      <w:r>
        <w:t xml:space="preserve"> </w:t>
      </w:r>
      <w:r w:rsidRPr="00CF045A">
        <w:t>require</w:t>
      </w:r>
      <w:r w:rsidR="008C7F07">
        <w:t>s</w:t>
      </w:r>
      <w:r w:rsidRPr="00CF045A">
        <w:t xml:space="preserve"> some funds </w:t>
      </w:r>
      <w:r>
        <w:t xml:space="preserve">to </w:t>
      </w:r>
      <w:r w:rsidRPr="00CF045A">
        <w:t xml:space="preserve">develop or upgrade software or other technological systems to </w:t>
      </w:r>
      <w:r>
        <w:t>enforce certain market timing policies,</w:t>
      </w:r>
      <w:r w:rsidRPr="00CF045A">
        <w:t xml:space="preserve"> or make trading informatio</w:t>
      </w:r>
      <w:r w:rsidR="008C7F07">
        <w:t>n available in omnibus accounts.</w:t>
      </w:r>
      <w:r>
        <w:t xml:space="preserve">  </w:t>
      </w:r>
    </w:p>
    <w:p w:rsidR="008A5585" w:rsidRPr="0044566F" w:rsidRDefault="008A5585" w:rsidP="00031418">
      <w:pPr>
        <w:widowControl w:val="0"/>
        <w:ind w:left="1440"/>
        <w:rPr>
          <w:b/>
          <w:bCs/>
        </w:rPr>
      </w:pPr>
      <w:r w:rsidRPr="0044566F">
        <w:rPr>
          <w:b/>
          <w:bCs/>
        </w:rPr>
        <w:t>6.</w:t>
      </w:r>
      <w:r w:rsidRPr="0044566F">
        <w:rPr>
          <w:b/>
          <w:bCs/>
        </w:rPr>
        <w:tab/>
        <w:t xml:space="preserve">Consequences of </w:t>
      </w:r>
      <w:r w:rsidR="00364167">
        <w:rPr>
          <w:b/>
          <w:bCs/>
        </w:rPr>
        <w:t xml:space="preserve">Not Conducting </w:t>
      </w:r>
      <w:r w:rsidRPr="0044566F">
        <w:rPr>
          <w:b/>
          <w:bCs/>
        </w:rPr>
        <w:t>Collection</w:t>
      </w:r>
    </w:p>
    <w:p w:rsidR="008A5585" w:rsidRPr="0044566F" w:rsidRDefault="008A5585" w:rsidP="00031418">
      <w:pPr>
        <w:pStyle w:val="BodyTextIndent"/>
        <w:widowControl w:val="0"/>
      </w:pPr>
      <w:r w:rsidRPr="0044566F">
        <w:t xml:space="preserve">The </w:t>
      </w:r>
      <w:r w:rsidR="005779C1">
        <w:t>rule’s requirement that funds enter into agreements with their financial intermediaries is</w:t>
      </w:r>
      <w:r w:rsidRPr="0044566F">
        <w:t xml:space="preserve"> a single event </w:t>
      </w:r>
      <w:r w:rsidR="005779C1">
        <w:t>that will</w:t>
      </w:r>
      <w:r w:rsidRPr="0044566F">
        <w:t xml:space="preserve"> </w:t>
      </w:r>
      <w:r w:rsidR="00EF7DF3" w:rsidRPr="0044566F">
        <w:t xml:space="preserve">provide the fund with the option to receive certain </w:t>
      </w:r>
      <w:r w:rsidR="000222E8">
        <w:t>identity and transaction</w:t>
      </w:r>
      <w:r w:rsidR="00EF7DF3" w:rsidRPr="0044566F">
        <w:t xml:space="preserve"> information with which the fund can </w:t>
      </w:r>
      <w:r w:rsidR="00F461B0" w:rsidRPr="0044566F">
        <w:t>monitor implementation of its redemption fee program</w:t>
      </w:r>
      <w:r w:rsidR="003A20B6">
        <w:t xml:space="preserve"> and direct the intermediary to enforce the fund’s market timing policies in certain circumstances</w:t>
      </w:r>
      <w:r w:rsidR="00F461B0" w:rsidRPr="0044566F">
        <w:t>.</w:t>
      </w:r>
      <w:r w:rsidR="001E6BA6">
        <w:t xml:space="preserve">  </w:t>
      </w:r>
      <w:r w:rsidR="006D166B">
        <w:t xml:space="preserve">The rule’s requirement that the board of directors determine whether a redemption fee is necessary or appropriate for the fund is also a single event designed to ensure that consideration is given to the interests of long-term investors.  </w:t>
      </w:r>
      <w:r w:rsidR="001E6BA6">
        <w:t xml:space="preserve">Further information collection </w:t>
      </w:r>
      <w:r w:rsidR="00E857E0">
        <w:t>(</w:t>
      </w:r>
      <w:r w:rsidR="00E857E0" w:rsidRPr="00AF7F69">
        <w:rPr>
          <w:i/>
        </w:rPr>
        <w:t>i.e</w:t>
      </w:r>
      <w:r w:rsidR="00E857E0" w:rsidRPr="00996495">
        <w:rPr>
          <w:i/>
        </w:rPr>
        <w:t>.</w:t>
      </w:r>
      <w:r w:rsidR="00996495" w:rsidRPr="00996495">
        <w:rPr>
          <w:i/>
        </w:rPr>
        <w:t>,</w:t>
      </w:r>
      <w:r w:rsidR="00E857E0">
        <w:t xml:space="preserve"> requests for shareholder identification and trading information) </w:t>
      </w:r>
      <w:r w:rsidR="001E6BA6">
        <w:t xml:space="preserve">is solely at the discretion of the fund, and therefore is targeted to the individual needs of funds to protect shareholders. </w:t>
      </w:r>
    </w:p>
    <w:p w:rsidR="008A5585" w:rsidRPr="0044566F" w:rsidRDefault="008A5585" w:rsidP="00A17251">
      <w:pPr>
        <w:keepNext/>
        <w:widowControl w:val="0"/>
        <w:ind w:left="1440"/>
        <w:rPr>
          <w:b/>
          <w:bCs/>
        </w:rPr>
      </w:pPr>
      <w:r w:rsidRPr="0044566F">
        <w:rPr>
          <w:b/>
          <w:bCs/>
        </w:rPr>
        <w:t>7.</w:t>
      </w:r>
      <w:r w:rsidRPr="0044566F">
        <w:rPr>
          <w:b/>
          <w:bCs/>
        </w:rPr>
        <w:tab/>
        <w:t>Inconsistencies With Guidelines in 5 CFR 1320.5(d)(2)</w:t>
      </w:r>
    </w:p>
    <w:p w:rsidR="006F4A3B" w:rsidRDefault="006F4A3B" w:rsidP="006F4A3B">
      <w:pPr>
        <w:widowControl w:val="0"/>
        <w:ind w:left="0" w:firstLine="720"/>
      </w:pPr>
      <w:r>
        <w:t xml:space="preserve">Rule 22c-2 requires funds to retain certain written records for more than three years.  The fund must maintain and preserve a written copy of any information sharing agreements then in effect, or that has been in effect at any time in the previous six years, in an easily accessible place.  The long-term retention of these records is necessary for the Commission's inspections program to determine compliance with rule 22c-2.  </w:t>
      </w:r>
    </w:p>
    <w:p w:rsidR="008A5585" w:rsidRPr="0044566F" w:rsidRDefault="008A5585" w:rsidP="006F4A3B">
      <w:pPr>
        <w:widowControl w:val="0"/>
        <w:ind w:left="0" w:firstLine="720"/>
        <w:rPr>
          <w:b/>
          <w:bCs/>
        </w:rPr>
      </w:pPr>
      <w:r w:rsidRPr="0044566F">
        <w:rPr>
          <w:b/>
          <w:bCs/>
        </w:rPr>
        <w:t>8.</w:t>
      </w:r>
      <w:r w:rsidRPr="0044566F">
        <w:rPr>
          <w:b/>
          <w:bCs/>
        </w:rPr>
        <w:tab/>
        <w:t>Consultation Outside the Agency</w:t>
      </w:r>
    </w:p>
    <w:p w:rsidR="008A5585" w:rsidRPr="0044566F" w:rsidRDefault="00B4548C" w:rsidP="00031418">
      <w:pPr>
        <w:pStyle w:val="BodyTextIndent"/>
        <w:widowControl w:val="0"/>
      </w:pPr>
      <w:r>
        <w:t xml:space="preserve">In its </w:t>
      </w:r>
      <w:r w:rsidR="00A90F4F">
        <w:t>release</w:t>
      </w:r>
      <w:r w:rsidR="001E6BA6">
        <w:t>s</w:t>
      </w:r>
      <w:r w:rsidR="00A90F4F">
        <w:t xml:space="preserve"> proposing</w:t>
      </w:r>
      <w:r w:rsidR="001E6BA6">
        <w:t xml:space="preserve"> and adopting</w:t>
      </w:r>
      <w:r w:rsidR="00A90F4F">
        <w:t xml:space="preserve"> </w:t>
      </w:r>
      <w:r w:rsidR="0077202D">
        <w:t>r</w:t>
      </w:r>
      <w:r w:rsidR="004E27AC">
        <w:t>ule 22c-2</w:t>
      </w:r>
      <w:r w:rsidR="00846A9D">
        <w:t xml:space="preserve"> and its amendments</w:t>
      </w:r>
      <w:r w:rsidR="00A90F4F">
        <w:t xml:space="preserve">, the Commission requested public comment on the rule’s collection of information requirements and whether the estimates contained in the proposal were reasonable.  </w:t>
      </w:r>
      <w:r w:rsidR="008A5585" w:rsidRPr="0044566F">
        <w:t xml:space="preserve">The Commission and </w:t>
      </w:r>
      <w:r w:rsidR="00846A9D">
        <w:t xml:space="preserve">the </w:t>
      </w:r>
      <w:r w:rsidR="008A5585" w:rsidRPr="0044566F">
        <w:t>staff of the Division of Investment Management participate in an ongoing dialogue with representatives of the industry through public conferences, meetings, and informal exchanges.  These various forums provide the Commission and the staff with a means of as</w:t>
      </w:r>
      <w:r w:rsidR="00846A9D">
        <w:t xml:space="preserve">certaining the magnitude of </w:t>
      </w:r>
      <w:r w:rsidR="008A5585" w:rsidRPr="0044566F">
        <w:t xml:space="preserve">paperwork burdens confronting the industry.  </w:t>
      </w:r>
    </w:p>
    <w:p w:rsidR="00F461B0" w:rsidRDefault="00F461B0" w:rsidP="00031418">
      <w:pPr>
        <w:pStyle w:val="BodyTextIndent"/>
        <w:widowControl w:val="0"/>
      </w:pPr>
      <w:r w:rsidRPr="0044566F">
        <w:t xml:space="preserve">We received extensive comments on the projected costs of the </w:t>
      </w:r>
      <w:r w:rsidR="001E6BA6">
        <w:t>rule</w:t>
      </w:r>
      <w:r w:rsidR="00AD4D98">
        <w:t xml:space="preserve"> both at the proposing stage and after adoption</w:t>
      </w:r>
      <w:r w:rsidRPr="0044566F">
        <w:t xml:space="preserve">.  In many cases, funds and intermediaries, including a number of </w:t>
      </w:r>
      <w:r w:rsidR="000222E8">
        <w:t xml:space="preserve">small </w:t>
      </w:r>
      <w:r w:rsidR="003A20B6">
        <w:t>intermediaries</w:t>
      </w:r>
      <w:r w:rsidRPr="0044566F">
        <w:t xml:space="preserve">, generally argued that the system functionality or start-up costs necessary to assess and collect redemption fees on shares held through omnibus accounts, coupled with the operational and maintenance costs, would be significant and in some cases greater than what we </w:t>
      </w:r>
      <w:r w:rsidR="00846A9D">
        <w:t xml:space="preserve">originally </w:t>
      </w:r>
      <w:r w:rsidRPr="0044566F">
        <w:t>estimated</w:t>
      </w:r>
      <w:r w:rsidR="0085532D">
        <w:t xml:space="preserve">.  </w:t>
      </w:r>
      <w:r w:rsidR="001861CC">
        <w:t xml:space="preserve">The </w:t>
      </w:r>
      <w:r w:rsidR="0085532D">
        <w:t xml:space="preserve">Commission </w:t>
      </w:r>
      <w:r w:rsidR="001861CC">
        <w:t>adopted amendment</w:t>
      </w:r>
      <w:r w:rsidR="00846A9D">
        <w:t>s</w:t>
      </w:r>
      <w:r w:rsidR="001861CC">
        <w:t xml:space="preserve"> to the rule </w:t>
      </w:r>
      <w:r w:rsidR="0085532D">
        <w:t xml:space="preserve">intended to address these concerns, and to alleviate any unnecessary burdens on funds and intermediaries. </w:t>
      </w:r>
    </w:p>
    <w:p w:rsidR="00B8218D" w:rsidRPr="0044566F" w:rsidRDefault="00B8218D" w:rsidP="00031418">
      <w:pPr>
        <w:pStyle w:val="BodyTextIndent"/>
        <w:widowControl w:val="0"/>
      </w:pPr>
      <w:r>
        <w:t xml:space="preserve">The Commission requested public comment on the collection of information requirements of rule 22c-2 before it submitted this request for extension and approval to the Office of Management and Budget.  The Commission received no comments in response to this request. </w:t>
      </w:r>
    </w:p>
    <w:p w:rsidR="008A5585" w:rsidRPr="0044566F" w:rsidRDefault="008A5585" w:rsidP="005A2587">
      <w:pPr>
        <w:keepNext/>
        <w:widowControl w:val="0"/>
        <w:ind w:left="1440"/>
        <w:rPr>
          <w:b/>
          <w:bCs/>
        </w:rPr>
      </w:pPr>
      <w:r w:rsidRPr="0044566F">
        <w:rPr>
          <w:b/>
          <w:bCs/>
        </w:rPr>
        <w:t>9.</w:t>
      </w:r>
      <w:r w:rsidRPr="0044566F">
        <w:rPr>
          <w:b/>
          <w:bCs/>
        </w:rPr>
        <w:tab/>
        <w:t xml:space="preserve">Payment or Gift </w:t>
      </w:r>
    </w:p>
    <w:p w:rsidR="008A5585" w:rsidRPr="0044566F" w:rsidRDefault="008A5585" w:rsidP="00031418">
      <w:pPr>
        <w:pStyle w:val="BodyTextIndent"/>
        <w:widowControl w:val="0"/>
        <w:spacing w:before="120"/>
        <w:rPr>
          <w:szCs w:val="24"/>
        </w:rPr>
      </w:pPr>
      <w:r w:rsidRPr="0044566F">
        <w:rPr>
          <w:szCs w:val="24"/>
        </w:rPr>
        <w:t>Not applicable.</w:t>
      </w:r>
    </w:p>
    <w:p w:rsidR="008A5585" w:rsidRPr="0044566F" w:rsidRDefault="00235256" w:rsidP="00031418">
      <w:pPr>
        <w:widowControl w:val="0"/>
        <w:ind w:left="1440"/>
        <w:rPr>
          <w:b/>
          <w:bCs/>
        </w:rPr>
      </w:pPr>
      <w:r>
        <w:rPr>
          <w:b/>
          <w:bCs/>
        </w:rPr>
        <w:t>10.</w:t>
      </w:r>
      <w:r>
        <w:rPr>
          <w:b/>
          <w:bCs/>
        </w:rPr>
        <w:tab/>
      </w:r>
      <w:r w:rsidR="008A5585" w:rsidRPr="0044566F">
        <w:rPr>
          <w:b/>
          <w:bCs/>
        </w:rPr>
        <w:t>Confidentiality</w:t>
      </w:r>
    </w:p>
    <w:p w:rsidR="008A5585" w:rsidRPr="0044566F" w:rsidRDefault="00816588" w:rsidP="00031418">
      <w:pPr>
        <w:widowControl w:val="0"/>
        <w:ind w:left="0" w:firstLine="720"/>
      </w:pPr>
      <w:r>
        <w:t>Responses provided to the Commission</w:t>
      </w:r>
      <w:r w:rsidR="008A5585" w:rsidRPr="0044566F">
        <w:t xml:space="preserve"> will be accorded the same level of confidentiality accorded to other responses provided to the Commission in the context of its examination and oversight program.</w:t>
      </w:r>
      <w:r w:rsidR="00382DC4" w:rsidRPr="00382DC4">
        <w:t xml:space="preserve"> </w:t>
      </w:r>
      <w:r w:rsidR="00382DC4">
        <w:t xml:space="preserve"> </w:t>
      </w:r>
      <w:r w:rsidR="00382DC4" w:rsidRPr="0044566F">
        <w:t>Responses provided in the context of the Commission’s examination and oversight program are generally kept confidential.</w:t>
      </w:r>
    </w:p>
    <w:p w:rsidR="008A5585" w:rsidRPr="0044566F" w:rsidRDefault="008A5585" w:rsidP="00031418">
      <w:pPr>
        <w:widowControl w:val="0"/>
        <w:ind w:left="1440"/>
        <w:rPr>
          <w:b/>
          <w:bCs/>
        </w:rPr>
      </w:pPr>
      <w:r w:rsidRPr="0044566F">
        <w:rPr>
          <w:b/>
          <w:bCs/>
        </w:rPr>
        <w:t>11.</w:t>
      </w:r>
      <w:r w:rsidRPr="0044566F">
        <w:rPr>
          <w:b/>
          <w:bCs/>
        </w:rPr>
        <w:tab/>
        <w:t>Sensitive Questions</w:t>
      </w:r>
    </w:p>
    <w:p w:rsidR="00AF7F69" w:rsidRPr="00AF7F69" w:rsidRDefault="00BA6074" w:rsidP="00AF7F69">
      <w:pPr>
        <w:widowControl w:val="0"/>
        <w:ind w:left="0" w:firstLine="720"/>
        <w:rPr>
          <w:b/>
        </w:rPr>
      </w:pPr>
      <w:r>
        <w:t>No information of a sensitive nature, including social security numbers, will be required under this collection of information.  The information collection does not collect personally identifiable information (PII).  The agency has determined that a system of records notice (SORN) and privacy impact assessment (PIA) are not required in connection with the collection of information.</w:t>
      </w:r>
    </w:p>
    <w:p w:rsidR="00BD1BBE" w:rsidRPr="00BD1BBE" w:rsidRDefault="00364167" w:rsidP="007C45B8">
      <w:pPr>
        <w:keepNext/>
        <w:widowControl w:val="0"/>
        <w:numPr>
          <w:ilvl w:val="0"/>
          <w:numId w:val="3"/>
        </w:numPr>
        <w:rPr>
          <w:b/>
        </w:rPr>
      </w:pPr>
      <w:r>
        <w:rPr>
          <w:b/>
          <w:bCs/>
        </w:rPr>
        <w:t>Burden of Information Collection</w:t>
      </w:r>
    </w:p>
    <w:p w:rsidR="003A0072" w:rsidRPr="00B96BA4" w:rsidRDefault="003A0072" w:rsidP="007C45B8">
      <w:pPr>
        <w:keepNext/>
        <w:widowControl w:val="0"/>
        <w:ind w:firstLine="720"/>
        <w:rPr>
          <w:b/>
        </w:rPr>
      </w:pPr>
      <w:r w:rsidRPr="00B96BA4">
        <w:rPr>
          <w:b/>
        </w:rPr>
        <w:t>A.</w:t>
      </w:r>
      <w:r w:rsidRPr="00B96BA4">
        <w:rPr>
          <w:b/>
        </w:rPr>
        <w:tab/>
        <w:t>Board Determination</w:t>
      </w:r>
      <w:r w:rsidRPr="00B96BA4">
        <w:rPr>
          <w:b/>
        </w:rPr>
        <w:tab/>
      </w:r>
    </w:p>
    <w:p w:rsidR="000B5419" w:rsidRDefault="003A0072" w:rsidP="003A0072">
      <w:pPr>
        <w:ind w:left="0" w:firstLine="0"/>
      </w:pPr>
      <w:r>
        <w:tab/>
        <w:t>Rule 22c-2</w:t>
      </w:r>
      <w:r w:rsidR="000024AB">
        <w:t>(a)</w:t>
      </w:r>
      <w:r>
        <w:t xml:space="preserve">(1) requires the board of directors of all registered </w:t>
      </w:r>
      <w:r w:rsidR="000F233E">
        <w:t xml:space="preserve">open-end management </w:t>
      </w:r>
      <w:r>
        <w:t>investment companies and series thereof (except for money market funds, ETFs, or funds that affirmatively permit short</w:t>
      </w:r>
      <w:r w:rsidR="000024AB">
        <w:noBreakHyphen/>
      </w:r>
      <w:r>
        <w:t xml:space="preserve">term trading of its securities) to approve a redemption fee for the fund, or instead make a determination that a redemption fee is either not necessary or appropriate for the fund. </w:t>
      </w:r>
      <w:r w:rsidR="000024AB">
        <w:t xml:space="preserve"> </w:t>
      </w:r>
      <w:r>
        <w:t xml:space="preserve">Commission staff </w:t>
      </w:r>
      <w:r w:rsidR="000024AB">
        <w:t>understands</w:t>
      </w:r>
      <w:r>
        <w:t xml:space="preserve"> that the boards of all funds currently in operation have </w:t>
      </w:r>
      <w:r w:rsidR="00AA3BA3">
        <w:t xml:space="preserve">undertaken this process for the funds they currently oversee, and the rule does not require boards to review this determination periodically once it has been made.  </w:t>
      </w:r>
      <w:r w:rsidR="000B5419">
        <w:t>Accordingly</w:t>
      </w:r>
      <w:r w:rsidR="00AA3BA3">
        <w:t>, we expect that only boards of newly registered funds or newly created series</w:t>
      </w:r>
      <w:r w:rsidR="000B5419">
        <w:t xml:space="preserve"> thereof</w:t>
      </w:r>
      <w:r w:rsidR="00AA3BA3">
        <w:t xml:space="preserve"> would undertake this determination.  Commission staff estimates that </w:t>
      </w:r>
      <w:r w:rsidR="00A17251">
        <w:t>42</w:t>
      </w:r>
      <w:r w:rsidR="0004265C">
        <w:t xml:space="preserve"> </w:t>
      </w:r>
      <w:r w:rsidR="00AA3BA3">
        <w:t>funds (excluding money market funds and ETFs) are newly</w:t>
      </w:r>
      <w:r>
        <w:t xml:space="preserve"> </w:t>
      </w:r>
      <w:r w:rsidR="000B5419">
        <w:t xml:space="preserve">formed each year </w:t>
      </w:r>
      <w:r w:rsidR="005A2587">
        <w:t>and</w:t>
      </w:r>
      <w:r w:rsidR="000B5419">
        <w:t xml:space="preserve"> would need to make this determination</w:t>
      </w:r>
      <w:r w:rsidR="000024AB">
        <w:t>.</w:t>
      </w:r>
      <w:r w:rsidR="004977B0">
        <w:rPr>
          <w:rStyle w:val="FootnoteReference"/>
        </w:rPr>
        <w:footnoteReference w:id="4"/>
      </w:r>
      <w:r w:rsidR="000024AB">
        <w:t xml:space="preserve"> </w:t>
      </w:r>
    </w:p>
    <w:p w:rsidR="003A0072" w:rsidRDefault="000B5419" w:rsidP="003A0072">
      <w:pPr>
        <w:ind w:left="0" w:firstLine="0"/>
      </w:pPr>
      <w:r>
        <w:tab/>
        <w:t>Based on conversations with fund representatives,</w:t>
      </w:r>
      <w:r w:rsidR="00F245E2">
        <w:rPr>
          <w:rStyle w:val="FootnoteReference"/>
        </w:rPr>
        <w:footnoteReference w:id="5"/>
      </w:r>
      <w:r>
        <w:t xml:space="preserve"> Commission staff estimates that it takes 2 hours of </w:t>
      </w:r>
      <w:r w:rsidR="003D06A1">
        <w:t>the board</w:t>
      </w:r>
      <w:r w:rsidR="0077202D">
        <w:t>’</w:t>
      </w:r>
      <w:r w:rsidR="003D06A1">
        <w:t>s time as</w:t>
      </w:r>
      <w:r>
        <w:t xml:space="preserve"> a whole</w:t>
      </w:r>
      <w:r w:rsidR="00462B59">
        <w:t xml:space="preserve"> (at a rate</w:t>
      </w:r>
      <w:r w:rsidR="004D78A0">
        <w:t xml:space="preserve"> of </w:t>
      </w:r>
      <w:r w:rsidR="004D78A0" w:rsidRPr="005E6D68">
        <w:t>$4</w:t>
      </w:r>
      <w:r w:rsidR="005E6D68" w:rsidRPr="005E6D68">
        <w:t>465</w:t>
      </w:r>
      <w:r w:rsidR="00C83B5C">
        <w:t xml:space="preserve"> per hour</w:t>
      </w:r>
      <w:r w:rsidR="00462B59">
        <w:t>)</w:t>
      </w:r>
      <w:r w:rsidR="00462B59">
        <w:rPr>
          <w:rStyle w:val="FootnoteReference"/>
        </w:rPr>
        <w:footnoteReference w:id="6"/>
      </w:r>
      <w:r w:rsidR="003D06A1">
        <w:t xml:space="preserve"> to approve a redemption fee or make the </w:t>
      </w:r>
      <w:r w:rsidR="00C83B5C">
        <w:t xml:space="preserve">required </w:t>
      </w:r>
      <w:r w:rsidR="003D06A1">
        <w:t>determination</w:t>
      </w:r>
      <w:r w:rsidR="00A573AE">
        <w:t xml:space="preserve"> on behalf of all series of the fund</w:t>
      </w:r>
      <w:r w:rsidR="003D06A1">
        <w:t>.  In addition, Commission staff estimates that it take</w:t>
      </w:r>
      <w:r w:rsidR="00C83B5C">
        <w:t>s</w:t>
      </w:r>
      <w:r w:rsidR="003D06A1">
        <w:t xml:space="preserve"> </w:t>
      </w:r>
      <w:r w:rsidR="00462B59">
        <w:t xml:space="preserve">compliance personnel of the fund </w:t>
      </w:r>
      <w:r w:rsidR="00462B59" w:rsidRPr="005E6D68">
        <w:t>8</w:t>
      </w:r>
      <w:r w:rsidR="00462B59">
        <w:t xml:space="preserve"> hours </w:t>
      </w:r>
      <w:r w:rsidR="005E6D68">
        <w:t xml:space="preserve">(at a rate of </w:t>
      </w:r>
      <w:r w:rsidR="005E6D68" w:rsidRPr="005E6D68">
        <w:t>$6</w:t>
      </w:r>
      <w:r w:rsidR="00CF07A5">
        <w:t>6</w:t>
      </w:r>
      <w:r w:rsidR="005E6D68">
        <w:t xml:space="preserve"> per hour)</w:t>
      </w:r>
      <w:r w:rsidR="005E6D68">
        <w:rPr>
          <w:rStyle w:val="FootnoteReference"/>
        </w:rPr>
        <w:footnoteReference w:id="7"/>
      </w:r>
      <w:r w:rsidR="005E6D68">
        <w:t xml:space="preserve"> </w:t>
      </w:r>
      <w:r w:rsidR="00462B59">
        <w:t xml:space="preserve">to prepare </w:t>
      </w:r>
      <w:r w:rsidR="008B4B75">
        <w:t xml:space="preserve">trading, compliance, and other </w:t>
      </w:r>
      <w:r w:rsidR="00462B59">
        <w:t xml:space="preserve">information </w:t>
      </w:r>
      <w:r w:rsidR="008B4B75">
        <w:t>regarding the fund</w:t>
      </w:r>
      <w:r w:rsidR="00C83B5C">
        <w:t>’s operations</w:t>
      </w:r>
      <w:r w:rsidR="008B4B75">
        <w:t xml:space="preserve"> to enable the board to make its determination, and</w:t>
      </w:r>
      <w:r w:rsidR="00C83B5C">
        <w:t xml:space="preserve"> takes</w:t>
      </w:r>
      <w:r w:rsidR="008B4B75">
        <w:t xml:space="preserve"> </w:t>
      </w:r>
      <w:r w:rsidR="003D06A1">
        <w:t xml:space="preserve">internal </w:t>
      </w:r>
      <w:r w:rsidR="0004265C">
        <w:t xml:space="preserve">compliance </w:t>
      </w:r>
      <w:r w:rsidR="003D06A1">
        <w:t>counse</w:t>
      </w:r>
      <w:r w:rsidR="004D78A0">
        <w:t xml:space="preserve">l of the fund </w:t>
      </w:r>
      <w:r w:rsidR="00462B59" w:rsidRPr="005E6D68">
        <w:t>3</w:t>
      </w:r>
      <w:r w:rsidR="005E6D68">
        <w:t xml:space="preserve"> </w:t>
      </w:r>
      <w:r w:rsidR="005E6D68" w:rsidRPr="005E6D68">
        <w:t>hours (at a rate of $345 per hour)</w:t>
      </w:r>
      <w:r w:rsidR="00A17251">
        <w:rPr>
          <w:rStyle w:val="FootnoteReference"/>
        </w:rPr>
        <w:footnoteReference w:id="8"/>
      </w:r>
      <w:r w:rsidR="00462B59">
        <w:t xml:space="preserve"> to </w:t>
      </w:r>
      <w:r w:rsidR="008B4B75">
        <w:t>review this information and present its recommendations to the board</w:t>
      </w:r>
      <w:r w:rsidR="005646F4">
        <w:t xml:space="preserve">.  </w:t>
      </w:r>
      <w:r w:rsidR="008B4B75">
        <w:t xml:space="preserve">Therefore, for each fund </w:t>
      </w:r>
      <w:r w:rsidR="00822B08">
        <w:t xml:space="preserve">board </w:t>
      </w:r>
      <w:r w:rsidR="008B4B75">
        <w:t>that undertakes this determination process, Commission staff estimate</w:t>
      </w:r>
      <w:r w:rsidR="00EF715A">
        <w:t>s</w:t>
      </w:r>
      <w:r w:rsidR="00C83B5C">
        <w:t xml:space="preserve"> it </w:t>
      </w:r>
      <w:r w:rsidR="00EF715A">
        <w:t>expend</w:t>
      </w:r>
      <w:r w:rsidR="00C83B5C">
        <w:t>s</w:t>
      </w:r>
      <w:r w:rsidR="008B4B75">
        <w:t xml:space="preserve"> </w:t>
      </w:r>
      <w:r w:rsidR="005A2587" w:rsidRPr="005E6D68">
        <w:t>13</w:t>
      </w:r>
      <w:r w:rsidR="00EF715A">
        <w:t xml:space="preserve"> hours</w:t>
      </w:r>
      <w:r w:rsidR="00EF715A">
        <w:rPr>
          <w:rStyle w:val="FootnoteReference"/>
        </w:rPr>
        <w:footnoteReference w:id="9"/>
      </w:r>
      <w:r w:rsidR="00822B08">
        <w:t xml:space="preserve"> at a</w:t>
      </w:r>
      <w:r w:rsidR="00C83B5C">
        <w:t xml:space="preserve"> </w:t>
      </w:r>
      <w:r w:rsidR="00EF715A">
        <w:t>cost of</w:t>
      </w:r>
      <w:r w:rsidR="005E6D68">
        <w:t xml:space="preserve"> $10,4</w:t>
      </w:r>
      <w:r w:rsidR="008679E7">
        <w:t>93</w:t>
      </w:r>
      <w:r w:rsidR="00363314">
        <w:t>.</w:t>
      </w:r>
      <w:r w:rsidR="00EF715A">
        <w:rPr>
          <w:rStyle w:val="FootnoteReference"/>
        </w:rPr>
        <w:footnoteReference w:id="10"/>
      </w:r>
      <w:r w:rsidR="00C83B5C">
        <w:t xml:space="preserve">  </w:t>
      </w:r>
      <w:r w:rsidR="00363314">
        <w:t xml:space="preserve">As a result, Commission staff estimates that the total time spent for all funds </w:t>
      </w:r>
      <w:r w:rsidR="00C83B5C">
        <w:t>on</w:t>
      </w:r>
      <w:r w:rsidR="00363314">
        <w:t xml:space="preserve"> this process </w:t>
      </w:r>
      <w:r w:rsidR="00C83B5C">
        <w:t>is</w:t>
      </w:r>
      <w:r w:rsidR="004D78A0">
        <w:t xml:space="preserve"> </w:t>
      </w:r>
      <w:r w:rsidR="00FA4D75">
        <w:t>546</w:t>
      </w:r>
      <w:r w:rsidR="00B14F5C">
        <w:t xml:space="preserve"> </w:t>
      </w:r>
      <w:r w:rsidR="00363314">
        <w:t xml:space="preserve">hours at </w:t>
      </w:r>
      <w:r w:rsidR="00822B08">
        <w:t>a cost</w:t>
      </w:r>
      <w:r w:rsidR="004D78A0">
        <w:t xml:space="preserve"> of </w:t>
      </w:r>
      <w:r w:rsidR="00CF07A5">
        <w:t>$</w:t>
      </w:r>
      <w:r w:rsidR="00C817C1">
        <w:t>4</w:t>
      </w:r>
      <w:r w:rsidR="008679E7">
        <w:t>4</w:t>
      </w:r>
      <w:r w:rsidR="006234B5">
        <w:t>0</w:t>
      </w:r>
      <w:r w:rsidR="008679E7">
        <w:t>,</w:t>
      </w:r>
      <w:r w:rsidR="006234B5">
        <w:t>706</w:t>
      </w:r>
      <w:r w:rsidR="00363314">
        <w:t>.</w:t>
      </w:r>
      <w:r w:rsidR="00363314">
        <w:rPr>
          <w:rStyle w:val="FootnoteReference"/>
        </w:rPr>
        <w:footnoteReference w:id="11"/>
      </w:r>
    </w:p>
    <w:p w:rsidR="001861CC" w:rsidRPr="00E42662" w:rsidRDefault="00E42662" w:rsidP="00E42662">
      <w:pPr>
        <w:widowControl w:val="0"/>
        <w:ind w:left="0" w:firstLine="720"/>
        <w:rPr>
          <w:b/>
        </w:rPr>
      </w:pPr>
      <w:r w:rsidRPr="00E42662">
        <w:rPr>
          <w:b/>
        </w:rPr>
        <w:t>B.</w:t>
      </w:r>
      <w:r w:rsidRPr="00E42662">
        <w:rPr>
          <w:b/>
        </w:rPr>
        <w:tab/>
        <w:t>Information Sharing Agreements</w:t>
      </w:r>
    </w:p>
    <w:p w:rsidR="00E42662" w:rsidRDefault="00E42662" w:rsidP="00E42662">
      <w:pPr>
        <w:widowControl w:val="0"/>
        <w:ind w:left="0" w:firstLine="720"/>
      </w:pPr>
      <w:r>
        <w:t>Rule 22c-2</w:t>
      </w:r>
      <w:r w:rsidR="00AC7ED3">
        <w:t>(a)</w:t>
      </w:r>
      <w:r>
        <w:t>(2) require</w:t>
      </w:r>
      <w:r w:rsidR="001E0809">
        <w:t>s</w:t>
      </w:r>
      <w:r>
        <w:t xml:space="preserve"> </w:t>
      </w:r>
      <w:r w:rsidR="00C83B5C">
        <w:t xml:space="preserve">a </w:t>
      </w:r>
      <w:r w:rsidR="0077202D">
        <w:t>fund to enter into information-</w:t>
      </w:r>
      <w:r>
        <w:t xml:space="preserve">sharing agreements with </w:t>
      </w:r>
      <w:r w:rsidR="00822B08">
        <w:t>each</w:t>
      </w:r>
      <w:r>
        <w:t xml:space="preserve"> of </w:t>
      </w:r>
      <w:r w:rsidR="00C83B5C">
        <w:t>its</w:t>
      </w:r>
      <w:r w:rsidR="00822B08">
        <w:t xml:space="preserve"> financial</w:t>
      </w:r>
      <w:r>
        <w:t xml:space="preserve"> intermediaries</w:t>
      </w:r>
      <w:r w:rsidR="00AC7ED3">
        <w:t xml:space="preserve">. </w:t>
      </w:r>
      <w:r>
        <w:t xml:space="preserve"> </w:t>
      </w:r>
      <w:r w:rsidR="001E0809">
        <w:t xml:space="preserve">Commission staff </w:t>
      </w:r>
      <w:r w:rsidR="00C83B5C">
        <w:t>understands</w:t>
      </w:r>
      <w:r w:rsidR="001E0809">
        <w:t xml:space="preserve"> that all currently registered funds have already </w:t>
      </w:r>
      <w:r w:rsidR="00AC7ED3">
        <w:t xml:space="preserve">entered into such agreements with their intermediaries.  </w:t>
      </w:r>
      <w:r w:rsidR="005E2333">
        <w:t>F</w:t>
      </w:r>
      <w:r w:rsidR="00AC7ED3">
        <w:t xml:space="preserve">unds enter into </w:t>
      </w:r>
      <w:r w:rsidR="005E2333">
        <w:t xml:space="preserve">new </w:t>
      </w:r>
      <w:r w:rsidR="00AC7ED3">
        <w:t>relationships with intermediaries from time to time</w:t>
      </w:r>
      <w:r w:rsidR="005E2333">
        <w:t>, however, which require</w:t>
      </w:r>
      <w:r w:rsidR="00C83B5C">
        <w:t>s</w:t>
      </w:r>
      <w:r w:rsidR="005E2333">
        <w:t xml:space="preserve"> them to enter into new information sharing agreements</w:t>
      </w:r>
      <w:r w:rsidR="00AC7ED3">
        <w:t xml:space="preserve">. </w:t>
      </w:r>
      <w:r w:rsidR="005E2333">
        <w:t xml:space="preserve"> </w:t>
      </w:r>
      <w:r w:rsidR="009507E6">
        <w:t xml:space="preserve">Commission staff understands that, in general, </w:t>
      </w:r>
      <w:r w:rsidR="00862A82">
        <w:t xml:space="preserve">funds enter into </w:t>
      </w:r>
      <w:r w:rsidR="005646F4">
        <w:t>information-sharing</w:t>
      </w:r>
      <w:r w:rsidR="00862A82">
        <w:t xml:space="preserve"> agreement when they initially</w:t>
      </w:r>
      <w:r w:rsidR="009507E6">
        <w:t xml:space="preserve"> </w:t>
      </w:r>
      <w:r w:rsidR="00862A82">
        <w:t xml:space="preserve">establish a </w:t>
      </w:r>
      <w:r w:rsidR="009507E6">
        <w:t xml:space="preserve">relationship with an intermediary, </w:t>
      </w:r>
      <w:r w:rsidR="00862A82">
        <w:t>which is</w:t>
      </w:r>
      <w:r w:rsidR="009507E6">
        <w:t xml:space="preserve"> typically executed as an addendum to the distribution agreement. </w:t>
      </w:r>
      <w:r w:rsidR="005D4A98">
        <w:t xml:space="preserve"> </w:t>
      </w:r>
      <w:r w:rsidR="001150FA">
        <w:t>T</w:t>
      </w:r>
      <w:r w:rsidR="005D4A98">
        <w:t xml:space="preserve">he Commission staff </w:t>
      </w:r>
      <w:r w:rsidR="00C83B5C">
        <w:t>understands</w:t>
      </w:r>
      <w:r w:rsidR="005D4A98">
        <w:t xml:space="preserve"> that most shareholder information agreements are entered into </w:t>
      </w:r>
      <w:r w:rsidR="00862A82">
        <w:t>by</w:t>
      </w:r>
      <w:r w:rsidR="005D4A98">
        <w:t xml:space="preserve"> the fund group (a group of funds with a common investment adviser), and estimates that there are currently </w:t>
      </w:r>
      <w:r w:rsidR="004A73FE">
        <w:t>8</w:t>
      </w:r>
      <w:r w:rsidR="006071CC">
        <w:t>50</w:t>
      </w:r>
      <w:r w:rsidR="004A73FE">
        <w:t xml:space="preserve"> </w:t>
      </w:r>
      <w:r w:rsidR="005D4A98">
        <w:t>currently active fund groups.</w:t>
      </w:r>
      <w:r w:rsidR="005D4A98">
        <w:rPr>
          <w:rStyle w:val="FootnoteReference"/>
        </w:rPr>
        <w:footnoteReference w:id="12"/>
      </w:r>
      <w:r w:rsidR="005D4A98">
        <w:t xml:space="preserve">  </w:t>
      </w:r>
      <w:r w:rsidR="004D78A0">
        <w:t xml:space="preserve">Commission </w:t>
      </w:r>
      <w:r w:rsidR="00862A82">
        <w:t xml:space="preserve">staff </w:t>
      </w:r>
      <w:r w:rsidR="009507E6">
        <w:t>estimate</w:t>
      </w:r>
      <w:r w:rsidR="004D78A0">
        <w:t>s</w:t>
      </w:r>
      <w:r w:rsidR="009507E6">
        <w:t xml:space="preserve"> that, on average, each </w:t>
      </w:r>
      <w:r w:rsidR="005D4A98">
        <w:t>active fund group</w:t>
      </w:r>
      <w:r w:rsidR="009507E6">
        <w:t xml:space="preserve"> enters into re</w:t>
      </w:r>
      <w:r w:rsidR="009F6CC1">
        <w:t xml:space="preserve">lationships with </w:t>
      </w:r>
      <w:r w:rsidR="004D78A0">
        <w:t>3</w:t>
      </w:r>
      <w:r w:rsidR="009507E6">
        <w:t xml:space="preserve"> new intermediaries each year</w:t>
      </w:r>
      <w:r w:rsidR="005D4A98">
        <w:t xml:space="preserve">.  </w:t>
      </w:r>
      <w:r w:rsidR="00D96D15">
        <w:t>Commission staff understands that funds generally use a standard information sharing agreement, drafted by the fund or an outside entity, and modifies that agreement according</w:t>
      </w:r>
      <w:r w:rsidR="00387EFA">
        <w:t xml:space="preserve"> to</w:t>
      </w:r>
      <w:r w:rsidR="00D96D15">
        <w:t xml:space="preserve"> the requirements of each intermediary.  </w:t>
      </w:r>
      <w:r w:rsidR="009507E6">
        <w:t xml:space="preserve">Commission staff </w:t>
      </w:r>
      <w:r w:rsidR="00D96D15">
        <w:t xml:space="preserve">estimates that </w:t>
      </w:r>
      <w:r w:rsidR="009F6CC1">
        <w:t xml:space="preserve">negotiating the terms and entering into an information sharing agreement takes a total of </w:t>
      </w:r>
      <w:r w:rsidR="00D96D15">
        <w:t xml:space="preserve">4 hours </w:t>
      </w:r>
      <w:r w:rsidR="009F6CC1">
        <w:t xml:space="preserve">of </w:t>
      </w:r>
      <w:r w:rsidR="004D78A0">
        <w:t>attorney time (at a rate of $</w:t>
      </w:r>
      <w:r w:rsidR="00755C1A">
        <w:t>3</w:t>
      </w:r>
      <w:r w:rsidR="006071CC">
        <w:t>92</w:t>
      </w:r>
      <w:r w:rsidR="00331AEF">
        <w:t xml:space="preserve"> per hour</w:t>
      </w:r>
      <w:r w:rsidR="009F6CC1">
        <w:t>)</w:t>
      </w:r>
      <w:r w:rsidR="00CF07A5">
        <w:rPr>
          <w:rStyle w:val="FootnoteReference"/>
        </w:rPr>
        <w:footnoteReference w:id="13"/>
      </w:r>
      <w:r w:rsidR="009F6CC1">
        <w:t xml:space="preserve"> per intermediary (representing 2.5 hours of fund attorney time and 1.5 hours of intermediary attorney time).</w:t>
      </w:r>
      <w:r w:rsidR="00D96D15">
        <w:t xml:space="preserve"> </w:t>
      </w:r>
      <w:r w:rsidR="005E2333">
        <w:t xml:space="preserve"> Accordingly, Commission staff estimates that </w:t>
      </w:r>
      <w:r w:rsidR="0077202D">
        <w:t>it takes</w:t>
      </w:r>
      <w:r w:rsidR="00C00D38">
        <w:t xml:space="preserve"> </w:t>
      </w:r>
      <w:r w:rsidR="004D78A0">
        <w:t>12</w:t>
      </w:r>
      <w:r w:rsidR="00862A82">
        <w:t xml:space="preserve"> hours at a </w:t>
      </w:r>
      <w:r w:rsidR="00C00D38">
        <w:t>cost of $</w:t>
      </w:r>
      <w:r w:rsidR="00755C1A">
        <w:t>4</w:t>
      </w:r>
      <w:r w:rsidR="006071CC">
        <w:t>704</w:t>
      </w:r>
      <w:r w:rsidR="00755C1A">
        <w:t xml:space="preserve"> </w:t>
      </w:r>
      <w:r w:rsidR="00C00D38">
        <w:t>each year</w:t>
      </w:r>
      <w:r w:rsidR="00C00D38">
        <w:rPr>
          <w:rStyle w:val="FootnoteReference"/>
        </w:rPr>
        <w:footnoteReference w:id="14"/>
      </w:r>
      <w:r w:rsidR="00C00D38">
        <w:t xml:space="preserve"> </w:t>
      </w:r>
      <w:r w:rsidR="00D0754B">
        <w:t xml:space="preserve">to </w:t>
      </w:r>
      <w:r w:rsidR="00C00D38">
        <w:t xml:space="preserve">enter into new information sharing agreements, and all </w:t>
      </w:r>
      <w:r w:rsidR="00026DA6">
        <w:t xml:space="preserve">existing </w:t>
      </w:r>
      <w:r w:rsidR="0077202D">
        <w:t>market participants</w:t>
      </w:r>
      <w:r w:rsidR="004D78A0">
        <w:t xml:space="preserve"> incur a total of </w:t>
      </w:r>
      <w:r w:rsidR="006071CC">
        <w:t>10,200</w:t>
      </w:r>
      <w:r w:rsidR="004A73FE">
        <w:t xml:space="preserve"> </w:t>
      </w:r>
      <w:r w:rsidR="00C00D38">
        <w:t xml:space="preserve">hours at </w:t>
      </w:r>
      <w:r w:rsidR="00D0754B">
        <w:t>a</w:t>
      </w:r>
      <w:r w:rsidR="004D78A0">
        <w:t xml:space="preserve"> cost of $</w:t>
      </w:r>
      <w:r w:rsidR="004A73FE">
        <w:t>3,</w:t>
      </w:r>
      <w:r w:rsidR="00331AEF">
        <w:t>998,400</w:t>
      </w:r>
      <w:r w:rsidR="00C00D38">
        <w:t>.</w:t>
      </w:r>
      <w:r w:rsidR="00D64FC6">
        <w:rPr>
          <w:rStyle w:val="FootnoteReference"/>
        </w:rPr>
        <w:footnoteReference w:id="15"/>
      </w:r>
      <w:r w:rsidR="00C00D38">
        <w:t xml:space="preserve">  </w:t>
      </w:r>
      <w:r w:rsidR="005E2333">
        <w:t xml:space="preserve"> </w:t>
      </w:r>
    </w:p>
    <w:p w:rsidR="00AC7ED3" w:rsidRDefault="005A744D" w:rsidP="00BD1BBE">
      <w:pPr>
        <w:widowControl w:val="0"/>
        <w:ind w:left="0" w:firstLine="720"/>
      </w:pPr>
      <w:r>
        <w:t xml:space="preserve">In addition, newly created funds advised by new entrants (effectively new fund groups) must enter into information sharing agreements with all of their financial intermediaries.  Commission staff </w:t>
      </w:r>
      <w:r w:rsidR="00026DA6">
        <w:t>estimates</w:t>
      </w:r>
      <w:r w:rsidR="004D78A0">
        <w:t xml:space="preserve"> that there are </w:t>
      </w:r>
      <w:r w:rsidR="006071CC">
        <w:t>47</w:t>
      </w:r>
      <w:r w:rsidR="00755C1A">
        <w:t xml:space="preserve"> </w:t>
      </w:r>
      <w:r w:rsidR="00FD367B">
        <w:t xml:space="preserve">new </w:t>
      </w:r>
      <w:r w:rsidR="00026DA6">
        <w:t xml:space="preserve">fund groups that form each year that </w:t>
      </w:r>
      <w:r w:rsidR="00FD367B">
        <w:t>will have to</w:t>
      </w:r>
      <w:r w:rsidR="00026DA6">
        <w:t xml:space="preserve"> enter into information sharing agreements with </w:t>
      </w:r>
      <w:r w:rsidR="00FD367B">
        <w:t>each</w:t>
      </w:r>
      <w:r w:rsidR="00026DA6">
        <w:t xml:space="preserve"> of their intermediaries.</w:t>
      </w:r>
      <w:r w:rsidR="00026DA6">
        <w:rPr>
          <w:rStyle w:val="FootnoteReference"/>
        </w:rPr>
        <w:footnoteReference w:id="16"/>
      </w:r>
      <w:r w:rsidR="00026DA6">
        <w:t xml:space="preserve">  </w:t>
      </w:r>
      <w:r w:rsidR="006A1575">
        <w:t>Commission staff estimates that fund groups formed by new advisers typically have relationships with significantly fewer intermediaries</w:t>
      </w:r>
      <w:r w:rsidR="00FD367B">
        <w:t xml:space="preserve"> than existing fund groups</w:t>
      </w:r>
      <w:r w:rsidR="006A1575">
        <w:t xml:space="preserve">, and estimates that new fund groups will typically enter into 100 </w:t>
      </w:r>
      <w:r w:rsidR="00FD367B">
        <w:t xml:space="preserve">information </w:t>
      </w:r>
      <w:r w:rsidR="005646F4">
        <w:t>sharing</w:t>
      </w:r>
      <w:r w:rsidR="006A1575">
        <w:t xml:space="preserve"> agreements with their intermediaries </w:t>
      </w:r>
      <w:r w:rsidR="00FD367B">
        <w:t>when they begin</w:t>
      </w:r>
      <w:r w:rsidR="006A1575">
        <w:t xml:space="preserve"> operations.</w:t>
      </w:r>
      <w:r w:rsidR="00B522C2">
        <w:rPr>
          <w:rStyle w:val="FootnoteReference"/>
        </w:rPr>
        <w:footnoteReference w:id="17"/>
      </w:r>
      <w:r w:rsidR="006A1575">
        <w:t xml:space="preserve"> </w:t>
      </w:r>
      <w:r w:rsidR="00B522C2">
        <w:t xml:space="preserve"> </w:t>
      </w:r>
      <w:r w:rsidR="006A1575">
        <w:t xml:space="preserve">As discussed previously, Commission staff estimates that it takes 4 hours of </w:t>
      </w:r>
      <w:r w:rsidR="004D78A0">
        <w:t xml:space="preserve">attorney time (at </w:t>
      </w:r>
      <w:r w:rsidR="00331AEF">
        <w:t>a rate</w:t>
      </w:r>
      <w:r w:rsidR="004D78A0">
        <w:t xml:space="preserve"> of $</w:t>
      </w:r>
      <w:r w:rsidR="00755C1A">
        <w:t>3</w:t>
      </w:r>
      <w:r w:rsidR="006071CC">
        <w:t>92</w:t>
      </w:r>
      <w:r w:rsidR="00331AEF">
        <w:t xml:space="preserve"> per hour</w:t>
      </w:r>
      <w:r w:rsidR="006A1575">
        <w:t>)</w:t>
      </w:r>
      <w:r w:rsidR="00331AEF">
        <w:rPr>
          <w:rStyle w:val="FootnoteReference"/>
        </w:rPr>
        <w:footnoteReference w:id="18"/>
      </w:r>
      <w:r w:rsidR="006A1575">
        <w:t xml:space="preserve"> per intermediary</w:t>
      </w:r>
      <w:r w:rsidR="002D4DC0">
        <w:t xml:space="preserve"> to enter into information sharing agreements. </w:t>
      </w:r>
      <w:r w:rsidR="00B522C2">
        <w:t xml:space="preserve"> </w:t>
      </w:r>
      <w:r w:rsidR="000E6443">
        <w:t>Therefore, Commission staff estimates that each newly formed fund group will incur 400 hours of attorney time at a cost of $</w:t>
      </w:r>
      <w:r w:rsidR="00755C1A">
        <w:t>15</w:t>
      </w:r>
      <w:r w:rsidR="006071CC">
        <w:t>6</w:t>
      </w:r>
      <w:r w:rsidR="00D63AD8">
        <w:t>,</w:t>
      </w:r>
      <w:r w:rsidR="006071CC">
        <w:t>800</w:t>
      </w:r>
      <w:r w:rsidR="000E6443">
        <w:rPr>
          <w:rStyle w:val="FootnoteReference"/>
        </w:rPr>
        <w:footnoteReference w:id="19"/>
      </w:r>
      <w:r w:rsidR="000E6443">
        <w:t xml:space="preserve"> and </w:t>
      </w:r>
      <w:r w:rsidR="006071CC">
        <w:t xml:space="preserve">that </w:t>
      </w:r>
      <w:r w:rsidR="000E6443">
        <w:t xml:space="preserve">all newly formed fund groups will incur a total of </w:t>
      </w:r>
      <w:r w:rsidR="008053EE">
        <w:t>18,800</w:t>
      </w:r>
      <w:r w:rsidR="000E6443">
        <w:t xml:space="preserve"> hours at a cost of $</w:t>
      </w:r>
      <w:r w:rsidR="00D150D5">
        <w:t>7,369</w:t>
      </w:r>
      <w:r w:rsidR="004A73FE">
        <w:t>,</w:t>
      </w:r>
      <w:r w:rsidR="00D150D5">
        <w:t>6</w:t>
      </w:r>
      <w:r w:rsidR="004A73FE">
        <w:t>00</w:t>
      </w:r>
      <w:r w:rsidR="00E86536">
        <w:t xml:space="preserve"> </w:t>
      </w:r>
      <w:r w:rsidR="00FD367B">
        <w:t>to</w:t>
      </w:r>
      <w:r w:rsidR="000E6443">
        <w:t xml:space="preserve"> enter</w:t>
      </w:r>
      <w:r w:rsidR="00FD367B">
        <w:t xml:space="preserve"> into information </w:t>
      </w:r>
      <w:r w:rsidR="000E6443">
        <w:t>sharing agreements with their intermediaries.</w:t>
      </w:r>
      <w:r w:rsidR="00D63AD8">
        <w:rPr>
          <w:rStyle w:val="FootnoteReference"/>
        </w:rPr>
        <w:footnoteReference w:id="20"/>
      </w:r>
      <w:r w:rsidR="000E6443">
        <w:t xml:space="preserve"> </w:t>
      </w:r>
    </w:p>
    <w:p w:rsidR="001861CC" w:rsidRDefault="001E0809" w:rsidP="00BD1BBE">
      <w:pPr>
        <w:widowControl w:val="0"/>
        <w:ind w:left="0" w:firstLine="720"/>
      </w:pPr>
      <w:r>
        <w:t>Rule 22c-2</w:t>
      </w:r>
      <w:r w:rsidR="00AC7ED3">
        <w:t>(a)</w:t>
      </w:r>
      <w:r>
        <w:t>(3) requires funds to main</w:t>
      </w:r>
      <w:r w:rsidR="0077202D">
        <w:t>tain records of all information-</w:t>
      </w:r>
      <w:r>
        <w:t xml:space="preserve">sharing agreements for 6 years in an easily accessible place.  </w:t>
      </w:r>
      <w:r w:rsidR="00954904">
        <w:t xml:space="preserve">Commission staff </w:t>
      </w:r>
      <w:r w:rsidR="001150FA">
        <w:t xml:space="preserve">understands </w:t>
      </w:r>
      <w:r w:rsidR="00954904">
        <w:t xml:space="preserve">that most shareholder information agreements </w:t>
      </w:r>
      <w:r w:rsidR="001150FA">
        <w:t>are</w:t>
      </w:r>
      <w:r w:rsidR="00954904">
        <w:t xml:space="preserve"> stored at the fund group level and estimates that there</w:t>
      </w:r>
      <w:r w:rsidR="004D78A0">
        <w:t xml:space="preserve"> are currently </w:t>
      </w:r>
      <w:r w:rsidR="00C817C1">
        <w:t xml:space="preserve">approximately </w:t>
      </w:r>
      <w:r w:rsidR="00755C1A">
        <w:t>8</w:t>
      </w:r>
      <w:r w:rsidR="00D150D5">
        <w:t>50</w:t>
      </w:r>
      <w:r w:rsidR="00755C1A">
        <w:t xml:space="preserve"> </w:t>
      </w:r>
      <w:r w:rsidR="00954904">
        <w:t>fund groups.</w:t>
      </w:r>
      <w:r w:rsidR="00755C1A">
        <w:rPr>
          <w:rStyle w:val="FootnoteReference"/>
        </w:rPr>
        <w:footnoteReference w:id="21"/>
      </w:r>
      <w:r w:rsidR="00954904">
        <w:t xml:space="preserve"> </w:t>
      </w:r>
      <w:r w:rsidR="00A50D85">
        <w:t xml:space="preserve"> </w:t>
      </w:r>
      <w:r>
        <w:t xml:space="preserve">Commission staff understands that </w:t>
      </w:r>
      <w:r w:rsidR="005646F4">
        <w:t>information-sharing</w:t>
      </w:r>
      <w:r>
        <w:t xml:space="preserve"> agreements are generally included as addendums to distribution agreements between funds and their intermediaries, and that these agreements would be stored as required by the rule as a matter of ordinary business practice. </w:t>
      </w:r>
      <w:r w:rsidR="00FB5EB2">
        <w:t xml:space="preserve"> </w:t>
      </w:r>
      <w:r>
        <w:t>Therefore, Commission staff estimate</w:t>
      </w:r>
      <w:r w:rsidR="00A50D85">
        <w:t>s</w:t>
      </w:r>
      <w:r>
        <w:t xml:space="preserve"> that </w:t>
      </w:r>
      <w:r w:rsidR="00A50D85">
        <w:t>maintaining records of information</w:t>
      </w:r>
      <w:r w:rsidR="0077202D">
        <w:t>-</w:t>
      </w:r>
      <w:r w:rsidR="00A50D85">
        <w:t xml:space="preserve">sharing agreements </w:t>
      </w:r>
      <w:r w:rsidR="00FB5EB2">
        <w:t xml:space="preserve">requires 10 minutes of time spent by </w:t>
      </w:r>
      <w:r w:rsidR="004D78A0">
        <w:t>a general clerk (at a rate of $</w:t>
      </w:r>
      <w:r w:rsidR="00755C1A">
        <w:t>5</w:t>
      </w:r>
      <w:r w:rsidR="00D150D5">
        <w:t>9</w:t>
      </w:r>
      <w:r w:rsidR="00331AEF">
        <w:t xml:space="preserve"> per hour</w:t>
      </w:r>
      <w:r w:rsidR="00FB5EB2">
        <w:t>)</w:t>
      </w:r>
      <w:r w:rsidR="00FB5EB2">
        <w:rPr>
          <w:rStyle w:val="FootnoteReference"/>
        </w:rPr>
        <w:footnoteReference w:id="22"/>
      </w:r>
      <w:r w:rsidR="00FB5EB2">
        <w:t xml:space="preserve"> per fund</w:t>
      </w:r>
      <w:r w:rsidR="007141F4">
        <w:t>,</w:t>
      </w:r>
      <w:r w:rsidR="00FB5EB2">
        <w:t xml:space="preserve"> each year.</w:t>
      </w:r>
      <w:r w:rsidR="007141F4">
        <w:t xml:space="preserve">  Accordingly, Commission staff estimates that all funds </w:t>
      </w:r>
      <w:r w:rsidR="00690024">
        <w:t>will</w:t>
      </w:r>
      <w:r w:rsidR="007141F4">
        <w:t xml:space="preserve"> incur </w:t>
      </w:r>
      <w:r w:rsidR="00D150D5">
        <w:t>141.67</w:t>
      </w:r>
      <w:r w:rsidR="00755C1A">
        <w:t xml:space="preserve"> </w:t>
      </w:r>
      <w:r w:rsidR="00AC7ED3">
        <w:t xml:space="preserve">hours at </w:t>
      </w:r>
      <w:r w:rsidR="00FD367B">
        <w:t xml:space="preserve">a </w:t>
      </w:r>
      <w:r w:rsidR="00AC7ED3">
        <w:t>cost of $</w:t>
      </w:r>
      <w:r w:rsidR="00D150D5">
        <w:t>835</w:t>
      </w:r>
      <w:r w:rsidR="00C173EF">
        <w:t>8</w:t>
      </w:r>
      <w:r w:rsidR="00D150D5">
        <w:t>.53</w:t>
      </w:r>
      <w:r w:rsidR="007141F4">
        <w:rPr>
          <w:rStyle w:val="FootnoteReference"/>
        </w:rPr>
        <w:footnoteReference w:id="23"/>
      </w:r>
      <w:r w:rsidR="00AC7ED3">
        <w:t xml:space="preserve"> in complying with </w:t>
      </w:r>
      <w:r w:rsidR="007141F4">
        <w:t>the recordkeeping requirement of rule 22c-2</w:t>
      </w:r>
      <w:r w:rsidR="00AC7ED3">
        <w:t xml:space="preserve">(a)(3). </w:t>
      </w:r>
      <w:r w:rsidR="007141F4">
        <w:t xml:space="preserve"> </w:t>
      </w:r>
    </w:p>
    <w:p w:rsidR="00F41850" w:rsidRDefault="005646F4" w:rsidP="00BD1BBE">
      <w:pPr>
        <w:widowControl w:val="0"/>
        <w:ind w:left="0" w:firstLine="720"/>
      </w:pPr>
      <w:r>
        <w:t>Therefore, Commission staff estimates that to comply with the information sharing agreement requirements of rule 22c-2(a)</w:t>
      </w:r>
      <w:r w:rsidR="00387EFA">
        <w:t>(</w:t>
      </w:r>
      <w:r w:rsidR="0077202D">
        <w:t>2</w:t>
      </w:r>
      <w:r w:rsidR="00387EFA">
        <w:t>)</w:t>
      </w:r>
      <w:r w:rsidR="003348F8">
        <w:t xml:space="preserve"> and (3),</w:t>
      </w:r>
      <w:r>
        <w:t xml:space="preserve"> it require</w:t>
      </w:r>
      <w:r w:rsidR="00387EFA">
        <w:t>s</w:t>
      </w:r>
      <w:r w:rsidR="004D78A0">
        <w:t xml:space="preserve"> a total of </w:t>
      </w:r>
      <w:r w:rsidR="00190A04">
        <w:t>29,141.67</w:t>
      </w:r>
      <w:r w:rsidR="00E86536">
        <w:t xml:space="preserve"> </w:t>
      </w:r>
      <w:r w:rsidR="00523118">
        <w:t>hours at a</w:t>
      </w:r>
      <w:r w:rsidR="004D78A0">
        <w:t xml:space="preserve"> cost of $</w:t>
      </w:r>
      <w:r w:rsidR="00190A04">
        <w:t>11,</w:t>
      </w:r>
      <w:r w:rsidR="00A1740C">
        <w:t>376</w:t>
      </w:r>
      <w:r w:rsidR="00190A04">
        <w:t>,35</w:t>
      </w:r>
      <w:r w:rsidR="00C0008E">
        <w:t>8</w:t>
      </w:r>
      <w:r w:rsidR="00190A04">
        <w:t>.53</w:t>
      </w:r>
      <w:r>
        <w:t>.</w:t>
      </w:r>
      <w:r>
        <w:rPr>
          <w:rStyle w:val="FootnoteReference"/>
        </w:rPr>
        <w:footnoteReference w:id="24"/>
      </w:r>
      <w:r>
        <w:t xml:space="preserve">  </w:t>
      </w:r>
    </w:p>
    <w:p w:rsidR="00960FA4" w:rsidRDefault="00F41850" w:rsidP="00BD1BBE">
      <w:pPr>
        <w:widowControl w:val="0"/>
        <w:ind w:left="0" w:firstLine="720"/>
      </w:pPr>
      <w:r>
        <w:t>The Commission staff estimates that on average, each fund group requests shareholder information once a week, and gives instructions regarding the restriction of shareholder trades every day, for a total of 417 responses related to information sharing systems per fund group each</w:t>
      </w:r>
      <w:r w:rsidR="004D78A0">
        <w:t xml:space="preserve"> year, and a total </w:t>
      </w:r>
      <w:r w:rsidR="008053EE">
        <w:t>354,450</w:t>
      </w:r>
      <w:r>
        <w:t xml:space="preserve"> responses for all fund groups annually.</w:t>
      </w:r>
      <w:r w:rsidR="004D78A0">
        <w:rPr>
          <w:rStyle w:val="FootnoteReference"/>
        </w:rPr>
        <w:footnoteReference w:id="25"/>
      </w:r>
      <w:r>
        <w:t xml:space="preserve">  In addition, </w:t>
      </w:r>
      <w:r w:rsidR="00A2072B">
        <w:t xml:space="preserve">as described above, </w:t>
      </w:r>
      <w:r>
        <w:t>the sta</w:t>
      </w:r>
      <w:r w:rsidR="004D78A0">
        <w:t xml:space="preserve">ff estimates that funds </w:t>
      </w:r>
      <w:r w:rsidR="004D78A0" w:rsidRPr="00B14F5C">
        <w:t xml:space="preserve">make </w:t>
      </w:r>
      <w:r w:rsidR="00190A04">
        <w:t>42</w:t>
      </w:r>
      <w:r w:rsidR="00B14F5C" w:rsidRPr="00B14F5C">
        <w:t xml:space="preserve"> </w:t>
      </w:r>
      <w:r w:rsidRPr="00B14F5C">
        <w:t>responses relat</w:t>
      </w:r>
      <w:r w:rsidR="004D78A0" w:rsidRPr="00B14F5C">
        <w:t xml:space="preserve">ed to board determinations, </w:t>
      </w:r>
      <w:r w:rsidR="0045351B">
        <w:t xml:space="preserve">2550 </w:t>
      </w:r>
      <w:r w:rsidRPr="00745C54">
        <w:t>responses related to new intermediari</w:t>
      </w:r>
      <w:r w:rsidR="004D78A0" w:rsidRPr="00A573AE">
        <w:t xml:space="preserve">es of existing fund groups, </w:t>
      </w:r>
      <w:r w:rsidR="0045351B">
        <w:t>4700</w:t>
      </w:r>
      <w:r w:rsidR="004A73FE" w:rsidRPr="00C46C4C">
        <w:t xml:space="preserve"> </w:t>
      </w:r>
      <w:r w:rsidRPr="00C46C4C">
        <w:t xml:space="preserve">responses related to new fund </w:t>
      </w:r>
      <w:r w:rsidRPr="00A2072B">
        <w:t>group informa</w:t>
      </w:r>
      <w:r w:rsidR="004D78A0" w:rsidRPr="00A2072B">
        <w:t xml:space="preserve">tion sharing agreements, and </w:t>
      </w:r>
      <w:r w:rsidR="00CE0A43" w:rsidRPr="00A2072B">
        <w:t>8</w:t>
      </w:r>
      <w:r w:rsidR="0045351B">
        <w:t>50</w:t>
      </w:r>
      <w:r w:rsidR="00CE0A43" w:rsidRPr="00A2072B">
        <w:t xml:space="preserve"> </w:t>
      </w:r>
      <w:r w:rsidRPr="00A2072B">
        <w:t>responses related to re</w:t>
      </w:r>
      <w:r w:rsidR="004D78A0" w:rsidRPr="00A2072B">
        <w:t xml:space="preserve">cordkeeping, for a total of </w:t>
      </w:r>
      <w:r w:rsidR="0045351B">
        <w:t>8142</w:t>
      </w:r>
      <w:r w:rsidR="00B14F5C">
        <w:t xml:space="preserve"> </w:t>
      </w:r>
      <w:r>
        <w:t xml:space="preserve">responses related to the other requirements of rule 22c-2.  Therefore, the Commission staff estimates that </w:t>
      </w:r>
      <w:r w:rsidRPr="00B14F5C">
        <w:t>the to</w:t>
      </w:r>
      <w:r w:rsidR="000354E8" w:rsidRPr="00B14F5C">
        <w:t xml:space="preserve">tal number of responses is </w:t>
      </w:r>
      <w:r w:rsidR="0045351B">
        <w:t>362,592</w:t>
      </w:r>
      <w:r w:rsidR="004D78A0" w:rsidRPr="00B14F5C">
        <w:t xml:space="preserve"> (</w:t>
      </w:r>
      <w:r w:rsidR="0045351B">
        <w:t>354,450</w:t>
      </w:r>
      <w:r w:rsidR="00B14F5C" w:rsidRPr="00B14F5C">
        <w:t xml:space="preserve"> </w:t>
      </w:r>
      <w:r w:rsidR="004D78A0" w:rsidRPr="00B14F5C">
        <w:t xml:space="preserve">+ </w:t>
      </w:r>
      <w:r w:rsidR="0045351B">
        <w:t>8142</w:t>
      </w:r>
      <w:r w:rsidR="00B14F5C" w:rsidRPr="00B14F5C">
        <w:t xml:space="preserve"> </w:t>
      </w:r>
      <w:r w:rsidR="004D78A0" w:rsidRPr="00B14F5C">
        <w:t xml:space="preserve">= </w:t>
      </w:r>
      <w:r w:rsidR="0045351B">
        <w:t>362,592</w:t>
      </w:r>
      <w:r w:rsidRPr="00B14F5C">
        <w:t>)</w:t>
      </w:r>
      <w:r w:rsidR="00960FA4">
        <w:t>.</w:t>
      </w:r>
    </w:p>
    <w:p w:rsidR="00960FA4" w:rsidRDefault="00960FA4" w:rsidP="00960FA4">
      <w:pPr>
        <w:widowControl w:val="0"/>
        <w:spacing w:before="0" w:line="240" w:lineRule="auto"/>
        <w:ind w:left="0" w:firstLine="720"/>
        <w:jc w:val="center"/>
      </w:pPr>
      <w:r w:rsidRPr="00960FA4">
        <w:rPr>
          <w:b/>
        </w:rPr>
        <w:t>Table 1: Summary of Revised Annual Responses, Burden Hours, and Burden Hour Costs Estimates for Each Information Collection</w:t>
      </w:r>
      <w:r w:rsidR="00B51BA3">
        <w:br/>
      </w:r>
    </w:p>
    <w:tbl>
      <w:tblPr>
        <w:tblpPr w:leftFromText="180" w:rightFromText="180" w:bottomFromText="160" w:vertAnchor="text" w:horzAnchor="margin" w:tblpXSpec="center" w:tblpY="-22"/>
        <w:tblW w:w="99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16"/>
        <w:gridCol w:w="5314"/>
        <w:gridCol w:w="1491"/>
        <w:gridCol w:w="1094"/>
        <w:gridCol w:w="1466"/>
      </w:tblGrid>
      <w:tr w:rsidR="00960FA4" w:rsidRPr="00960FA4" w:rsidTr="00960FA4">
        <w:tc>
          <w:tcPr>
            <w:tcW w:w="616" w:type="dxa"/>
            <w:tcBorders>
              <w:top w:val="single" w:sz="6" w:space="0" w:color="auto"/>
              <w:bottom w:val="single" w:sz="6" w:space="0" w:color="auto"/>
            </w:tcBorders>
            <w:shd w:val="pct10" w:color="auto" w:fill="auto"/>
            <w:noWrap/>
            <w:vAlign w:val="center"/>
            <w:hideMark/>
          </w:tcPr>
          <w:p w:rsidR="00960FA4" w:rsidRPr="00960FA4" w:rsidRDefault="00960FA4" w:rsidP="00960FA4">
            <w:pPr>
              <w:spacing w:before="0" w:line="240" w:lineRule="auto"/>
              <w:ind w:left="0" w:firstLine="0"/>
              <w:rPr>
                <w:b/>
                <w:bCs/>
                <w:color w:val="000000"/>
                <w:sz w:val="20"/>
                <w:szCs w:val="20"/>
              </w:rPr>
            </w:pPr>
            <w:r w:rsidRPr="00960FA4">
              <w:rPr>
                <w:b/>
                <w:bCs/>
                <w:color w:val="000000"/>
                <w:sz w:val="20"/>
                <w:szCs w:val="20"/>
              </w:rPr>
              <w:t>IC</w:t>
            </w:r>
          </w:p>
        </w:tc>
        <w:tc>
          <w:tcPr>
            <w:tcW w:w="5314" w:type="dxa"/>
            <w:tcBorders>
              <w:top w:val="single" w:sz="6" w:space="0" w:color="auto"/>
              <w:bottom w:val="single" w:sz="6" w:space="0" w:color="auto"/>
            </w:tcBorders>
            <w:shd w:val="pct10" w:color="auto" w:fill="auto"/>
            <w:vAlign w:val="center"/>
            <w:hideMark/>
          </w:tcPr>
          <w:p w:rsidR="00960FA4" w:rsidRPr="00960FA4" w:rsidRDefault="00960FA4" w:rsidP="00960FA4">
            <w:pPr>
              <w:spacing w:before="0" w:line="240" w:lineRule="auto"/>
              <w:ind w:left="0" w:firstLine="0"/>
              <w:rPr>
                <w:b/>
                <w:bCs/>
                <w:color w:val="000000"/>
                <w:sz w:val="20"/>
                <w:szCs w:val="20"/>
              </w:rPr>
            </w:pPr>
            <w:r w:rsidRPr="00960FA4">
              <w:rPr>
                <w:b/>
                <w:bCs/>
                <w:color w:val="000000"/>
                <w:sz w:val="20"/>
                <w:szCs w:val="20"/>
              </w:rPr>
              <w:t>IC Title</w:t>
            </w:r>
          </w:p>
        </w:tc>
        <w:tc>
          <w:tcPr>
            <w:tcW w:w="1491" w:type="dxa"/>
            <w:tcBorders>
              <w:top w:val="single" w:sz="6" w:space="0" w:color="auto"/>
              <w:bottom w:val="single" w:sz="6" w:space="0" w:color="auto"/>
            </w:tcBorders>
            <w:shd w:val="pct10" w:color="auto" w:fill="auto"/>
            <w:vAlign w:val="center"/>
            <w:hideMark/>
          </w:tcPr>
          <w:p w:rsidR="00960FA4" w:rsidRPr="00960FA4" w:rsidRDefault="00960FA4" w:rsidP="00960FA4">
            <w:pPr>
              <w:spacing w:before="0" w:line="240" w:lineRule="auto"/>
              <w:ind w:left="0" w:firstLine="0"/>
              <w:rPr>
                <w:b/>
                <w:bCs/>
                <w:color w:val="000000"/>
                <w:sz w:val="20"/>
                <w:szCs w:val="20"/>
              </w:rPr>
            </w:pPr>
            <w:r w:rsidRPr="00960FA4">
              <w:rPr>
                <w:b/>
                <w:bCs/>
                <w:color w:val="000000"/>
                <w:sz w:val="20"/>
                <w:szCs w:val="20"/>
              </w:rPr>
              <w:t>No. of Responses</w:t>
            </w:r>
          </w:p>
        </w:tc>
        <w:tc>
          <w:tcPr>
            <w:tcW w:w="1094" w:type="dxa"/>
            <w:tcBorders>
              <w:top w:val="single" w:sz="6" w:space="0" w:color="auto"/>
              <w:bottom w:val="single" w:sz="6" w:space="0" w:color="auto"/>
            </w:tcBorders>
            <w:shd w:val="pct10" w:color="auto" w:fill="auto"/>
            <w:vAlign w:val="center"/>
            <w:hideMark/>
          </w:tcPr>
          <w:p w:rsidR="00960FA4" w:rsidRPr="00960FA4" w:rsidRDefault="00960FA4" w:rsidP="00960FA4">
            <w:pPr>
              <w:spacing w:before="0" w:line="240" w:lineRule="auto"/>
              <w:ind w:left="0" w:firstLine="0"/>
              <w:rPr>
                <w:b/>
                <w:bCs/>
                <w:color w:val="000000"/>
                <w:sz w:val="20"/>
                <w:szCs w:val="20"/>
              </w:rPr>
            </w:pPr>
            <w:r w:rsidRPr="00960FA4">
              <w:rPr>
                <w:b/>
                <w:bCs/>
                <w:color w:val="000000"/>
                <w:sz w:val="20"/>
                <w:szCs w:val="20"/>
              </w:rPr>
              <w:t>Burden Hours</w:t>
            </w:r>
          </w:p>
        </w:tc>
        <w:tc>
          <w:tcPr>
            <w:tcW w:w="1466" w:type="dxa"/>
            <w:tcBorders>
              <w:top w:val="single" w:sz="6" w:space="0" w:color="auto"/>
              <w:bottom w:val="single" w:sz="6" w:space="0" w:color="auto"/>
            </w:tcBorders>
            <w:shd w:val="pct10" w:color="auto" w:fill="auto"/>
            <w:vAlign w:val="center"/>
            <w:hideMark/>
          </w:tcPr>
          <w:p w:rsidR="00960FA4" w:rsidRPr="00960FA4" w:rsidRDefault="00960FA4" w:rsidP="00960FA4">
            <w:pPr>
              <w:spacing w:before="0" w:line="240" w:lineRule="auto"/>
              <w:ind w:left="0" w:firstLine="0"/>
              <w:rPr>
                <w:b/>
                <w:bCs/>
                <w:color w:val="000000"/>
                <w:sz w:val="20"/>
                <w:szCs w:val="20"/>
              </w:rPr>
            </w:pPr>
            <w:r w:rsidRPr="00960FA4">
              <w:rPr>
                <w:b/>
                <w:bCs/>
                <w:color w:val="000000"/>
                <w:sz w:val="20"/>
                <w:szCs w:val="20"/>
              </w:rPr>
              <w:t>Burden Hour Costs</w:t>
            </w:r>
          </w:p>
        </w:tc>
      </w:tr>
      <w:tr w:rsidR="00960FA4" w:rsidRPr="00960FA4" w:rsidTr="00960FA4">
        <w:tc>
          <w:tcPr>
            <w:tcW w:w="616" w:type="dxa"/>
            <w:tcBorders>
              <w:top w:val="single" w:sz="6" w:space="0" w:color="auto"/>
            </w:tcBorders>
            <w:noWrap/>
            <w:hideMark/>
          </w:tcPr>
          <w:p w:rsidR="00960FA4" w:rsidRPr="00960FA4" w:rsidRDefault="00960FA4" w:rsidP="00960FA4">
            <w:pPr>
              <w:spacing w:before="0" w:line="240" w:lineRule="auto"/>
              <w:ind w:left="0" w:firstLine="0"/>
              <w:rPr>
                <w:color w:val="000000"/>
                <w:sz w:val="20"/>
                <w:szCs w:val="20"/>
              </w:rPr>
            </w:pPr>
            <w:r w:rsidRPr="00960FA4">
              <w:rPr>
                <w:color w:val="000000"/>
                <w:sz w:val="20"/>
                <w:szCs w:val="20"/>
              </w:rPr>
              <w:t>IC1</w:t>
            </w:r>
          </w:p>
        </w:tc>
        <w:tc>
          <w:tcPr>
            <w:tcW w:w="5314" w:type="dxa"/>
            <w:tcBorders>
              <w:top w:val="single" w:sz="6" w:space="0" w:color="auto"/>
            </w:tcBorders>
          </w:tcPr>
          <w:p w:rsidR="00960FA4" w:rsidRPr="00960FA4" w:rsidRDefault="00960FA4" w:rsidP="00960FA4">
            <w:pPr>
              <w:spacing w:before="0" w:line="240" w:lineRule="auto"/>
              <w:ind w:left="0" w:firstLine="0"/>
              <w:rPr>
                <w:sz w:val="20"/>
                <w:szCs w:val="20"/>
              </w:rPr>
            </w:pPr>
            <w:r w:rsidRPr="00960FA4">
              <w:rPr>
                <w:sz w:val="20"/>
                <w:szCs w:val="20"/>
              </w:rPr>
              <w:t>Board determination</w:t>
            </w:r>
          </w:p>
        </w:tc>
        <w:tc>
          <w:tcPr>
            <w:tcW w:w="1491" w:type="dxa"/>
            <w:tcBorders>
              <w:top w:val="single" w:sz="6" w:space="0" w:color="auto"/>
            </w:tcBorders>
          </w:tcPr>
          <w:p w:rsidR="00960FA4" w:rsidRPr="00960FA4" w:rsidRDefault="00960FA4" w:rsidP="00960FA4">
            <w:pPr>
              <w:spacing w:before="0" w:line="240" w:lineRule="auto"/>
              <w:ind w:left="0" w:firstLine="0"/>
              <w:rPr>
                <w:sz w:val="20"/>
                <w:szCs w:val="20"/>
              </w:rPr>
            </w:pPr>
            <w:r w:rsidRPr="00960FA4">
              <w:rPr>
                <w:sz w:val="20"/>
                <w:szCs w:val="20"/>
              </w:rPr>
              <w:t>42</w:t>
            </w:r>
          </w:p>
        </w:tc>
        <w:tc>
          <w:tcPr>
            <w:tcW w:w="1094" w:type="dxa"/>
            <w:tcBorders>
              <w:top w:val="single" w:sz="6" w:space="0" w:color="auto"/>
            </w:tcBorders>
          </w:tcPr>
          <w:p w:rsidR="00960FA4" w:rsidRPr="00960FA4" w:rsidRDefault="00960FA4" w:rsidP="00960FA4">
            <w:pPr>
              <w:spacing w:before="0" w:line="240" w:lineRule="auto"/>
              <w:ind w:left="0" w:firstLine="0"/>
              <w:rPr>
                <w:sz w:val="20"/>
                <w:szCs w:val="20"/>
              </w:rPr>
            </w:pPr>
            <w:r w:rsidRPr="00960FA4">
              <w:rPr>
                <w:sz w:val="20"/>
                <w:szCs w:val="20"/>
              </w:rPr>
              <w:t>546</w:t>
            </w:r>
          </w:p>
        </w:tc>
        <w:tc>
          <w:tcPr>
            <w:tcW w:w="1466" w:type="dxa"/>
            <w:tcBorders>
              <w:top w:val="single" w:sz="6" w:space="0" w:color="auto"/>
            </w:tcBorders>
          </w:tcPr>
          <w:p w:rsidR="00960FA4" w:rsidRPr="00960FA4" w:rsidRDefault="00960FA4" w:rsidP="00960FA4">
            <w:pPr>
              <w:spacing w:before="0" w:line="240" w:lineRule="auto"/>
              <w:ind w:left="0" w:firstLine="0"/>
              <w:rPr>
                <w:sz w:val="20"/>
                <w:szCs w:val="20"/>
              </w:rPr>
            </w:pPr>
            <w:r w:rsidRPr="00960FA4">
              <w:rPr>
                <w:sz w:val="20"/>
                <w:szCs w:val="20"/>
              </w:rPr>
              <w:t>$440,706</w:t>
            </w:r>
          </w:p>
        </w:tc>
      </w:tr>
      <w:tr w:rsidR="00960FA4" w:rsidRPr="00960FA4" w:rsidTr="00F20467">
        <w:tc>
          <w:tcPr>
            <w:tcW w:w="616" w:type="dxa"/>
            <w:noWrap/>
            <w:hideMark/>
          </w:tcPr>
          <w:p w:rsidR="00960FA4" w:rsidRPr="00960FA4" w:rsidRDefault="00960FA4" w:rsidP="00960FA4">
            <w:pPr>
              <w:spacing w:before="0" w:line="240" w:lineRule="auto"/>
              <w:ind w:left="0" w:firstLine="0"/>
              <w:rPr>
                <w:color w:val="000000"/>
                <w:sz w:val="20"/>
                <w:szCs w:val="20"/>
              </w:rPr>
            </w:pPr>
            <w:r w:rsidRPr="00960FA4">
              <w:rPr>
                <w:color w:val="000000"/>
                <w:sz w:val="20"/>
                <w:szCs w:val="20"/>
              </w:rPr>
              <w:t>IC2</w:t>
            </w:r>
          </w:p>
        </w:tc>
        <w:tc>
          <w:tcPr>
            <w:tcW w:w="5314" w:type="dxa"/>
          </w:tcPr>
          <w:p w:rsidR="00960FA4" w:rsidRPr="00960FA4" w:rsidRDefault="00960FA4" w:rsidP="00960FA4">
            <w:pPr>
              <w:spacing w:before="0" w:line="240" w:lineRule="auto"/>
              <w:ind w:left="0" w:firstLine="0"/>
              <w:rPr>
                <w:sz w:val="20"/>
                <w:szCs w:val="20"/>
              </w:rPr>
            </w:pPr>
            <w:r w:rsidRPr="00960FA4">
              <w:rPr>
                <w:sz w:val="20"/>
                <w:szCs w:val="20"/>
              </w:rPr>
              <w:t>Info sharing agreements (existing funds)</w:t>
            </w:r>
          </w:p>
        </w:tc>
        <w:tc>
          <w:tcPr>
            <w:tcW w:w="1491" w:type="dxa"/>
          </w:tcPr>
          <w:p w:rsidR="00960FA4" w:rsidRPr="00960FA4" w:rsidRDefault="00960FA4" w:rsidP="00960FA4">
            <w:pPr>
              <w:spacing w:before="0" w:line="240" w:lineRule="auto"/>
              <w:ind w:left="0" w:firstLine="0"/>
              <w:rPr>
                <w:sz w:val="20"/>
                <w:szCs w:val="20"/>
              </w:rPr>
            </w:pPr>
            <w:r w:rsidRPr="00960FA4">
              <w:rPr>
                <w:sz w:val="20"/>
                <w:szCs w:val="20"/>
              </w:rPr>
              <w:t>2550</w:t>
            </w:r>
          </w:p>
        </w:tc>
        <w:tc>
          <w:tcPr>
            <w:tcW w:w="1094" w:type="dxa"/>
          </w:tcPr>
          <w:p w:rsidR="00960FA4" w:rsidRPr="00960FA4" w:rsidRDefault="00960FA4" w:rsidP="00960FA4">
            <w:pPr>
              <w:spacing w:before="0" w:line="240" w:lineRule="auto"/>
              <w:ind w:left="0" w:firstLine="0"/>
              <w:rPr>
                <w:sz w:val="20"/>
                <w:szCs w:val="20"/>
              </w:rPr>
            </w:pPr>
            <w:r w:rsidRPr="00960FA4">
              <w:rPr>
                <w:sz w:val="20"/>
                <w:szCs w:val="20"/>
              </w:rPr>
              <w:t>10,200</w:t>
            </w:r>
          </w:p>
        </w:tc>
        <w:tc>
          <w:tcPr>
            <w:tcW w:w="1466" w:type="dxa"/>
          </w:tcPr>
          <w:p w:rsidR="00960FA4" w:rsidRPr="00960FA4" w:rsidRDefault="00960FA4" w:rsidP="00960FA4">
            <w:pPr>
              <w:spacing w:before="0" w:line="240" w:lineRule="auto"/>
              <w:ind w:left="0" w:firstLine="0"/>
              <w:rPr>
                <w:sz w:val="20"/>
                <w:szCs w:val="20"/>
              </w:rPr>
            </w:pPr>
            <w:r w:rsidRPr="00960FA4">
              <w:rPr>
                <w:sz w:val="20"/>
                <w:szCs w:val="20"/>
              </w:rPr>
              <w:t>$3,998,400.00</w:t>
            </w:r>
          </w:p>
        </w:tc>
      </w:tr>
      <w:tr w:rsidR="00960FA4" w:rsidRPr="00960FA4" w:rsidTr="00F20467">
        <w:tc>
          <w:tcPr>
            <w:tcW w:w="616" w:type="dxa"/>
            <w:noWrap/>
            <w:hideMark/>
          </w:tcPr>
          <w:p w:rsidR="00960FA4" w:rsidRPr="00960FA4" w:rsidRDefault="00960FA4" w:rsidP="00960FA4">
            <w:pPr>
              <w:spacing w:before="0" w:line="240" w:lineRule="auto"/>
              <w:ind w:left="0" w:firstLine="0"/>
              <w:rPr>
                <w:color w:val="000000"/>
                <w:sz w:val="20"/>
                <w:szCs w:val="20"/>
              </w:rPr>
            </w:pPr>
            <w:r w:rsidRPr="00960FA4">
              <w:rPr>
                <w:color w:val="000000"/>
                <w:sz w:val="20"/>
                <w:szCs w:val="20"/>
              </w:rPr>
              <w:t>IC3</w:t>
            </w:r>
          </w:p>
        </w:tc>
        <w:tc>
          <w:tcPr>
            <w:tcW w:w="5314" w:type="dxa"/>
          </w:tcPr>
          <w:p w:rsidR="00960FA4" w:rsidRPr="00960FA4" w:rsidRDefault="00960FA4" w:rsidP="00960FA4">
            <w:pPr>
              <w:spacing w:before="0" w:line="240" w:lineRule="auto"/>
              <w:ind w:left="0" w:firstLine="0"/>
              <w:rPr>
                <w:sz w:val="20"/>
                <w:szCs w:val="20"/>
              </w:rPr>
            </w:pPr>
            <w:r w:rsidRPr="00960FA4">
              <w:rPr>
                <w:sz w:val="20"/>
                <w:szCs w:val="20"/>
              </w:rPr>
              <w:t>Info sharing agreements (new funds)</w:t>
            </w:r>
          </w:p>
        </w:tc>
        <w:tc>
          <w:tcPr>
            <w:tcW w:w="1491" w:type="dxa"/>
          </w:tcPr>
          <w:p w:rsidR="00960FA4" w:rsidRPr="00960FA4" w:rsidRDefault="00960FA4" w:rsidP="00960FA4">
            <w:pPr>
              <w:spacing w:before="0" w:line="240" w:lineRule="auto"/>
              <w:ind w:left="0" w:firstLine="0"/>
              <w:rPr>
                <w:sz w:val="20"/>
                <w:szCs w:val="20"/>
              </w:rPr>
            </w:pPr>
            <w:r w:rsidRPr="00960FA4">
              <w:rPr>
                <w:sz w:val="20"/>
                <w:szCs w:val="20"/>
              </w:rPr>
              <w:t>4700</w:t>
            </w:r>
          </w:p>
        </w:tc>
        <w:tc>
          <w:tcPr>
            <w:tcW w:w="1094" w:type="dxa"/>
          </w:tcPr>
          <w:p w:rsidR="00960FA4" w:rsidRPr="00960FA4" w:rsidRDefault="00960FA4" w:rsidP="00960FA4">
            <w:pPr>
              <w:spacing w:before="0" w:line="240" w:lineRule="auto"/>
              <w:ind w:left="0" w:firstLine="0"/>
              <w:rPr>
                <w:sz w:val="20"/>
                <w:szCs w:val="20"/>
              </w:rPr>
            </w:pPr>
            <w:r w:rsidRPr="00960FA4">
              <w:rPr>
                <w:sz w:val="20"/>
                <w:szCs w:val="20"/>
              </w:rPr>
              <w:t>18,800</w:t>
            </w:r>
          </w:p>
        </w:tc>
        <w:tc>
          <w:tcPr>
            <w:tcW w:w="1466" w:type="dxa"/>
          </w:tcPr>
          <w:p w:rsidR="00960FA4" w:rsidRPr="00960FA4" w:rsidRDefault="00960FA4" w:rsidP="00960FA4">
            <w:pPr>
              <w:spacing w:before="0" w:line="240" w:lineRule="auto"/>
              <w:ind w:left="0" w:firstLine="0"/>
              <w:rPr>
                <w:sz w:val="20"/>
                <w:szCs w:val="20"/>
              </w:rPr>
            </w:pPr>
            <w:r w:rsidRPr="00960FA4">
              <w:rPr>
                <w:sz w:val="20"/>
                <w:szCs w:val="20"/>
              </w:rPr>
              <w:t>$7,369,600.00</w:t>
            </w:r>
          </w:p>
        </w:tc>
      </w:tr>
      <w:tr w:rsidR="00960FA4" w:rsidRPr="00960FA4" w:rsidTr="00F20467">
        <w:tc>
          <w:tcPr>
            <w:tcW w:w="616" w:type="dxa"/>
            <w:noWrap/>
            <w:hideMark/>
          </w:tcPr>
          <w:p w:rsidR="00960FA4" w:rsidRPr="00960FA4" w:rsidRDefault="00960FA4" w:rsidP="00960FA4">
            <w:pPr>
              <w:spacing w:before="0" w:line="240" w:lineRule="auto"/>
              <w:ind w:left="0" w:firstLine="0"/>
              <w:rPr>
                <w:color w:val="000000"/>
                <w:sz w:val="20"/>
                <w:szCs w:val="20"/>
              </w:rPr>
            </w:pPr>
            <w:r w:rsidRPr="00960FA4">
              <w:rPr>
                <w:color w:val="000000"/>
                <w:sz w:val="20"/>
                <w:szCs w:val="20"/>
              </w:rPr>
              <w:t>IC4</w:t>
            </w:r>
          </w:p>
        </w:tc>
        <w:tc>
          <w:tcPr>
            <w:tcW w:w="5314" w:type="dxa"/>
          </w:tcPr>
          <w:p w:rsidR="00960FA4" w:rsidRPr="00960FA4" w:rsidRDefault="00960FA4" w:rsidP="00960FA4">
            <w:pPr>
              <w:spacing w:before="0" w:line="240" w:lineRule="auto"/>
              <w:ind w:left="0" w:firstLine="0"/>
              <w:rPr>
                <w:sz w:val="20"/>
                <w:szCs w:val="20"/>
              </w:rPr>
            </w:pPr>
            <w:r w:rsidRPr="00960FA4">
              <w:rPr>
                <w:sz w:val="20"/>
                <w:szCs w:val="20"/>
              </w:rPr>
              <w:t>Recordkeeping (info sharing agreements)</w:t>
            </w:r>
          </w:p>
        </w:tc>
        <w:tc>
          <w:tcPr>
            <w:tcW w:w="1491" w:type="dxa"/>
          </w:tcPr>
          <w:p w:rsidR="00960FA4" w:rsidRPr="00960FA4" w:rsidRDefault="00960FA4" w:rsidP="00960FA4">
            <w:pPr>
              <w:spacing w:before="0" w:line="240" w:lineRule="auto"/>
              <w:ind w:left="0" w:firstLine="0"/>
              <w:rPr>
                <w:sz w:val="20"/>
                <w:szCs w:val="20"/>
              </w:rPr>
            </w:pPr>
            <w:r w:rsidRPr="00960FA4">
              <w:rPr>
                <w:sz w:val="20"/>
                <w:szCs w:val="20"/>
              </w:rPr>
              <w:t>850</w:t>
            </w:r>
          </w:p>
        </w:tc>
        <w:tc>
          <w:tcPr>
            <w:tcW w:w="1094" w:type="dxa"/>
          </w:tcPr>
          <w:p w:rsidR="00960FA4" w:rsidRPr="00960FA4" w:rsidRDefault="00960FA4" w:rsidP="00960FA4">
            <w:pPr>
              <w:spacing w:before="0" w:line="240" w:lineRule="auto"/>
              <w:ind w:left="0" w:firstLine="0"/>
              <w:rPr>
                <w:sz w:val="20"/>
                <w:szCs w:val="20"/>
              </w:rPr>
            </w:pPr>
            <w:r w:rsidRPr="00960FA4">
              <w:rPr>
                <w:sz w:val="20"/>
                <w:szCs w:val="20"/>
              </w:rPr>
              <w:t>141.67</w:t>
            </w:r>
          </w:p>
        </w:tc>
        <w:tc>
          <w:tcPr>
            <w:tcW w:w="1466" w:type="dxa"/>
          </w:tcPr>
          <w:p w:rsidR="00960FA4" w:rsidRPr="00960FA4" w:rsidRDefault="00960FA4" w:rsidP="00960FA4">
            <w:pPr>
              <w:spacing w:before="0" w:line="240" w:lineRule="auto"/>
              <w:ind w:left="0" w:firstLine="0"/>
              <w:rPr>
                <w:sz w:val="20"/>
                <w:szCs w:val="20"/>
              </w:rPr>
            </w:pPr>
            <w:r w:rsidRPr="00960FA4">
              <w:rPr>
                <w:sz w:val="20"/>
                <w:szCs w:val="20"/>
              </w:rPr>
              <w:t>$8358.53</w:t>
            </w:r>
          </w:p>
        </w:tc>
      </w:tr>
      <w:tr w:rsidR="00960FA4" w:rsidRPr="00960FA4" w:rsidTr="00960FA4">
        <w:tc>
          <w:tcPr>
            <w:tcW w:w="616" w:type="dxa"/>
            <w:tcBorders>
              <w:bottom w:val="single" w:sz="6" w:space="0" w:color="auto"/>
            </w:tcBorders>
            <w:noWrap/>
            <w:hideMark/>
          </w:tcPr>
          <w:p w:rsidR="00960FA4" w:rsidRPr="00960FA4" w:rsidRDefault="00960FA4" w:rsidP="00960FA4">
            <w:pPr>
              <w:spacing w:before="0" w:line="240" w:lineRule="auto"/>
              <w:ind w:left="0" w:firstLine="0"/>
              <w:rPr>
                <w:color w:val="000000"/>
                <w:sz w:val="20"/>
                <w:szCs w:val="20"/>
              </w:rPr>
            </w:pPr>
            <w:r w:rsidRPr="00960FA4">
              <w:rPr>
                <w:color w:val="000000"/>
                <w:sz w:val="20"/>
                <w:szCs w:val="20"/>
              </w:rPr>
              <w:t>IC5</w:t>
            </w:r>
          </w:p>
        </w:tc>
        <w:tc>
          <w:tcPr>
            <w:tcW w:w="5314" w:type="dxa"/>
            <w:tcBorders>
              <w:bottom w:val="single" w:sz="6" w:space="0" w:color="auto"/>
            </w:tcBorders>
          </w:tcPr>
          <w:p w:rsidR="00960FA4" w:rsidRPr="00960FA4" w:rsidRDefault="00960FA4" w:rsidP="00960FA4">
            <w:pPr>
              <w:spacing w:before="0" w:line="240" w:lineRule="auto"/>
              <w:ind w:left="0" w:firstLine="0"/>
              <w:rPr>
                <w:sz w:val="20"/>
                <w:szCs w:val="20"/>
              </w:rPr>
            </w:pPr>
            <w:r w:rsidRPr="00960FA4">
              <w:rPr>
                <w:sz w:val="20"/>
                <w:szCs w:val="20"/>
              </w:rPr>
              <w:t>Shareholder information requests</w:t>
            </w:r>
          </w:p>
        </w:tc>
        <w:tc>
          <w:tcPr>
            <w:tcW w:w="1491" w:type="dxa"/>
            <w:tcBorders>
              <w:bottom w:val="single" w:sz="6" w:space="0" w:color="auto"/>
            </w:tcBorders>
          </w:tcPr>
          <w:p w:rsidR="00960FA4" w:rsidRPr="00960FA4" w:rsidRDefault="00960FA4" w:rsidP="00960FA4">
            <w:pPr>
              <w:spacing w:before="0" w:line="240" w:lineRule="auto"/>
              <w:ind w:left="0" w:firstLine="0"/>
              <w:rPr>
                <w:sz w:val="20"/>
                <w:szCs w:val="20"/>
              </w:rPr>
            </w:pPr>
            <w:r w:rsidRPr="00960FA4">
              <w:rPr>
                <w:sz w:val="20"/>
                <w:szCs w:val="20"/>
              </w:rPr>
              <w:t>354,450</w:t>
            </w:r>
          </w:p>
        </w:tc>
        <w:tc>
          <w:tcPr>
            <w:tcW w:w="1094" w:type="dxa"/>
            <w:tcBorders>
              <w:bottom w:val="single" w:sz="6" w:space="0" w:color="auto"/>
            </w:tcBorders>
          </w:tcPr>
          <w:p w:rsidR="00960FA4" w:rsidRPr="00960FA4" w:rsidRDefault="00960FA4" w:rsidP="00960FA4">
            <w:pPr>
              <w:spacing w:before="0" w:line="240" w:lineRule="auto"/>
              <w:ind w:left="0" w:firstLine="0"/>
              <w:rPr>
                <w:sz w:val="20"/>
                <w:szCs w:val="20"/>
              </w:rPr>
            </w:pPr>
            <w:r w:rsidRPr="00960FA4">
              <w:rPr>
                <w:sz w:val="20"/>
                <w:szCs w:val="20"/>
              </w:rPr>
              <w:t>0</w:t>
            </w:r>
          </w:p>
        </w:tc>
        <w:tc>
          <w:tcPr>
            <w:tcW w:w="1466" w:type="dxa"/>
            <w:tcBorders>
              <w:bottom w:val="single" w:sz="6" w:space="0" w:color="auto"/>
            </w:tcBorders>
          </w:tcPr>
          <w:p w:rsidR="00960FA4" w:rsidRPr="00960FA4" w:rsidRDefault="00960FA4" w:rsidP="00960FA4">
            <w:pPr>
              <w:spacing w:before="0" w:line="240" w:lineRule="auto"/>
              <w:ind w:left="0" w:firstLine="0"/>
              <w:rPr>
                <w:sz w:val="20"/>
                <w:szCs w:val="20"/>
              </w:rPr>
            </w:pPr>
            <w:r w:rsidRPr="00960FA4">
              <w:rPr>
                <w:sz w:val="20"/>
                <w:szCs w:val="20"/>
              </w:rPr>
              <w:t>0</w:t>
            </w:r>
          </w:p>
        </w:tc>
      </w:tr>
      <w:tr w:rsidR="00960FA4" w:rsidRPr="00960FA4" w:rsidTr="00960FA4">
        <w:tc>
          <w:tcPr>
            <w:tcW w:w="616" w:type="dxa"/>
            <w:tcBorders>
              <w:top w:val="single" w:sz="6" w:space="0" w:color="auto"/>
              <w:bottom w:val="single" w:sz="4" w:space="0" w:color="auto"/>
            </w:tcBorders>
            <w:shd w:val="clear" w:color="auto" w:fill="auto"/>
            <w:noWrap/>
            <w:hideMark/>
          </w:tcPr>
          <w:p w:rsidR="00960FA4" w:rsidRPr="00960FA4" w:rsidRDefault="00960FA4" w:rsidP="00960FA4">
            <w:pPr>
              <w:spacing w:before="0" w:line="240" w:lineRule="auto"/>
              <w:ind w:left="0" w:firstLine="0"/>
              <w:rPr>
                <w:color w:val="000000"/>
                <w:sz w:val="20"/>
                <w:szCs w:val="20"/>
              </w:rPr>
            </w:pPr>
            <w:r w:rsidRPr="00960FA4">
              <w:rPr>
                <w:color w:val="000000"/>
                <w:sz w:val="20"/>
                <w:szCs w:val="20"/>
              </w:rPr>
              <w:t> </w:t>
            </w:r>
          </w:p>
        </w:tc>
        <w:tc>
          <w:tcPr>
            <w:tcW w:w="5314" w:type="dxa"/>
            <w:tcBorders>
              <w:top w:val="single" w:sz="6" w:space="0" w:color="auto"/>
              <w:bottom w:val="single" w:sz="4" w:space="0" w:color="auto"/>
            </w:tcBorders>
            <w:shd w:val="clear" w:color="auto" w:fill="auto"/>
            <w:noWrap/>
            <w:hideMark/>
          </w:tcPr>
          <w:p w:rsidR="00960FA4" w:rsidRPr="00960FA4" w:rsidRDefault="00960FA4" w:rsidP="00960FA4">
            <w:pPr>
              <w:spacing w:before="0" w:line="240" w:lineRule="auto"/>
              <w:ind w:left="0" w:firstLine="0"/>
              <w:jc w:val="right"/>
              <w:rPr>
                <w:b/>
                <w:bCs/>
                <w:sz w:val="20"/>
                <w:szCs w:val="20"/>
              </w:rPr>
            </w:pPr>
            <w:r w:rsidRPr="00960FA4">
              <w:rPr>
                <w:b/>
                <w:bCs/>
                <w:sz w:val="20"/>
                <w:szCs w:val="20"/>
              </w:rPr>
              <w:t>Totals for all ICs</w:t>
            </w:r>
          </w:p>
        </w:tc>
        <w:tc>
          <w:tcPr>
            <w:tcW w:w="1491" w:type="dxa"/>
            <w:tcBorders>
              <w:top w:val="single" w:sz="6" w:space="0" w:color="auto"/>
              <w:bottom w:val="single" w:sz="4" w:space="0" w:color="auto"/>
            </w:tcBorders>
            <w:shd w:val="clear" w:color="auto" w:fill="auto"/>
          </w:tcPr>
          <w:p w:rsidR="00960FA4" w:rsidRPr="00960FA4" w:rsidRDefault="00960FA4" w:rsidP="00960FA4">
            <w:pPr>
              <w:spacing w:before="0" w:line="240" w:lineRule="auto"/>
              <w:ind w:left="0" w:firstLine="0"/>
              <w:rPr>
                <w:b/>
                <w:bCs/>
                <w:sz w:val="20"/>
                <w:szCs w:val="20"/>
              </w:rPr>
            </w:pPr>
            <w:r w:rsidRPr="00960FA4">
              <w:rPr>
                <w:b/>
                <w:bCs/>
                <w:sz w:val="20"/>
                <w:szCs w:val="20"/>
              </w:rPr>
              <w:t>362,592</w:t>
            </w:r>
          </w:p>
        </w:tc>
        <w:tc>
          <w:tcPr>
            <w:tcW w:w="1094" w:type="dxa"/>
            <w:tcBorders>
              <w:top w:val="single" w:sz="6" w:space="0" w:color="auto"/>
              <w:bottom w:val="single" w:sz="4" w:space="0" w:color="auto"/>
            </w:tcBorders>
            <w:shd w:val="clear" w:color="auto" w:fill="auto"/>
          </w:tcPr>
          <w:p w:rsidR="00960FA4" w:rsidRPr="00960FA4" w:rsidRDefault="00960FA4" w:rsidP="00960FA4">
            <w:pPr>
              <w:spacing w:before="0" w:line="240" w:lineRule="auto"/>
              <w:ind w:left="0" w:firstLine="0"/>
              <w:rPr>
                <w:b/>
                <w:bCs/>
                <w:sz w:val="20"/>
                <w:szCs w:val="20"/>
              </w:rPr>
            </w:pPr>
            <w:r w:rsidRPr="00960FA4">
              <w:rPr>
                <w:b/>
                <w:bCs/>
                <w:sz w:val="20"/>
                <w:szCs w:val="20"/>
              </w:rPr>
              <w:t>29,687.67</w:t>
            </w:r>
          </w:p>
        </w:tc>
        <w:tc>
          <w:tcPr>
            <w:tcW w:w="1466" w:type="dxa"/>
            <w:tcBorders>
              <w:top w:val="single" w:sz="6" w:space="0" w:color="auto"/>
              <w:bottom w:val="single" w:sz="4" w:space="0" w:color="auto"/>
            </w:tcBorders>
            <w:shd w:val="clear" w:color="auto" w:fill="auto"/>
          </w:tcPr>
          <w:p w:rsidR="00960FA4" w:rsidRPr="00960FA4" w:rsidRDefault="00960FA4" w:rsidP="00960FA4">
            <w:pPr>
              <w:spacing w:before="0" w:line="240" w:lineRule="auto"/>
              <w:ind w:left="0" w:firstLine="0"/>
              <w:rPr>
                <w:b/>
                <w:bCs/>
                <w:sz w:val="20"/>
                <w:szCs w:val="20"/>
              </w:rPr>
            </w:pPr>
            <w:r>
              <w:rPr>
                <w:b/>
                <w:bCs/>
                <w:sz w:val="20"/>
                <w:szCs w:val="20"/>
              </w:rPr>
              <w:t>$11,817,064</w:t>
            </w:r>
            <w:r w:rsidRPr="00960FA4">
              <w:rPr>
                <w:b/>
                <w:bCs/>
                <w:sz w:val="20"/>
                <w:szCs w:val="20"/>
              </w:rPr>
              <w:t>.53</w:t>
            </w:r>
          </w:p>
        </w:tc>
      </w:tr>
    </w:tbl>
    <w:p w:rsidR="003A5BBC" w:rsidRPr="003A5BBC" w:rsidRDefault="003A5BBC" w:rsidP="00BD1BBE">
      <w:pPr>
        <w:widowControl w:val="0"/>
        <w:ind w:left="0" w:firstLine="720"/>
      </w:pPr>
      <w:r>
        <w:t xml:space="preserve">The Commission staff estimates that the total hour burden for rule 22c-2 is </w:t>
      </w:r>
      <w:r w:rsidR="00B81121">
        <w:t>29</w:t>
      </w:r>
      <w:r w:rsidR="00C46C4C">
        <w:t>,</w:t>
      </w:r>
      <w:r w:rsidR="00B81121">
        <w:t>687.67</w:t>
      </w:r>
      <w:r w:rsidR="000A3A61">
        <w:t xml:space="preserve"> hours at </w:t>
      </w:r>
      <w:r w:rsidR="00690024">
        <w:t>a</w:t>
      </w:r>
      <w:r w:rsidR="000A3A61">
        <w:t xml:space="preserve"> cost of $</w:t>
      </w:r>
      <w:r w:rsidR="00B81121">
        <w:t>11,817,0</w:t>
      </w:r>
      <w:r w:rsidR="004334FF">
        <w:t>64</w:t>
      </w:r>
      <w:r w:rsidR="00B81121">
        <w:t>.5</w:t>
      </w:r>
      <w:r w:rsidR="004334FF">
        <w:t>3</w:t>
      </w:r>
      <w:r w:rsidR="000A3A61">
        <w:t>.</w:t>
      </w:r>
      <w:r>
        <w:rPr>
          <w:rStyle w:val="FootnoteReference"/>
        </w:rPr>
        <w:footnoteReference w:id="26"/>
      </w:r>
      <w:r w:rsidR="000A3A61">
        <w:t xml:space="preserve"> </w:t>
      </w:r>
      <w:r w:rsidR="0097526E">
        <w:t xml:space="preserve"> </w:t>
      </w:r>
    </w:p>
    <w:p w:rsidR="008A5585" w:rsidRDefault="008A5585" w:rsidP="00F41850">
      <w:pPr>
        <w:keepNext/>
        <w:widowControl w:val="0"/>
        <w:ind w:left="1440"/>
        <w:rPr>
          <w:b/>
          <w:bCs/>
        </w:rPr>
      </w:pPr>
      <w:r w:rsidRPr="0044566F">
        <w:rPr>
          <w:b/>
          <w:bCs/>
        </w:rPr>
        <w:t>13.</w:t>
      </w:r>
      <w:r w:rsidRPr="0044566F">
        <w:rPr>
          <w:b/>
          <w:bCs/>
        </w:rPr>
        <w:tab/>
      </w:r>
      <w:r w:rsidR="00364167">
        <w:rPr>
          <w:b/>
          <w:bCs/>
        </w:rPr>
        <w:t>Cost to Respondents</w:t>
      </w:r>
      <w:r w:rsidRPr="0044566F">
        <w:rPr>
          <w:b/>
          <w:bCs/>
        </w:rPr>
        <w:t xml:space="preserve"> </w:t>
      </w:r>
    </w:p>
    <w:p w:rsidR="00B336F2" w:rsidRDefault="002C5D21" w:rsidP="00A042A4">
      <w:pPr>
        <w:ind w:left="0" w:firstLine="720"/>
      </w:pPr>
      <w:r>
        <w:t>Rule 22c-2 requires funds to enter into informat</w:t>
      </w:r>
      <w:r w:rsidR="0077202D">
        <w:t>ion-</w:t>
      </w:r>
      <w:r>
        <w:t xml:space="preserve">sharing agreements with their intermediaries that enable funds to, upon request (i) be provided </w:t>
      </w:r>
      <w:r w:rsidR="00796ED5">
        <w:t xml:space="preserve">certain </w:t>
      </w:r>
      <w:r>
        <w:t xml:space="preserve">information regarding </w:t>
      </w:r>
      <w:r w:rsidR="00796ED5">
        <w:t>shareholders and their trades that are held through a financial intermediary or an indirect intermediary, and (ii) require the intermediary to execute instructions from the fund restricting or prohibiting further purchases or exchanges by shareholders that violate the fund</w:t>
      </w:r>
      <w:r w:rsidR="00B336F2">
        <w:t>’</w:t>
      </w:r>
      <w:r w:rsidR="00796ED5">
        <w:t>s frequent trading policies</w:t>
      </w:r>
      <w:r w:rsidR="005646F4">
        <w:t xml:space="preserve">.  </w:t>
      </w:r>
      <w:r w:rsidR="00B336F2">
        <w:t xml:space="preserve">As a result of this requirement, some funds and intermediaries </w:t>
      </w:r>
      <w:r w:rsidR="00690024">
        <w:t>have had</w:t>
      </w:r>
      <w:r w:rsidR="00B336F2">
        <w:t xml:space="preserve"> to develop and maintain information sharing, monitoring, and order execution systems (collectively “information sharing systems”). </w:t>
      </w:r>
      <w:r w:rsidR="009B4F06">
        <w:t xml:space="preserve"> In general, costs related to these </w:t>
      </w:r>
      <w:r w:rsidR="005646F4">
        <w:t>information-sharing</w:t>
      </w:r>
      <w:r w:rsidR="009B4F06">
        <w:t xml:space="preserve"> systems are borne at the fund group level. </w:t>
      </w:r>
    </w:p>
    <w:p w:rsidR="009974C2" w:rsidRDefault="00B336F2" w:rsidP="009974C2">
      <w:pPr>
        <w:ind w:left="0" w:firstLine="720"/>
      </w:pPr>
      <w:r>
        <w:t>The Commission understands that all currently operating funds and intermediaries have either developed information systems</w:t>
      </w:r>
      <w:r w:rsidR="00690024">
        <w:t xml:space="preserve"> themselves or purchased them from third parties</w:t>
      </w:r>
      <w:r w:rsidR="005646F4">
        <w:t xml:space="preserve">.  </w:t>
      </w:r>
      <w:r w:rsidR="00464717">
        <w:t>However, these funds and intermediaries also incur certain ongoing costs related to these systems</w:t>
      </w:r>
      <w:r w:rsidR="001701BB">
        <w:t>’</w:t>
      </w:r>
      <w:r w:rsidR="00464717">
        <w:t xml:space="preserve"> maintenance and operation. </w:t>
      </w:r>
      <w:r w:rsidR="009974C2">
        <w:t xml:space="preserve"> </w:t>
      </w:r>
      <w:r w:rsidR="00464717">
        <w:t>The Commission staff understands that various organizations have developed, enhancements to their systems that allow funds and intermediaries to share the information required by the rule without developing or maintaining systems of their own.  Other organizations have developed “22c-2 solution”</w:t>
      </w:r>
      <w:r w:rsidR="009974C2">
        <w:t xml:space="preserve"> systems that funds may lease.  The Commission staff understands that most funds and intermediaries use these </w:t>
      </w:r>
      <w:r w:rsidR="001701BB">
        <w:t xml:space="preserve">outside </w:t>
      </w:r>
      <w:r w:rsidR="009974C2">
        <w:t xml:space="preserve">systems.  In general, the staff estimates that </w:t>
      </w:r>
      <w:r w:rsidR="00B60655">
        <w:t xml:space="preserve">the typical charges involved in operating and maintaining information sharing systems </w:t>
      </w:r>
      <w:r w:rsidR="009974C2">
        <w:t>averag</w:t>
      </w:r>
      <w:r w:rsidR="002648EF">
        <w:t>e</w:t>
      </w:r>
      <w:r w:rsidR="009974C2">
        <w:t xml:space="preserve"> 25 cents for every 100 account transactions</w:t>
      </w:r>
      <w:r w:rsidR="001701BB">
        <w:t xml:space="preserve"> requested.  </w:t>
      </w:r>
      <w:r w:rsidR="002648EF">
        <w:t xml:space="preserve">These systems generally also provide </w:t>
      </w:r>
      <w:r w:rsidR="001701BB">
        <w:t>analytics</w:t>
      </w:r>
      <w:r w:rsidR="002648EF">
        <w:t xml:space="preserve">, spreadsheets, and other tools designed to enable funds to analyze the data presented, as well as communication tools to </w:t>
      </w:r>
      <w:r w:rsidR="000220AC">
        <w:t>process fund instructions regarding the restrictions and prohibitions they may request</w:t>
      </w:r>
      <w:r w:rsidR="002648EF">
        <w:t xml:space="preserve">.  </w:t>
      </w:r>
      <w:r w:rsidR="00B60655">
        <w:t xml:space="preserve">Commission staff estimates that the costs of </w:t>
      </w:r>
      <w:r w:rsidR="00593D5C">
        <w:t xml:space="preserve">developing, </w:t>
      </w:r>
      <w:r w:rsidR="00B60655">
        <w:t>maintaining and operating information systems for funds and intermediaries that do not use outside provider’s systems is comparable to the costs charged by outside providers.</w:t>
      </w:r>
      <w:r w:rsidR="00593D5C">
        <w:rPr>
          <w:rStyle w:val="FootnoteReference"/>
        </w:rPr>
        <w:footnoteReference w:id="27"/>
      </w:r>
      <w:r w:rsidR="00B60655">
        <w:t xml:space="preserve"> </w:t>
      </w:r>
    </w:p>
    <w:p w:rsidR="002C5D21" w:rsidRDefault="00B60655" w:rsidP="009974C2">
      <w:pPr>
        <w:ind w:left="0" w:firstLine="720"/>
      </w:pPr>
      <w:r>
        <w:t xml:space="preserve">The Commission </w:t>
      </w:r>
      <w:r w:rsidR="005970A0">
        <w:t xml:space="preserve">staff </w:t>
      </w:r>
      <w:r w:rsidR="003D7622">
        <w:t xml:space="preserve">estimates that, on average, </w:t>
      </w:r>
      <w:r w:rsidR="0051638B">
        <w:t xml:space="preserve">each </w:t>
      </w:r>
      <w:r w:rsidR="002648EF">
        <w:t xml:space="preserve">fund group </w:t>
      </w:r>
      <w:r w:rsidR="009974C2">
        <w:t>request</w:t>
      </w:r>
      <w:r w:rsidR="0051638B">
        <w:t>s</w:t>
      </w:r>
      <w:r w:rsidR="009974C2">
        <w:t xml:space="preserve"> information for 100,000 transactions each week, incur</w:t>
      </w:r>
      <w:r w:rsidR="002648EF">
        <w:t>ring</w:t>
      </w:r>
      <w:r w:rsidR="009974C2">
        <w:t xml:space="preserve"> costs of $250</w:t>
      </w:r>
      <w:r w:rsidR="0051638B">
        <w:t xml:space="preserve"> weekly</w:t>
      </w:r>
      <w:r w:rsidR="009974C2">
        <w:t>, or $13,000 a year.</w:t>
      </w:r>
      <w:r w:rsidR="009974C2">
        <w:rPr>
          <w:rStyle w:val="FootnoteReference"/>
        </w:rPr>
        <w:footnoteReference w:id="28"/>
      </w:r>
      <w:r w:rsidR="002648EF">
        <w:t xml:space="preserve">  </w:t>
      </w:r>
      <w:r w:rsidR="000220AC">
        <w:t>In addition, the Commission</w:t>
      </w:r>
      <w:r w:rsidR="005970A0">
        <w:t xml:space="preserve"> staff</w:t>
      </w:r>
      <w:r w:rsidR="000220AC">
        <w:t xml:space="preserve"> estimates that funds pay access fees to use these information sharing systems (or comparable internal costs) of $30,000 each year.</w:t>
      </w:r>
      <w:r w:rsidR="005970A0">
        <w:t xml:space="preserve"> </w:t>
      </w:r>
      <w:r w:rsidR="000220AC">
        <w:t xml:space="preserve"> </w:t>
      </w:r>
      <w:r w:rsidR="009B4F06">
        <w:t xml:space="preserve">The Commission staff therefore estimates that a fund group would typically incur $43,000 in costs each year related to </w:t>
      </w:r>
      <w:r w:rsidR="00F41850">
        <w:t>the</w:t>
      </w:r>
      <w:r w:rsidR="009B4F06">
        <w:t xml:space="preserve"> operation and maintenance of information sharing systems required by rule 22c-2. </w:t>
      </w:r>
      <w:r w:rsidR="000220AC">
        <w:t xml:space="preserve"> </w:t>
      </w:r>
      <w:r w:rsidR="002648EF">
        <w:t xml:space="preserve">The Commission </w:t>
      </w:r>
      <w:r w:rsidR="005970A0">
        <w:t xml:space="preserve">staff </w:t>
      </w:r>
      <w:r w:rsidR="002648EF">
        <w:t xml:space="preserve">has previously estimated that </w:t>
      </w:r>
      <w:r w:rsidR="000220AC">
        <w:t xml:space="preserve">there are </w:t>
      </w:r>
      <w:r w:rsidR="00A2072B">
        <w:t>8</w:t>
      </w:r>
      <w:r w:rsidR="00B81121">
        <w:t>50</w:t>
      </w:r>
      <w:r w:rsidR="00A2072B">
        <w:t xml:space="preserve"> </w:t>
      </w:r>
      <w:r w:rsidR="009B4F06">
        <w:t xml:space="preserve">fund groups currently active, and therefore estimates that all fund groups incur a total of </w:t>
      </w:r>
      <w:r w:rsidR="002C30EB">
        <w:t>$</w:t>
      </w:r>
      <w:r w:rsidR="00A2072B">
        <w:t>3</w:t>
      </w:r>
      <w:r w:rsidR="00B81121">
        <w:t>6</w:t>
      </w:r>
      <w:r w:rsidR="00A2072B">
        <w:t>,</w:t>
      </w:r>
      <w:r w:rsidR="00B81121">
        <w:t>550</w:t>
      </w:r>
      <w:r w:rsidR="00A2072B">
        <w:t>,000</w:t>
      </w:r>
      <w:r w:rsidR="002C0F1B">
        <w:t xml:space="preserve"> in </w:t>
      </w:r>
      <w:r w:rsidR="00BC0847">
        <w:t xml:space="preserve">ongoing </w:t>
      </w:r>
      <w:r w:rsidR="002C0F1B">
        <w:t>costs each year related to maintaining and operating information sharing systems.</w:t>
      </w:r>
      <w:r w:rsidR="009B4F06">
        <w:rPr>
          <w:rStyle w:val="FootnoteReference"/>
        </w:rPr>
        <w:footnoteReference w:id="29"/>
      </w:r>
    </w:p>
    <w:p w:rsidR="00B8681E" w:rsidRPr="000E600F" w:rsidRDefault="002C0F1B" w:rsidP="00690024">
      <w:pPr>
        <w:ind w:left="0" w:firstLine="720"/>
      </w:pPr>
      <w:r>
        <w:t xml:space="preserve">In addition, newly formed funds and fund groups advised by advisers who are new entrants would also need to incur certain additional costs related to the initial development or purchase of these </w:t>
      </w:r>
      <w:r w:rsidR="005646F4">
        <w:t>information-sharing</w:t>
      </w:r>
      <w:r>
        <w:t xml:space="preserve"> systems. </w:t>
      </w:r>
      <w:r w:rsidR="00BC0847">
        <w:t xml:space="preserve"> Commission staff estimates that it requires $100,000 to purchase or develop and implement such an information sharing system for the first time.</w:t>
      </w:r>
      <w:r>
        <w:t xml:space="preserve"> </w:t>
      </w:r>
      <w:r w:rsidR="00BC0847">
        <w:t xml:space="preserve"> </w:t>
      </w:r>
      <w:r>
        <w:t>Commission staff has previously</w:t>
      </w:r>
      <w:r w:rsidR="002C30EB">
        <w:t xml:space="preserve"> estimated that </w:t>
      </w:r>
      <w:r w:rsidR="00B81121">
        <w:t>42</w:t>
      </w:r>
      <w:r w:rsidR="00A2072B">
        <w:t xml:space="preserve"> </w:t>
      </w:r>
      <w:r>
        <w:t>funds or fund groups are formed each year</w:t>
      </w:r>
      <w:r w:rsidR="00BC0847">
        <w:t xml:space="preserve"> managed by new advisers</w:t>
      </w:r>
      <w:r>
        <w:t xml:space="preserve">, </w:t>
      </w:r>
      <w:r w:rsidR="00BC0847">
        <w:t xml:space="preserve">and therefore estimates that all </w:t>
      </w:r>
      <w:r w:rsidR="00F41850">
        <w:t>these</w:t>
      </w:r>
      <w:r w:rsidR="00BC0847">
        <w:t xml:space="preserve"> funds would incur t</w:t>
      </w:r>
      <w:r w:rsidR="002C30EB">
        <w:t>otal costs of $</w:t>
      </w:r>
      <w:r w:rsidR="00B81121">
        <w:t>4,2</w:t>
      </w:r>
      <w:r w:rsidR="00A2072B">
        <w:t>00,000</w:t>
      </w:r>
      <w:r w:rsidR="00BC0847">
        <w:t>.</w:t>
      </w:r>
      <w:r w:rsidR="00BC0847">
        <w:rPr>
          <w:rStyle w:val="FootnoteReference"/>
        </w:rPr>
        <w:footnoteReference w:id="30"/>
      </w:r>
      <w:r w:rsidR="00BC0847">
        <w:t xml:space="preserve"> </w:t>
      </w:r>
      <w:r w:rsidR="002C30EB">
        <w:t xml:space="preserve">Therefore the staff estimates that the total </w:t>
      </w:r>
      <w:r w:rsidR="004E75F1">
        <w:t xml:space="preserve">annual </w:t>
      </w:r>
      <w:r w:rsidR="002C30EB">
        <w:t xml:space="preserve">costs related to rule </w:t>
      </w:r>
      <w:r w:rsidR="004E75F1">
        <w:br/>
      </w:r>
      <w:r w:rsidR="002C30EB">
        <w:t>22c-2 would be $</w:t>
      </w:r>
      <w:r w:rsidR="00B7246B">
        <w:t>40,</w:t>
      </w:r>
      <w:r w:rsidR="00B81121">
        <w:t>750</w:t>
      </w:r>
      <w:r w:rsidR="00B7246B">
        <w:t>,000</w:t>
      </w:r>
      <w:r w:rsidR="002C30EB">
        <w:t xml:space="preserve"> ($</w:t>
      </w:r>
      <w:r w:rsidR="00B81121">
        <w:t>36,550,000</w:t>
      </w:r>
      <w:r w:rsidR="00B7246B">
        <w:t xml:space="preserve"> </w:t>
      </w:r>
      <w:r w:rsidR="002C30EB">
        <w:t>+ $</w:t>
      </w:r>
      <w:r w:rsidR="00B81121">
        <w:t>4,200,000</w:t>
      </w:r>
      <w:r w:rsidR="002C30EB">
        <w:t xml:space="preserve"> = $</w:t>
      </w:r>
      <w:r w:rsidR="00A2072B">
        <w:t>40,</w:t>
      </w:r>
      <w:r w:rsidR="00B81121">
        <w:t>750</w:t>
      </w:r>
      <w:r w:rsidR="00A2072B">
        <w:t>,000</w:t>
      </w:r>
      <w:r w:rsidR="002C30EB">
        <w:t xml:space="preserve">). </w:t>
      </w:r>
    </w:p>
    <w:p w:rsidR="008A5585" w:rsidRPr="0044566F" w:rsidRDefault="008A5585" w:rsidP="001701BB">
      <w:pPr>
        <w:keepNext/>
        <w:widowControl w:val="0"/>
        <w:ind w:left="1440"/>
        <w:rPr>
          <w:b/>
          <w:bCs/>
        </w:rPr>
      </w:pPr>
      <w:r w:rsidRPr="0044566F">
        <w:rPr>
          <w:b/>
          <w:bCs/>
        </w:rPr>
        <w:t>14.</w:t>
      </w:r>
      <w:r w:rsidRPr="0044566F">
        <w:rPr>
          <w:b/>
          <w:bCs/>
        </w:rPr>
        <w:tab/>
        <w:t>Cost to the Federal Government</w:t>
      </w:r>
    </w:p>
    <w:p w:rsidR="008A5585" w:rsidRPr="0044566F" w:rsidRDefault="008A5585" w:rsidP="00031418">
      <w:pPr>
        <w:pStyle w:val="BodyTextIndent"/>
        <w:widowControl w:val="0"/>
      </w:pPr>
      <w:r w:rsidRPr="0044566F">
        <w:t xml:space="preserve">The </w:t>
      </w:r>
      <w:r w:rsidR="00663D88" w:rsidRPr="0044566F">
        <w:t>rule does</w:t>
      </w:r>
      <w:r w:rsidRPr="0044566F">
        <w:t xml:space="preserve"> not impose a</w:t>
      </w:r>
      <w:r w:rsidR="00663D88" w:rsidRPr="0044566F">
        <w:t>ny additional</w:t>
      </w:r>
      <w:r w:rsidRPr="0044566F">
        <w:t xml:space="preserve"> cost</w:t>
      </w:r>
      <w:r w:rsidR="00663D88" w:rsidRPr="0044566F">
        <w:t>s</w:t>
      </w:r>
      <w:r w:rsidRPr="0044566F">
        <w:t xml:space="preserve"> on the federal government.  </w:t>
      </w:r>
    </w:p>
    <w:p w:rsidR="008A5585" w:rsidRPr="0044566F" w:rsidRDefault="008A5585" w:rsidP="00031418">
      <w:pPr>
        <w:widowControl w:val="0"/>
        <w:ind w:left="1440"/>
        <w:rPr>
          <w:b/>
          <w:bCs/>
        </w:rPr>
      </w:pPr>
      <w:r w:rsidRPr="0044566F">
        <w:rPr>
          <w:b/>
          <w:bCs/>
        </w:rPr>
        <w:t>15.</w:t>
      </w:r>
      <w:r w:rsidRPr="0044566F">
        <w:rPr>
          <w:b/>
          <w:bCs/>
        </w:rPr>
        <w:tab/>
        <w:t>Changes in Burden</w:t>
      </w:r>
    </w:p>
    <w:p w:rsidR="008A5585" w:rsidRPr="0044566F" w:rsidRDefault="00F21DCF" w:rsidP="005C0814">
      <w:pPr>
        <w:pStyle w:val="BodyTextIndent"/>
        <w:widowControl w:val="0"/>
      </w:pPr>
      <w:r>
        <w:t>There ha</w:t>
      </w:r>
      <w:r w:rsidR="002C30EB">
        <w:t>s</w:t>
      </w:r>
      <w:r>
        <w:t xml:space="preserve"> been </w:t>
      </w:r>
      <w:r w:rsidR="00B81121">
        <w:t>a decrease</w:t>
      </w:r>
      <w:r w:rsidR="004977B0">
        <w:t xml:space="preserve"> </w:t>
      </w:r>
      <w:r>
        <w:t xml:space="preserve">in the estimates </w:t>
      </w:r>
      <w:r w:rsidR="00F41850">
        <w:t>of burden hours for</w:t>
      </w:r>
      <w:r>
        <w:t xml:space="preserve"> rule 22c-2</w:t>
      </w:r>
      <w:r w:rsidR="00F41850">
        <w:t xml:space="preserve">.  The </w:t>
      </w:r>
      <w:r w:rsidR="00B81121">
        <w:t>decrease</w:t>
      </w:r>
      <w:r w:rsidR="004977B0">
        <w:t xml:space="preserve"> </w:t>
      </w:r>
      <w:r w:rsidR="00F41850">
        <w:t xml:space="preserve">primarily </w:t>
      </w:r>
      <w:r>
        <w:t>result</w:t>
      </w:r>
      <w:r w:rsidR="00F41850">
        <w:t>s</w:t>
      </w:r>
      <w:r>
        <w:t xml:space="preserve"> </w:t>
      </w:r>
      <w:r w:rsidR="002C30EB">
        <w:t>from a</w:t>
      </w:r>
      <w:r w:rsidR="00B81121">
        <w:t xml:space="preserve"> decrease </w:t>
      </w:r>
      <w:r w:rsidR="002C30EB">
        <w:t xml:space="preserve">in the number of </w:t>
      </w:r>
      <w:r w:rsidR="004977B0">
        <w:t>new fund groups that form</w:t>
      </w:r>
      <w:r w:rsidR="002C30EB">
        <w:t xml:space="preserve"> each year</w:t>
      </w:r>
      <w:r>
        <w:t xml:space="preserve">.  </w:t>
      </w:r>
      <w:r w:rsidR="000C1FDA">
        <w:t>Accordingly, the estimated ho</w:t>
      </w:r>
      <w:r w:rsidR="000354E8">
        <w:t xml:space="preserve">ur burden has </w:t>
      </w:r>
      <w:r w:rsidR="00B81121">
        <w:t xml:space="preserve">decreased </w:t>
      </w:r>
      <w:r w:rsidR="000354E8">
        <w:t xml:space="preserve">to </w:t>
      </w:r>
      <w:r w:rsidR="00B81121">
        <w:t xml:space="preserve">29,687.67 </w:t>
      </w:r>
      <w:r w:rsidR="004977B0">
        <w:t xml:space="preserve">hours from a previously estimated </w:t>
      </w:r>
      <w:r w:rsidR="00B81121">
        <w:t>33,829.5,</w:t>
      </w:r>
      <w:r w:rsidR="000354E8">
        <w:t xml:space="preserve"> a </w:t>
      </w:r>
      <w:r w:rsidR="00B81121">
        <w:t>decrease</w:t>
      </w:r>
      <w:r w:rsidR="004977B0">
        <w:t xml:space="preserve"> </w:t>
      </w:r>
      <w:r w:rsidR="000354E8">
        <w:t xml:space="preserve">of </w:t>
      </w:r>
      <w:r w:rsidR="00B81121">
        <w:t>4,141.83</w:t>
      </w:r>
      <w:r w:rsidR="004977B0">
        <w:t xml:space="preserve"> </w:t>
      </w:r>
      <w:r w:rsidR="000C1FDA">
        <w:t xml:space="preserve">hours.  </w:t>
      </w:r>
      <w:r w:rsidR="002C30EB">
        <w:t xml:space="preserve">There has been </w:t>
      </w:r>
      <w:r w:rsidR="00B81121">
        <w:t>an</w:t>
      </w:r>
      <w:r w:rsidR="004977B0">
        <w:t xml:space="preserve"> </w:t>
      </w:r>
      <w:r w:rsidR="002C30EB">
        <w:t xml:space="preserve">increase in the cost burden associated with rule 22c-2.  </w:t>
      </w:r>
      <w:r w:rsidR="00B81121">
        <w:t xml:space="preserve">The increase primarily results from </w:t>
      </w:r>
      <w:r w:rsidR="005C0814" w:rsidRPr="005C0814">
        <w:t xml:space="preserve">the staff’s estimates of the time costs that would result from </w:t>
      </w:r>
      <w:r w:rsidR="005C0814">
        <w:t xml:space="preserve">the rule.  </w:t>
      </w:r>
      <w:r w:rsidR="002C30EB">
        <w:t xml:space="preserve">As a result, </w:t>
      </w:r>
      <w:r w:rsidR="000C1FDA">
        <w:t xml:space="preserve">the estimated cost burden has </w:t>
      </w:r>
      <w:r w:rsidR="002C30EB">
        <w:t>increased</w:t>
      </w:r>
      <w:r w:rsidR="000C1FDA">
        <w:t xml:space="preserve"> </w:t>
      </w:r>
      <w:r w:rsidR="006411BA">
        <w:t xml:space="preserve">to </w:t>
      </w:r>
      <w:r w:rsidR="004977B0">
        <w:t>$40,</w:t>
      </w:r>
      <w:r w:rsidR="00994A80">
        <w:t>750,000</w:t>
      </w:r>
      <w:r w:rsidR="004977B0">
        <w:t xml:space="preserve"> from </w:t>
      </w:r>
      <w:r w:rsidR="002C30EB">
        <w:t>$</w:t>
      </w:r>
      <w:r w:rsidR="00994A80">
        <w:t>40,243</w:t>
      </w:r>
      <w:r w:rsidR="00960FA4">
        <w:t>,</w:t>
      </w:r>
      <w:r w:rsidR="00994A80">
        <w:t>000</w:t>
      </w:r>
      <w:r w:rsidR="002C30EB">
        <w:t>, an in</w:t>
      </w:r>
      <w:r w:rsidR="006E3DA9">
        <w:t>crease of $</w:t>
      </w:r>
      <w:r w:rsidR="00994A80">
        <w:t>507,000</w:t>
      </w:r>
      <w:r w:rsidR="006411BA">
        <w:t xml:space="preserve">. </w:t>
      </w:r>
    </w:p>
    <w:p w:rsidR="008A5585" w:rsidRPr="0044566F" w:rsidRDefault="008A5585" w:rsidP="00031418">
      <w:pPr>
        <w:widowControl w:val="0"/>
        <w:ind w:left="1440"/>
        <w:rPr>
          <w:b/>
          <w:bCs/>
        </w:rPr>
      </w:pPr>
      <w:r w:rsidRPr="0044566F">
        <w:rPr>
          <w:b/>
          <w:bCs/>
        </w:rPr>
        <w:t>16.</w:t>
      </w:r>
      <w:r w:rsidRPr="0044566F">
        <w:rPr>
          <w:b/>
          <w:bCs/>
        </w:rPr>
        <w:tab/>
        <w:t>Information Collection Planned for Statistical Purposes</w:t>
      </w:r>
    </w:p>
    <w:p w:rsidR="008A5585" w:rsidRPr="0044566F" w:rsidRDefault="008A5585" w:rsidP="00031418">
      <w:pPr>
        <w:widowControl w:val="0"/>
        <w:ind w:firstLine="0"/>
      </w:pPr>
      <w:r w:rsidRPr="0044566F">
        <w:t>Not applicable.</w:t>
      </w:r>
    </w:p>
    <w:p w:rsidR="008A5585" w:rsidRPr="0044566F" w:rsidRDefault="00235256" w:rsidP="00031418">
      <w:pPr>
        <w:widowControl w:val="0"/>
        <w:ind w:left="1440"/>
        <w:rPr>
          <w:b/>
          <w:bCs/>
        </w:rPr>
      </w:pPr>
      <w:r>
        <w:rPr>
          <w:b/>
          <w:bCs/>
        </w:rPr>
        <w:t>17.</w:t>
      </w:r>
      <w:r>
        <w:rPr>
          <w:b/>
          <w:bCs/>
        </w:rPr>
        <w:tab/>
        <w:t xml:space="preserve">Approval to </w:t>
      </w:r>
      <w:r w:rsidR="00364167">
        <w:rPr>
          <w:b/>
          <w:bCs/>
        </w:rPr>
        <w:t>Omit OMB</w:t>
      </w:r>
      <w:r w:rsidR="008A5585" w:rsidRPr="0044566F">
        <w:rPr>
          <w:b/>
          <w:bCs/>
        </w:rPr>
        <w:t xml:space="preserve"> Expiration Date</w:t>
      </w:r>
    </w:p>
    <w:p w:rsidR="008A5585" w:rsidRPr="0044566F" w:rsidRDefault="00A16C3B" w:rsidP="00D17540">
      <w:pPr>
        <w:pStyle w:val="BodyTextIndent"/>
        <w:widowControl w:val="0"/>
      </w:pPr>
      <w:r>
        <w:t>Not applicable.</w:t>
      </w:r>
    </w:p>
    <w:p w:rsidR="008A5585" w:rsidRPr="0044566F" w:rsidRDefault="008A5585" w:rsidP="00031418">
      <w:pPr>
        <w:widowControl w:val="0"/>
        <w:ind w:left="1440"/>
        <w:rPr>
          <w:b/>
          <w:bCs/>
        </w:rPr>
      </w:pPr>
      <w:r w:rsidRPr="0044566F">
        <w:rPr>
          <w:b/>
          <w:bCs/>
        </w:rPr>
        <w:t>18.</w:t>
      </w:r>
      <w:r w:rsidRPr="0044566F">
        <w:rPr>
          <w:b/>
          <w:bCs/>
        </w:rPr>
        <w:tab/>
        <w:t>Excepti</w:t>
      </w:r>
      <w:r w:rsidR="00235256">
        <w:rPr>
          <w:b/>
          <w:bCs/>
        </w:rPr>
        <w:t>ons to Certification Statement</w:t>
      </w:r>
      <w:r w:rsidR="00364167">
        <w:rPr>
          <w:b/>
          <w:bCs/>
        </w:rPr>
        <w:t xml:space="preserve"> for Paperwork Reduction Act Submission</w:t>
      </w:r>
    </w:p>
    <w:p w:rsidR="008A5585" w:rsidRPr="0044566F" w:rsidRDefault="008A5585" w:rsidP="0000503C">
      <w:pPr>
        <w:widowControl w:val="0"/>
        <w:ind w:firstLine="0"/>
      </w:pPr>
      <w:r w:rsidRPr="0044566F">
        <w:t>Not applicable.</w:t>
      </w:r>
    </w:p>
    <w:p w:rsidR="008A5585" w:rsidRPr="0044566F" w:rsidRDefault="008A5585" w:rsidP="00031418">
      <w:pPr>
        <w:pStyle w:val="Heading4"/>
        <w:keepNext w:val="0"/>
        <w:widowControl w:val="0"/>
        <w:tabs>
          <w:tab w:val="clear" w:pos="1800"/>
        </w:tabs>
        <w:spacing w:line="480" w:lineRule="auto"/>
        <w:rPr>
          <w:b/>
          <w:bCs/>
        </w:rPr>
      </w:pPr>
      <w:r w:rsidRPr="0044566F">
        <w:rPr>
          <w:b/>
          <w:bCs/>
        </w:rPr>
        <w:t>COLLECTION OF INFORMATION EMPLOYING STATISTICAL METHODS</w:t>
      </w:r>
    </w:p>
    <w:p w:rsidR="008A5585" w:rsidRPr="009B0E07" w:rsidRDefault="008A5585" w:rsidP="009B0E07">
      <w:pPr>
        <w:pStyle w:val="Heading3"/>
        <w:keepNext w:val="0"/>
        <w:widowControl w:val="0"/>
        <w:spacing w:line="480" w:lineRule="auto"/>
        <w:ind w:firstLine="720"/>
        <w:rPr>
          <w:i w:val="0"/>
        </w:rPr>
      </w:pPr>
      <w:r w:rsidRPr="009B0E07">
        <w:rPr>
          <w:i w:val="0"/>
        </w:rPr>
        <w:t>Not applicable.</w:t>
      </w:r>
    </w:p>
    <w:sectPr w:rsidR="008A5585" w:rsidRPr="009B0E07" w:rsidSect="005D364B">
      <w:headerReference w:type="even" r:id="rId9"/>
      <w:headerReference w:type="default" r:id="rId10"/>
      <w:pgSz w:w="12240" w:h="15840" w:code="1"/>
      <w:pgMar w:top="1440" w:right="1440" w:bottom="1440"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404" w:rsidRDefault="005B2404">
      <w:r>
        <w:separator/>
      </w:r>
    </w:p>
  </w:endnote>
  <w:endnote w:type="continuationSeparator" w:id="0">
    <w:p w:rsidR="005B2404" w:rsidRDefault="005B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404" w:rsidRDefault="005B2404">
      <w:r>
        <w:separator/>
      </w:r>
    </w:p>
  </w:footnote>
  <w:footnote w:type="continuationSeparator" w:id="0">
    <w:p w:rsidR="005B2404" w:rsidRDefault="005B2404">
      <w:r>
        <w:continuationSeparator/>
      </w:r>
    </w:p>
  </w:footnote>
  <w:footnote w:id="1">
    <w:p w:rsidR="007C45B8" w:rsidRPr="00FE078F" w:rsidRDefault="007C45B8" w:rsidP="00E346E8">
      <w:pPr>
        <w:pStyle w:val="FootnoteText"/>
        <w:rPr>
          <w:szCs w:val="22"/>
        </w:rPr>
      </w:pPr>
      <w:r w:rsidRPr="00FE078F">
        <w:rPr>
          <w:rStyle w:val="FootnoteReference"/>
          <w:sz w:val="22"/>
          <w:szCs w:val="22"/>
        </w:rPr>
        <w:footnoteRef/>
      </w:r>
      <w:r w:rsidRPr="00FE078F">
        <w:rPr>
          <w:szCs w:val="22"/>
        </w:rPr>
        <w:t xml:space="preserve"> </w:t>
      </w:r>
      <w:r w:rsidRPr="00FE078F">
        <w:rPr>
          <w:szCs w:val="22"/>
        </w:rPr>
        <w:tab/>
        <w:t>44 U.S.C. 3501-3520.</w:t>
      </w:r>
    </w:p>
  </w:footnote>
  <w:footnote w:id="2">
    <w:p w:rsidR="007C45B8" w:rsidRDefault="007C45B8">
      <w:pPr>
        <w:pStyle w:val="FootnoteText"/>
      </w:pPr>
      <w:r>
        <w:rPr>
          <w:rStyle w:val="FootnoteReference"/>
        </w:rPr>
        <w:footnoteRef/>
      </w:r>
      <w:r w:rsidR="0077202D">
        <w:t xml:space="preserve"> </w:t>
      </w:r>
      <w:r w:rsidR="0077202D">
        <w:tab/>
        <w:t>The rule defines a f</w:t>
      </w:r>
      <w:r>
        <w:t xml:space="preserve">inancial </w:t>
      </w:r>
      <w:r w:rsidR="0077202D">
        <w:t>i</w:t>
      </w:r>
      <w:r>
        <w:t xml:space="preserve">ntermediary as: </w:t>
      </w:r>
      <w:r w:rsidR="001150FA">
        <w:t xml:space="preserve"> </w:t>
      </w:r>
      <w:r>
        <w:t xml:space="preserve">(i) Any broker, dealer, bank, or other person that holds securities issued by the fund in nominee name; (ii) a unit investment trust or fund that invests in the fund in reliance on section 12(d)(i)(E) of the Act; and (iii) in the case of a participant directed employee benefit plan that owns the securities issued by the fund, a retirement plan’s administrator under section 316(A) of the Employee Retirement </w:t>
      </w:r>
      <w:smartTag w:uri="urn:schemas-microsoft-com:office:smarttags" w:element="PersonName">
        <w:r>
          <w:t>Security</w:t>
        </w:r>
      </w:smartTag>
      <w:r>
        <w:t xml:space="preserve"> Act of 1974 (29 U.S.C. 1002(16)(A) or any person that maintains the plans’ participant records. Financial Intermediary does not include any person that the fund treats as an individual investor with respect to the fund’s policies established for the purpose of eliminating or reducing any dilution of the value of the outstanding securities issued by the fund. </w:t>
      </w:r>
      <w:r w:rsidR="001150FA">
        <w:t xml:space="preserve"> </w:t>
      </w:r>
      <w:r>
        <w:rPr>
          <w:szCs w:val="22"/>
        </w:rPr>
        <w:t>Rule 22c-2(c)(1).</w:t>
      </w:r>
    </w:p>
  </w:footnote>
  <w:footnote w:id="3">
    <w:p w:rsidR="007C45B8" w:rsidRDefault="007C45B8">
      <w:pPr>
        <w:pStyle w:val="FootnoteText"/>
      </w:pPr>
      <w:r>
        <w:rPr>
          <w:rStyle w:val="FootnoteReference"/>
        </w:rPr>
        <w:footnoteRef/>
      </w:r>
      <w:r>
        <w:t xml:space="preserve"> </w:t>
      </w:r>
      <w:r>
        <w:tab/>
        <w:t>P.L. 106-229, 114 Stat. 464 (June 30, 2000).</w:t>
      </w:r>
    </w:p>
  </w:footnote>
  <w:footnote w:id="4">
    <w:p w:rsidR="004977B0" w:rsidRDefault="004977B0">
      <w:pPr>
        <w:pStyle w:val="FootnoteText"/>
      </w:pPr>
      <w:r>
        <w:rPr>
          <w:rStyle w:val="FootnoteReference"/>
        </w:rPr>
        <w:footnoteRef/>
      </w:r>
      <w:r>
        <w:t xml:space="preserve"> </w:t>
      </w:r>
      <w:r>
        <w:tab/>
        <w:t xml:space="preserve">This estimate is based on the number of registrants filing </w:t>
      </w:r>
      <w:r w:rsidR="00C51B7B">
        <w:t>initial Form N-1A or N-3</w:t>
      </w:r>
      <w:r>
        <w:t>.</w:t>
      </w:r>
      <w:r w:rsidR="000F233E">
        <w:t xml:space="preserve">  This estimate does not carve out money market funds, ETFs, or funds that affirmatively permit short-term trading of their securities, so this estimate corresponds to the outer limit of the number of registrants that would ha</w:t>
      </w:r>
      <w:r w:rsidR="00CC40A5">
        <w:t>ve to make this determination.</w:t>
      </w:r>
    </w:p>
  </w:footnote>
  <w:footnote w:id="5">
    <w:p w:rsidR="007C45B8" w:rsidRDefault="007C45B8">
      <w:pPr>
        <w:pStyle w:val="FootnoteText"/>
      </w:pPr>
      <w:r>
        <w:rPr>
          <w:rStyle w:val="FootnoteReference"/>
        </w:rPr>
        <w:footnoteRef/>
      </w:r>
      <w:r>
        <w:t xml:space="preserve"> </w:t>
      </w:r>
      <w:r>
        <w:tab/>
        <w:t xml:space="preserve">Unless otherwise stated, estimates throughout this analysis are derived from a survey of funds and conversations with fund representatives. </w:t>
      </w:r>
    </w:p>
  </w:footnote>
  <w:footnote w:id="6">
    <w:p w:rsidR="007C45B8" w:rsidRDefault="007C45B8">
      <w:pPr>
        <w:pStyle w:val="FootnoteText"/>
      </w:pPr>
      <w:r>
        <w:rPr>
          <w:rStyle w:val="FootnoteReference"/>
        </w:rPr>
        <w:footnoteRef/>
      </w:r>
      <w:r>
        <w:t xml:space="preserve"> </w:t>
      </w:r>
      <w:r>
        <w:tab/>
        <w:t>The esti</w:t>
      </w:r>
      <w:r w:rsidR="004D78A0">
        <w:t>mate of $4</w:t>
      </w:r>
      <w:r w:rsidR="005E6D68">
        <w:t>465</w:t>
      </w:r>
      <w:r>
        <w:t xml:space="preserve"> per hour for the board’s time as a whole is based on conversations with representatives of funds and their legal counsel</w:t>
      </w:r>
      <w:r w:rsidR="005E6D68">
        <w:t>.</w:t>
      </w:r>
    </w:p>
  </w:footnote>
  <w:footnote w:id="7">
    <w:p w:rsidR="005E6D68" w:rsidRDefault="005E6D68" w:rsidP="005E6D68">
      <w:pPr>
        <w:pStyle w:val="FootnoteText"/>
      </w:pPr>
      <w:r>
        <w:rPr>
          <w:rStyle w:val="FootnoteReference"/>
        </w:rPr>
        <w:footnoteRef/>
      </w:r>
      <w:r>
        <w:t xml:space="preserve"> </w:t>
      </w:r>
      <w:r w:rsidRPr="003D06A1">
        <w:rPr>
          <w:szCs w:val="22"/>
        </w:rPr>
        <w:tab/>
      </w:r>
      <w:r w:rsidR="00A17251" w:rsidRPr="00A17251">
        <w:rPr>
          <w:szCs w:val="22"/>
        </w:rPr>
        <w:t>The $6</w:t>
      </w:r>
      <w:r w:rsidR="00CF07A5">
        <w:rPr>
          <w:szCs w:val="22"/>
        </w:rPr>
        <w:t>6</w:t>
      </w:r>
      <w:r w:rsidR="00A17251" w:rsidRPr="00A17251">
        <w:rPr>
          <w:szCs w:val="22"/>
        </w:rPr>
        <w:t xml:space="preserve"> per hour figure </w:t>
      </w:r>
      <w:r w:rsidR="00CF07A5">
        <w:rPr>
          <w:szCs w:val="22"/>
        </w:rPr>
        <w:t>for a compliance clerk</w:t>
      </w:r>
      <w:r w:rsidR="00CF07A5" w:rsidRPr="00CF07A5">
        <w:rPr>
          <w:szCs w:val="22"/>
        </w:rPr>
        <w:t xml:space="preserve"> is from </w:t>
      </w:r>
      <w:r w:rsidR="00CF07A5" w:rsidRPr="002248A8">
        <w:rPr>
          <w:szCs w:val="22"/>
        </w:rPr>
        <w:t xml:space="preserve">SIFMA’s </w:t>
      </w:r>
      <w:r w:rsidR="00CF07A5" w:rsidRPr="002248A8">
        <w:rPr>
          <w:i/>
          <w:szCs w:val="22"/>
        </w:rPr>
        <w:t>Office</w:t>
      </w:r>
      <w:r w:rsidR="00CF07A5" w:rsidRPr="00CF07A5">
        <w:rPr>
          <w:i/>
          <w:szCs w:val="22"/>
        </w:rPr>
        <w:t xml:space="preserve"> Salaries in the Securities Industry 2013</w:t>
      </w:r>
      <w:r w:rsidR="00CF07A5" w:rsidRPr="00CF07A5">
        <w:rPr>
          <w:szCs w:val="22"/>
        </w:rPr>
        <w:t>, modified by Commission staff to account for an 1800-hour work-year and inflation, and multiplied by 2.93 to account for bonuses, firm size, employee bene</w:t>
      </w:r>
      <w:r w:rsidR="006234B5">
        <w:rPr>
          <w:szCs w:val="22"/>
        </w:rPr>
        <w:t>fits and overhead.</w:t>
      </w:r>
    </w:p>
  </w:footnote>
  <w:footnote w:id="8">
    <w:p w:rsidR="00A17251" w:rsidRDefault="00A17251">
      <w:pPr>
        <w:pStyle w:val="FootnoteText"/>
      </w:pPr>
      <w:r>
        <w:rPr>
          <w:rStyle w:val="FootnoteReference"/>
        </w:rPr>
        <w:footnoteRef/>
      </w:r>
      <w:r>
        <w:t xml:space="preserve"> </w:t>
      </w:r>
      <w:r>
        <w:tab/>
        <w:t>The $345</w:t>
      </w:r>
      <w:r w:rsidRPr="00A17251">
        <w:t xml:space="preserve"> per hour figure for </w:t>
      </w:r>
      <w:r>
        <w:t>internal compliance counsel</w:t>
      </w:r>
      <w:r w:rsidRPr="00A17251">
        <w:t xml:space="preserve"> is from </w:t>
      </w:r>
      <w:r w:rsidRPr="002248A8">
        <w:t xml:space="preserve">SIFMA's </w:t>
      </w:r>
      <w:r w:rsidRPr="00CF07A5">
        <w:rPr>
          <w:i/>
        </w:rPr>
        <w:t>Management &amp; Professional Earnings in the Securities Industry 2013</w:t>
      </w:r>
      <w:r w:rsidRPr="00A17251">
        <w:t xml:space="preserve">, modified by Commission staff to account for an 1800-hour work-year and inflation, and multiplied by 5.35 to account for bonuses, firm size, </w:t>
      </w:r>
      <w:r>
        <w:t>employee benefits and overhead.</w:t>
      </w:r>
    </w:p>
  </w:footnote>
  <w:footnote w:id="9">
    <w:p w:rsidR="007C45B8" w:rsidRDefault="007C45B8">
      <w:pPr>
        <w:pStyle w:val="FootnoteText"/>
      </w:pPr>
      <w:r>
        <w:rPr>
          <w:rStyle w:val="FootnoteReference"/>
        </w:rPr>
        <w:footnoteRef/>
      </w:r>
      <w:r>
        <w:t xml:space="preserve"> </w:t>
      </w:r>
      <w:r>
        <w:tab/>
        <w:t xml:space="preserve">This calculation is based on the following estimates: (2 hours of board time + 3 hours of internal </w:t>
      </w:r>
      <w:r w:rsidR="0004265C">
        <w:t xml:space="preserve">compliance </w:t>
      </w:r>
      <w:r>
        <w:t xml:space="preserve">counsel time + 8 hours of compliance </w:t>
      </w:r>
      <w:r w:rsidR="0004265C">
        <w:t xml:space="preserve">clerk </w:t>
      </w:r>
      <w:r w:rsidR="006234B5">
        <w:t>time = 13 hours).</w:t>
      </w:r>
    </w:p>
  </w:footnote>
  <w:footnote w:id="10">
    <w:p w:rsidR="007C45B8" w:rsidRDefault="007C45B8">
      <w:pPr>
        <w:pStyle w:val="FootnoteText"/>
      </w:pPr>
      <w:r>
        <w:rPr>
          <w:rStyle w:val="FootnoteReference"/>
        </w:rPr>
        <w:footnoteRef/>
      </w:r>
      <w:r>
        <w:t xml:space="preserve"> </w:t>
      </w:r>
      <w:r>
        <w:tab/>
        <w:t>This calculation is based</w:t>
      </w:r>
      <w:r w:rsidR="004D78A0">
        <w:t xml:space="preserve"> on</w:t>
      </w:r>
      <w:r w:rsidR="00A32B6F">
        <w:t xml:space="preserve"> the following estimates: (</w:t>
      </w:r>
      <w:r w:rsidR="00CF07A5">
        <w:t>$8930</w:t>
      </w:r>
      <w:r w:rsidR="004D78A0">
        <w:t xml:space="preserve"> ($</w:t>
      </w:r>
      <w:r w:rsidR="00FA4D75">
        <w:t>4465</w:t>
      </w:r>
      <w:r>
        <w:t xml:space="preserve"> board time </w:t>
      </w:r>
      <w:r w:rsidR="00FA4D75">
        <w:t>× 2 hours = $8930</w:t>
      </w:r>
      <w:r w:rsidR="004D78A0">
        <w:t>) + $</w:t>
      </w:r>
      <w:r w:rsidR="0004265C">
        <w:t>5</w:t>
      </w:r>
      <w:r w:rsidR="00CF07A5">
        <w:t>28</w:t>
      </w:r>
      <w:r w:rsidR="0004265C">
        <w:t xml:space="preserve"> </w:t>
      </w:r>
      <w:r w:rsidR="004D78A0">
        <w:t>($</w:t>
      </w:r>
      <w:r w:rsidR="0004265C">
        <w:t>6</w:t>
      </w:r>
      <w:r w:rsidR="00CF07A5">
        <w:t>6</w:t>
      </w:r>
      <w:r w:rsidR="0004265C">
        <w:t xml:space="preserve"> </w:t>
      </w:r>
      <w:r w:rsidR="004D78A0">
        <w:t>compliance time × 8 hours = $</w:t>
      </w:r>
      <w:r w:rsidR="00CF07A5">
        <w:t>528</w:t>
      </w:r>
      <w:r w:rsidR="004D78A0">
        <w:t>) + $</w:t>
      </w:r>
      <w:r w:rsidR="00FA4D75">
        <w:t>1035</w:t>
      </w:r>
      <w:r w:rsidR="0004265C">
        <w:t xml:space="preserve"> </w:t>
      </w:r>
      <w:r w:rsidR="004D78A0">
        <w:t>($</w:t>
      </w:r>
      <w:r w:rsidR="00FA4D75">
        <w:t>345</w:t>
      </w:r>
      <w:r w:rsidR="002248A8">
        <w:t xml:space="preserve"> attorney time</w:t>
      </w:r>
      <w:r w:rsidR="0004265C">
        <w:t xml:space="preserve"> </w:t>
      </w:r>
      <w:r>
        <w:t xml:space="preserve">× 3 hours </w:t>
      </w:r>
      <w:r w:rsidR="004D78A0">
        <w:t>= $</w:t>
      </w:r>
      <w:r w:rsidR="00FA4D75">
        <w:t>1035</w:t>
      </w:r>
      <w:r w:rsidR="004D78A0">
        <w:t>) = $</w:t>
      </w:r>
      <w:r w:rsidR="00FA4D75">
        <w:t>1</w:t>
      </w:r>
      <w:r w:rsidR="00CF07A5">
        <w:t>0,493</w:t>
      </w:r>
      <w:r w:rsidR="00A32B6F">
        <w:t>)</w:t>
      </w:r>
      <w:r w:rsidR="006234B5">
        <w:t>.</w:t>
      </w:r>
    </w:p>
  </w:footnote>
  <w:footnote w:id="11">
    <w:p w:rsidR="007C45B8" w:rsidRPr="00363314" w:rsidRDefault="007C45B8">
      <w:pPr>
        <w:pStyle w:val="FootnoteText"/>
        <w:rPr>
          <w:vertAlign w:val="subscript"/>
        </w:rPr>
      </w:pPr>
      <w:r>
        <w:rPr>
          <w:rStyle w:val="FootnoteReference"/>
        </w:rPr>
        <w:footnoteRef/>
      </w:r>
      <w:r>
        <w:t xml:space="preserve"> </w:t>
      </w:r>
      <w:r>
        <w:tab/>
        <w:t xml:space="preserve">This calculation is based on the following estimates: (13 hours × </w:t>
      </w:r>
      <w:r w:rsidR="00CF07A5">
        <w:t>42</w:t>
      </w:r>
      <w:r w:rsidR="00A573AE">
        <w:t xml:space="preserve"> </w:t>
      </w:r>
      <w:r w:rsidR="004D78A0">
        <w:t xml:space="preserve">funds = </w:t>
      </w:r>
      <w:r w:rsidR="00CF07A5">
        <w:t>546</w:t>
      </w:r>
      <w:r w:rsidR="00A573AE">
        <w:t xml:space="preserve"> </w:t>
      </w:r>
      <w:r w:rsidR="004D78A0">
        <w:t>hours); ($</w:t>
      </w:r>
      <w:r w:rsidR="00CF07A5">
        <w:t>10,493</w:t>
      </w:r>
      <w:r>
        <w:t xml:space="preserve"> ×</w:t>
      </w:r>
      <w:r w:rsidR="004D78A0">
        <w:t xml:space="preserve"> </w:t>
      </w:r>
      <w:r w:rsidR="00CF07A5">
        <w:t>42</w:t>
      </w:r>
      <w:r w:rsidR="00C46C4C">
        <w:t xml:space="preserve"> </w:t>
      </w:r>
      <w:r w:rsidR="006234B5">
        <w:t>funds = $440,706</w:t>
      </w:r>
      <w:r w:rsidR="00FA4D75">
        <w:t>).</w:t>
      </w:r>
    </w:p>
  </w:footnote>
  <w:footnote w:id="12">
    <w:p w:rsidR="007C45B8" w:rsidRDefault="007C45B8" w:rsidP="00E429B4">
      <w:pPr>
        <w:pStyle w:val="FootnoteText"/>
      </w:pPr>
      <w:r>
        <w:rPr>
          <w:rStyle w:val="FootnoteReference"/>
        </w:rPr>
        <w:footnoteRef/>
      </w:r>
      <w:r>
        <w:t xml:space="preserve"> </w:t>
      </w:r>
      <w:r>
        <w:tab/>
      </w:r>
      <w:r w:rsidR="004D78A0">
        <w:t xml:space="preserve">ICI, </w:t>
      </w:r>
      <w:r w:rsidR="00E429B4">
        <w:t>2017</w:t>
      </w:r>
      <w:r w:rsidR="004A73FE" w:rsidRPr="00062B8D">
        <w:t xml:space="preserve"> </w:t>
      </w:r>
      <w:r w:rsidRPr="00950983">
        <w:rPr>
          <w:smallCaps/>
        </w:rPr>
        <w:t>Investment Company Fact Book</w:t>
      </w:r>
      <w:r w:rsidRPr="00062B8D">
        <w:t xml:space="preserve"> </w:t>
      </w:r>
      <w:r w:rsidR="00E429B4">
        <w:t>at Fig 1.8</w:t>
      </w:r>
      <w:r>
        <w:t xml:space="preserve"> </w:t>
      </w:r>
      <w:r w:rsidR="004D78A0">
        <w:t>(</w:t>
      </w:r>
      <w:r w:rsidR="00E429B4">
        <w:t>2017</w:t>
      </w:r>
      <w:r w:rsidRPr="00062B8D">
        <w:t>) (</w:t>
      </w:r>
      <w:hyperlink r:id="rId1" w:history="1">
        <w:r w:rsidR="006071CC" w:rsidRPr="006071CC">
          <w:rPr>
            <w:rStyle w:val="Hyperlink"/>
          </w:rPr>
          <w:t>https://www.ici.org/research/stats/factbook</w:t>
        </w:r>
      </w:hyperlink>
      <w:r w:rsidR="006071CC">
        <w:t>).</w:t>
      </w:r>
    </w:p>
  </w:footnote>
  <w:footnote w:id="13">
    <w:p w:rsidR="00CF07A5" w:rsidRDefault="00CF07A5">
      <w:pPr>
        <w:pStyle w:val="FootnoteText"/>
      </w:pPr>
      <w:r>
        <w:rPr>
          <w:rStyle w:val="FootnoteReference"/>
        </w:rPr>
        <w:footnoteRef/>
      </w:r>
      <w:r>
        <w:t xml:space="preserve"> </w:t>
      </w:r>
      <w:r>
        <w:tab/>
        <w:t>The $392</w:t>
      </w:r>
      <w:r w:rsidRPr="00A17251">
        <w:t xml:space="preserve"> per hour figure for </w:t>
      </w:r>
      <w:r>
        <w:t>attorneys</w:t>
      </w:r>
      <w:r w:rsidRPr="00A17251">
        <w:t xml:space="preserve"> is from </w:t>
      </w:r>
      <w:r w:rsidRPr="00A32B6F">
        <w:t>SIFMA</w:t>
      </w:r>
      <w:r w:rsidR="00A32B6F">
        <w:t>’</w:t>
      </w:r>
      <w:r w:rsidRPr="00A32B6F">
        <w:t xml:space="preserve">s </w:t>
      </w:r>
      <w:r w:rsidRPr="00CF07A5">
        <w:rPr>
          <w:i/>
        </w:rPr>
        <w:t>Management &amp; Professional Earnings in the Securities Industry 2013</w:t>
      </w:r>
      <w:r w:rsidRPr="00A17251">
        <w:t xml:space="preserve">, modified by Commission staff to account for an 1800-hour work-year and inflation, and multiplied by 5.35 to account for bonuses, firm size, </w:t>
      </w:r>
      <w:r>
        <w:t>employee benefits and overhead.</w:t>
      </w:r>
    </w:p>
  </w:footnote>
  <w:footnote w:id="14">
    <w:p w:rsidR="007C45B8" w:rsidRDefault="007C45B8">
      <w:pPr>
        <w:pStyle w:val="FootnoteText"/>
      </w:pPr>
      <w:r>
        <w:rPr>
          <w:rStyle w:val="FootnoteReference"/>
        </w:rPr>
        <w:footnoteRef/>
      </w:r>
      <w:r>
        <w:t xml:space="preserve"> </w:t>
      </w:r>
      <w:r>
        <w:tab/>
        <w:t>This estimate is based on the foll</w:t>
      </w:r>
      <w:r w:rsidR="004D78A0">
        <w:t>owing calculations: (4 hours × 3 new intermediaries = 12 hours); (12</w:t>
      </w:r>
      <w:r>
        <w:t xml:space="preserve"> hours × $</w:t>
      </w:r>
      <w:r w:rsidR="006071CC">
        <w:t>392</w:t>
      </w:r>
      <w:r w:rsidR="00755C1A">
        <w:t xml:space="preserve"> </w:t>
      </w:r>
      <w:r w:rsidR="004D78A0">
        <w:t>= $</w:t>
      </w:r>
      <w:r w:rsidR="00755C1A">
        <w:t>4</w:t>
      </w:r>
      <w:r w:rsidR="006071CC">
        <w:t>704</w:t>
      </w:r>
      <w:r w:rsidR="00755C1A">
        <w:t>)</w:t>
      </w:r>
      <w:r>
        <w:t xml:space="preserve">.  </w:t>
      </w:r>
    </w:p>
  </w:footnote>
  <w:footnote w:id="15">
    <w:p w:rsidR="007C45B8" w:rsidRDefault="007C45B8">
      <w:pPr>
        <w:pStyle w:val="FootnoteText"/>
      </w:pPr>
      <w:r>
        <w:rPr>
          <w:rStyle w:val="FootnoteReference"/>
        </w:rPr>
        <w:footnoteRef/>
      </w:r>
      <w:r>
        <w:t xml:space="preserve"> </w:t>
      </w:r>
      <w:r>
        <w:tab/>
        <w:t>This estimate is based on the followi</w:t>
      </w:r>
      <w:r w:rsidR="004D78A0">
        <w:t>ng calculations: (12</w:t>
      </w:r>
      <w:r>
        <w:t xml:space="preserve"> hours × </w:t>
      </w:r>
      <w:r w:rsidR="004A73FE">
        <w:t>8</w:t>
      </w:r>
      <w:r w:rsidR="006071CC">
        <w:t>50</w:t>
      </w:r>
      <w:r w:rsidR="004A73FE">
        <w:t xml:space="preserve"> </w:t>
      </w:r>
      <w:r w:rsidR="004D78A0">
        <w:t xml:space="preserve">fund groups = </w:t>
      </w:r>
      <w:r w:rsidR="006071CC">
        <w:t>10,200</w:t>
      </w:r>
      <w:r w:rsidR="004A73FE">
        <w:t xml:space="preserve"> </w:t>
      </w:r>
      <w:r w:rsidR="004D78A0">
        <w:t>hours); (</w:t>
      </w:r>
      <w:r w:rsidR="006071CC">
        <w:t>10,200</w:t>
      </w:r>
      <w:r w:rsidR="004A73FE">
        <w:t xml:space="preserve"> </w:t>
      </w:r>
      <w:r w:rsidR="004D78A0">
        <w:t>hours × $</w:t>
      </w:r>
      <w:r w:rsidR="006071CC">
        <w:t>392</w:t>
      </w:r>
      <w:r w:rsidR="004A73FE">
        <w:t xml:space="preserve"> </w:t>
      </w:r>
      <w:r w:rsidR="004D78A0">
        <w:t>= $</w:t>
      </w:r>
      <w:r w:rsidR="004A73FE">
        <w:t>3,</w:t>
      </w:r>
      <w:r w:rsidR="006071CC">
        <w:t>998</w:t>
      </w:r>
      <w:r w:rsidR="004A73FE">
        <w:t>,</w:t>
      </w:r>
      <w:r w:rsidR="006071CC">
        <w:t>400</w:t>
      </w:r>
      <w:r>
        <w:t xml:space="preserve">). </w:t>
      </w:r>
    </w:p>
  </w:footnote>
  <w:footnote w:id="16">
    <w:p w:rsidR="007C45B8" w:rsidRDefault="007C45B8">
      <w:pPr>
        <w:pStyle w:val="FootnoteText"/>
      </w:pPr>
      <w:r>
        <w:rPr>
          <w:rStyle w:val="FootnoteReference"/>
        </w:rPr>
        <w:footnoteRef/>
      </w:r>
      <w:r>
        <w:t xml:space="preserve"> </w:t>
      </w:r>
      <w:r>
        <w:tab/>
      </w:r>
      <w:r w:rsidR="004D78A0">
        <w:t xml:space="preserve">ICI, </w:t>
      </w:r>
      <w:r w:rsidR="00755C1A">
        <w:t>201</w:t>
      </w:r>
      <w:r w:rsidR="006071CC">
        <w:t>7</w:t>
      </w:r>
      <w:r w:rsidR="00755C1A" w:rsidRPr="00062B8D">
        <w:t xml:space="preserve"> </w:t>
      </w:r>
      <w:r w:rsidR="004D78A0" w:rsidRPr="00950983">
        <w:rPr>
          <w:smallCaps/>
        </w:rPr>
        <w:t>Investment Company Fact Book</w:t>
      </w:r>
      <w:r w:rsidR="004D78A0" w:rsidRPr="00062B8D">
        <w:t xml:space="preserve"> </w:t>
      </w:r>
      <w:r w:rsidR="004D78A0">
        <w:t>at Fig 1.</w:t>
      </w:r>
      <w:r w:rsidR="006071CC">
        <w:t>8</w:t>
      </w:r>
      <w:r w:rsidR="004D78A0">
        <w:t xml:space="preserve"> (</w:t>
      </w:r>
      <w:r w:rsidR="006071CC">
        <w:t>2017</w:t>
      </w:r>
      <w:r w:rsidR="004D78A0" w:rsidRPr="00062B8D">
        <w:t>) (</w:t>
      </w:r>
      <w:hyperlink r:id="rId2" w:history="1">
        <w:r w:rsidR="006071CC" w:rsidRPr="006071CC">
          <w:rPr>
            <w:rStyle w:val="Hyperlink"/>
          </w:rPr>
          <w:t>https://www.ici.org/research/stats/factbook</w:t>
        </w:r>
      </w:hyperlink>
      <w:r w:rsidR="004D78A0">
        <w:t>).</w:t>
      </w:r>
    </w:p>
  </w:footnote>
  <w:footnote w:id="17">
    <w:p w:rsidR="007C45B8" w:rsidRDefault="007C45B8">
      <w:pPr>
        <w:pStyle w:val="FootnoteText"/>
      </w:pPr>
      <w:r>
        <w:rPr>
          <w:rStyle w:val="FootnoteReference"/>
        </w:rPr>
        <w:footnoteRef/>
      </w:r>
      <w:r>
        <w:t xml:space="preserve"> </w:t>
      </w:r>
      <w:r>
        <w:tab/>
        <w:t>Commission staff understands that funds generally use a standard information sharing agreement, drafted by the fund or an outside entity, and then modifies that agreement according</w:t>
      </w:r>
      <w:r w:rsidR="0077202D">
        <w:t xml:space="preserve"> to</w:t>
      </w:r>
      <w:r>
        <w:t xml:space="preserve"> the requirements of each intermediary.  </w:t>
      </w:r>
    </w:p>
  </w:footnote>
  <w:footnote w:id="18">
    <w:p w:rsidR="00331AEF" w:rsidRDefault="00331AEF">
      <w:pPr>
        <w:pStyle w:val="FootnoteText"/>
      </w:pPr>
      <w:r>
        <w:rPr>
          <w:rStyle w:val="FootnoteReference"/>
        </w:rPr>
        <w:footnoteRef/>
      </w:r>
      <w:r>
        <w:t xml:space="preserve"> </w:t>
      </w:r>
      <w:r>
        <w:tab/>
      </w:r>
      <w:r>
        <w:rPr>
          <w:szCs w:val="22"/>
        </w:rPr>
        <w:t>The $392</w:t>
      </w:r>
      <w:r w:rsidRPr="00A17251">
        <w:rPr>
          <w:szCs w:val="22"/>
        </w:rPr>
        <w:t xml:space="preserve"> per hour figure for </w:t>
      </w:r>
      <w:r>
        <w:rPr>
          <w:szCs w:val="22"/>
        </w:rPr>
        <w:t>an attorney</w:t>
      </w:r>
      <w:r w:rsidRPr="00A17251">
        <w:rPr>
          <w:szCs w:val="22"/>
        </w:rPr>
        <w:t xml:space="preserve"> is from SIFMA</w:t>
      </w:r>
      <w:r>
        <w:rPr>
          <w:szCs w:val="22"/>
        </w:rPr>
        <w:t>’</w:t>
      </w:r>
      <w:r w:rsidRPr="00A17251">
        <w:rPr>
          <w:szCs w:val="22"/>
        </w:rPr>
        <w:t>s Management &amp; Professional Earnings in the Securities Industry 2013, modified by Commission staff to account for an 1800-hour work-year and inflation, and multiplied by 5.35 to account for bonuses, firm size, employee benefits and overhead.</w:t>
      </w:r>
    </w:p>
  </w:footnote>
  <w:footnote w:id="19">
    <w:p w:rsidR="007C45B8" w:rsidRDefault="007C45B8">
      <w:pPr>
        <w:pStyle w:val="FootnoteText"/>
      </w:pPr>
      <w:r>
        <w:rPr>
          <w:rStyle w:val="FootnoteReference"/>
        </w:rPr>
        <w:footnoteRef/>
      </w:r>
      <w:r>
        <w:t xml:space="preserve"> </w:t>
      </w:r>
      <w:r>
        <w:tab/>
        <w:t>This estimate is based on the following calculations:  (4 hours × 100 intermediaries</w:t>
      </w:r>
      <w:r w:rsidR="004D78A0">
        <w:t xml:space="preserve"> = 400 hours); (400 hours × $</w:t>
      </w:r>
      <w:r w:rsidR="006071CC">
        <w:t>392</w:t>
      </w:r>
      <w:r w:rsidR="00755C1A">
        <w:t xml:space="preserve"> </w:t>
      </w:r>
      <w:r>
        <w:t>= $</w:t>
      </w:r>
      <w:r w:rsidR="006071CC">
        <w:t>156,800</w:t>
      </w:r>
      <w:r>
        <w:t xml:space="preserve">).  </w:t>
      </w:r>
    </w:p>
  </w:footnote>
  <w:footnote w:id="20">
    <w:p w:rsidR="007C45B8" w:rsidRDefault="007C45B8">
      <w:pPr>
        <w:pStyle w:val="FootnoteText"/>
      </w:pPr>
      <w:r>
        <w:rPr>
          <w:rStyle w:val="FootnoteReference"/>
        </w:rPr>
        <w:footnoteRef/>
      </w:r>
      <w:r>
        <w:t xml:space="preserve"> </w:t>
      </w:r>
      <w:r>
        <w:tab/>
        <w:t>This estimate is based on</w:t>
      </w:r>
      <w:r w:rsidR="004D78A0">
        <w:t xml:space="preserve"> the following calculation</w:t>
      </w:r>
      <w:r w:rsidR="0067268E">
        <w:t>s: (</w:t>
      </w:r>
      <w:r w:rsidR="00D150D5">
        <w:t>47</w:t>
      </w:r>
      <w:r w:rsidR="00755C1A">
        <w:t xml:space="preserve"> </w:t>
      </w:r>
      <w:r w:rsidR="0067268E">
        <w:t>fund groups × 400 hours =</w:t>
      </w:r>
      <w:r w:rsidR="004D78A0">
        <w:t xml:space="preserve"> </w:t>
      </w:r>
      <w:r w:rsidR="00D150D5">
        <w:t xml:space="preserve">18,800 </w:t>
      </w:r>
      <w:r w:rsidR="004D78A0">
        <w:t>hours) ($</w:t>
      </w:r>
      <w:r w:rsidR="00D150D5">
        <w:t>392</w:t>
      </w:r>
      <w:r w:rsidR="00755C1A">
        <w:t xml:space="preserve"> </w:t>
      </w:r>
      <w:r>
        <w:t>×</w:t>
      </w:r>
      <w:r w:rsidR="00D150D5">
        <w:t xml:space="preserve"> 18,800</w:t>
      </w:r>
      <w:r w:rsidR="004D78A0">
        <w:t xml:space="preserve"> =</w:t>
      </w:r>
      <w:r w:rsidR="00D150D5">
        <w:t xml:space="preserve"> 7,369,600</w:t>
      </w:r>
      <w:r>
        <w:t xml:space="preserve">).  </w:t>
      </w:r>
    </w:p>
  </w:footnote>
  <w:footnote w:id="21">
    <w:p w:rsidR="00755C1A" w:rsidRDefault="00755C1A">
      <w:pPr>
        <w:pStyle w:val="FootnoteText"/>
      </w:pPr>
      <w:r>
        <w:rPr>
          <w:rStyle w:val="FootnoteReference"/>
        </w:rPr>
        <w:footnoteRef/>
      </w:r>
      <w:r>
        <w:t xml:space="preserve"> </w:t>
      </w:r>
      <w:r>
        <w:tab/>
      </w:r>
      <w:r w:rsidR="00D150D5">
        <w:t>ICI, 2017</w:t>
      </w:r>
      <w:r w:rsidR="00D150D5" w:rsidRPr="00062B8D">
        <w:t xml:space="preserve"> </w:t>
      </w:r>
      <w:r w:rsidR="00D150D5" w:rsidRPr="00950983">
        <w:rPr>
          <w:smallCaps/>
        </w:rPr>
        <w:t>Investment Company Fact Book</w:t>
      </w:r>
      <w:r w:rsidR="00D150D5" w:rsidRPr="00062B8D">
        <w:t xml:space="preserve"> </w:t>
      </w:r>
      <w:r w:rsidR="00D150D5">
        <w:t>at Fig 1.8 (2017</w:t>
      </w:r>
      <w:r w:rsidR="00D150D5" w:rsidRPr="00062B8D">
        <w:t>) (</w:t>
      </w:r>
      <w:hyperlink r:id="rId3" w:history="1">
        <w:r w:rsidR="00D150D5" w:rsidRPr="006071CC">
          <w:rPr>
            <w:rStyle w:val="Hyperlink"/>
          </w:rPr>
          <w:t>https://www.ici.org/research/stats/factbook</w:t>
        </w:r>
      </w:hyperlink>
      <w:r w:rsidR="00D150D5">
        <w:t>).</w:t>
      </w:r>
    </w:p>
  </w:footnote>
  <w:footnote w:id="22">
    <w:p w:rsidR="007C45B8" w:rsidRDefault="007C45B8">
      <w:pPr>
        <w:pStyle w:val="FootnoteText"/>
      </w:pPr>
      <w:r>
        <w:rPr>
          <w:rStyle w:val="FootnoteReference"/>
        </w:rPr>
        <w:footnoteRef/>
      </w:r>
      <w:r>
        <w:t xml:space="preserve"> </w:t>
      </w:r>
      <w:r>
        <w:tab/>
      </w:r>
      <w:r w:rsidR="00D150D5">
        <w:t xml:space="preserve">The </w:t>
      </w:r>
      <w:r w:rsidR="004D78A0">
        <w:rPr>
          <w:szCs w:val="22"/>
        </w:rPr>
        <w:t>$</w:t>
      </w:r>
      <w:r w:rsidR="00755C1A">
        <w:rPr>
          <w:szCs w:val="22"/>
        </w:rPr>
        <w:t>5</w:t>
      </w:r>
      <w:r w:rsidR="00D150D5">
        <w:rPr>
          <w:szCs w:val="22"/>
        </w:rPr>
        <w:t xml:space="preserve">9 per </w:t>
      </w:r>
      <w:r w:rsidRPr="007141F4">
        <w:rPr>
          <w:szCs w:val="22"/>
        </w:rPr>
        <w:t xml:space="preserve">hour figure for a </w:t>
      </w:r>
      <w:r w:rsidR="00E745C3">
        <w:rPr>
          <w:szCs w:val="22"/>
        </w:rPr>
        <w:t>g</w:t>
      </w:r>
      <w:r w:rsidR="00E745C3" w:rsidRPr="007141F4">
        <w:rPr>
          <w:szCs w:val="22"/>
        </w:rPr>
        <w:t xml:space="preserve">eneral </w:t>
      </w:r>
      <w:r w:rsidR="00E745C3">
        <w:rPr>
          <w:szCs w:val="22"/>
        </w:rPr>
        <w:t>c</w:t>
      </w:r>
      <w:r w:rsidR="00E745C3" w:rsidRPr="007141F4">
        <w:rPr>
          <w:szCs w:val="22"/>
        </w:rPr>
        <w:t xml:space="preserve">lerk </w:t>
      </w:r>
      <w:r w:rsidRPr="007141F4">
        <w:rPr>
          <w:szCs w:val="22"/>
        </w:rPr>
        <w:t>is derived from SIFMA’s</w:t>
      </w:r>
      <w:r w:rsidRPr="007141F4">
        <w:rPr>
          <w:i/>
          <w:iCs/>
          <w:szCs w:val="22"/>
        </w:rPr>
        <w:t xml:space="preserve"> </w:t>
      </w:r>
      <w:r w:rsidRPr="0018669B">
        <w:rPr>
          <w:iCs/>
          <w:szCs w:val="22"/>
        </w:rPr>
        <w:t>Office Salarie</w:t>
      </w:r>
      <w:r w:rsidR="004D78A0">
        <w:rPr>
          <w:iCs/>
          <w:szCs w:val="22"/>
        </w:rPr>
        <w:t xml:space="preserve">s in the Securities Industry </w:t>
      </w:r>
      <w:r w:rsidR="00755C1A">
        <w:rPr>
          <w:iCs/>
          <w:szCs w:val="22"/>
        </w:rPr>
        <w:t>2013</w:t>
      </w:r>
      <w:r w:rsidR="00755C1A" w:rsidRPr="007141F4">
        <w:rPr>
          <w:szCs w:val="22"/>
        </w:rPr>
        <w:t xml:space="preserve"> </w:t>
      </w:r>
      <w:r w:rsidRPr="007141F4">
        <w:rPr>
          <w:szCs w:val="22"/>
        </w:rPr>
        <w:t>modified to account for an 1800-hour work-year</w:t>
      </w:r>
      <w:r w:rsidR="00D150D5">
        <w:rPr>
          <w:szCs w:val="22"/>
        </w:rPr>
        <w:t xml:space="preserve"> and inflation,</w:t>
      </w:r>
      <w:r w:rsidRPr="007141F4">
        <w:rPr>
          <w:szCs w:val="22"/>
        </w:rPr>
        <w:t xml:space="preserve"> and multiplied by 2.93 to account for bonuses, firm size, employee benefits, and overhead.</w:t>
      </w:r>
    </w:p>
  </w:footnote>
  <w:footnote w:id="23">
    <w:p w:rsidR="007C45B8" w:rsidRDefault="007C45B8">
      <w:pPr>
        <w:pStyle w:val="FootnoteText"/>
      </w:pPr>
      <w:r>
        <w:rPr>
          <w:rStyle w:val="FootnoteReference"/>
        </w:rPr>
        <w:footnoteRef/>
      </w:r>
      <w:r>
        <w:t xml:space="preserve"> </w:t>
      </w:r>
      <w:r>
        <w:tab/>
        <w:t>This estimate is based on the following</w:t>
      </w:r>
      <w:r w:rsidR="004D78A0">
        <w:t xml:space="preserve"> calculations: (10 minutes × </w:t>
      </w:r>
      <w:r w:rsidR="00D150D5">
        <w:t>850</w:t>
      </w:r>
      <w:r w:rsidR="00755C1A">
        <w:t xml:space="preserve"> </w:t>
      </w:r>
      <w:r w:rsidR="004D78A0">
        <w:t xml:space="preserve">fund groups = </w:t>
      </w:r>
      <w:r w:rsidR="00755C1A">
        <w:t>8</w:t>
      </w:r>
      <w:r w:rsidR="00D150D5">
        <w:t>500</w:t>
      </w:r>
      <w:r w:rsidR="00755C1A">
        <w:t xml:space="preserve"> </w:t>
      </w:r>
      <w:r w:rsidR="004D78A0">
        <w:t>minutes); (</w:t>
      </w:r>
      <w:r w:rsidR="00755C1A">
        <w:t>8</w:t>
      </w:r>
      <w:r w:rsidR="00D150D5">
        <w:t>500</w:t>
      </w:r>
      <w:r w:rsidR="00755C1A">
        <w:t xml:space="preserve"> </w:t>
      </w:r>
      <w:r w:rsidR="00C173EF">
        <w:t xml:space="preserve">minutes / </w:t>
      </w:r>
      <w:r>
        <w:t xml:space="preserve">60 = </w:t>
      </w:r>
      <w:r w:rsidR="00D150D5">
        <w:t>141.67</w:t>
      </w:r>
      <w:r w:rsidR="00755C1A">
        <w:t xml:space="preserve"> </w:t>
      </w:r>
      <w:r>
        <w:t>hours); (</w:t>
      </w:r>
      <w:r w:rsidR="00D150D5">
        <w:t>141.67</w:t>
      </w:r>
      <w:r w:rsidR="00755C1A">
        <w:t xml:space="preserve"> </w:t>
      </w:r>
      <w:r w:rsidR="0077202D">
        <w:t>hours × $</w:t>
      </w:r>
      <w:r w:rsidR="00D150D5">
        <w:t>59</w:t>
      </w:r>
      <w:r w:rsidR="00755C1A">
        <w:t xml:space="preserve"> </w:t>
      </w:r>
      <w:r w:rsidR="004D78A0">
        <w:t>= $</w:t>
      </w:r>
      <w:r w:rsidR="00D150D5">
        <w:t>835</w:t>
      </w:r>
      <w:r w:rsidR="00C173EF">
        <w:t>8</w:t>
      </w:r>
      <w:r w:rsidR="00D150D5">
        <w:t>.53</w:t>
      </w:r>
      <w:r>
        <w:t xml:space="preserve">). </w:t>
      </w:r>
    </w:p>
  </w:footnote>
  <w:footnote w:id="24">
    <w:p w:rsidR="007C45B8" w:rsidRDefault="007C45B8">
      <w:pPr>
        <w:pStyle w:val="FootnoteText"/>
      </w:pPr>
      <w:r>
        <w:rPr>
          <w:rStyle w:val="FootnoteReference"/>
        </w:rPr>
        <w:footnoteRef/>
      </w:r>
      <w:r>
        <w:t xml:space="preserve"> </w:t>
      </w:r>
      <w:r>
        <w:tab/>
      </w:r>
      <w:r w:rsidRPr="00190A04">
        <w:t xml:space="preserve">This estimate is based on the following calculations: </w:t>
      </w:r>
      <w:r w:rsidR="004D78A0" w:rsidRPr="00190A04">
        <w:t>(</w:t>
      </w:r>
      <w:r w:rsidR="00190A04" w:rsidRPr="00190A04">
        <w:t>10,200</w:t>
      </w:r>
      <w:r w:rsidR="004A73FE" w:rsidRPr="00190A04">
        <w:t xml:space="preserve"> </w:t>
      </w:r>
      <w:r w:rsidR="004D78A0" w:rsidRPr="00190A04">
        <w:t xml:space="preserve">hours + </w:t>
      </w:r>
      <w:r w:rsidR="00190A04" w:rsidRPr="00190A04">
        <w:t>18,800</w:t>
      </w:r>
      <w:r w:rsidR="004D78A0" w:rsidRPr="00190A04">
        <w:t xml:space="preserve"> hours + </w:t>
      </w:r>
      <w:r w:rsidR="00190A04" w:rsidRPr="00190A04">
        <w:t>141.67</w:t>
      </w:r>
      <w:r w:rsidR="004A73FE" w:rsidRPr="00190A04">
        <w:t xml:space="preserve"> </w:t>
      </w:r>
      <w:r w:rsidRPr="00190A04">
        <w:t>hours</w:t>
      </w:r>
      <w:r w:rsidR="004D78A0" w:rsidRPr="00190A04">
        <w:t xml:space="preserve"> = </w:t>
      </w:r>
      <w:r w:rsidR="00190A04" w:rsidRPr="00190A04">
        <w:t>29,141.67</w:t>
      </w:r>
      <w:r w:rsidRPr="00190A04">
        <w:t xml:space="preserve"> hours); </w:t>
      </w:r>
      <w:r w:rsidR="00190A04" w:rsidRPr="00190A04">
        <w:t>($3,998,400 + $7,369,600 + $835</w:t>
      </w:r>
      <w:r w:rsidR="00C0008E">
        <w:t>8</w:t>
      </w:r>
      <w:r w:rsidR="00190A04" w:rsidRPr="00190A04">
        <w:t xml:space="preserve">.53 </w:t>
      </w:r>
      <w:r w:rsidR="004D78A0" w:rsidRPr="00190A04">
        <w:t>= $</w:t>
      </w:r>
      <w:r w:rsidR="00190A04" w:rsidRPr="00190A04">
        <w:t>11,</w:t>
      </w:r>
      <w:r w:rsidR="004334FF">
        <w:t>376</w:t>
      </w:r>
      <w:r w:rsidR="00190A04" w:rsidRPr="00190A04">
        <w:t>,35</w:t>
      </w:r>
      <w:r w:rsidR="00C0008E">
        <w:t>8</w:t>
      </w:r>
      <w:r w:rsidR="00190A04" w:rsidRPr="00190A04">
        <w:t>.53</w:t>
      </w:r>
      <w:r w:rsidRPr="00190A04">
        <w:t>).</w:t>
      </w:r>
      <w:r>
        <w:t xml:space="preserve"> </w:t>
      </w:r>
    </w:p>
  </w:footnote>
  <w:footnote w:id="25">
    <w:p w:rsidR="004D78A0" w:rsidRDefault="004D78A0">
      <w:pPr>
        <w:pStyle w:val="FootnoteText"/>
      </w:pPr>
      <w:r>
        <w:rPr>
          <w:rStyle w:val="FootnoteReference"/>
        </w:rPr>
        <w:footnoteRef/>
      </w:r>
      <w:r>
        <w:t xml:space="preserve"> </w:t>
      </w:r>
      <w:r>
        <w:tab/>
        <w:t>This estimate is based on the following calculations: (52 + 365 =</w:t>
      </w:r>
      <w:r w:rsidR="004A73FE">
        <w:t xml:space="preserve"> </w:t>
      </w:r>
      <w:r>
        <w:t xml:space="preserve">417); (417 × </w:t>
      </w:r>
      <w:r w:rsidR="00B14F5C">
        <w:t>8</w:t>
      </w:r>
      <w:r w:rsidR="00D150D5">
        <w:t>50</w:t>
      </w:r>
      <w:r w:rsidR="00B14F5C">
        <w:t xml:space="preserve"> </w:t>
      </w:r>
      <w:r>
        <w:t xml:space="preserve">fund groups = </w:t>
      </w:r>
      <w:r w:rsidR="00D150D5">
        <w:t>354,450</w:t>
      </w:r>
      <w:r>
        <w:t xml:space="preserve">). </w:t>
      </w:r>
    </w:p>
  </w:footnote>
  <w:footnote w:id="26">
    <w:p w:rsidR="007C45B8" w:rsidRDefault="007C45B8">
      <w:pPr>
        <w:pStyle w:val="FootnoteText"/>
      </w:pPr>
      <w:r>
        <w:rPr>
          <w:rStyle w:val="FootnoteReference"/>
        </w:rPr>
        <w:footnoteRef/>
      </w:r>
      <w:r>
        <w:t xml:space="preserve"> </w:t>
      </w:r>
      <w:r>
        <w:tab/>
        <w:t>This estimate is based on t</w:t>
      </w:r>
      <w:r w:rsidR="004D78A0">
        <w:t>he following calculations: (</w:t>
      </w:r>
      <w:r w:rsidR="0045351B">
        <w:t>546</w:t>
      </w:r>
      <w:r w:rsidR="00B14F5C">
        <w:t xml:space="preserve"> </w:t>
      </w:r>
      <w:r>
        <w:t>hour</w:t>
      </w:r>
      <w:r w:rsidR="004D78A0">
        <w:t xml:space="preserve">s (board determination) + </w:t>
      </w:r>
      <w:r w:rsidR="00C817C1">
        <w:t xml:space="preserve">29,141.67 </w:t>
      </w:r>
      <w:r>
        <w:t xml:space="preserve">hours (information sharing agreements) = </w:t>
      </w:r>
      <w:r w:rsidR="00C817C1">
        <w:t>29,687.67</w:t>
      </w:r>
      <w:r>
        <w:t xml:space="preserve"> total hours); (</w:t>
      </w:r>
      <w:r w:rsidR="00C0008E">
        <w:t>$440,706 (board determination) + $</w:t>
      </w:r>
      <w:r w:rsidR="00A1740C" w:rsidRPr="00A1740C">
        <w:t>11,376,358.53</w:t>
      </w:r>
      <w:r w:rsidR="00B7246B">
        <w:t xml:space="preserve"> </w:t>
      </w:r>
      <w:r w:rsidR="00C0008E">
        <w:t>(information sharing agreements)</w:t>
      </w:r>
      <w:r w:rsidR="004D78A0">
        <w:t xml:space="preserve"> </w:t>
      </w:r>
      <w:r>
        <w:t xml:space="preserve">= </w:t>
      </w:r>
      <w:r w:rsidR="004D78A0">
        <w:t>$</w:t>
      </w:r>
      <w:r w:rsidR="00C817C1">
        <w:t>11,817</w:t>
      </w:r>
      <w:r w:rsidR="00B81121">
        <w:t>,</w:t>
      </w:r>
      <w:r w:rsidR="00905262">
        <w:t>0</w:t>
      </w:r>
      <w:r w:rsidR="00A1740C">
        <w:t>64</w:t>
      </w:r>
      <w:r w:rsidR="00905262">
        <w:t>.53</w:t>
      </w:r>
      <w:r>
        <w:t xml:space="preserve">). </w:t>
      </w:r>
    </w:p>
  </w:footnote>
  <w:footnote w:id="27">
    <w:p w:rsidR="007C45B8" w:rsidRDefault="007C45B8">
      <w:pPr>
        <w:pStyle w:val="FootnoteText"/>
      </w:pPr>
      <w:r>
        <w:rPr>
          <w:rStyle w:val="FootnoteReference"/>
        </w:rPr>
        <w:footnoteRef/>
      </w:r>
      <w:r>
        <w:t xml:space="preserve"> </w:t>
      </w:r>
      <w:r>
        <w:tab/>
        <w:t xml:space="preserve">We include the burden for funds that develop and operate these information sharing systems internally rather than purchasing them from third parties as a cost rather than as an hourly burden because Commission staff understands that, even when developing these systems themselves, funds generally either use independent contractors or hire new personnel, and thereby incur this burden as a cost, not an hourly expenditure.    </w:t>
      </w:r>
    </w:p>
  </w:footnote>
  <w:footnote w:id="28">
    <w:p w:rsidR="007C45B8" w:rsidRDefault="007C45B8" w:rsidP="009974C2">
      <w:pPr>
        <w:pStyle w:val="FootnoteText"/>
      </w:pPr>
      <w:r>
        <w:rPr>
          <w:rStyle w:val="FootnoteReference"/>
        </w:rPr>
        <w:footnoteRef/>
      </w:r>
      <w:r>
        <w:t xml:space="preserve"> </w:t>
      </w:r>
      <w:r>
        <w:tab/>
        <w:t>This estimate is based on the following calculations: (100,000 transaction requests × 0.0025¢ = $250); ($250 × 52 weeks = $13,000).</w:t>
      </w:r>
    </w:p>
  </w:footnote>
  <w:footnote w:id="29">
    <w:p w:rsidR="007C45B8" w:rsidRDefault="007C45B8">
      <w:pPr>
        <w:pStyle w:val="FootnoteText"/>
      </w:pPr>
      <w:r>
        <w:rPr>
          <w:rStyle w:val="FootnoteReference"/>
        </w:rPr>
        <w:footnoteRef/>
      </w:r>
      <w:r>
        <w:t xml:space="preserve"> </w:t>
      </w:r>
      <w:r>
        <w:tab/>
        <w:t>This estimate is based on</w:t>
      </w:r>
      <w:r w:rsidR="002C30EB">
        <w:t xml:space="preserve"> the following calculation: (</w:t>
      </w:r>
      <w:r w:rsidR="00A2072B">
        <w:t>8</w:t>
      </w:r>
      <w:r w:rsidR="00B81121">
        <w:t>50</w:t>
      </w:r>
      <w:r w:rsidR="00A2072B">
        <w:t xml:space="preserve"> </w:t>
      </w:r>
      <w:r w:rsidR="002C30EB">
        <w:t>fund groups × $43,000 = $</w:t>
      </w:r>
      <w:r w:rsidR="00B81121">
        <w:t>36,550,000</w:t>
      </w:r>
      <w:r>
        <w:t xml:space="preserve">). </w:t>
      </w:r>
    </w:p>
  </w:footnote>
  <w:footnote w:id="30">
    <w:p w:rsidR="007C45B8" w:rsidRDefault="007C45B8">
      <w:pPr>
        <w:pStyle w:val="FootnoteText"/>
      </w:pPr>
      <w:r>
        <w:rPr>
          <w:rStyle w:val="FootnoteReference"/>
        </w:rPr>
        <w:footnoteRef/>
      </w:r>
      <w:r>
        <w:t xml:space="preserve"> </w:t>
      </w:r>
      <w:r>
        <w:tab/>
        <w:t>This estimate is based on the fo</w:t>
      </w:r>
      <w:r w:rsidR="002C30EB">
        <w:t xml:space="preserve">llowing estimate: ($100,000 × </w:t>
      </w:r>
      <w:r w:rsidR="00B81121">
        <w:t>42</w:t>
      </w:r>
      <w:r w:rsidR="00A2072B">
        <w:t xml:space="preserve"> </w:t>
      </w:r>
      <w:r w:rsidR="002C30EB">
        <w:t>new fund groups = $</w:t>
      </w:r>
      <w:r w:rsidR="00B81121">
        <w:t>4,2</w:t>
      </w:r>
      <w:r w:rsidR="00E745C3">
        <w:t>00,000</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B8" w:rsidRDefault="007C45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45B8" w:rsidRDefault="007C45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B8" w:rsidRDefault="007C45B8">
    <w:pPr>
      <w:pStyle w:val="Head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D63F30">
      <w:rPr>
        <w:rStyle w:val="PageNumber"/>
        <w:noProof/>
        <w:sz w:val="24"/>
      </w:rPr>
      <w:t>2</w:t>
    </w:r>
    <w:r>
      <w:rPr>
        <w:rStyle w:val="PageNumber"/>
        <w:sz w:val="24"/>
      </w:rPr>
      <w:fldChar w:fldCharType="end"/>
    </w:r>
  </w:p>
  <w:p w:rsidR="007C45B8" w:rsidRDefault="007C45B8">
    <w:pPr>
      <w:pStyle w:val="Header"/>
      <w:jc w:val="right"/>
    </w:pPr>
  </w:p>
  <w:p w:rsidR="007C45B8" w:rsidRDefault="007C45B8">
    <w:pPr>
      <w:pStyle w:val="Header"/>
      <w:jc w:val="right"/>
    </w:pPr>
  </w:p>
  <w:p w:rsidR="007C45B8" w:rsidRDefault="007C45B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F452A"/>
    <w:multiLevelType w:val="hybridMultilevel"/>
    <w:tmpl w:val="F586B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02370C"/>
    <w:multiLevelType w:val="hybridMultilevel"/>
    <w:tmpl w:val="E214CDCA"/>
    <w:lvl w:ilvl="0" w:tplc="D99E1820">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75C34DA"/>
    <w:multiLevelType w:val="hybridMultilevel"/>
    <w:tmpl w:val="E2EE85F8"/>
    <w:lvl w:ilvl="0" w:tplc="9920EB04">
      <w:start w:val="1"/>
      <w:numFmt w:val="upperLetter"/>
      <w:pStyle w:val="Heading4"/>
      <w:lvlText w:val="%1."/>
      <w:lvlJc w:val="left"/>
      <w:pPr>
        <w:tabs>
          <w:tab w:val="num" w:pos="1800"/>
        </w:tabs>
        <w:ind w:left="1800" w:hanging="720"/>
      </w:pPr>
      <w:rPr>
        <w:rFonts w:hint="default"/>
      </w:rPr>
    </w:lvl>
    <w:lvl w:ilvl="1" w:tplc="11F65F3E">
      <w:start w:val="1"/>
      <w:numFmt w:val="decimal"/>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5B7856CB"/>
    <w:multiLevelType w:val="hybridMultilevel"/>
    <w:tmpl w:val="55480C04"/>
    <w:lvl w:ilvl="0" w:tplc="245AD9F0">
      <w:start w:val="2"/>
      <w:numFmt w:val="decimal"/>
      <w:lvlText w:val="%1."/>
      <w:lvlJc w:val="left"/>
      <w:pPr>
        <w:tabs>
          <w:tab w:val="num" w:pos="2160"/>
        </w:tabs>
        <w:ind w:left="2160" w:hanging="144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304"/>
    <w:rsid w:val="00001579"/>
    <w:rsid w:val="000024AB"/>
    <w:rsid w:val="0000503C"/>
    <w:rsid w:val="00005A2D"/>
    <w:rsid w:val="00007E32"/>
    <w:rsid w:val="000220AC"/>
    <w:rsid w:val="000222E8"/>
    <w:rsid w:val="00026DA6"/>
    <w:rsid w:val="00030E32"/>
    <w:rsid w:val="00031418"/>
    <w:rsid w:val="000354E8"/>
    <w:rsid w:val="00035F04"/>
    <w:rsid w:val="00041286"/>
    <w:rsid w:val="0004245A"/>
    <w:rsid w:val="0004265C"/>
    <w:rsid w:val="00077D17"/>
    <w:rsid w:val="00086CCE"/>
    <w:rsid w:val="00090D6F"/>
    <w:rsid w:val="000A3A61"/>
    <w:rsid w:val="000B1CDF"/>
    <w:rsid w:val="000B5419"/>
    <w:rsid w:val="000C1FDA"/>
    <w:rsid w:val="000E6443"/>
    <w:rsid w:val="000F233E"/>
    <w:rsid w:val="000F63C0"/>
    <w:rsid w:val="001105A4"/>
    <w:rsid w:val="001121DB"/>
    <w:rsid w:val="001150FA"/>
    <w:rsid w:val="00120987"/>
    <w:rsid w:val="001312FA"/>
    <w:rsid w:val="00144ADE"/>
    <w:rsid w:val="001641BA"/>
    <w:rsid w:val="001701BB"/>
    <w:rsid w:val="001861CC"/>
    <w:rsid w:val="0018669B"/>
    <w:rsid w:val="00190A04"/>
    <w:rsid w:val="00195D0F"/>
    <w:rsid w:val="001A5F3B"/>
    <w:rsid w:val="001D69B2"/>
    <w:rsid w:val="001E0809"/>
    <w:rsid w:val="001E6BA6"/>
    <w:rsid w:val="001F1D78"/>
    <w:rsid w:val="002248A8"/>
    <w:rsid w:val="002269B4"/>
    <w:rsid w:val="00234AED"/>
    <w:rsid w:val="00235256"/>
    <w:rsid w:val="002623F2"/>
    <w:rsid w:val="002648EF"/>
    <w:rsid w:val="0028186B"/>
    <w:rsid w:val="0029186D"/>
    <w:rsid w:val="00295844"/>
    <w:rsid w:val="00296E37"/>
    <w:rsid w:val="002A58FA"/>
    <w:rsid w:val="002B1E0A"/>
    <w:rsid w:val="002C0F1B"/>
    <w:rsid w:val="002C2D84"/>
    <w:rsid w:val="002C30EB"/>
    <w:rsid w:val="002C5D21"/>
    <w:rsid w:val="002C7CB4"/>
    <w:rsid w:val="002D4DC0"/>
    <w:rsid w:val="002E2FA3"/>
    <w:rsid w:val="002F587F"/>
    <w:rsid w:val="00331AEF"/>
    <w:rsid w:val="003348F8"/>
    <w:rsid w:val="00337EE7"/>
    <w:rsid w:val="003451FC"/>
    <w:rsid w:val="00363314"/>
    <w:rsid w:val="00364167"/>
    <w:rsid w:val="003814B7"/>
    <w:rsid w:val="00382DC4"/>
    <w:rsid w:val="0038680E"/>
    <w:rsid w:val="00387EFA"/>
    <w:rsid w:val="003A0072"/>
    <w:rsid w:val="003A20B6"/>
    <w:rsid w:val="003A2952"/>
    <w:rsid w:val="003A5BBC"/>
    <w:rsid w:val="003B0B0B"/>
    <w:rsid w:val="003B230A"/>
    <w:rsid w:val="003B374B"/>
    <w:rsid w:val="003C1B5E"/>
    <w:rsid w:val="003D06A1"/>
    <w:rsid w:val="003D3338"/>
    <w:rsid w:val="003D7622"/>
    <w:rsid w:val="003E3452"/>
    <w:rsid w:val="004020DE"/>
    <w:rsid w:val="004052B5"/>
    <w:rsid w:val="004334FF"/>
    <w:rsid w:val="00444295"/>
    <w:rsid w:val="0044566F"/>
    <w:rsid w:val="0045351B"/>
    <w:rsid w:val="00462B59"/>
    <w:rsid w:val="00464717"/>
    <w:rsid w:val="004711D1"/>
    <w:rsid w:val="004761E2"/>
    <w:rsid w:val="0048165C"/>
    <w:rsid w:val="004977B0"/>
    <w:rsid w:val="004A73FE"/>
    <w:rsid w:val="004C400C"/>
    <w:rsid w:val="004D78A0"/>
    <w:rsid w:val="004E27AC"/>
    <w:rsid w:val="004E75F1"/>
    <w:rsid w:val="00513A50"/>
    <w:rsid w:val="0051638B"/>
    <w:rsid w:val="00523118"/>
    <w:rsid w:val="00530133"/>
    <w:rsid w:val="0054777E"/>
    <w:rsid w:val="00557004"/>
    <w:rsid w:val="005646F4"/>
    <w:rsid w:val="0057526B"/>
    <w:rsid w:val="00577149"/>
    <w:rsid w:val="005779C1"/>
    <w:rsid w:val="00585EDD"/>
    <w:rsid w:val="005907C8"/>
    <w:rsid w:val="00593D5C"/>
    <w:rsid w:val="005970A0"/>
    <w:rsid w:val="005A2587"/>
    <w:rsid w:val="005A744D"/>
    <w:rsid w:val="005B2404"/>
    <w:rsid w:val="005C0814"/>
    <w:rsid w:val="005D364B"/>
    <w:rsid w:val="005D4A98"/>
    <w:rsid w:val="005E2333"/>
    <w:rsid w:val="005E6D68"/>
    <w:rsid w:val="005E73C4"/>
    <w:rsid w:val="006071CC"/>
    <w:rsid w:val="0060795F"/>
    <w:rsid w:val="006234B5"/>
    <w:rsid w:val="006411BA"/>
    <w:rsid w:val="00663D88"/>
    <w:rsid w:val="0067268E"/>
    <w:rsid w:val="00690024"/>
    <w:rsid w:val="006A1575"/>
    <w:rsid w:val="006A5826"/>
    <w:rsid w:val="006C67D1"/>
    <w:rsid w:val="006D166B"/>
    <w:rsid w:val="006E3DA9"/>
    <w:rsid w:val="006F4A3B"/>
    <w:rsid w:val="007141F4"/>
    <w:rsid w:val="007164CF"/>
    <w:rsid w:val="00745C54"/>
    <w:rsid w:val="007508D1"/>
    <w:rsid w:val="00755C1A"/>
    <w:rsid w:val="0077202D"/>
    <w:rsid w:val="0078568A"/>
    <w:rsid w:val="00795B75"/>
    <w:rsid w:val="00796ED5"/>
    <w:rsid w:val="007B24A1"/>
    <w:rsid w:val="007C1A2C"/>
    <w:rsid w:val="007C45B8"/>
    <w:rsid w:val="00803E9A"/>
    <w:rsid w:val="008053EE"/>
    <w:rsid w:val="00816588"/>
    <w:rsid w:val="00822B08"/>
    <w:rsid w:val="00833BF4"/>
    <w:rsid w:val="00846A9D"/>
    <w:rsid w:val="0085532D"/>
    <w:rsid w:val="0085681C"/>
    <w:rsid w:val="00862A82"/>
    <w:rsid w:val="00863110"/>
    <w:rsid w:val="008679E7"/>
    <w:rsid w:val="00877038"/>
    <w:rsid w:val="008A5585"/>
    <w:rsid w:val="008B4B75"/>
    <w:rsid w:val="008B7743"/>
    <w:rsid w:val="008C001A"/>
    <w:rsid w:val="008C122E"/>
    <w:rsid w:val="008C7F07"/>
    <w:rsid w:val="008D12A0"/>
    <w:rsid w:val="008D208B"/>
    <w:rsid w:val="008E7CD7"/>
    <w:rsid w:val="00905262"/>
    <w:rsid w:val="00906E21"/>
    <w:rsid w:val="009507E6"/>
    <w:rsid w:val="00954904"/>
    <w:rsid w:val="00960FA4"/>
    <w:rsid w:val="0097187A"/>
    <w:rsid w:val="0097526E"/>
    <w:rsid w:val="009817A3"/>
    <w:rsid w:val="00994A80"/>
    <w:rsid w:val="00996495"/>
    <w:rsid w:val="009974C2"/>
    <w:rsid w:val="009B0E07"/>
    <w:rsid w:val="009B4F06"/>
    <w:rsid w:val="009B4F8F"/>
    <w:rsid w:val="009E13FB"/>
    <w:rsid w:val="009F6CC1"/>
    <w:rsid w:val="00A042A4"/>
    <w:rsid w:val="00A16C3B"/>
    <w:rsid w:val="00A17251"/>
    <w:rsid w:val="00A1740C"/>
    <w:rsid w:val="00A17FDC"/>
    <w:rsid w:val="00A2072B"/>
    <w:rsid w:val="00A27267"/>
    <w:rsid w:val="00A32B6F"/>
    <w:rsid w:val="00A370E8"/>
    <w:rsid w:val="00A417CA"/>
    <w:rsid w:val="00A50D85"/>
    <w:rsid w:val="00A573AE"/>
    <w:rsid w:val="00A90F4F"/>
    <w:rsid w:val="00AA2E1C"/>
    <w:rsid w:val="00AA3BA3"/>
    <w:rsid w:val="00AC04DC"/>
    <w:rsid w:val="00AC7ED3"/>
    <w:rsid w:val="00AD1FE0"/>
    <w:rsid w:val="00AD4D98"/>
    <w:rsid w:val="00AF7F69"/>
    <w:rsid w:val="00B026F3"/>
    <w:rsid w:val="00B14F5C"/>
    <w:rsid w:val="00B336F2"/>
    <w:rsid w:val="00B3685C"/>
    <w:rsid w:val="00B4548C"/>
    <w:rsid w:val="00B51BA3"/>
    <w:rsid w:val="00B51DFD"/>
    <w:rsid w:val="00B522C2"/>
    <w:rsid w:val="00B54CC5"/>
    <w:rsid w:val="00B60655"/>
    <w:rsid w:val="00B7246B"/>
    <w:rsid w:val="00B81121"/>
    <w:rsid w:val="00B8218D"/>
    <w:rsid w:val="00B8681E"/>
    <w:rsid w:val="00B91444"/>
    <w:rsid w:val="00BA6074"/>
    <w:rsid w:val="00BB17EA"/>
    <w:rsid w:val="00BC0847"/>
    <w:rsid w:val="00BC1B62"/>
    <w:rsid w:val="00BD1BBE"/>
    <w:rsid w:val="00C0008E"/>
    <w:rsid w:val="00C00D38"/>
    <w:rsid w:val="00C173EF"/>
    <w:rsid w:val="00C17C31"/>
    <w:rsid w:val="00C32B5F"/>
    <w:rsid w:val="00C4047E"/>
    <w:rsid w:val="00C435B4"/>
    <w:rsid w:val="00C46C4C"/>
    <w:rsid w:val="00C51B7B"/>
    <w:rsid w:val="00C569DF"/>
    <w:rsid w:val="00C817C1"/>
    <w:rsid w:val="00C83B5C"/>
    <w:rsid w:val="00C917BD"/>
    <w:rsid w:val="00CB2580"/>
    <w:rsid w:val="00CC40A5"/>
    <w:rsid w:val="00CE0A43"/>
    <w:rsid w:val="00CE2776"/>
    <w:rsid w:val="00CF07A5"/>
    <w:rsid w:val="00D0754B"/>
    <w:rsid w:val="00D150D5"/>
    <w:rsid w:val="00D17540"/>
    <w:rsid w:val="00D35423"/>
    <w:rsid w:val="00D4412E"/>
    <w:rsid w:val="00D6150C"/>
    <w:rsid w:val="00D63AD8"/>
    <w:rsid w:val="00D63F30"/>
    <w:rsid w:val="00D64FC6"/>
    <w:rsid w:val="00D96D15"/>
    <w:rsid w:val="00D97641"/>
    <w:rsid w:val="00DA1053"/>
    <w:rsid w:val="00DA24E1"/>
    <w:rsid w:val="00DA3FAE"/>
    <w:rsid w:val="00DA6991"/>
    <w:rsid w:val="00DD30BB"/>
    <w:rsid w:val="00DE025C"/>
    <w:rsid w:val="00DF1F03"/>
    <w:rsid w:val="00DF59ED"/>
    <w:rsid w:val="00DF7DEC"/>
    <w:rsid w:val="00E10A67"/>
    <w:rsid w:val="00E165B3"/>
    <w:rsid w:val="00E346E8"/>
    <w:rsid w:val="00E42662"/>
    <w:rsid w:val="00E429B4"/>
    <w:rsid w:val="00E55CFD"/>
    <w:rsid w:val="00E57B69"/>
    <w:rsid w:val="00E63B44"/>
    <w:rsid w:val="00E72BFD"/>
    <w:rsid w:val="00E745C3"/>
    <w:rsid w:val="00E857E0"/>
    <w:rsid w:val="00E86536"/>
    <w:rsid w:val="00EA297A"/>
    <w:rsid w:val="00EA4821"/>
    <w:rsid w:val="00EA6E99"/>
    <w:rsid w:val="00EB299D"/>
    <w:rsid w:val="00EC0B4A"/>
    <w:rsid w:val="00EC383F"/>
    <w:rsid w:val="00EC43E4"/>
    <w:rsid w:val="00ED2304"/>
    <w:rsid w:val="00ED3B00"/>
    <w:rsid w:val="00EE013A"/>
    <w:rsid w:val="00EF4BF8"/>
    <w:rsid w:val="00EF715A"/>
    <w:rsid w:val="00EF7554"/>
    <w:rsid w:val="00EF7DF3"/>
    <w:rsid w:val="00EF7FE1"/>
    <w:rsid w:val="00F01800"/>
    <w:rsid w:val="00F12E4D"/>
    <w:rsid w:val="00F21DCF"/>
    <w:rsid w:val="00F245E2"/>
    <w:rsid w:val="00F26D90"/>
    <w:rsid w:val="00F36DB1"/>
    <w:rsid w:val="00F41850"/>
    <w:rsid w:val="00F461B0"/>
    <w:rsid w:val="00F47908"/>
    <w:rsid w:val="00F638BF"/>
    <w:rsid w:val="00F71AB0"/>
    <w:rsid w:val="00F81D11"/>
    <w:rsid w:val="00FA4D75"/>
    <w:rsid w:val="00FB22A9"/>
    <w:rsid w:val="00FB5EB2"/>
    <w:rsid w:val="00FB7B03"/>
    <w:rsid w:val="00FC23DE"/>
    <w:rsid w:val="00FD367B"/>
    <w:rsid w:val="00FF7655"/>
    <w:rsid w:val="00FF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line="480" w:lineRule="auto"/>
      <w:ind w:left="720" w:hanging="720"/>
    </w:pPr>
    <w:rPr>
      <w:sz w:val="24"/>
      <w:szCs w:val="24"/>
    </w:rPr>
  </w:style>
  <w:style w:type="paragraph" w:styleId="Heading1">
    <w:name w:val="heading 1"/>
    <w:basedOn w:val="Normal"/>
    <w:next w:val="Normal"/>
    <w:qFormat/>
    <w:pPr>
      <w:keepNext/>
      <w:spacing w:before="0" w:line="240" w:lineRule="auto"/>
      <w:ind w:left="0" w:firstLine="0"/>
      <w:outlineLvl w:val="0"/>
    </w:pPr>
    <w:rPr>
      <w:b/>
      <w:bCs/>
      <w:szCs w:val="20"/>
    </w:rPr>
  </w:style>
  <w:style w:type="paragraph" w:styleId="Heading2">
    <w:name w:val="heading 2"/>
    <w:basedOn w:val="Normal"/>
    <w:next w:val="Normal"/>
    <w:qFormat/>
    <w:pPr>
      <w:keepNext/>
      <w:spacing w:before="0" w:line="240" w:lineRule="auto"/>
      <w:ind w:left="0" w:firstLine="0"/>
      <w:outlineLvl w:val="1"/>
    </w:pPr>
    <w:rPr>
      <w:szCs w:val="20"/>
    </w:rPr>
  </w:style>
  <w:style w:type="paragraph" w:styleId="Heading3">
    <w:name w:val="heading 3"/>
    <w:basedOn w:val="Normal"/>
    <w:next w:val="Normal"/>
    <w:qFormat/>
    <w:pPr>
      <w:keepNext/>
      <w:spacing w:before="0" w:line="240" w:lineRule="auto"/>
      <w:ind w:left="0" w:firstLine="0"/>
      <w:outlineLvl w:val="2"/>
    </w:pPr>
    <w:rPr>
      <w:i/>
      <w:iCs/>
      <w:szCs w:val="20"/>
    </w:rPr>
  </w:style>
  <w:style w:type="paragraph" w:styleId="Heading4">
    <w:name w:val="heading 4"/>
    <w:basedOn w:val="Normal"/>
    <w:next w:val="Normal"/>
    <w:qFormat/>
    <w:pPr>
      <w:keepNext/>
      <w:numPr>
        <w:numId w:val="1"/>
      </w:numPr>
      <w:tabs>
        <w:tab w:val="num" w:pos="720"/>
      </w:tabs>
      <w:spacing w:before="0" w:line="240" w:lineRule="auto"/>
      <w:ind w:left="72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t"/>
    <w:basedOn w:val="Normal"/>
    <w:link w:val="FootnoteTextChar"/>
    <w:semiHidden/>
    <w:pPr>
      <w:widowControl w:val="0"/>
      <w:spacing w:before="0" w:after="120" w:line="240" w:lineRule="auto"/>
    </w:pPr>
    <w:rPr>
      <w:sz w:val="22"/>
      <w:szCs w:val="20"/>
    </w:rPr>
  </w:style>
  <w:style w:type="character" w:styleId="FootnoteReference">
    <w:name w:val="footnote reference"/>
    <w:aliases w:val="fr"/>
    <w:semiHidden/>
    <w:rPr>
      <w:sz w:val="20"/>
      <w:vertAlign w:val="superscript"/>
    </w:rPr>
  </w:style>
  <w:style w:type="paragraph" w:styleId="BodyText">
    <w:name w:val="Body Text"/>
    <w:basedOn w:val="Normal"/>
    <w:pPr>
      <w:tabs>
        <w:tab w:val="num" w:pos="0"/>
      </w:tabs>
      <w:spacing w:before="0"/>
      <w:ind w:left="0" w:firstLine="0"/>
    </w:pPr>
    <w:rPr>
      <w:szCs w:val="20"/>
    </w:rPr>
  </w:style>
  <w:style w:type="paragraph" w:styleId="Header">
    <w:name w:val="header"/>
    <w:basedOn w:val="Normal"/>
    <w:pPr>
      <w:tabs>
        <w:tab w:val="center" w:pos="4320"/>
        <w:tab w:val="right" w:pos="8640"/>
      </w:tabs>
      <w:spacing w:before="0" w:line="240" w:lineRule="auto"/>
      <w:ind w:left="0" w:firstLine="0"/>
    </w:pPr>
    <w:rPr>
      <w:sz w:val="20"/>
      <w:szCs w:val="20"/>
    </w:rPr>
  </w:style>
  <w:style w:type="character" w:styleId="PageNumber">
    <w:name w:val="page number"/>
    <w:basedOn w:val="DefaultParagraphFont"/>
  </w:style>
  <w:style w:type="paragraph" w:styleId="BodyTextIndent">
    <w:name w:val="Body Text Indent"/>
    <w:basedOn w:val="Normal"/>
    <w:pPr>
      <w:spacing w:before="0"/>
      <w:ind w:left="0" w:firstLine="720"/>
    </w:pPr>
    <w:rPr>
      <w:szCs w:val="20"/>
    </w:rPr>
  </w:style>
  <w:style w:type="paragraph" w:styleId="BodyTextIndent2">
    <w:name w:val="Body Text Indent 2"/>
    <w:basedOn w:val="Normal"/>
    <w:pPr>
      <w:spacing w:before="0" w:line="240" w:lineRule="auto"/>
      <w:ind w:firstLine="0"/>
    </w:pPr>
    <w:rPr>
      <w:szCs w:val="20"/>
    </w:rPr>
  </w:style>
  <w:style w:type="character" w:styleId="Hyperlink">
    <w:name w:val="Hyperlink"/>
    <w:rPr>
      <w:color w:val="0000FF"/>
      <w:u w:val="single"/>
    </w:rPr>
  </w:style>
  <w:style w:type="paragraph" w:styleId="Footer">
    <w:name w:val="footer"/>
    <w:basedOn w:val="Normal"/>
    <w:rsid w:val="005D364B"/>
    <w:pPr>
      <w:tabs>
        <w:tab w:val="center" w:pos="4320"/>
        <w:tab w:val="right" w:pos="8640"/>
      </w:tabs>
    </w:pPr>
  </w:style>
  <w:style w:type="character" w:customStyle="1" w:styleId="StyleFootnoteReferenceTimesNewRoman10pt">
    <w:name w:val="Style Footnote Reference + Times New Roman 10 pt"/>
    <w:rsid w:val="0029186D"/>
    <w:rPr>
      <w:rFonts w:ascii="Times New Roman" w:hAnsi="Times New Roman"/>
      <w:sz w:val="20"/>
      <w:szCs w:val="20"/>
      <w:vertAlign w:val="superscript"/>
    </w:rPr>
  </w:style>
  <w:style w:type="paragraph" w:styleId="BalloonText">
    <w:name w:val="Balloon Text"/>
    <w:basedOn w:val="Normal"/>
    <w:semiHidden/>
    <w:rsid w:val="008C122E"/>
    <w:rPr>
      <w:rFonts w:ascii="Tahoma" w:hAnsi="Tahoma" w:cs="Tahoma"/>
      <w:sz w:val="16"/>
      <w:szCs w:val="16"/>
    </w:rPr>
  </w:style>
  <w:style w:type="character" w:customStyle="1" w:styleId="FootnoteTextChar">
    <w:name w:val="Footnote Text Char"/>
    <w:aliases w:val="fn Char,ft Char"/>
    <w:link w:val="FootnoteText"/>
    <w:rsid w:val="00E346E8"/>
    <w:rPr>
      <w:sz w:val="22"/>
      <w:lang w:val="en-US" w:eastAsia="en-US" w:bidi="ar-SA"/>
    </w:rPr>
  </w:style>
  <w:style w:type="character" w:styleId="FollowedHyperlink">
    <w:name w:val="FollowedHyperlink"/>
    <w:rsid w:val="00755C1A"/>
    <w:rPr>
      <w:color w:val="800080"/>
      <w:u w:val="single"/>
    </w:rPr>
  </w:style>
  <w:style w:type="character" w:styleId="CommentReference">
    <w:name w:val="annotation reference"/>
    <w:rsid w:val="00745C54"/>
    <w:rPr>
      <w:sz w:val="16"/>
      <w:szCs w:val="16"/>
    </w:rPr>
  </w:style>
  <w:style w:type="paragraph" w:styleId="CommentText">
    <w:name w:val="annotation text"/>
    <w:basedOn w:val="Normal"/>
    <w:link w:val="CommentTextChar"/>
    <w:rsid w:val="00745C54"/>
    <w:rPr>
      <w:sz w:val="20"/>
      <w:szCs w:val="20"/>
    </w:rPr>
  </w:style>
  <w:style w:type="character" w:customStyle="1" w:styleId="CommentTextChar">
    <w:name w:val="Comment Text Char"/>
    <w:basedOn w:val="DefaultParagraphFont"/>
    <w:link w:val="CommentText"/>
    <w:rsid w:val="00745C54"/>
  </w:style>
  <w:style w:type="paragraph" w:styleId="CommentSubject">
    <w:name w:val="annotation subject"/>
    <w:basedOn w:val="CommentText"/>
    <w:next w:val="CommentText"/>
    <w:link w:val="CommentSubjectChar"/>
    <w:rsid w:val="00745C54"/>
    <w:rPr>
      <w:b/>
      <w:bCs/>
    </w:rPr>
  </w:style>
  <w:style w:type="character" w:customStyle="1" w:styleId="CommentSubjectChar">
    <w:name w:val="Comment Subject Char"/>
    <w:link w:val="CommentSubject"/>
    <w:rsid w:val="00745C54"/>
    <w:rPr>
      <w:b/>
      <w:bCs/>
    </w:rPr>
  </w:style>
  <w:style w:type="paragraph" w:customStyle="1" w:styleId="Default">
    <w:name w:val="Default"/>
    <w:rsid w:val="00E745C3"/>
    <w:pPr>
      <w:autoSpaceDE w:val="0"/>
      <w:autoSpaceDN w:val="0"/>
      <w:adjustRightInd w:val="0"/>
    </w:pPr>
    <w:rPr>
      <w:color w:val="000000"/>
      <w:sz w:val="24"/>
      <w:szCs w:val="24"/>
    </w:rPr>
  </w:style>
  <w:style w:type="paragraph" w:styleId="ListParagraph">
    <w:name w:val="List Paragraph"/>
    <w:basedOn w:val="Normal"/>
    <w:uiPriority w:val="34"/>
    <w:qFormat/>
    <w:rsid w:val="000F23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line="480" w:lineRule="auto"/>
      <w:ind w:left="720" w:hanging="720"/>
    </w:pPr>
    <w:rPr>
      <w:sz w:val="24"/>
      <w:szCs w:val="24"/>
    </w:rPr>
  </w:style>
  <w:style w:type="paragraph" w:styleId="Heading1">
    <w:name w:val="heading 1"/>
    <w:basedOn w:val="Normal"/>
    <w:next w:val="Normal"/>
    <w:qFormat/>
    <w:pPr>
      <w:keepNext/>
      <w:spacing w:before="0" w:line="240" w:lineRule="auto"/>
      <w:ind w:left="0" w:firstLine="0"/>
      <w:outlineLvl w:val="0"/>
    </w:pPr>
    <w:rPr>
      <w:b/>
      <w:bCs/>
      <w:szCs w:val="20"/>
    </w:rPr>
  </w:style>
  <w:style w:type="paragraph" w:styleId="Heading2">
    <w:name w:val="heading 2"/>
    <w:basedOn w:val="Normal"/>
    <w:next w:val="Normal"/>
    <w:qFormat/>
    <w:pPr>
      <w:keepNext/>
      <w:spacing w:before="0" w:line="240" w:lineRule="auto"/>
      <w:ind w:left="0" w:firstLine="0"/>
      <w:outlineLvl w:val="1"/>
    </w:pPr>
    <w:rPr>
      <w:szCs w:val="20"/>
    </w:rPr>
  </w:style>
  <w:style w:type="paragraph" w:styleId="Heading3">
    <w:name w:val="heading 3"/>
    <w:basedOn w:val="Normal"/>
    <w:next w:val="Normal"/>
    <w:qFormat/>
    <w:pPr>
      <w:keepNext/>
      <w:spacing w:before="0" w:line="240" w:lineRule="auto"/>
      <w:ind w:left="0" w:firstLine="0"/>
      <w:outlineLvl w:val="2"/>
    </w:pPr>
    <w:rPr>
      <w:i/>
      <w:iCs/>
      <w:szCs w:val="20"/>
    </w:rPr>
  </w:style>
  <w:style w:type="paragraph" w:styleId="Heading4">
    <w:name w:val="heading 4"/>
    <w:basedOn w:val="Normal"/>
    <w:next w:val="Normal"/>
    <w:qFormat/>
    <w:pPr>
      <w:keepNext/>
      <w:numPr>
        <w:numId w:val="1"/>
      </w:numPr>
      <w:tabs>
        <w:tab w:val="num" w:pos="720"/>
      </w:tabs>
      <w:spacing w:before="0" w:line="240" w:lineRule="auto"/>
      <w:ind w:left="72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t"/>
    <w:basedOn w:val="Normal"/>
    <w:link w:val="FootnoteTextChar"/>
    <w:semiHidden/>
    <w:pPr>
      <w:widowControl w:val="0"/>
      <w:spacing w:before="0" w:after="120" w:line="240" w:lineRule="auto"/>
    </w:pPr>
    <w:rPr>
      <w:sz w:val="22"/>
      <w:szCs w:val="20"/>
    </w:rPr>
  </w:style>
  <w:style w:type="character" w:styleId="FootnoteReference">
    <w:name w:val="footnote reference"/>
    <w:aliases w:val="fr"/>
    <w:semiHidden/>
    <w:rPr>
      <w:sz w:val="20"/>
      <w:vertAlign w:val="superscript"/>
    </w:rPr>
  </w:style>
  <w:style w:type="paragraph" w:styleId="BodyText">
    <w:name w:val="Body Text"/>
    <w:basedOn w:val="Normal"/>
    <w:pPr>
      <w:tabs>
        <w:tab w:val="num" w:pos="0"/>
      </w:tabs>
      <w:spacing w:before="0"/>
      <w:ind w:left="0" w:firstLine="0"/>
    </w:pPr>
    <w:rPr>
      <w:szCs w:val="20"/>
    </w:rPr>
  </w:style>
  <w:style w:type="paragraph" w:styleId="Header">
    <w:name w:val="header"/>
    <w:basedOn w:val="Normal"/>
    <w:pPr>
      <w:tabs>
        <w:tab w:val="center" w:pos="4320"/>
        <w:tab w:val="right" w:pos="8640"/>
      </w:tabs>
      <w:spacing w:before="0" w:line="240" w:lineRule="auto"/>
      <w:ind w:left="0" w:firstLine="0"/>
    </w:pPr>
    <w:rPr>
      <w:sz w:val="20"/>
      <w:szCs w:val="20"/>
    </w:rPr>
  </w:style>
  <w:style w:type="character" w:styleId="PageNumber">
    <w:name w:val="page number"/>
    <w:basedOn w:val="DefaultParagraphFont"/>
  </w:style>
  <w:style w:type="paragraph" w:styleId="BodyTextIndent">
    <w:name w:val="Body Text Indent"/>
    <w:basedOn w:val="Normal"/>
    <w:pPr>
      <w:spacing w:before="0"/>
      <w:ind w:left="0" w:firstLine="720"/>
    </w:pPr>
    <w:rPr>
      <w:szCs w:val="20"/>
    </w:rPr>
  </w:style>
  <w:style w:type="paragraph" w:styleId="BodyTextIndent2">
    <w:name w:val="Body Text Indent 2"/>
    <w:basedOn w:val="Normal"/>
    <w:pPr>
      <w:spacing w:before="0" w:line="240" w:lineRule="auto"/>
      <w:ind w:firstLine="0"/>
    </w:pPr>
    <w:rPr>
      <w:szCs w:val="20"/>
    </w:rPr>
  </w:style>
  <w:style w:type="character" w:styleId="Hyperlink">
    <w:name w:val="Hyperlink"/>
    <w:rPr>
      <w:color w:val="0000FF"/>
      <w:u w:val="single"/>
    </w:rPr>
  </w:style>
  <w:style w:type="paragraph" w:styleId="Footer">
    <w:name w:val="footer"/>
    <w:basedOn w:val="Normal"/>
    <w:rsid w:val="005D364B"/>
    <w:pPr>
      <w:tabs>
        <w:tab w:val="center" w:pos="4320"/>
        <w:tab w:val="right" w:pos="8640"/>
      </w:tabs>
    </w:pPr>
  </w:style>
  <w:style w:type="character" w:customStyle="1" w:styleId="StyleFootnoteReferenceTimesNewRoman10pt">
    <w:name w:val="Style Footnote Reference + Times New Roman 10 pt"/>
    <w:rsid w:val="0029186D"/>
    <w:rPr>
      <w:rFonts w:ascii="Times New Roman" w:hAnsi="Times New Roman"/>
      <w:sz w:val="20"/>
      <w:szCs w:val="20"/>
      <w:vertAlign w:val="superscript"/>
    </w:rPr>
  </w:style>
  <w:style w:type="paragraph" w:styleId="BalloonText">
    <w:name w:val="Balloon Text"/>
    <w:basedOn w:val="Normal"/>
    <w:semiHidden/>
    <w:rsid w:val="008C122E"/>
    <w:rPr>
      <w:rFonts w:ascii="Tahoma" w:hAnsi="Tahoma" w:cs="Tahoma"/>
      <w:sz w:val="16"/>
      <w:szCs w:val="16"/>
    </w:rPr>
  </w:style>
  <w:style w:type="character" w:customStyle="1" w:styleId="FootnoteTextChar">
    <w:name w:val="Footnote Text Char"/>
    <w:aliases w:val="fn Char,ft Char"/>
    <w:link w:val="FootnoteText"/>
    <w:rsid w:val="00E346E8"/>
    <w:rPr>
      <w:sz w:val="22"/>
      <w:lang w:val="en-US" w:eastAsia="en-US" w:bidi="ar-SA"/>
    </w:rPr>
  </w:style>
  <w:style w:type="character" w:styleId="FollowedHyperlink">
    <w:name w:val="FollowedHyperlink"/>
    <w:rsid w:val="00755C1A"/>
    <w:rPr>
      <w:color w:val="800080"/>
      <w:u w:val="single"/>
    </w:rPr>
  </w:style>
  <w:style w:type="character" w:styleId="CommentReference">
    <w:name w:val="annotation reference"/>
    <w:rsid w:val="00745C54"/>
    <w:rPr>
      <w:sz w:val="16"/>
      <w:szCs w:val="16"/>
    </w:rPr>
  </w:style>
  <w:style w:type="paragraph" w:styleId="CommentText">
    <w:name w:val="annotation text"/>
    <w:basedOn w:val="Normal"/>
    <w:link w:val="CommentTextChar"/>
    <w:rsid w:val="00745C54"/>
    <w:rPr>
      <w:sz w:val="20"/>
      <w:szCs w:val="20"/>
    </w:rPr>
  </w:style>
  <w:style w:type="character" w:customStyle="1" w:styleId="CommentTextChar">
    <w:name w:val="Comment Text Char"/>
    <w:basedOn w:val="DefaultParagraphFont"/>
    <w:link w:val="CommentText"/>
    <w:rsid w:val="00745C54"/>
  </w:style>
  <w:style w:type="paragraph" w:styleId="CommentSubject">
    <w:name w:val="annotation subject"/>
    <w:basedOn w:val="CommentText"/>
    <w:next w:val="CommentText"/>
    <w:link w:val="CommentSubjectChar"/>
    <w:rsid w:val="00745C54"/>
    <w:rPr>
      <w:b/>
      <w:bCs/>
    </w:rPr>
  </w:style>
  <w:style w:type="character" w:customStyle="1" w:styleId="CommentSubjectChar">
    <w:name w:val="Comment Subject Char"/>
    <w:link w:val="CommentSubject"/>
    <w:rsid w:val="00745C54"/>
    <w:rPr>
      <w:b/>
      <w:bCs/>
    </w:rPr>
  </w:style>
  <w:style w:type="paragraph" w:customStyle="1" w:styleId="Default">
    <w:name w:val="Default"/>
    <w:rsid w:val="00E745C3"/>
    <w:pPr>
      <w:autoSpaceDE w:val="0"/>
      <w:autoSpaceDN w:val="0"/>
      <w:adjustRightInd w:val="0"/>
    </w:pPr>
    <w:rPr>
      <w:color w:val="000000"/>
      <w:sz w:val="24"/>
      <w:szCs w:val="24"/>
    </w:rPr>
  </w:style>
  <w:style w:type="paragraph" w:styleId="ListParagraph">
    <w:name w:val="List Paragraph"/>
    <w:basedOn w:val="Normal"/>
    <w:uiPriority w:val="34"/>
    <w:qFormat/>
    <w:rsid w:val="000F2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97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ci.org/research/stats/factbook" TargetMode="External"/><Relationship Id="rId2" Type="http://schemas.openxmlformats.org/officeDocument/2006/relationships/hyperlink" Target="https://www.ici.org/research/stats/factbook" TargetMode="External"/><Relationship Id="rId1" Type="http://schemas.openxmlformats.org/officeDocument/2006/relationships/hyperlink" Target="https://www.ici.org/research/stats/fact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F7271-6491-4829-BE02-57733A866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2957</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Securities and Exhange Commission</Company>
  <LinksUpToDate>false</LinksUpToDate>
  <CharactersWithSpaces>19779</CharactersWithSpaces>
  <SharedDoc>false</SharedDoc>
  <HLinks>
    <vt:vector size="24" baseType="variant">
      <vt:variant>
        <vt:i4>1441869</vt:i4>
      </vt:variant>
      <vt:variant>
        <vt:i4>0</vt:i4>
      </vt:variant>
      <vt:variant>
        <vt:i4>0</vt:i4>
      </vt:variant>
      <vt:variant>
        <vt:i4>5</vt:i4>
      </vt:variant>
      <vt:variant>
        <vt:lpwstr>http://www.sec.gov/about/privacy/secprivacyoffice.htm</vt:lpwstr>
      </vt:variant>
      <vt:variant>
        <vt:lpwstr/>
      </vt:variant>
      <vt:variant>
        <vt:i4>7209037</vt:i4>
      </vt:variant>
      <vt:variant>
        <vt:i4>6</vt:i4>
      </vt:variant>
      <vt:variant>
        <vt:i4>0</vt:i4>
      </vt:variant>
      <vt:variant>
        <vt:i4>5</vt:i4>
      </vt:variant>
      <vt:variant>
        <vt:lpwstr>http://www.ici.org/pdf/2014_factbook.pdf</vt:lpwstr>
      </vt:variant>
      <vt:variant>
        <vt:lpwstr/>
      </vt:variant>
      <vt:variant>
        <vt:i4>7209037</vt:i4>
      </vt:variant>
      <vt:variant>
        <vt:i4>3</vt:i4>
      </vt:variant>
      <vt:variant>
        <vt:i4>0</vt:i4>
      </vt:variant>
      <vt:variant>
        <vt:i4>5</vt:i4>
      </vt:variant>
      <vt:variant>
        <vt:lpwstr>http://www.ici.org/pdf/2014_factbook.pdf</vt:lpwstr>
      </vt:variant>
      <vt:variant>
        <vt:lpwstr/>
      </vt:variant>
      <vt:variant>
        <vt:i4>7209037</vt:i4>
      </vt:variant>
      <vt:variant>
        <vt:i4>0</vt:i4>
      </vt:variant>
      <vt:variant>
        <vt:i4>0</vt:i4>
      </vt:variant>
      <vt:variant>
        <vt:i4>5</vt:i4>
      </vt:variant>
      <vt:variant>
        <vt:lpwstr>http://www.ici.org/pdf/2014_factbook.pdf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Bill</dc:creator>
  <cp:lastModifiedBy>SYSTEM</cp:lastModifiedBy>
  <cp:revision>2</cp:revision>
  <cp:lastPrinted>2018-02-22T16:50:00Z</cp:lastPrinted>
  <dcterms:created xsi:type="dcterms:W3CDTF">2018-11-20T18:03:00Z</dcterms:created>
  <dcterms:modified xsi:type="dcterms:W3CDTF">2018-11-20T18:03:00Z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gFAAXJDLFUo5N7uzlqhug9p+he3MQuIkRFRAO8sne7x7/N5oUpEJ3JoooqCBVp7FHI0aH37gLP5Vdgf7_x000d_
1ICPzP3AHrutdp6dOX3Nw2oRSxzkU87KgAtQqfqzc8oRcjcHZdKaQIipqsgrBBGEYZQDC5miXbI6_x000d_
B3LphHjA+XmD/pFiiVzDonzO2uFGEyGHB6ze87j25Cwx1a8MF6V4X7VieZt88SzVuJeBIqpZItS3_x000d_
rwshb/0zdyo6AG2+L</vt:lpwstr>
  </property>
  <property fmtid="{D5CDD505-2E9C-101B-9397-08002B2CF9AE}" pid="3" name="MAIL_MSG_ID2">
    <vt:lpwstr>9hKWA+wB4jzEe4XGauBLmO6v/XgQ+Kjh5jQsXk8qC9poLj7/6sB4AToyGLC_x000d_
Ke9MiBuCVu1BrnhlMynIzCe8jP/9CNeR5aihEQ==</vt:lpwstr>
  </property>
  <property fmtid="{D5CDD505-2E9C-101B-9397-08002B2CF9AE}" pid="4" name="RESPONSE_SENDER_NAME">
    <vt:lpwstr>sAAAE9kkUq3pEoIy++oh6mLTSlCjliPe41DscdOwZyPrWUE=</vt:lpwstr>
  </property>
  <property fmtid="{D5CDD505-2E9C-101B-9397-08002B2CF9AE}" pid="5" name="EMAIL_OWNER_ADDRESS">
    <vt:lpwstr>sAAA2RgG6J6jCJ0XK72KbWuODL2C2y13Li8EEPY2hVZkUIM=</vt:lpwstr>
  </property>
</Properties>
</file>