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Pr="00DF27C6" w:rsidRDefault="00DA53DB">
      <w:pPr>
        <w:pStyle w:val="Title"/>
      </w:pPr>
      <w:bookmarkStart w:id="0" w:name="_GoBack"/>
      <w:bookmarkEnd w:id="0"/>
      <w:r w:rsidRPr="00DF27C6">
        <w:t>Paperwork Reduction Act Submission</w:t>
      </w:r>
    </w:p>
    <w:p w:rsidR="00DA53DB" w:rsidRPr="00DF27C6" w:rsidRDefault="00DA53DB">
      <w:pPr>
        <w:pBdr>
          <w:top w:val="single" w:sz="6" w:space="4" w:color="auto"/>
        </w:pBdr>
        <w:spacing w:after="120"/>
        <w:ind w:left="-120"/>
        <w:jc w:val="both"/>
        <w:rPr>
          <w:sz w:val="18"/>
        </w:rPr>
      </w:pPr>
      <w:r w:rsidRPr="00DF27C6">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DA53DB" w:rsidRPr="00DF27C6">
        <w:tc>
          <w:tcPr>
            <w:tcW w:w="7428" w:type="dxa"/>
            <w:gridSpan w:val="2"/>
            <w:tcBorders>
              <w:top w:val="single" w:sz="6" w:space="0" w:color="auto"/>
              <w:left w:val="nil"/>
              <w:bottom w:val="nil"/>
              <w:right w:val="nil"/>
            </w:tcBorders>
          </w:tcPr>
          <w:p w:rsidR="00DA53DB" w:rsidRPr="00DF27C6" w:rsidRDefault="00DA53DB">
            <w:pPr>
              <w:ind w:left="-120"/>
              <w:rPr>
                <w:rFonts w:ascii="Helvetica" w:hAnsi="Helvetica"/>
                <w:sz w:val="14"/>
              </w:rPr>
            </w:pPr>
            <w:r w:rsidRPr="00DF27C6">
              <w:rPr>
                <w:rFonts w:ascii="Helvetica" w:hAnsi="Helvetica"/>
                <w:sz w:val="14"/>
              </w:rPr>
              <w:t>1. Agency/Subagency Originating Request:</w:t>
            </w:r>
          </w:p>
          <w:p w:rsidR="00DA53DB" w:rsidRPr="00DF27C6" w:rsidRDefault="00DA53DB">
            <w:pPr>
              <w:ind w:left="120"/>
              <w:rPr>
                <w:rFonts w:ascii="Helvetica" w:hAnsi="Helvetica"/>
                <w:b/>
                <w:sz w:val="18"/>
              </w:rPr>
            </w:pPr>
            <w:r w:rsidRPr="00DF27C6">
              <w:rPr>
                <w:rFonts w:ascii="Helvetica" w:hAnsi="Helvetica"/>
                <w:b/>
                <w:sz w:val="18"/>
              </w:rPr>
              <w:t>U.S. Department of Housing and Urban Development</w:t>
            </w:r>
          </w:p>
          <w:p w:rsidR="00DA53DB" w:rsidRPr="00DF27C6" w:rsidRDefault="00DA53DB">
            <w:pPr>
              <w:spacing w:before="40" w:after="40"/>
              <w:ind w:left="120"/>
              <w:rPr>
                <w:rFonts w:ascii="Helvetica" w:hAnsi="Helvetica"/>
                <w:sz w:val="18"/>
              </w:rPr>
            </w:pPr>
            <w:r w:rsidRPr="00DF27C6">
              <w:rPr>
                <w:rFonts w:ascii="Helvetica" w:hAnsi="Helvetica"/>
                <w:sz w:val="18"/>
              </w:rPr>
              <w:t>Public and Indian Housing</w:t>
            </w:r>
          </w:p>
          <w:p w:rsidR="00DA53DB" w:rsidRPr="00DF27C6"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Pr="00DF27C6" w:rsidRDefault="00DA53DB">
            <w:pPr>
              <w:rPr>
                <w:rFonts w:ascii="Helvetica" w:hAnsi="Helvetica"/>
                <w:sz w:val="16"/>
              </w:rPr>
            </w:pPr>
            <w:r w:rsidRPr="00DF27C6">
              <w:rPr>
                <w:rFonts w:ascii="Helvetica" w:hAnsi="Helvetica"/>
                <w:sz w:val="16"/>
              </w:rPr>
              <w:t xml:space="preserve">2. </w:t>
            </w:r>
            <w:r w:rsidRPr="00DF27C6">
              <w:rPr>
                <w:rFonts w:ascii="Helvetica" w:hAnsi="Helvetica"/>
                <w:sz w:val="14"/>
              </w:rPr>
              <w:t>OMB Control Number:</w:t>
            </w:r>
          </w:p>
          <w:p w:rsidR="00DA53DB" w:rsidRPr="00DF27C6" w:rsidRDefault="00DA53DB">
            <w:pPr>
              <w:spacing w:before="40" w:after="40"/>
              <w:ind w:left="132"/>
              <w:rPr>
                <w:rFonts w:ascii="Helvetica" w:hAnsi="Helvetica"/>
                <w:sz w:val="16"/>
              </w:rPr>
            </w:pPr>
            <w:r w:rsidRPr="00DF27C6">
              <w:rPr>
                <w:rFonts w:ascii="Helvetica" w:hAnsi="Helvetica"/>
                <w:sz w:val="16"/>
              </w:rPr>
              <w:t xml:space="preserve">a. </w:t>
            </w:r>
            <w:r w:rsidR="003147DC" w:rsidRPr="00DF27C6">
              <w:rPr>
                <w:rFonts w:ascii="Helvetica" w:hAnsi="Helvetica"/>
                <w:sz w:val="16"/>
              </w:rPr>
              <w:t>2577-</w:t>
            </w:r>
            <w:r w:rsidR="00685293" w:rsidRPr="00DF27C6">
              <w:rPr>
                <w:rFonts w:ascii="Helvetica" w:hAnsi="Helvetica"/>
                <w:sz w:val="16"/>
              </w:rPr>
              <w:t>0269</w:t>
            </w:r>
          </w:p>
          <w:p w:rsidR="00DA53DB" w:rsidRPr="00DF27C6" w:rsidRDefault="00DA53DB">
            <w:pPr>
              <w:ind w:left="-120"/>
              <w:rPr>
                <w:rFonts w:ascii="Helvetica" w:hAnsi="Helvetica"/>
                <w:sz w:val="16"/>
              </w:rPr>
            </w:pPr>
          </w:p>
        </w:tc>
        <w:tc>
          <w:tcPr>
            <w:tcW w:w="1788" w:type="dxa"/>
            <w:tcBorders>
              <w:top w:val="single" w:sz="6" w:space="0" w:color="auto"/>
              <w:left w:val="nil"/>
              <w:bottom w:val="nil"/>
              <w:right w:val="nil"/>
            </w:tcBorders>
          </w:tcPr>
          <w:p w:rsidR="00DA53DB" w:rsidRPr="00DF27C6" w:rsidRDefault="00DA53DB">
            <w:pPr>
              <w:spacing w:before="120"/>
              <w:ind w:left="-120"/>
              <w:rPr>
                <w:rFonts w:ascii="Helvetica" w:hAnsi="Helvetica"/>
                <w:sz w:val="18"/>
              </w:rPr>
            </w:pPr>
            <w:r w:rsidRPr="00DF27C6">
              <w:rPr>
                <w:rFonts w:ascii="Helvetica" w:hAnsi="Helvetica"/>
                <w:sz w:val="16"/>
              </w:rPr>
              <w:t xml:space="preserve">b. </w:t>
            </w:r>
            <w:bookmarkStart w:id="1" w:name="Check1"/>
            <w:r w:rsidR="005D15DF" w:rsidRPr="00DF27C6">
              <w:rPr>
                <w:rFonts w:ascii="Helvetica" w:hAnsi="Helvetica"/>
              </w:rPr>
              <w:fldChar w:fldCharType="begin">
                <w:ffData>
                  <w:name w:val="Check1"/>
                  <w:enabled/>
                  <w:calcOnExit w:val="0"/>
                  <w:checkBox>
                    <w:sizeAuto/>
                    <w:default w:val="0"/>
                  </w:checkBox>
                </w:ffData>
              </w:fldChar>
            </w:r>
            <w:r w:rsidR="003147DC" w:rsidRPr="00DF27C6">
              <w:rPr>
                <w:rFonts w:ascii="Helvetica" w:hAnsi="Helvetica"/>
              </w:rPr>
              <w:instrText xml:space="preserve"> FORMCHECKBOX </w:instrText>
            </w:r>
            <w:r w:rsidR="002B459D">
              <w:rPr>
                <w:rFonts w:ascii="Helvetica" w:hAnsi="Helvetica"/>
              </w:rPr>
            </w:r>
            <w:r w:rsidR="002B459D">
              <w:rPr>
                <w:rFonts w:ascii="Helvetica" w:hAnsi="Helvetica"/>
              </w:rPr>
              <w:fldChar w:fldCharType="separate"/>
            </w:r>
            <w:r w:rsidR="005D15DF" w:rsidRPr="00DF27C6">
              <w:rPr>
                <w:rFonts w:ascii="Helvetica" w:hAnsi="Helvetica"/>
              </w:rPr>
              <w:fldChar w:fldCharType="end"/>
            </w:r>
            <w:bookmarkEnd w:id="1"/>
            <w:r w:rsidRPr="00DF27C6">
              <w:rPr>
                <w:rFonts w:ascii="Helvetica" w:hAnsi="Helvetica"/>
              </w:rPr>
              <w:t xml:space="preserve"> </w:t>
            </w:r>
            <w:r w:rsidRPr="00DF27C6">
              <w:rPr>
                <w:rFonts w:ascii="Helvetica" w:hAnsi="Helvetica"/>
                <w:sz w:val="18"/>
              </w:rPr>
              <w:t>None</w:t>
            </w:r>
          </w:p>
          <w:p w:rsidR="00DA53DB" w:rsidRPr="00DF27C6" w:rsidRDefault="00DA53DB">
            <w:pPr>
              <w:spacing w:before="40" w:after="40"/>
              <w:ind w:left="372"/>
              <w:rPr>
                <w:rFonts w:ascii="Helvetica" w:hAnsi="Helvetica"/>
                <w:sz w:val="16"/>
              </w:rPr>
            </w:pPr>
            <w:r w:rsidRPr="00DF27C6">
              <w:rPr>
                <w:rFonts w:ascii="Helvetica" w:hAnsi="Helvetica"/>
                <w:sz w:val="16"/>
              </w:rPr>
              <w:t xml:space="preserve"> </w:t>
            </w:r>
            <w:bookmarkStart w:id="2" w:name="Text3"/>
            <w:r w:rsidR="005D15DF" w:rsidRPr="00DF27C6">
              <w:rPr>
                <w:rFonts w:ascii="Helvetica" w:hAnsi="Helvetica"/>
                <w:b/>
                <w:sz w:val="18"/>
              </w:rPr>
              <w:fldChar w:fldCharType="begin">
                <w:ffData>
                  <w:name w:val="Text3"/>
                  <w:enabled/>
                  <w:calcOnExit w:val="0"/>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bookmarkEnd w:id="2"/>
          </w:p>
        </w:tc>
      </w:tr>
      <w:tr w:rsidR="00DA53DB" w:rsidRPr="00DF27C6">
        <w:tc>
          <w:tcPr>
            <w:tcW w:w="5508" w:type="dxa"/>
            <w:tcBorders>
              <w:top w:val="single" w:sz="6" w:space="0" w:color="auto"/>
              <w:left w:val="nil"/>
              <w:bottom w:val="nil"/>
              <w:right w:val="nil"/>
            </w:tcBorders>
          </w:tcPr>
          <w:p w:rsidR="00DA53DB" w:rsidRPr="00DF27C6" w:rsidRDefault="00DA53DB">
            <w:pPr>
              <w:tabs>
                <w:tab w:val="left" w:pos="240"/>
              </w:tabs>
              <w:ind w:left="-120"/>
              <w:rPr>
                <w:rFonts w:ascii="Helvetica" w:hAnsi="Helvetica"/>
                <w:sz w:val="14"/>
              </w:rPr>
            </w:pPr>
            <w:r w:rsidRPr="00DF27C6">
              <w:rPr>
                <w:rFonts w:ascii="Helvetica" w:hAnsi="Helvetica"/>
                <w:sz w:val="16"/>
              </w:rPr>
              <w:t>3.</w:t>
            </w:r>
            <w:r w:rsidRPr="00DF27C6">
              <w:rPr>
                <w:rFonts w:ascii="Helvetica" w:hAnsi="Helvetica"/>
                <w:sz w:val="16"/>
              </w:rPr>
              <w:tab/>
            </w:r>
            <w:r w:rsidRPr="00DF27C6">
              <w:rPr>
                <w:rFonts w:ascii="Helvetica" w:hAnsi="Helvetica"/>
                <w:sz w:val="14"/>
              </w:rPr>
              <w:t>Type of information collection: (check one)</w:t>
            </w:r>
          </w:p>
          <w:bookmarkStart w:id="3" w:name="Check3"/>
          <w:p w:rsidR="00DA53DB" w:rsidRPr="00DF27C6" w:rsidRDefault="005D15DF">
            <w:pPr>
              <w:numPr>
                <w:ilvl w:val="0"/>
                <w:numId w:val="1"/>
              </w:numPr>
              <w:tabs>
                <w:tab w:val="left" w:pos="240"/>
                <w:tab w:val="left" w:pos="480"/>
              </w:tabs>
              <w:ind w:right="2532"/>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00446F73"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bookmarkEnd w:id="3"/>
            <w:r w:rsidR="00DA53DB" w:rsidRPr="00DF27C6">
              <w:rPr>
                <w:rFonts w:ascii="Helvetica" w:hAnsi="Helvetica"/>
                <w:sz w:val="16"/>
              </w:rPr>
              <w:t xml:space="preserve">  New Collection </w:t>
            </w:r>
          </w:p>
          <w:p w:rsidR="00DA53DB" w:rsidRPr="00DF27C6" w:rsidRDefault="005D15DF">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00C113B2"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r w:rsidR="00C113B2" w:rsidRPr="00DF27C6">
              <w:rPr>
                <w:rFonts w:ascii="Helvetica" w:hAnsi="Helvetica"/>
                <w:sz w:val="16"/>
              </w:rPr>
              <w:t xml:space="preserve"> </w:t>
            </w:r>
            <w:r w:rsidR="0020186E" w:rsidRPr="00DF27C6">
              <w:rPr>
                <w:rFonts w:ascii="Helvetica" w:hAnsi="Helvetica"/>
                <w:sz w:val="16"/>
              </w:rPr>
              <w:t xml:space="preserve"> </w:t>
            </w:r>
            <w:r w:rsidR="00DA53DB" w:rsidRPr="00DF27C6">
              <w:rPr>
                <w:rFonts w:ascii="Helvetica" w:hAnsi="Helvetica"/>
                <w:sz w:val="16"/>
              </w:rPr>
              <w:t>Revision of a currently approved collection</w:t>
            </w:r>
          </w:p>
          <w:p w:rsidR="00DA53DB" w:rsidRPr="00DF27C6" w:rsidRDefault="005D15DF">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00E07CAF"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r w:rsidR="00C113B2" w:rsidRPr="00DF27C6">
              <w:rPr>
                <w:rFonts w:ascii="Helvetica" w:hAnsi="Helvetica"/>
                <w:sz w:val="16"/>
              </w:rPr>
              <w:t xml:space="preserve"> </w:t>
            </w:r>
            <w:r w:rsidR="00DA53DB" w:rsidRPr="00DF27C6">
              <w:rPr>
                <w:rFonts w:ascii="Helvetica" w:hAnsi="Helvetica"/>
                <w:sz w:val="16"/>
              </w:rPr>
              <w:t>Extension of a currently approved collection</w:t>
            </w:r>
          </w:p>
          <w:p w:rsidR="00DA53DB" w:rsidRPr="00DF27C6" w:rsidRDefault="005D15DF">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00DA53DB"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r w:rsidR="00DA53DB" w:rsidRPr="00DF27C6">
              <w:rPr>
                <w:rFonts w:ascii="Helvetica" w:hAnsi="Helvetica"/>
                <w:sz w:val="16"/>
              </w:rPr>
              <w:t xml:space="preserve"> Reinstatement, </w:t>
            </w:r>
            <w:r w:rsidR="00DA53DB" w:rsidRPr="00DF27C6">
              <w:rPr>
                <w:rFonts w:ascii="Helvetica" w:hAnsi="Helvetica"/>
                <w:b/>
                <w:sz w:val="16"/>
              </w:rPr>
              <w:t>without change</w:t>
            </w:r>
            <w:r w:rsidR="00DA53DB" w:rsidRPr="00DF27C6">
              <w:rPr>
                <w:rFonts w:ascii="Helvetica" w:hAnsi="Helvetica"/>
                <w:sz w:val="16"/>
              </w:rPr>
              <w:t xml:space="preserve">, of previously approved </w:t>
            </w:r>
          </w:p>
          <w:p w:rsidR="00DA53DB" w:rsidRPr="00DF27C6" w:rsidRDefault="00DA53DB">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collection for which approval has expired</w:t>
            </w:r>
          </w:p>
          <w:p w:rsidR="00DA53DB" w:rsidRPr="00DF27C6" w:rsidRDefault="005D15DF">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00DA53DB"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r w:rsidR="00DA53DB" w:rsidRPr="00DF27C6">
              <w:rPr>
                <w:rFonts w:ascii="Helvetica" w:hAnsi="Helvetica"/>
                <w:sz w:val="16"/>
              </w:rPr>
              <w:t xml:space="preserve"> Reinstatement, </w:t>
            </w:r>
            <w:r w:rsidR="00DA53DB" w:rsidRPr="00DF27C6">
              <w:rPr>
                <w:rFonts w:ascii="Helvetica" w:hAnsi="Helvetica"/>
                <w:b/>
                <w:sz w:val="16"/>
              </w:rPr>
              <w:t>with change</w:t>
            </w:r>
            <w:r w:rsidR="00DA53DB" w:rsidRPr="00DF27C6">
              <w:rPr>
                <w:rFonts w:ascii="Helvetica" w:hAnsi="Helvetica"/>
                <w:sz w:val="16"/>
              </w:rPr>
              <w:t xml:space="preserve">, of previously approved collection </w:t>
            </w:r>
          </w:p>
          <w:p w:rsidR="00DA53DB" w:rsidRPr="00DF27C6" w:rsidRDefault="00DA53DB">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for which approval has expired</w:t>
            </w:r>
          </w:p>
          <w:bookmarkStart w:id="4" w:name="Check7"/>
          <w:p w:rsidR="00DA53DB" w:rsidRPr="00DF27C6" w:rsidRDefault="005D15DF">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7"/>
                  <w:enabled/>
                  <w:calcOnExit w:val="0"/>
                  <w:checkBox>
                    <w:sizeAuto/>
                    <w:default w:val="0"/>
                  </w:checkBox>
                </w:ffData>
              </w:fldChar>
            </w:r>
            <w:r w:rsidR="00DA53DB"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bookmarkEnd w:id="4"/>
            <w:r w:rsidR="00DA53DB" w:rsidRPr="00DF27C6">
              <w:rPr>
                <w:rFonts w:ascii="Helvetica" w:hAnsi="Helvetica"/>
                <w:sz w:val="16"/>
              </w:rPr>
              <w:t xml:space="preserve"> Existing collection in use without an OMB control number</w:t>
            </w:r>
          </w:p>
          <w:p w:rsidR="00DA53DB" w:rsidRPr="00DF27C6" w:rsidRDefault="00DA53DB">
            <w:pPr>
              <w:tabs>
                <w:tab w:val="left" w:pos="480"/>
                <w:tab w:val="left" w:pos="720"/>
              </w:tabs>
              <w:spacing w:before="60" w:after="60"/>
              <w:rPr>
                <w:rFonts w:ascii="Helvetica" w:hAnsi="Helvetica"/>
                <w:sz w:val="16"/>
              </w:rPr>
            </w:pPr>
            <w:r w:rsidRPr="00DF27C6">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Pr="00DF27C6" w:rsidRDefault="00DA53DB">
            <w:pPr>
              <w:tabs>
                <w:tab w:val="left" w:pos="252"/>
                <w:tab w:val="left" w:pos="492"/>
              </w:tabs>
              <w:ind w:left="-240"/>
              <w:rPr>
                <w:rFonts w:ascii="Helvetica" w:hAnsi="Helvetica"/>
                <w:sz w:val="14"/>
              </w:rPr>
            </w:pPr>
            <w:r w:rsidRPr="00DF27C6">
              <w:rPr>
                <w:rFonts w:ascii="Helvetica" w:hAnsi="Helvetica"/>
                <w:sz w:val="16"/>
              </w:rPr>
              <w:t>4.</w:t>
            </w:r>
            <w:r w:rsidRPr="00DF27C6">
              <w:rPr>
                <w:rFonts w:ascii="Helvetica" w:hAnsi="Helvetica"/>
                <w:sz w:val="16"/>
              </w:rPr>
              <w:tab/>
            </w:r>
            <w:r w:rsidRPr="00DF27C6">
              <w:rPr>
                <w:rFonts w:ascii="Helvetica" w:hAnsi="Helvetica"/>
                <w:sz w:val="14"/>
              </w:rPr>
              <w:t>Type of review requested: (check one)</w:t>
            </w:r>
          </w:p>
          <w:p w:rsidR="00DA53DB" w:rsidRPr="00DF27C6" w:rsidRDefault="005D15DF">
            <w:pPr>
              <w:numPr>
                <w:ilvl w:val="0"/>
                <w:numId w:val="2"/>
              </w:numPr>
              <w:tabs>
                <w:tab w:val="left" w:pos="492"/>
                <w:tab w:val="left" w:pos="732"/>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00446F73" w:rsidRPr="00DF27C6">
              <w:rPr>
                <w:rFonts w:ascii="Helvetica" w:hAnsi="Helvetica"/>
                <w:b/>
              </w:rPr>
              <w:instrText xml:space="preserve"> FORMCHECKBOX </w:instrText>
            </w:r>
            <w:r w:rsidR="002B459D">
              <w:rPr>
                <w:rFonts w:ascii="Helvetica" w:hAnsi="Helvetica"/>
                <w:b/>
              </w:rPr>
            </w:r>
            <w:r w:rsidR="002B459D">
              <w:rPr>
                <w:rFonts w:ascii="Helvetica" w:hAnsi="Helvetica"/>
                <w:b/>
              </w:rPr>
              <w:fldChar w:fldCharType="separate"/>
            </w:r>
            <w:r w:rsidRPr="00DF27C6">
              <w:rPr>
                <w:rFonts w:ascii="Helvetica" w:hAnsi="Helvetica"/>
                <w:b/>
              </w:rPr>
              <w:fldChar w:fldCharType="end"/>
            </w:r>
            <w:r w:rsidR="00DA53DB" w:rsidRPr="00DF27C6">
              <w:rPr>
                <w:rFonts w:ascii="Helvetica" w:hAnsi="Helvetica"/>
                <w:sz w:val="16"/>
              </w:rPr>
              <w:t xml:space="preserve"> Regular</w:t>
            </w:r>
          </w:p>
          <w:bookmarkStart w:id="5" w:name="Check9"/>
          <w:p w:rsidR="00DA53DB" w:rsidRPr="00DF27C6" w:rsidRDefault="005D15DF">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9"/>
                  <w:enabled/>
                  <w:calcOnExit w:val="0"/>
                  <w:checkBox>
                    <w:sizeAuto/>
                    <w:default w:val="0"/>
                  </w:checkBox>
                </w:ffData>
              </w:fldChar>
            </w:r>
            <w:r w:rsidR="00446F73"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bookmarkEnd w:id="5"/>
            <w:r w:rsidR="00DA53DB" w:rsidRPr="00DF27C6">
              <w:rPr>
                <w:rFonts w:ascii="Helvetica" w:hAnsi="Helvetica"/>
                <w:sz w:val="16"/>
              </w:rPr>
              <w:t xml:space="preserve"> Emergency </w:t>
            </w:r>
          </w:p>
          <w:bookmarkStart w:id="6" w:name="Check10"/>
          <w:p w:rsidR="00DA53DB" w:rsidRPr="00DF27C6" w:rsidRDefault="005D15DF">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10"/>
                  <w:enabled/>
                  <w:calcOnExit w:val="0"/>
                  <w:checkBox>
                    <w:sizeAuto/>
                    <w:default w:val="0"/>
                  </w:checkBox>
                </w:ffData>
              </w:fldChar>
            </w:r>
            <w:r w:rsidR="00DA53DB"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bookmarkEnd w:id="6"/>
            <w:r w:rsidR="00DA53DB" w:rsidRPr="00DF27C6">
              <w:rPr>
                <w:rFonts w:ascii="Helvetica" w:hAnsi="Helvetica"/>
                <w:sz w:val="18"/>
              </w:rPr>
              <w:t xml:space="preserve"> </w:t>
            </w:r>
            <w:r w:rsidR="00DA53DB" w:rsidRPr="00DF27C6">
              <w:rPr>
                <w:rFonts w:ascii="Helvetica" w:hAnsi="Helvetica"/>
                <w:sz w:val="16"/>
              </w:rPr>
              <w:t>Delegated</w:t>
            </w:r>
          </w:p>
          <w:p w:rsidR="00DA53DB" w:rsidRPr="00DF27C6" w:rsidRDefault="00DA53DB">
            <w:pPr>
              <w:tabs>
                <w:tab w:val="left" w:pos="240"/>
              </w:tabs>
              <w:spacing w:before="120" w:line="160" w:lineRule="exact"/>
              <w:ind w:left="252" w:hanging="240"/>
              <w:rPr>
                <w:rFonts w:ascii="Helvetica" w:hAnsi="Helvetica"/>
                <w:sz w:val="16"/>
              </w:rPr>
            </w:pPr>
            <w:r w:rsidRPr="00DF27C6">
              <w:rPr>
                <w:rFonts w:ascii="Helvetica" w:hAnsi="Helvetica"/>
                <w:sz w:val="16"/>
              </w:rPr>
              <w:t>5.</w:t>
            </w:r>
            <w:r w:rsidRPr="00DF27C6">
              <w:rPr>
                <w:rFonts w:ascii="Helvetica" w:hAnsi="Helvetica"/>
                <w:sz w:val="16"/>
              </w:rPr>
              <w:tab/>
            </w:r>
            <w:r w:rsidRPr="00DF27C6">
              <w:rPr>
                <w:rFonts w:ascii="Helvetica" w:hAnsi="Helvetica"/>
                <w:sz w:val="14"/>
              </w:rPr>
              <w:t>Small entities: Will this information collection have a significant economic impact on a substantial number of small entities?</w:t>
            </w:r>
            <w:r w:rsidRPr="00DF27C6">
              <w:rPr>
                <w:rFonts w:ascii="Helvetica" w:hAnsi="Helvetica"/>
                <w:sz w:val="16"/>
              </w:rPr>
              <w:t xml:space="preserve">  </w:t>
            </w:r>
          </w:p>
          <w:bookmarkStart w:id="7" w:name="Check13"/>
          <w:p w:rsidR="00DA53DB" w:rsidRPr="00DF27C6" w:rsidRDefault="005D15DF">
            <w:pPr>
              <w:tabs>
                <w:tab w:val="left" w:pos="240"/>
              </w:tabs>
              <w:ind w:left="252"/>
              <w:rPr>
                <w:rFonts w:ascii="Helvetica" w:hAnsi="Helvetica"/>
                <w:sz w:val="18"/>
              </w:rPr>
            </w:pPr>
            <w:r w:rsidRPr="00DF27C6">
              <w:rPr>
                <w:rFonts w:ascii="Helvetica" w:hAnsi="Helvetica"/>
                <w:b/>
                <w:sz w:val="18"/>
              </w:rPr>
              <w:fldChar w:fldCharType="begin">
                <w:ffData>
                  <w:name w:val="Check13"/>
                  <w:enabled/>
                  <w:calcOnExit w:val="0"/>
                  <w:checkBox>
                    <w:sizeAuto/>
                    <w:default w:val="0"/>
                  </w:checkBox>
                </w:ffData>
              </w:fldChar>
            </w:r>
            <w:r w:rsidR="00DA53DB"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bookmarkEnd w:id="7"/>
            <w:r w:rsidR="00DA53DB" w:rsidRPr="00DF27C6">
              <w:rPr>
                <w:rFonts w:ascii="Helvetica" w:hAnsi="Helvetica"/>
                <w:sz w:val="18"/>
              </w:rPr>
              <w:t xml:space="preserve"> Yes  </w:t>
            </w:r>
            <w:r w:rsidRPr="00DF27C6">
              <w:rPr>
                <w:rFonts w:ascii="Helvetica" w:hAnsi="Helvetica"/>
                <w:b/>
                <w:sz w:val="18"/>
              </w:rPr>
              <w:fldChar w:fldCharType="begin">
                <w:ffData>
                  <w:name w:val="Check9"/>
                  <w:enabled/>
                  <w:calcOnExit w:val="0"/>
                  <w:checkBox>
                    <w:sizeAuto/>
                    <w:default w:val="1"/>
                  </w:checkBox>
                </w:ffData>
              </w:fldChar>
            </w:r>
            <w:r w:rsidR="00DA53DB"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r w:rsidR="00DA53DB" w:rsidRPr="00DF27C6">
              <w:rPr>
                <w:rFonts w:ascii="Helvetica" w:hAnsi="Helvetica"/>
                <w:sz w:val="18"/>
              </w:rPr>
              <w:t xml:space="preserve"> No</w:t>
            </w:r>
          </w:p>
          <w:p w:rsidR="00DA53DB" w:rsidRPr="00DF27C6" w:rsidRDefault="00DA53DB">
            <w:pPr>
              <w:tabs>
                <w:tab w:val="left" w:pos="240"/>
              </w:tabs>
              <w:spacing w:before="120"/>
              <w:rPr>
                <w:rFonts w:ascii="Helvetica" w:hAnsi="Helvetica"/>
                <w:sz w:val="16"/>
              </w:rPr>
            </w:pPr>
            <w:r w:rsidRPr="00DF27C6">
              <w:rPr>
                <w:rFonts w:ascii="Helvetica" w:hAnsi="Helvetica"/>
                <w:sz w:val="16"/>
              </w:rPr>
              <w:t>6.</w:t>
            </w:r>
            <w:r w:rsidRPr="00DF27C6">
              <w:rPr>
                <w:rFonts w:ascii="Helvetica" w:hAnsi="Helvetica"/>
                <w:sz w:val="16"/>
              </w:rPr>
              <w:tab/>
            </w:r>
            <w:r w:rsidRPr="00DF27C6">
              <w:rPr>
                <w:rFonts w:ascii="Helvetica" w:hAnsi="Helvetica"/>
                <w:sz w:val="14"/>
              </w:rPr>
              <w:t>Requested expiration date:</w:t>
            </w:r>
          </w:p>
          <w:p w:rsidR="00DA53DB" w:rsidRPr="00DF27C6" w:rsidRDefault="00DA53DB">
            <w:pPr>
              <w:tabs>
                <w:tab w:val="left" w:pos="240"/>
                <w:tab w:val="left" w:pos="3132"/>
              </w:tabs>
              <w:ind w:left="252"/>
              <w:rPr>
                <w:rFonts w:ascii="Helvetica" w:hAnsi="Helvetica"/>
                <w:sz w:val="16"/>
              </w:rPr>
            </w:pPr>
            <w:r w:rsidRPr="00DF27C6">
              <w:rPr>
                <w:rFonts w:ascii="Helvetica" w:hAnsi="Helvetica"/>
                <w:sz w:val="16"/>
              </w:rPr>
              <w:t xml:space="preserve">a. </w:t>
            </w:r>
            <w:r w:rsidR="005D15DF" w:rsidRPr="00DF27C6">
              <w:rPr>
                <w:rFonts w:ascii="Helvetica" w:hAnsi="Helvetica"/>
                <w:b/>
                <w:sz w:val="18"/>
              </w:rPr>
              <w:fldChar w:fldCharType="begin">
                <w:ffData>
                  <w:name w:val=""/>
                  <w:enabled/>
                  <w:calcOnExit w:val="0"/>
                  <w:checkBox>
                    <w:sizeAuto/>
                    <w:default w:val="1"/>
                  </w:checkBox>
                </w:ffData>
              </w:fldChar>
            </w:r>
            <w:r w:rsidR="00446F73"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8"/>
              </w:rPr>
              <w:t xml:space="preserve"> </w:t>
            </w:r>
            <w:r w:rsidR="009F4B77" w:rsidRPr="00DF27C6">
              <w:rPr>
                <w:rFonts w:ascii="Helvetica" w:hAnsi="Helvetica"/>
                <w:sz w:val="16"/>
              </w:rPr>
              <w:t>Three years from approval date</w:t>
            </w:r>
            <w:r w:rsidRPr="00DF27C6">
              <w:rPr>
                <w:rFonts w:ascii="Helvetica" w:hAnsi="Helvetica"/>
                <w:sz w:val="16"/>
              </w:rPr>
              <w:t xml:space="preserve">  </w:t>
            </w:r>
            <w:r w:rsidRPr="00DF27C6">
              <w:rPr>
                <w:rFonts w:ascii="Helvetica" w:hAnsi="Helvetica"/>
                <w:sz w:val="16"/>
              </w:rPr>
              <w:tab/>
              <w:t xml:space="preserve">b. </w:t>
            </w:r>
            <w:r w:rsidR="005D15DF" w:rsidRPr="00DF27C6">
              <w:rPr>
                <w:rFonts w:ascii="Helvetica" w:hAnsi="Helvetica"/>
                <w:b/>
                <w:sz w:val="18"/>
              </w:rPr>
              <w:fldChar w:fldCharType="begin">
                <w:ffData>
                  <w:name w:val=""/>
                  <w:enabled/>
                  <w:calcOnExit w:val="0"/>
                  <w:checkBox>
                    <w:sizeAuto/>
                    <w:default w:val="0"/>
                  </w:checkBox>
                </w:ffData>
              </w:fldChar>
            </w:r>
            <w:r w:rsidR="00446F73"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Other (specify)</w:t>
            </w:r>
          </w:p>
          <w:p w:rsidR="00DA53DB" w:rsidRPr="00DF27C6" w:rsidRDefault="00DA53DB" w:rsidP="00446F73">
            <w:pPr>
              <w:tabs>
                <w:tab w:val="left" w:pos="3252"/>
              </w:tabs>
              <w:spacing w:after="60"/>
              <w:rPr>
                <w:rFonts w:ascii="Helvetica" w:hAnsi="Helvetica"/>
                <w:sz w:val="16"/>
              </w:rPr>
            </w:pPr>
            <w:r w:rsidRPr="00DF27C6">
              <w:rPr>
                <w:rFonts w:ascii="Helvetica" w:hAnsi="Helvetica"/>
                <w:sz w:val="18"/>
              </w:rPr>
              <w:tab/>
              <w:t xml:space="preserve"> </w:t>
            </w:r>
          </w:p>
        </w:tc>
      </w:tr>
    </w:tbl>
    <w:p w:rsidR="00DA53DB" w:rsidRPr="00DF27C6" w:rsidRDefault="00DA53DB">
      <w:pPr>
        <w:pBdr>
          <w:top w:val="single" w:sz="6" w:space="0" w:color="auto"/>
        </w:pBdr>
        <w:tabs>
          <w:tab w:val="left" w:pos="240"/>
        </w:tabs>
        <w:ind w:left="-120" w:right="-120"/>
        <w:rPr>
          <w:rFonts w:ascii="Helvetica" w:hAnsi="Helvetica"/>
          <w:sz w:val="16"/>
        </w:rPr>
      </w:pPr>
      <w:r w:rsidRPr="00DF27C6">
        <w:rPr>
          <w:rFonts w:ascii="Helvetica" w:hAnsi="Helvetica"/>
          <w:sz w:val="16"/>
        </w:rPr>
        <w:t xml:space="preserve">7. </w:t>
      </w:r>
      <w:r w:rsidRPr="00DF27C6">
        <w:rPr>
          <w:rFonts w:ascii="Helvetica" w:hAnsi="Helvetica"/>
          <w:sz w:val="14"/>
        </w:rPr>
        <w:t>Title:</w:t>
      </w:r>
    </w:p>
    <w:p w:rsidR="00DA53DB" w:rsidRPr="00DF27C6" w:rsidRDefault="00133830">
      <w:pPr>
        <w:pStyle w:val="Heading1"/>
        <w:rPr>
          <w:rFonts w:ascii="Times New Roman" w:hAnsi="Times New Roman"/>
          <w:sz w:val="20"/>
        </w:rPr>
      </w:pPr>
      <w:r w:rsidRPr="00DF27C6">
        <w:rPr>
          <w:rFonts w:ascii="Times New Roman" w:hAnsi="Times New Roman"/>
          <w:sz w:val="20"/>
        </w:rPr>
        <w:t>Choice Neighborhoods</w:t>
      </w:r>
    </w:p>
    <w:p w:rsidR="00DA53DB" w:rsidRPr="00DF27C6" w:rsidRDefault="00DA53DB">
      <w:pPr>
        <w:pBdr>
          <w:top w:val="single" w:sz="6" w:space="0" w:color="auto"/>
        </w:pBdr>
        <w:tabs>
          <w:tab w:val="left" w:pos="240"/>
        </w:tabs>
        <w:spacing w:line="180" w:lineRule="exact"/>
        <w:ind w:left="-120" w:right="-120"/>
        <w:rPr>
          <w:rFonts w:ascii="Helvetica" w:hAnsi="Helvetica"/>
          <w:sz w:val="14"/>
        </w:rPr>
      </w:pPr>
      <w:r w:rsidRPr="00DF27C6">
        <w:rPr>
          <w:rFonts w:ascii="Helvetica" w:hAnsi="Helvetica"/>
          <w:sz w:val="16"/>
        </w:rPr>
        <w:t xml:space="preserve">8. </w:t>
      </w:r>
      <w:r w:rsidRPr="00DF27C6">
        <w:rPr>
          <w:rFonts w:ascii="Helvetica" w:hAnsi="Helvetica"/>
          <w:sz w:val="14"/>
        </w:rPr>
        <w:t>Agency form number(s):  (if applicable)</w:t>
      </w:r>
    </w:p>
    <w:p w:rsidR="00DA53DB" w:rsidRPr="00DF27C6" w:rsidRDefault="005D15DF">
      <w:pPr>
        <w:overflowPunct/>
        <w:spacing w:line="240" w:lineRule="atLeast"/>
        <w:textAlignment w:val="auto"/>
      </w:pPr>
      <w:r w:rsidRPr="00EB6086">
        <w:t>SF-424, SF-LLL, HUD 2880, HUD 53150, HUD 53152, HUD 53232, HUD 53151, HUD 53154, HUD-53233, HUD-53234, HUD-53238, HUD-53231, HUD-53235, HUD-53237, HUD-53236, HUD-53239, HUD-2530, HUD-2991, HUD-2995, HUD-53421, HUD-53230, HUD-52515</w:t>
      </w:r>
      <w:r w:rsidR="005E12F6">
        <w:t>, HUD-50163</w:t>
      </w:r>
    </w:p>
    <w:p w:rsidR="00DA53DB" w:rsidRPr="00DF27C6" w:rsidRDefault="00DA53DB">
      <w:pPr>
        <w:pBdr>
          <w:top w:val="single" w:sz="6" w:space="0" w:color="auto"/>
        </w:pBdr>
        <w:tabs>
          <w:tab w:val="left" w:pos="240"/>
        </w:tabs>
        <w:ind w:left="-120" w:right="-120"/>
        <w:rPr>
          <w:rFonts w:ascii="Helvetica" w:hAnsi="Helvetica"/>
          <w:sz w:val="14"/>
        </w:rPr>
      </w:pPr>
      <w:r w:rsidRPr="00DF27C6">
        <w:rPr>
          <w:rFonts w:ascii="Helvetica" w:hAnsi="Helvetica"/>
          <w:sz w:val="16"/>
        </w:rPr>
        <w:t xml:space="preserve">9. </w:t>
      </w:r>
      <w:r w:rsidRPr="00DF27C6">
        <w:rPr>
          <w:rFonts w:ascii="Helvetica" w:hAnsi="Helvetica"/>
          <w:sz w:val="14"/>
        </w:rPr>
        <w:t>Keywords:</w:t>
      </w:r>
    </w:p>
    <w:p w:rsidR="00DA53DB" w:rsidRPr="00DF27C6" w:rsidRDefault="004578A6">
      <w:pPr>
        <w:spacing w:after="40"/>
        <w:ind w:left="120" w:right="-120"/>
        <w:rPr>
          <w:rFonts w:ascii="Helvetica" w:hAnsi="Helvetica"/>
          <w:sz w:val="18"/>
        </w:rPr>
      </w:pPr>
      <w:r w:rsidRPr="00DF27C6">
        <w:rPr>
          <w:rFonts w:ascii="Helvetica" w:hAnsi="Helvetica"/>
          <w:sz w:val="18"/>
        </w:rPr>
        <w:t>Housing, C</w:t>
      </w:r>
      <w:r w:rsidR="00CB5AFB" w:rsidRPr="00DF27C6">
        <w:rPr>
          <w:rFonts w:ascii="Helvetica" w:hAnsi="Helvetica"/>
          <w:sz w:val="18"/>
        </w:rPr>
        <w:t>hoice Neighborhoods, h</w:t>
      </w:r>
      <w:r w:rsidR="00DA53DB" w:rsidRPr="00DF27C6">
        <w:rPr>
          <w:rFonts w:ascii="Helvetica" w:hAnsi="Helvetica"/>
          <w:sz w:val="18"/>
        </w:rPr>
        <w:t xml:space="preserve">ousing, public housing, </w:t>
      </w:r>
      <w:r w:rsidR="00CB5AFB" w:rsidRPr="00DF27C6">
        <w:rPr>
          <w:rFonts w:ascii="Helvetica" w:hAnsi="Helvetica"/>
          <w:sz w:val="18"/>
        </w:rPr>
        <w:t xml:space="preserve">assisted housing, </w:t>
      </w:r>
      <w:r w:rsidR="00DA53DB" w:rsidRPr="00DF27C6">
        <w:rPr>
          <w:rFonts w:ascii="Helvetica" w:hAnsi="Helvetica"/>
          <w:sz w:val="18"/>
        </w:rPr>
        <w:t xml:space="preserve">grant funding, </w:t>
      </w:r>
      <w:r w:rsidR="00FB0D50" w:rsidRPr="00DF27C6">
        <w:rPr>
          <w:rFonts w:ascii="Helvetica" w:hAnsi="Helvetica"/>
          <w:sz w:val="18"/>
        </w:rPr>
        <w:t xml:space="preserve">neighborhood revitalization, transformation plan </w:t>
      </w:r>
    </w:p>
    <w:p w:rsidR="00DA53DB" w:rsidRPr="00DF27C6" w:rsidRDefault="00DA53DB">
      <w:pPr>
        <w:pBdr>
          <w:top w:val="single" w:sz="6" w:space="0" w:color="auto"/>
        </w:pBdr>
        <w:tabs>
          <w:tab w:val="left" w:pos="240"/>
        </w:tabs>
        <w:ind w:left="-120" w:right="-120"/>
        <w:rPr>
          <w:rFonts w:ascii="Helvetica" w:hAnsi="Helvetica"/>
          <w:sz w:val="14"/>
        </w:rPr>
      </w:pPr>
      <w:r w:rsidRPr="00DF27C6">
        <w:rPr>
          <w:rFonts w:ascii="Helvetica" w:hAnsi="Helvetica"/>
          <w:sz w:val="16"/>
        </w:rPr>
        <w:t xml:space="preserve">10. </w:t>
      </w:r>
      <w:r w:rsidRPr="00DF27C6">
        <w:rPr>
          <w:rFonts w:ascii="Helvetica" w:hAnsi="Helvetica"/>
          <w:sz w:val="14"/>
        </w:rPr>
        <w:t>Abstract:</w:t>
      </w:r>
    </w:p>
    <w:p w:rsidR="00DA53DB" w:rsidRPr="00DF27C6" w:rsidRDefault="009F4B77">
      <w:pPr>
        <w:pStyle w:val="BlockText"/>
        <w:rPr>
          <w:sz w:val="20"/>
        </w:rPr>
      </w:pPr>
      <w:r w:rsidRPr="00DF27C6">
        <w:rPr>
          <w:sz w:val="20"/>
        </w:rPr>
        <w:t>The information is required to allow HUD to</w:t>
      </w:r>
      <w:r w:rsidR="00AB1D07" w:rsidRPr="00DF27C6">
        <w:rPr>
          <w:sz w:val="20"/>
        </w:rPr>
        <w:t xml:space="preserve"> conduct</w:t>
      </w:r>
      <w:r w:rsidRPr="00DF27C6">
        <w:rPr>
          <w:sz w:val="20"/>
        </w:rPr>
        <w:t xml:space="preserve"> </w:t>
      </w:r>
      <w:r w:rsidR="00AB1D07" w:rsidRPr="00DF27C6">
        <w:rPr>
          <w:sz w:val="20"/>
        </w:rPr>
        <w:t>competition</w:t>
      </w:r>
      <w:r w:rsidR="00940FC5" w:rsidRPr="00DF27C6">
        <w:rPr>
          <w:sz w:val="20"/>
        </w:rPr>
        <w:t>s</w:t>
      </w:r>
      <w:r w:rsidR="00AB1D07" w:rsidRPr="00DF27C6">
        <w:rPr>
          <w:sz w:val="20"/>
        </w:rPr>
        <w:t xml:space="preserve"> to a</w:t>
      </w:r>
      <w:r w:rsidR="00C51980" w:rsidRPr="00DF27C6">
        <w:rPr>
          <w:sz w:val="20"/>
        </w:rPr>
        <w:t xml:space="preserve">ward and </w:t>
      </w:r>
      <w:r w:rsidRPr="00DF27C6">
        <w:rPr>
          <w:sz w:val="20"/>
        </w:rPr>
        <w:t xml:space="preserve">obligate </w:t>
      </w:r>
      <w:r w:rsidR="00AB1D07" w:rsidRPr="00DF27C6">
        <w:rPr>
          <w:sz w:val="20"/>
        </w:rPr>
        <w:t xml:space="preserve">Choice Neighborhood </w:t>
      </w:r>
      <w:r w:rsidRPr="00DF27C6">
        <w:rPr>
          <w:sz w:val="20"/>
        </w:rPr>
        <w:t>grant funds</w:t>
      </w:r>
      <w:r w:rsidR="007B331C" w:rsidRPr="00DF27C6">
        <w:rPr>
          <w:sz w:val="20"/>
        </w:rPr>
        <w:t xml:space="preserve"> </w:t>
      </w:r>
      <w:r w:rsidRPr="00DF27C6">
        <w:rPr>
          <w:sz w:val="20"/>
        </w:rPr>
        <w:t xml:space="preserve">in accordance with the </w:t>
      </w:r>
      <w:r w:rsidR="007B331C" w:rsidRPr="00DF27C6">
        <w:rPr>
          <w:sz w:val="20"/>
        </w:rPr>
        <w:t>a</w:t>
      </w:r>
      <w:r w:rsidR="00C51980" w:rsidRPr="00DF27C6">
        <w:rPr>
          <w:sz w:val="20"/>
        </w:rPr>
        <w:t xml:space="preserve">ppropriations </w:t>
      </w:r>
      <w:r w:rsidR="007B331C" w:rsidRPr="00DF27C6">
        <w:rPr>
          <w:sz w:val="20"/>
        </w:rPr>
        <w:t>a</w:t>
      </w:r>
      <w:r w:rsidR="00C51980" w:rsidRPr="00DF27C6">
        <w:rPr>
          <w:sz w:val="20"/>
        </w:rPr>
        <w:t>ct</w:t>
      </w:r>
      <w:r w:rsidR="007B331C" w:rsidRPr="00DF27C6">
        <w:rPr>
          <w:sz w:val="20"/>
        </w:rPr>
        <w:t xml:space="preserve"> and to manage/report on the grants that are awarded. </w:t>
      </w:r>
    </w:p>
    <w:tbl>
      <w:tblPr>
        <w:tblW w:w="0" w:type="auto"/>
        <w:tblLayout w:type="fixed"/>
        <w:tblLook w:val="0000" w:firstRow="0" w:lastRow="0" w:firstColumn="0" w:lastColumn="0" w:noHBand="0" w:noVBand="0"/>
      </w:tblPr>
      <w:tblGrid>
        <w:gridCol w:w="4908"/>
        <w:gridCol w:w="720"/>
        <w:gridCol w:w="5388"/>
      </w:tblGrid>
      <w:tr w:rsidR="00DA53DB" w:rsidRPr="00DF27C6">
        <w:trPr>
          <w:trHeight w:val="1129"/>
        </w:trPr>
        <w:tc>
          <w:tcPr>
            <w:tcW w:w="5628" w:type="dxa"/>
            <w:gridSpan w:val="2"/>
            <w:tcBorders>
              <w:top w:val="single" w:sz="6" w:space="0" w:color="auto"/>
              <w:left w:val="nil"/>
              <w:bottom w:val="nil"/>
              <w:right w:val="single" w:sz="6" w:space="0" w:color="auto"/>
            </w:tcBorders>
          </w:tcPr>
          <w:p w:rsidR="00DA53DB" w:rsidRPr="00DF27C6" w:rsidRDefault="00DA53DB">
            <w:pPr>
              <w:tabs>
                <w:tab w:val="left" w:pos="240"/>
              </w:tabs>
              <w:ind w:left="-120"/>
              <w:rPr>
                <w:rFonts w:ascii="Helvetica" w:hAnsi="Helvetica"/>
                <w:b/>
                <w:sz w:val="14"/>
              </w:rPr>
            </w:pPr>
            <w:r w:rsidRPr="00DF27C6">
              <w:rPr>
                <w:rFonts w:ascii="Helvetica" w:hAnsi="Helvetica"/>
                <w:b/>
                <w:sz w:val="16"/>
              </w:rPr>
              <w:t xml:space="preserve">11. </w:t>
            </w:r>
            <w:r w:rsidRPr="00DF27C6">
              <w:rPr>
                <w:rFonts w:ascii="Helvetica" w:hAnsi="Helvetica"/>
                <w:b/>
                <w:sz w:val="14"/>
              </w:rPr>
              <w:t>Affected public:  (mark primary with “P” and all others that apply with “X”)</w:t>
            </w:r>
          </w:p>
          <w:p w:rsidR="00DA53DB" w:rsidRPr="00DF27C6" w:rsidRDefault="00DA53DB">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a. </w:t>
            </w:r>
            <w:bookmarkStart w:id="8" w:name="Text17"/>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bookmarkEnd w:id="8"/>
            <w:r w:rsidRPr="00DF27C6">
              <w:rPr>
                <w:rFonts w:ascii="Helvetica" w:hAnsi="Helvetica"/>
                <w:b/>
                <w:sz w:val="18"/>
              </w:rPr>
              <w:tab/>
            </w:r>
            <w:r w:rsidRPr="00DF27C6">
              <w:rPr>
                <w:rFonts w:ascii="Helvetica" w:hAnsi="Helvetica"/>
                <w:b/>
                <w:sz w:val="16"/>
              </w:rPr>
              <w:t>Individuals or households</w:t>
            </w:r>
            <w:r w:rsidRPr="00DF27C6">
              <w:rPr>
                <w:rFonts w:ascii="Helvetica" w:hAnsi="Helvetica"/>
                <w:b/>
                <w:sz w:val="16"/>
              </w:rPr>
              <w:tab/>
              <w:t xml:space="preserve">e. </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Farms</w:t>
            </w:r>
          </w:p>
          <w:p w:rsidR="00DA53DB" w:rsidRPr="00DF27C6"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b. </w:t>
            </w:r>
            <w:r w:rsidR="004F4C54" w:rsidRPr="00DF27C6">
              <w:rPr>
                <w:rFonts w:ascii="Helvetica" w:hAnsi="Helvetica"/>
                <w:b/>
                <w:sz w:val="16"/>
              </w:rPr>
              <w:t>P</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Business or other for-profit</w:t>
            </w:r>
            <w:r w:rsidRPr="00DF27C6">
              <w:rPr>
                <w:rFonts w:ascii="Helvetica" w:hAnsi="Helvetica"/>
                <w:b/>
                <w:sz w:val="16"/>
              </w:rPr>
              <w:tab/>
              <w:t xml:space="preserve">f.  </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Federal Government</w:t>
            </w:r>
          </w:p>
          <w:p w:rsidR="00DA53DB" w:rsidRPr="00DF27C6" w:rsidRDefault="00DA53DB">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c. </w:t>
            </w:r>
            <w:r w:rsidR="004F4C54" w:rsidRPr="00DF27C6">
              <w:rPr>
                <w:rFonts w:ascii="Helvetica" w:hAnsi="Helvetica"/>
                <w:b/>
                <w:sz w:val="16"/>
              </w:rPr>
              <w:t>P</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Not-for-profit institutions</w:t>
            </w:r>
            <w:r w:rsidRPr="00DF27C6">
              <w:rPr>
                <w:rFonts w:ascii="Helvetica" w:hAnsi="Helvetica"/>
                <w:b/>
                <w:sz w:val="16"/>
              </w:rPr>
              <w:tab/>
              <w:t xml:space="preserve">g. </w:t>
            </w:r>
            <w:r w:rsidRPr="00DF27C6">
              <w:rPr>
                <w:rFonts w:ascii="Helvetica" w:hAnsi="Helvetica"/>
                <w:b/>
                <w:sz w:val="18"/>
              </w:rPr>
              <w:t>P</w:t>
            </w:r>
            <w:r w:rsidRPr="00DF27C6">
              <w:rPr>
                <w:rFonts w:ascii="Helvetica" w:hAnsi="Helvetica"/>
                <w:b/>
                <w:sz w:val="18"/>
              </w:rPr>
              <w:tab/>
            </w:r>
            <w:r w:rsidRPr="00DF27C6">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Pr="00DF27C6" w:rsidRDefault="00DA53DB">
            <w:pPr>
              <w:tabs>
                <w:tab w:val="left" w:pos="240"/>
              </w:tabs>
              <w:ind w:left="-120" w:right="-120"/>
              <w:rPr>
                <w:rFonts w:ascii="Helvetica" w:hAnsi="Helvetica"/>
                <w:sz w:val="14"/>
              </w:rPr>
            </w:pPr>
            <w:r w:rsidRPr="00DF27C6">
              <w:rPr>
                <w:rFonts w:ascii="Helvetica" w:hAnsi="Helvetica"/>
                <w:sz w:val="16"/>
              </w:rPr>
              <w:t xml:space="preserve">12. </w:t>
            </w:r>
            <w:r w:rsidRPr="00DF27C6">
              <w:rPr>
                <w:rFonts w:ascii="Helvetica" w:hAnsi="Helvetica"/>
                <w:sz w:val="14"/>
              </w:rPr>
              <w:t>Obligation to respond:  (mark primary with “P” and all others that apply with “X”)</w:t>
            </w:r>
          </w:p>
          <w:p w:rsidR="00DA53DB" w:rsidRPr="00DF27C6" w:rsidRDefault="00DA53DB">
            <w:pPr>
              <w:tabs>
                <w:tab w:val="left" w:pos="492"/>
                <w:tab w:val="left" w:pos="2520"/>
              </w:tabs>
              <w:ind w:left="120"/>
              <w:rPr>
                <w:rFonts w:ascii="Helvetica" w:hAnsi="Helvetica"/>
                <w:sz w:val="16"/>
              </w:rPr>
            </w:pPr>
            <w:r w:rsidRPr="00DF27C6">
              <w:rPr>
                <w:rFonts w:ascii="Helvetica" w:hAnsi="Helvetica"/>
                <w:sz w:val="16"/>
              </w:rPr>
              <w:t>a.</w:t>
            </w:r>
            <w:r w:rsidRPr="00DF27C6">
              <w:rPr>
                <w:rFonts w:ascii="Helvetica" w:hAnsi="Helvetica"/>
                <w:sz w:val="14"/>
              </w:rPr>
              <w:t xml:space="preserve"> </w:t>
            </w:r>
            <w:bookmarkStart w:id="9" w:name="Text25"/>
            <w:r w:rsidR="005D15DF" w:rsidRPr="00DF27C6">
              <w:rPr>
                <w:rFonts w:ascii="Helvetica" w:hAnsi="Helvetica"/>
                <w:b/>
                <w:sz w:val="18"/>
              </w:rPr>
              <w:fldChar w:fldCharType="begin">
                <w:ffData>
                  <w:name w:val="Text25"/>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bookmarkEnd w:id="9"/>
            <w:r w:rsidRPr="00DF27C6">
              <w:rPr>
                <w:rFonts w:ascii="Helvetica" w:hAnsi="Helvetica"/>
                <w:sz w:val="14"/>
              </w:rPr>
              <w:tab/>
            </w:r>
            <w:r w:rsidRPr="00DF27C6">
              <w:rPr>
                <w:rFonts w:ascii="Helvetica" w:hAnsi="Helvetica"/>
                <w:sz w:val="16"/>
              </w:rPr>
              <w:t>Voluntary</w:t>
            </w:r>
          </w:p>
          <w:p w:rsidR="00DA53DB" w:rsidRPr="00DF27C6" w:rsidRDefault="00DA53DB">
            <w:pPr>
              <w:tabs>
                <w:tab w:val="left" w:pos="492"/>
                <w:tab w:val="left" w:pos="2520"/>
              </w:tabs>
              <w:ind w:left="120"/>
              <w:rPr>
                <w:rFonts w:ascii="Helvetica" w:hAnsi="Helvetica"/>
                <w:sz w:val="16"/>
              </w:rPr>
            </w:pPr>
            <w:r w:rsidRPr="00DF27C6">
              <w:rPr>
                <w:rFonts w:ascii="Helvetica" w:hAnsi="Helvetica"/>
                <w:sz w:val="16"/>
              </w:rPr>
              <w:t xml:space="preserve">b. </w:t>
            </w:r>
            <w:r w:rsidRPr="00DF27C6">
              <w:rPr>
                <w:rFonts w:ascii="Helvetica" w:hAnsi="Helvetica"/>
                <w:b/>
                <w:sz w:val="18"/>
              </w:rPr>
              <w:t>P</w:t>
            </w:r>
            <w:r w:rsidRPr="00DF27C6">
              <w:rPr>
                <w:rFonts w:ascii="Helvetica" w:hAnsi="Helvetica"/>
                <w:sz w:val="16"/>
              </w:rPr>
              <w:tab/>
              <w:t>Required to obtain or retain benefits</w:t>
            </w:r>
          </w:p>
          <w:p w:rsidR="00DA53DB" w:rsidRPr="00DF27C6" w:rsidRDefault="00DA53DB">
            <w:pPr>
              <w:tabs>
                <w:tab w:val="left" w:pos="492"/>
              </w:tabs>
              <w:spacing w:after="60"/>
              <w:ind w:left="120"/>
              <w:rPr>
                <w:rFonts w:ascii="Helvetica" w:hAnsi="Helvetica"/>
                <w:sz w:val="16"/>
              </w:rPr>
            </w:pPr>
            <w:r w:rsidRPr="00DF27C6">
              <w:rPr>
                <w:rFonts w:ascii="Helvetica" w:hAnsi="Helvetica"/>
                <w:sz w:val="16"/>
              </w:rPr>
              <w:t xml:space="preserve">c. </w:t>
            </w:r>
            <w:bookmarkStart w:id="10" w:name="Text27"/>
            <w:r w:rsidR="005D15DF" w:rsidRPr="00DF27C6">
              <w:rPr>
                <w:rFonts w:ascii="Helvetica" w:hAnsi="Helvetica"/>
                <w:b/>
                <w:sz w:val="18"/>
              </w:rPr>
              <w:fldChar w:fldCharType="begin">
                <w:ffData>
                  <w:name w:val="Text2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bookmarkEnd w:id="10"/>
            <w:r w:rsidRPr="00DF27C6">
              <w:rPr>
                <w:rFonts w:ascii="Helvetica" w:hAnsi="Helvetica"/>
                <w:sz w:val="16"/>
              </w:rPr>
              <w:tab/>
              <w:t>Mandatory</w:t>
            </w:r>
          </w:p>
        </w:tc>
      </w:tr>
      <w:tr w:rsidR="00DA53DB" w:rsidRPr="00DF27C6">
        <w:trPr>
          <w:trHeight w:val="2146"/>
        </w:trPr>
        <w:tc>
          <w:tcPr>
            <w:tcW w:w="5628" w:type="dxa"/>
            <w:gridSpan w:val="2"/>
            <w:tcBorders>
              <w:top w:val="single" w:sz="6" w:space="0" w:color="auto"/>
              <w:left w:val="nil"/>
              <w:bottom w:val="nil"/>
              <w:right w:val="single" w:sz="6" w:space="0" w:color="auto"/>
            </w:tcBorders>
          </w:tcPr>
          <w:p w:rsidR="00DA53DB" w:rsidRPr="00DF27C6" w:rsidRDefault="00DA53DB">
            <w:pPr>
              <w:tabs>
                <w:tab w:val="left" w:pos="240"/>
              </w:tabs>
              <w:ind w:left="-120"/>
              <w:rPr>
                <w:rFonts w:ascii="Helvetica" w:hAnsi="Helvetica"/>
                <w:b/>
                <w:sz w:val="14"/>
              </w:rPr>
            </w:pPr>
            <w:r w:rsidRPr="00DF27C6">
              <w:rPr>
                <w:rFonts w:ascii="Helvetica" w:hAnsi="Helvetica"/>
                <w:b/>
                <w:sz w:val="16"/>
              </w:rPr>
              <w:t xml:space="preserve">13. </w:t>
            </w:r>
            <w:r w:rsidRPr="00DF27C6">
              <w:rPr>
                <w:rFonts w:ascii="Helvetica" w:hAnsi="Helvetica"/>
                <w:b/>
                <w:sz w:val="14"/>
              </w:rPr>
              <w:t>Annual reporting and recordkeeping hour burden:</w:t>
            </w:r>
          </w:p>
          <w:p w:rsidR="00DA53DB" w:rsidRPr="00FB0BE4" w:rsidRDefault="009F4B77">
            <w:pPr>
              <w:tabs>
                <w:tab w:val="left" w:pos="240"/>
                <w:tab w:val="right" w:pos="5040"/>
              </w:tabs>
              <w:ind w:left="120"/>
              <w:rPr>
                <w:rFonts w:ascii="Helvetica" w:hAnsi="Helvetica"/>
                <w:b/>
                <w:sz w:val="16"/>
                <w:szCs w:val="16"/>
              </w:rPr>
            </w:pPr>
            <w:r w:rsidRPr="00DF27C6">
              <w:rPr>
                <w:rFonts w:ascii="Helvetica" w:hAnsi="Helvetica"/>
                <w:b/>
                <w:sz w:val="16"/>
              </w:rPr>
              <w:t xml:space="preserve">a. </w:t>
            </w:r>
            <w:r w:rsidRPr="00FB0BE4">
              <w:rPr>
                <w:rFonts w:ascii="Helvetica" w:hAnsi="Helvetica"/>
                <w:b/>
                <w:sz w:val="16"/>
                <w:szCs w:val="16"/>
              </w:rPr>
              <w:t>Number of respondents</w:t>
            </w:r>
            <w:r w:rsidRPr="00FB0BE4">
              <w:rPr>
                <w:rFonts w:ascii="Helvetica" w:hAnsi="Helvetica"/>
                <w:b/>
                <w:sz w:val="16"/>
                <w:szCs w:val="16"/>
              </w:rPr>
              <w:tab/>
            </w:r>
            <w:r w:rsidR="0074676F" w:rsidRPr="00FB0BE4">
              <w:rPr>
                <w:rFonts w:ascii="Helvetica" w:hAnsi="Helvetica"/>
                <w:b/>
                <w:sz w:val="16"/>
                <w:szCs w:val="16"/>
              </w:rPr>
              <w:t>2</w:t>
            </w:r>
            <w:r w:rsidR="00505CCB">
              <w:rPr>
                <w:rFonts w:ascii="Helvetica" w:hAnsi="Helvetica"/>
                <w:b/>
                <w:sz w:val="16"/>
                <w:szCs w:val="16"/>
              </w:rPr>
              <w:t>64</w:t>
            </w:r>
          </w:p>
          <w:p w:rsidR="00DA53DB" w:rsidRPr="00FB0BE4" w:rsidRDefault="009F4B77">
            <w:pPr>
              <w:tabs>
                <w:tab w:val="left" w:pos="240"/>
                <w:tab w:val="right" w:pos="5040"/>
              </w:tabs>
              <w:ind w:left="120"/>
              <w:rPr>
                <w:rFonts w:ascii="Helvetica" w:hAnsi="Helvetica"/>
                <w:b/>
                <w:sz w:val="16"/>
                <w:szCs w:val="16"/>
              </w:rPr>
            </w:pPr>
            <w:r w:rsidRPr="00FB0BE4">
              <w:rPr>
                <w:rFonts w:ascii="Helvetica" w:hAnsi="Helvetica"/>
                <w:b/>
                <w:sz w:val="16"/>
                <w:szCs w:val="16"/>
              </w:rPr>
              <w:t>b. Total annual responses</w:t>
            </w:r>
            <w:r w:rsidRPr="00FB0BE4">
              <w:rPr>
                <w:rFonts w:ascii="Helvetica" w:hAnsi="Helvetica"/>
                <w:b/>
                <w:sz w:val="16"/>
                <w:szCs w:val="16"/>
              </w:rPr>
              <w:tab/>
            </w:r>
            <w:r w:rsidR="00505CCB">
              <w:rPr>
                <w:rFonts w:ascii="Helvetica" w:hAnsi="Helvetica"/>
                <w:b/>
                <w:sz w:val="16"/>
                <w:szCs w:val="16"/>
              </w:rPr>
              <w:t>4</w:t>
            </w:r>
            <w:r w:rsidR="00CC6695">
              <w:rPr>
                <w:rFonts w:ascii="Helvetica" w:hAnsi="Helvetica"/>
                <w:b/>
                <w:sz w:val="16"/>
                <w:szCs w:val="16"/>
              </w:rPr>
              <w:t>40</w:t>
            </w:r>
          </w:p>
          <w:p w:rsidR="00DA53DB" w:rsidRPr="00FB0BE4" w:rsidRDefault="009F4B77">
            <w:pPr>
              <w:tabs>
                <w:tab w:val="left" w:pos="240"/>
                <w:tab w:val="right" w:pos="5040"/>
              </w:tabs>
              <w:ind w:left="720" w:hanging="360"/>
              <w:rPr>
                <w:rFonts w:ascii="Helvetica" w:hAnsi="Helvetica"/>
                <w:b/>
                <w:sz w:val="16"/>
                <w:szCs w:val="16"/>
              </w:rPr>
            </w:pPr>
            <w:r w:rsidRPr="00FB0BE4">
              <w:rPr>
                <w:rFonts w:ascii="Helvetica" w:hAnsi="Helvetica"/>
                <w:b/>
                <w:sz w:val="16"/>
                <w:szCs w:val="16"/>
              </w:rPr>
              <w:t xml:space="preserve">Percentage of these responses collected electronically </w:t>
            </w:r>
            <w:r w:rsidRPr="00FB0BE4">
              <w:rPr>
                <w:rFonts w:ascii="Helvetica" w:hAnsi="Helvetica"/>
                <w:b/>
                <w:sz w:val="16"/>
                <w:szCs w:val="16"/>
              </w:rPr>
              <w:tab/>
              <w:t xml:space="preserve">100% </w:t>
            </w:r>
          </w:p>
          <w:p w:rsidR="00DA53DB" w:rsidRPr="009C45C2" w:rsidRDefault="009F4B77">
            <w:pPr>
              <w:tabs>
                <w:tab w:val="left" w:pos="240"/>
                <w:tab w:val="right" w:pos="5040"/>
              </w:tabs>
              <w:ind w:left="480" w:hanging="360"/>
              <w:rPr>
                <w:rFonts w:ascii="Helvetica" w:hAnsi="Helvetica"/>
                <w:b/>
                <w:sz w:val="16"/>
                <w:szCs w:val="16"/>
              </w:rPr>
            </w:pPr>
            <w:r w:rsidRPr="00FB0BE4">
              <w:rPr>
                <w:rFonts w:ascii="Helvetica" w:hAnsi="Helvetica"/>
                <w:b/>
                <w:sz w:val="16"/>
                <w:szCs w:val="16"/>
              </w:rPr>
              <w:t>c. Total annual hours requested</w:t>
            </w:r>
            <w:r w:rsidRPr="00FB0BE4">
              <w:rPr>
                <w:rFonts w:ascii="Helvetica" w:hAnsi="Helvetica"/>
                <w:b/>
                <w:sz w:val="16"/>
                <w:szCs w:val="16"/>
              </w:rPr>
              <w:tab/>
            </w:r>
            <w:r w:rsidR="00CD30F1">
              <w:rPr>
                <w:rFonts w:ascii="Helvetica" w:hAnsi="Helvetica"/>
                <w:b/>
                <w:sz w:val="16"/>
                <w:szCs w:val="16"/>
              </w:rPr>
              <w:t>4,</w:t>
            </w:r>
            <w:r w:rsidR="004962F4">
              <w:rPr>
                <w:rFonts w:ascii="Helvetica" w:hAnsi="Helvetica"/>
                <w:b/>
                <w:sz w:val="16"/>
                <w:szCs w:val="16"/>
              </w:rPr>
              <w:t>562</w:t>
            </w:r>
            <w:r w:rsidR="00CD30F1">
              <w:rPr>
                <w:rFonts w:ascii="Helvetica" w:hAnsi="Helvetica"/>
                <w:b/>
                <w:sz w:val="16"/>
                <w:szCs w:val="16"/>
              </w:rPr>
              <w:t>.</w:t>
            </w:r>
            <w:r w:rsidR="004962F4">
              <w:rPr>
                <w:rFonts w:ascii="Helvetica" w:hAnsi="Helvetica"/>
                <w:b/>
                <w:sz w:val="16"/>
                <w:szCs w:val="16"/>
              </w:rPr>
              <w:t>45</w:t>
            </w:r>
          </w:p>
          <w:p w:rsidR="00DA53DB" w:rsidRPr="009C45C2" w:rsidRDefault="009F4B77">
            <w:pPr>
              <w:tabs>
                <w:tab w:val="left" w:pos="240"/>
                <w:tab w:val="right" w:pos="5040"/>
              </w:tabs>
              <w:ind w:left="480" w:hanging="360"/>
              <w:rPr>
                <w:rFonts w:ascii="Helvetica" w:hAnsi="Helvetica"/>
                <w:b/>
                <w:sz w:val="16"/>
                <w:szCs w:val="16"/>
              </w:rPr>
            </w:pPr>
            <w:r w:rsidRPr="009C45C2">
              <w:rPr>
                <w:rFonts w:ascii="Helvetica" w:hAnsi="Helvetica"/>
                <w:b/>
                <w:sz w:val="16"/>
                <w:szCs w:val="16"/>
              </w:rPr>
              <w:t>d. Current OMB inventory</w:t>
            </w:r>
            <w:r w:rsidRPr="009C45C2">
              <w:rPr>
                <w:rFonts w:ascii="Helvetica" w:hAnsi="Helvetica"/>
                <w:b/>
                <w:sz w:val="16"/>
                <w:szCs w:val="16"/>
              </w:rPr>
              <w:tab/>
            </w:r>
            <w:r w:rsidR="00194BE7">
              <w:rPr>
                <w:rFonts w:ascii="Helvetica" w:hAnsi="Helvetica"/>
                <w:b/>
                <w:sz w:val="16"/>
                <w:szCs w:val="16"/>
              </w:rPr>
              <w:t>9,924</w:t>
            </w:r>
          </w:p>
          <w:p w:rsidR="00DA53DB" w:rsidRPr="009C45C2" w:rsidRDefault="009F4B77">
            <w:pPr>
              <w:tabs>
                <w:tab w:val="left" w:pos="240"/>
                <w:tab w:val="right" w:pos="5040"/>
              </w:tabs>
              <w:ind w:left="120"/>
              <w:rPr>
                <w:rFonts w:ascii="Helvetica" w:hAnsi="Helvetica"/>
                <w:b/>
                <w:sz w:val="16"/>
                <w:szCs w:val="16"/>
              </w:rPr>
            </w:pPr>
            <w:r w:rsidRPr="009C45C2">
              <w:rPr>
                <w:rFonts w:ascii="Helvetica" w:hAnsi="Helvetica"/>
                <w:b/>
                <w:sz w:val="16"/>
                <w:szCs w:val="16"/>
              </w:rPr>
              <w:t>e. Difference (+,-)</w:t>
            </w:r>
            <w:r w:rsidRPr="009C45C2">
              <w:rPr>
                <w:rFonts w:ascii="Helvetica" w:hAnsi="Helvetica"/>
                <w:b/>
                <w:sz w:val="16"/>
                <w:szCs w:val="16"/>
              </w:rPr>
              <w:tab/>
            </w:r>
            <w:r w:rsidR="00CD30F1">
              <w:rPr>
                <w:rFonts w:ascii="Helvetica" w:hAnsi="Helvetica"/>
                <w:b/>
                <w:sz w:val="16"/>
                <w:szCs w:val="16"/>
              </w:rPr>
              <w:t>-5,</w:t>
            </w:r>
            <w:r w:rsidR="004962F4">
              <w:rPr>
                <w:rFonts w:ascii="Helvetica" w:hAnsi="Helvetica"/>
                <w:b/>
                <w:sz w:val="16"/>
                <w:szCs w:val="16"/>
              </w:rPr>
              <w:t>361</w:t>
            </w:r>
            <w:r w:rsidR="00CD30F1">
              <w:rPr>
                <w:rFonts w:ascii="Helvetica" w:hAnsi="Helvetica"/>
                <w:b/>
                <w:sz w:val="16"/>
                <w:szCs w:val="16"/>
              </w:rPr>
              <w:t>.</w:t>
            </w:r>
            <w:r w:rsidR="004962F4">
              <w:rPr>
                <w:rFonts w:ascii="Helvetica" w:hAnsi="Helvetica"/>
                <w:b/>
                <w:sz w:val="16"/>
                <w:szCs w:val="16"/>
              </w:rPr>
              <w:t>5</w:t>
            </w:r>
            <w:r w:rsidR="00CD30F1">
              <w:rPr>
                <w:rFonts w:ascii="Helvetica" w:hAnsi="Helvetica"/>
                <w:b/>
                <w:sz w:val="16"/>
                <w:szCs w:val="16"/>
              </w:rPr>
              <w:t>5</w:t>
            </w:r>
          </w:p>
          <w:p w:rsidR="00DA53DB" w:rsidRPr="009C45C2" w:rsidRDefault="009F4B77">
            <w:pPr>
              <w:tabs>
                <w:tab w:val="left" w:pos="240"/>
                <w:tab w:val="right" w:pos="4800"/>
              </w:tabs>
              <w:ind w:left="480" w:hanging="360"/>
              <w:rPr>
                <w:rFonts w:ascii="Helvetica" w:hAnsi="Helvetica"/>
                <w:b/>
                <w:sz w:val="16"/>
                <w:szCs w:val="16"/>
              </w:rPr>
            </w:pPr>
            <w:r w:rsidRPr="009C45C2">
              <w:rPr>
                <w:rFonts w:ascii="Helvetica" w:hAnsi="Helvetica"/>
                <w:b/>
                <w:sz w:val="16"/>
                <w:szCs w:val="16"/>
              </w:rPr>
              <w:t>f. Explanation of difference:</w:t>
            </w:r>
          </w:p>
          <w:p w:rsidR="00DA53DB" w:rsidRPr="009C45C2" w:rsidRDefault="009F4B77">
            <w:pPr>
              <w:tabs>
                <w:tab w:val="left" w:pos="240"/>
                <w:tab w:val="right" w:pos="5040"/>
              </w:tabs>
              <w:ind w:left="720" w:hanging="360"/>
              <w:rPr>
                <w:rFonts w:ascii="Helvetica" w:hAnsi="Helvetica"/>
                <w:b/>
                <w:sz w:val="16"/>
                <w:szCs w:val="16"/>
              </w:rPr>
            </w:pPr>
            <w:r w:rsidRPr="009C45C2">
              <w:rPr>
                <w:rFonts w:ascii="Helvetica" w:hAnsi="Helvetica"/>
                <w:b/>
                <w:sz w:val="16"/>
                <w:szCs w:val="16"/>
              </w:rPr>
              <w:t>1. Program change:</w:t>
            </w:r>
            <w:r w:rsidRPr="009C45C2">
              <w:rPr>
                <w:rFonts w:ascii="Helvetica" w:hAnsi="Helvetica"/>
                <w:b/>
                <w:sz w:val="16"/>
                <w:szCs w:val="16"/>
              </w:rPr>
              <w:tab/>
            </w:r>
          </w:p>
          <w:p w:rsidR="00DA53DB" w:rsidRPr="00DF27C6" w:rsidRDefault="009F4B77" w:rsidP="00EF3F7E">
            <w:pPr>
              <w:tabs>
                <w:tab w:val="left" w:pos="240"/>
                <w:tab w:val="right" w:pos="5040"/>
              </w:tabs>
              <w:spacing w:after="60"/>
              <w:ind w:left="720" w:hanging="360"/>
              <w:rPr>
                <w:rFonts w:ascii="Helvetica" w:hAnsi="Helvetica"/>
                <w:b/>
                <w:sz w:val="16"/>
              </w:rPr>
            </w:pPr>
            <w:r w:rsidRPr="009C45C2">
              <w:rPr>
                <w:rFonts w:ascii="Helvetica" w:hAnsi="Helvetica"/>
                <w:b/>
                <w:sz w:val="16"/>
                <w:szCs w:val="16"/>
              </w:rPr>
              <w:t>2. Adjustment:</w:t>
            </w:r>
            <w:r w:rsidRPr="009C45C2">
              <w:rPr>
                <w:rFonts w:ascii="Helvetica" w:hAnsi="Helvetica"/>
                <w:b/>
                <w:sz w:val="16"/>
                <w:szCs w:val="16"/>
              </w:rPr>
              <w:tab/>
            </w:r>
            <w:r w:rsidR="007A2E8E">
              <w:rPr>
                <w:rFonts w:ascii="Helvetica" w:hAnsi="Helvetica"/>
                <w:b/>
                <w:sz w:val="16"/>
                <w:szCs w:val="16"/>
              </w:rPr>
              <w:t>-</w:t>
            </w:r>
            <w:r w:rsidR="00CD30F1">
              <w:rPr>
                <w:rFonts w:ascii="Helvetica" w:hAnsi="Helvetica"/>
                <w:b/>
                <w:sz w:val="16"/>
                <w:szCs w:val="16"/>
              </w:rPr>
              <w:t>5,</w:t>
            </w:r>
            <w:r w:rsidR="00EB561E">
              <w:rPr>
                <w:rFonts w:ascii="Helvetica" w:hAnsi="Helvetica"/>
                <w:b/>
                <w:sz w:val="16"/>
                <w:szCs w:val="16"/>
              </w:rPr>
              <w:t>361.55</w:t>
            </w:r>
          </w:p>
        </w:tc>
        <w:tc>
          <w:tcPr>
            <w:tcW w:w="5388" w:type="dxa"/>
            <w:tcBorders>
              <w:top w:val="single" w:sz="6" w:space="0" w:color="auto"/>
              <w:left w:val="nil"/>
              <w:bottom w:val="nil"/>
              <w:right w:val="nil"/>
            </w:tcBorders>
          </w:tcPr>
          <w:p w:rsidR="00DA53DB" w:rsidRPr="00DF27C6" w:rsidRDefault="00DA53DB">
            <w:pPr>
              <w:tabs>
                <w:tab w:val="left" w:pos="240"/>
              </w:tabs>
              <w:ind w:left="-120"/>
              <w:rPr>
                <w:rFonts w:ascii="Helvetica" w:hAnsi="Helvetica"/>
                <w:sz w:val="14"/>
              </w:rPr>
            </w:pPr>
            <w:r w:rsidRPr="00DF27C6">
              <w:rPr>
                <w:rFonts w:ascii="Helvetica" w:hAnsi="Helvetica"/>
                <w:sz w:val="16"/>
              </w:rPr>
              <w:t xml:space="preserve">14. </w:t>
            </w:r>
            <w:r w:rsidRPr="00DF27C6">
              <w:rPr>
                <w:rFonts w:ascii="Helvetica" w:hAnsi="Helvetica"/>
                <w:sz w:val="14"/>
              </w:rPr>
              <w:t>Annual reporting and recordkeeping cost burden: (in thousands of dollars)</w:t>
            </w:r>
          </w:p>
          <w:p w:rsidR="00DA53DB" w:rsidRPr="00DF27C6" w:rsidRDefault="00DA53DB">
            <w:pPr>
              <w:tabs>
                <w:tab w:val="left" w:pos="240"/>
                <w:tab w:val="right" w:pos="4800"/>
              </w:tabs>
              <w:ind w:left="120"/>
              <w:rPr>
                <w:rFonts w:ascii="Helvetica" w:hAnsi="Helvetica"/>
                <w:sz w:val="16"/>
              </w:rPr>
            </w:pPr>
            <w:r w:rsidRPr="00DF27C6">
              <w:rPr>
                <w:rFonts w:ascii="Helvetica" w:hAnsi="Helvetica"/>
                <w:sz w:val="16"/>
              </w:rPr>
              <w:t>a. Total annualized capital/startup costs</w:t>
            </w:r>
            <w:r w:rsidRPr="00DF27C6">
              <w:rPr>
                <w:rFonts w:ascii="Helvetica" w:hAnsi="Helvetica"/>
                <w:sz w:val="16"/>
              </w:rPr>
              <w:tab/>
            </w:r>
            <w:r w:rsidRPr="00DF27C6">
              <w:rPr>
                <w:rFonts w:ascii="Helvetica" w:hAnsi="Helvetica"/>
                <w:sz w:val="18"/>
              </w:rPr>
              <w:t>0</w:t>
            </w:r>
          </w:p>
          <w:p w:rsidR="00DA53DB" w:rsidRPr="00DF27C6" w:rsidRDefault="00DA53DB">
            <w:pPr>
              <w:tabs>
                <w:tab w:val="left" w:pos="240"/>
                <w:tab w:val="right" w:pos="4800"/>
              </w:tabs>
              <w:ind w:left="132"/>
              <w:rPr>
                <w:rFonts w:ascii="Helvetica" w:hAnsi="Helvetica"/>
                <w:sz w:val="16"/>
              </w:rPr>
            </w:pPr>
            <w:r w:rsidRPr="00DF27C6">
              <w:rPr>
                <w:rFonts w:ascii="Helvetica" w:hAnsi="Helvetica"/>
                <w:sz w:val="16"/>
              </w:rPr>
              <w:t>b. Total annual costs (O&amp;M)</w:t>
            </w:r>
            <w:r w:rsidRPr="00DF27C6">
              <w:rPr>
                <w:rFonts w:ascii="Helvetica" w:hAnsi="Helvetica"/>
                <w:sz w:val="16"/>
              </w:rPr>
              <w:tab/>
            </w:r>
            <w:r w:rsidRPr="00DF27C6">
              <w:rPr>
                <w:rFonts w:ascii="Helvetica" w:hAnsi="Helvetica"/>
                <w:sz w:val="18"/>
              </w:rPr>
              <w:t>0</w:t>
            </w:r>
          </w:p>
          <w:p w:rsidR="00DA53DB" w:rsidRPr="00DF27C6" w:rsidRDefault="00DA53DB">
            <w:pPr>
              <w:tabs>
                <w:tab w:val="left" w:pos="240"/>
                <w:tab w:val="right" w:pos="4800"/>
              </w:tabs>
              <w:ind w:left="132"/>
              <w:rPr>
                <w:rFonts w:ascii="Helvetica" w:hAnsi="Helvetica"/>
                <w:sz w:val="16"/>
              </w:rPr>
            </w:pPr>
            <w:r w:rsidRPr="00DF27C6">
              <w:rPr>
                <w:rFonts w:ascii="Helvetica" w:hAnsi="Helvetica"/>
                <w:sz w:val="16"/>
              </w:rPr>
              <w:t>c. Total annualized cost requested</w:t>
            </w:r>
            <w:r w:rsidRPr="00DF27C6">
              <w:rPr>
                <w:rFonts w:ascii="Helvetica" w:hAnsi="Helvetica"/>
                <w:sz w:val="16"/>
              </w:rPr>
              <w:tab/>
            </w:r>
            <w:r w:rsidRPr="00DF27C6">
              <w:rPr>
                <w:rFonts w:ascii="Helvetica" w:hAnsi="Helvetica"/>
                <w:sz w:val="18"/>
              </w:rPr>
              <w:t>0</w:t>
            </w:r>
          </w:p>
          <w:p w:rsidR="00DA53DB" w:rsidRPr="00DF27C6" w:rsidRDefault="00DA53DB">
            <w:pPr>
              <w:tabs>
                <w:tab w:val="left" w:pos="240"/>
                <w:tab w:val="right" w:pos="4800"/>
              </w:tabs>
              <w:ind w:left="132"/>
              <w:rPr>
                <w:rFonts w:ascii="Helvetica" w:hAnsi="Helvetica"/>
                <w:sz w:val="16"/>
              </w:rPr>
            </w:pPr>
            <w:r w:rsidRPr="00DF27C6">
              <w:rPr>
                <w:rFonts w:ascii="Helvetica" w:hAnsi="Helvetica"/>
                <w:sz w:val="16"/>
              </w:rPr>
              <w:t>d. Total annual cost requested</w:t>
            </w:r>
            <w:r w:rsidRPr="00DF27C6">
              <w:rPr>
                <w:rFonts w:ascii="Helvetica" w:hAnsi="Helvetica"/>
                <w:sz w:val="16"/>
              </w:rPr>
              <w:tab/>
            </w:r>
            <w:r w:rsidRPr="00DF27C6">
              <w:rPr>
                <w:rFonts w:ascii="Helvetica" w:hAnsi="Helvetica"/>
                <w:sz w:val="18"/>
              </w:rPr>
              <w:t>0</w:t>
            </w:r>
          </w:p>
          <w:p w:rsidR="00DA53DB" w:rsidRPr="00DF27C6" w:rsidRDefault="00DA53DB">
            <w:pPr>
              <w:tabs>
                <w:tab w:val="left" w:pos="132"/>
                <w:tab w:val="right" w:pos="4800"/>
              </w:tabs>
              <w:ind w:left="132"/>
              <w:rPr>
                <w:rFonts w:ascii="Helvetica" w:hAnsi="Helvetica"/>
                <w:sz w:val="16"/>
              </w:rPr>
            </w:pPr>
            <w:r w:rsidRPr="00DF27C6">
              <w:rPr>
                <w:rFonts w:ascii="Helvetica" w:hAnsi="Helvetica"/>
                <w:sz w:val="16"/>
              </w:rPr>
              <w:t>e. Current OMB inventory</w:t>
            </w:r>
            <w:r w:rsidRPr="00DF27C6">
              <w:rPr>
                <w:rFonts w:ascii="Helvetica" w:hAnsi="Helvetica"/>
                <w:sz w:val="16"/>
              </w:rPr>
              <w:tab/>
            </w:r>
            <w:r w:rsidRPr="00DF27C6">
              <w:rPr>
                <w:rFonts w:ascii="Helvetica" w:hAnsi="Helvetica"/>
                <w:sz w:val="18"/>
              </w:rPr>
              <w:t>0</w:t>
            </w:r>
          </w:p>
          <w:p w:rsidR="00DA53DB" w:rsidRPr="00DF27C6" w:rsidRDefault="00DA53DB">
            <w:pPr>
              <w:tabs>
                <w:tab w:val="left" w:pos="240"/>
                <w:tab w:val="right" w:pos="4800"/>
              </w:tabs>
              <w:ind w:left="132"/>
              <w:rPr>
                <w:rFonts w:ascii="Helvetica" w:hAnsi="Helvetica"/>
                <w:sz w:val="16"/>
              </w:rPr>
            </w:pPr>
            <w:r w:rsidRPr="00DF27C6">
              <w:rPr>
                <w:rFonts w:ascii="Helvetica" w:hAnsi="Helvetica"/>
                <w:sz w:val="16"/>
              </w:rPr>
              <w:t>f. Explanation of difference:</w:t>
            </w:r>
          </w:p>
          <w:p w:rsidR="00DA53DB" w:rsidRPr="00DF27C6" w:rsidRDefault="00DA53DB">
            <w:pPr>
              <w:tabs>
                <w:tab w:val="left" w:pos="240"/>
                <w:tab w:val="right" w:pos="4800"/>
              </w:tabs>
              <w:ind w:left="360" w:hanging="360"/>
              <w:rPr>
                <w:rFonts w:ascii="Helvetica" w:hAnsi="Helvetica"/>
                <w:sz w:val="16"/>
              </w:rPr>
            </w:pPr>
            <w:r w:rsidRPr="00DF27C6">
              <w:rPr>
                <w:rFonts w:ascii="Helvetica" w:hAnsi="Helvetica"/>
                <w:sz w:val="16"/>
              </w:rPr>
              <w:t>1. Program change:</w:t>
            </w:r>
            <w:r w:rsidRPr="00DF27C6">
              <w:rPr>
                <w:rFonts w:ascii="Helvetica" w:hAnsi="Helvetica"/>
                <w:sz w:val="16"/>
              </w:rPr>
              <w:tab/>
            </w:r>
            <w:r w:rsidRPr="00DF27C6">
              <w:rPr>
                <w:rFonts w:ascii="Helvetica" w:hAnsi="Helvetica"/>
                <w:sz w:val="18"/>
              </w:rPr>
              <w:t>0</w:t>
            </w:r>
          </w:p>
          <w:p w:rsidR="00DA53DB" w:rsidRPr="00DF27C6" w:rsidRDefault="00DA53DB">
            <w:pPr>
              <w:tabs>
                <w:tab w:val="left" w:pos="240"/>
                <w:tab w:val="right" w:pos="4800"/>
              </w:tabs>
              <w:spacing w:after="60"/>
              <w:ind w:left="360" w:hanging="360"/>
              <w:rPr>
                <w:rFonts w:ascii="Helvetica" w:hAnsi="Helvetica"/>
                <w:sz w:val="16"/>
              </w:rPr>
            </w:pPr>
            <w:r w:rsidRPr="00DF27C6">
              <w:rPr>
                <w:rFonts w:ascii="Helvetica" w:hAnsi="Helvetica"/>
                <w:sz w:val="16"/>
              </w:rPr>
              <w:t>2. Adjustment:</w:t>
            </w:r>
            <w:r w:rsidRPr="00DF27C6">
              <w:rPr>
                <w:rFonts w:ascii="Helvetica" w:hAnsi="Helvetica"/>
                <w:sz w:val="16"/>
              </w:rPr>
              <w:tab/>
            </w:r>
            <w:r w:rsidRPr="00DF27C6">
              <w:rPr>
                <w:rFonts w:ascii="Helvetica" w:hAnsi="Helvetica"/>
                <w:sz w:val="18"/>
              </w:rPr>
              <w:t>0</w:t>
            </w:r>
          </w:p>
        </w:tc>
      </w:tr>
      <w:tr w:rsidR="00DA53DB" w:rsidRPr="00DF27C6">
        <w:trPr>
          <w:trHeight w:val="1474"/>
        </w:trPr>
        <w:tc>
          <w:tcPr>
            <w:tcW w:w="5628" w:type="dxa"/>
            <w:gridSpan w:val="2"/>
            <w:tcBorders>
              <w:top w:val="single" w:sz="6" w:space="0" w:color="auto"/>
              <w:left w:val="nil"/>
              <w:bottom w:val="nil"/>
              <w:right w:val="single" w:sz="6" w:space="0" w:color="auto"/>
            </w:tcBorders>
          </w:tcPr>
          <w:p w:rsidR="00DA53DB" w:rsidRPr="00DF27C6" w:rsidRDefault="00DA53DB">
            <w:pPr>
              <w:tabs>
                <w:tab w:val="left" w:pos="240"/>
              </w:tabs>
              <w:ind w:left="120" w:hanging="240"/>
              <w:rPr>
                <w:rFonts w:ascii="Helvetica" w:hAnsi="Helvetica"/>
                <w:b/>
                <w:sz w:val="14"/>
              </w:rPr>
            </w:pPr>
            <w:r w:rsidRPr="00DF27C6">
              <w:rPr>
                <w:rFonts w:ascii="Helvetica" w:hAnsi="Helvetica"/>
                <w:b/>
                <w:sz w:val="16"/>
              </w:rPr>
              <w:t xml:space="preserve">15. </w:t>
            </w:r>
            <w:r w:rsidRPr="00DF27C6">
              <w:rPr>
                <w:rFonts w:ascii="Helvetica" w:hAnsi="Helvetica"/>
                <w:b/>
                <w:sz w:val="14"/>
              </w:rPr>
              <w:t>Purpose of Information collection:  (mark primary with “P” and all others that apply with “X”)</w:t>
            </w:r>
          </w:p>
          <w:p w:rsidR="00DA53DB" w:rsidRPr="00DF27C6" w:rsidRDefault="00DA53DB">
            <w:pPr>
              <w:tabs>
                <w:tab w:val="left" w:pos="480"/>
                <w:tab w:val="left" w:pos="2520"/>
                <w:tab w:val="left" w:pos="2880"/>
              </w:tabs>
              <w:ind w:left="120"/>
              <w:rPr>
                <w:rFonts w:ascii="Helvetica" w:hAnsi="Helvetica"/>
                <w:b/>
                <w:sz w:val="16"/>
              </w:rPr>
            </w:pPr>
            <w:r w:rsidRPr="00DF27C6">
              <w:rPr>
                <w:rFonts w:ascii="Helvetica" w:hAnsi="Helvetica"/>
                <w:b/>
                <w:sz w:val="16"/>
              </w:rPr>
              <w:t xml:space="preserve">a. </w:t>
            </w:r>
            <w:r w:rsidRPr="00DF27C6">
              <w:rPr>
                <w:rFonts w:ascii="Helvetica" w:hAnsi="Helvetica"/>
                <w:b/>
                <w:sz w:val="18"/>
              </w:rPr>
              <w:t>P</w:t>
            </w:r>
            <w:r w:rsidRPr="00DF27C6">
              <w:rPr>
                <w:rFonts w:ascii="Helvetica" w:hAnsi="Helvetica"/>
                <w:b/>
                <w:sz w:val="18"/>
              </w:rPr>
              <w:tab/>
            </w:r>
            <w:r w:rsidRPr="00DF27C6">
              <w:rPr>
                <w:rFonts w:ascii="Helvetica" w:hAnsi="Helvetica"/>
                <w:b/>
                <w:sz w:val="16"/>
              </w:rPr>
              <w:t>Application for benefits</w:t>
            </w:r>
            <w:r w:rsidRPr="00DF27C6">
              <w:rPr>
                <w:rFonts w:ascii="Helvetica" w:hAnsi="Helvetica"/>
                <w:b/>
                <w:sz w:val="16"/>
              </w:rPr>
              <w:tab/>
              <w:t xml:space="preserve">e.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planning or management</w:t>
            </w:r>
          </w:p>
          <w:p w:rsidR="00DA53DB" w:rsidRPr="00DF27C6" w:rsidRDefault="00DA53DB">
            <w:pPr>
              <w:pBdr>
                <w:between w:val="single" w:sz="6" w:space="1" w:color="auto"/>
              </w:pBdr>
              <w:tabs>
                <w:tab w:val="left" w:pos="480"/>
                <w:tab w:val="left" w:pos="2520"/>
                <w:tab w:val="left" w:pos="2880"/>
              </w:tabs>
              <w:ind w:left="120"/>
              <w:rPr>
                <w:rFonts w:ascii="Helvetica" w:hAnsi="Helvetica"/>
                <w:b/>
                <w:sz w:val="16"/>
              </w:rPr>
            </w:pPr>
            <w:r w:rsidRPr="00DF27C6">
              <w:rPr>
                <w:rFonts w:ascii="Helvetica" w:hAnsi="Helvetica"/>
                <w:b/>
                <w:sz w:val="16"/>
              </w:rPr>
              <w:t xml:space="preserve">b.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evaluation</w:t>
            </w:r>
            <w:r w:rsidRPr="00DF27C6">
              <w:rPr>
                <w:rFonts w:ascii="Helvetica" w:hAnsi="Helvetica"/>
                <w:b/>
                <w:sz w:val="16"/>
              </w:rPr>
              <w:tab/>
              <w:t xml:space="preserve">f.  </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Research</w:t>
            </w:r>
          </w:p>
          <w:p w:rsidR="00DA53DB" w:rsidRPr="00DF27C6" w:rsidRDefault="00DA53DB">
            <w:pPr>
              <w:tabs>
                <w:tab w:val="left" w:pos="480"/>
                <w:tab w:val="left" w:pos="2520"/>
                <w:tab w:val="left" w:pos="2880"/>
              </w:tabs>
              <w:ind w:left="120"/>
              <w:rPr>
                <w:rFonts w:ascii="Helvetica" w:hAnsi="Helvetica"/>
                <w:b/>
                <w:sz w:val="16"/>
              </w:rPr>
            </w:pPr>
            <w:r w:rsidRPr="00DF27C6">
              <w:rPr>
                <w:rFonts w:ascii="Helvetica" w:hAnsi="Helvetica"/>
                <w:b/>
                <w:sz w:val="16"/>
              </w:rPr>
              <w:t xml:space="preserve">c. </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General purpose statistics</w:t>
            </w:r>
            <w:r w:rsidRPr="00DF27C6">
              <w:rPr>
                <w:rFonts w:ascii="Helvetica" w:hAnsi="Helvetica"/>
                <w:b/>
                <w:sz w:val="16"/>
              </w:rPr>
              <w:tab/>
              <w:t xml:space="preserve">g. </w:t>
            </w:r>
            <w:r w:rsidRPr="00DF27C6">
              <w:rPr>
                <w:rFonts w:ascii="Helvetica" w:hAnsi="Helvetica"/>
                <w:b/>
                <w:bCs/>
                <w:sz w:val="18"/>
              </w:rPr>
              <w:t>X</w:t>
            </w:r>
            <w:r w:rsidRPr="00DF27C6">
              <w:rPr>
                <w:rFonts w:ascii="Helvetica" w:hAnsi="Helvetica"/>
                <w:b/>
                <w:sz w:val="18"/>
              </w:rPr>
              <w:tab/>
            </w:r>
            <w:r w:rsidRPr="00DF27C6">
              <w:rPr>
                <w:rFonts w:ascii="Helvetica" w:hAnsi="Helvetica"/>
                <w:b/>
                <w:sz w:val="16"/>
              </w:rPr>
              <w:t>Regulatory or compliance</w:t>
            </w:r>
          </w:p>
          <w:p w:rsidR="00DA53DB" w:rsidRPr="00DF27C6" w:rsidRDefault="00DA53DB">
            <w:pPr>
              <w:tabs>
                <w:tab w:val="left" w:pos="480"/>
                <w:tab w:val="left" w:pos="2880"/>
              </w:tabs>
              <w:spacing w:after="60"/>
              <w:ind w:left="120"/>
              <w:rPr>
                <w:rFonts w:ascii="Helvetica" w:hAnsi="Helvetica"/>
                <w:b/>
                <w:sz w:val="16"/>
              </w:rPr>
            </w:pPr>
            <w:r w:rsidRPr="00DF27C6">
              <w:rPr>
                <w:rFonts w:ascii="Helvetica" w:hAnsi="Helvetica"/>
                <w:b/>
                <w:sz w:val="16"/>
              </w:rPr>
              <w:t xml:space="preserve">d. </w:t>
            </w:r>
            <w:r w:rsidR="005D15DF" w:rsidRPr="00DF27C6">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005D15DF" w:rsidRPr="00DF27C6">
              <w:rPr>
                <w:rFonts w:ascii="Helvetica" w:hAnsi="Helvetica"/>
                <w:b/>
                <w:sz w:val="18"/>
              </w:rPr>
            </w:r>
            <w:r w:rsidR="005D15DF" w:rsidRPr="00DF27C6">
              <w:rPr>
                <w:rFonts w:ascii="Helvetica" w:hAnsi="Helvetica"/>
                <w:b/>
                <w:sz w:val="18"/>
              </w:rPr>
              <w:fldChar w:fldCharType="separate"/>
            </w:r>
            <w:r w:rsidRPr="00DF27C6">
              <w:rPr>
                <w:rFonts w:ascii="Helvetica" w:hAnsi="Helvetica"/>
                <w:b/>
                <w:noProof/>
                <w:sz w:val="18"/>
              </w:rPr>
              <w:t xml:space="preserve"> </w:t>
            </w:r>
            <w:r w:rsidR="005D15DF" w:rsidRPr="00DF27C6">
              <w:rPr>
                <w:rFonts w:ascii="Helvetica" w:hAnsi="Helvetica"/>
                <w:b/>
                <w:sz w:val="18"/>
              </w:rPr>
              <w:fldChar w:fldCharType="end"/>
            </w:r>
            <w:r w:rsidRPr="00DF27C6">
              <w:rPr>
                <w:rFonts w:ascii="Helvetica" w:hAnsi="Helvetica"/>
                <w:b/>
                <w:sz w:val="18"/>
              </w:rPr>
              <w:tab/>
            </w:r>
            <w:r w:rsidRPr="00DF27C6">
              <w:rPr>
                <w:rFonts w:ascii="Helvetica" w:hAnsi="Helvetica"/>
                <w:b/>
                <w:sz w:val="16"/>
              </w:rPr>
              <w:t>Audit</w:t>
            </w:r>
          </w:p>
        </w:tc>
        <w:tc>
          <w:tcPr>
            <w:tcW w:w="5388" w:type="dxa"/>
            <w:tcBorders>
              <w:top w:val="single" w:sz="6" w:space="0" w:color="auto"/>
              <w:left w:val="nil"/>
              <w:bottom w:val="nil"/>
              <w:right w:val="nil"/>
            </w:tcBorders>
          </w:tcPr>
          <w:p w:rsidR="00DA53DB" w:rsidRPr="00DF27C6" w:rsidRDefault="00DA53DB">
            <w:pPr>
              <w:tabs>
                <w:tab w:val="left" w:pos="240"/>
              </w:tabs>
              <w:ind w:left="-120"/>
              <w:rPr>
                <w:rFonts w:ascii="Helvetica" w:hAnsi="Helvetica"/>
                <w:sz w:val="14"/>
              </w:rPr>
            </w:pPr>
            <w:r w:rsidRPr="00DF27C6">
              <w:rPr>
                <w:rFonts w:ascii="Helvetica" w:hAnsi="Helvetica"/>
                <w:sz w:val="16"/>
              </w:rPr>
              <w:t xml:space="preserve">16. </w:t>
            </w:r>
            <w:r w:rsidRPr="00DF27C6">
              <w:rPr>
                <w:rFonts w:ascii="Helvetica" w:hAnsi="Helvetica"/>
                <w:sz w:val="14"/>
              </w:rPr>
              <w:t>Frequency of recordkeeping or reporting:  (check all that apply)</w:t>
            </w:r>
          </w:p>
          <w:p w:rsidR="00DA53DB" w:rsidRPr="00DF27C6" w:rsidRDefault="00DA53DB">
            <w:pPr>
              <w:tabs>
                <w:tab w:val="left" w:pos="240"/>
                <w:tab w:val="left" w:pos="1932"/>
              </w:tabs>
              <w:ind w:left="120"/>
              <w:rPr>
                <w:rFonts w:ascii="Helvetica" w:hAnsi="Helvetica"/>
                <w:sz w:val="16"/>
              </w:rPr>
            </w:pPr>
            <w:r w:rsidRPr="00DF27C6">
              <w:rPr>
                <w:rFonts w:ascii="Helvetica" w:hAnsi="Helvetica"/>
                <w:sz w:val="16"/>
              </w:rPr>
              <w:t xml:space="preserve">a. </w:t>
            </w:r>
            <w:bookmarkStart w:id="11" w:name="Check21"/>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bookmarkEnd w:id="11"/>
            <w:r w:rsidRPr="00DF27C6">
              <w:rPr>
                <w:rFonts w:ascii="Helvetica" w:hAnsi="Helvetica"/>
                <w:sz w:val="16"/>
              </w:rPr>
              <w:t xml:space="preserve"> Recordkeeping</w:t>
            </w:r>
            <w:r w:rsidRPr="00DF27C6">
              <w:rPr>
                <w:rFonts w:ascii="Helvetica" w:hAnsi="Helvetica"/>
                <w:sz w:val="16"/>
              </w:rPr>
              <w:tab/>
              <w:t xml:space="preserve">b. </w:t>
            </w:r>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 xml:space="preserve">Third party disclosure </w:t>
            </w:r>
          </w:p>
          <w:p w:rsidR="00DA53DB" w:rsidRPr="00DF27C6" w:rsidRDefault="00DA53DB">
            <w:pPr>
              <w:pBdr>
                <w:between w:val="single" w:sz="6" w:space="1" w:color="auto"/>
              </w:pBdr>
              <w:tabs>
                <w:tab w:val="left" w:pos="240"/>
                <w:tab w:val="left" w:pos="1932"/>
                <w:tab w:val="left" w:pos="2520"/>
              </w:tabs>
              <w:ind w:left="132"/>
              <w:rPr>
                <w:rFonts w:ascii="Helvetica" w:hAnsi="Helvetica"/>
                <w:sz w:val="16"/>
              </w:rPr>
            </w:pPr>
            <w:r w:rsidRPr="00DF27C6">
              <w:rPr>
                <w:rFonts w:ascii="Helvetica" w:hAnsi="Helvetica"/>
                <w:sz w:val="16"/>
              </w:rPr>
              <w:t xml:space="preserve">b. </w:t>
            </w:r>
            <w:r w:rsidR="005D15DF" w:rsidRPr="00DF27C6">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Reporting:</w:t>
            </w:r>
          </w:p>
          <w:p w:rsidR="00DA53DB" w:rsidRPr="00DF27C6" w:rsidRDefault="00DA53DB">
            <w:pPr>
              <w:tabs>
                <w:tab w:val="left" w:pos="240"/>
                <w:tab w:val="left" w:pos="2052"/>
                <w:tab w:val="left" w:pos="3732"/>
              </w:tabs>
              <w:ind w:left="492"/>
              <w:rPr>
                <w:rFonts w:ascii="Helvetica" w:hAnsi="Helvetica"/>
                <w:sz w:val="16"/>
              </w:rPr>
            </w:pPr>
            <w:r w:rsidRPr="00DF27C6">
              <w:rPr>
                <w:rFonts w:ascii="Helvetica" w:hAnsi="Helvetica"/>
                <w:sz w:val="16"/>
              </w:rPr>
              <w:t xml:space="preserve">1. </w:t>
            </w:r>
            <w:r w:rsidR="005D15DF" w:rsidRPr="00DF27C6">
              <w:rPr>
                <w:rFonts w:ascii="Helvetica" w:hAnsi="Helvetica"/>
                <w:b/>
                <w:sz w:val="18"/>
              </w:rPr>
              <w:fldChar w:fldCharType="begin">
                <w:ffData>
                  <w:name w:val=""/>
                  <w:enabled/>
                  <w:calcOnExit w:val="0"/>
                  <w:checkBox>
                    <w:sizeAuto/>
                    <w:default w:val="0"/>
                  </w:checkBox>
                </w:ffData>
              </w:fldChar>
            </w:r>
            <w:r w:rsidR="002020D0"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On occasion</w:t>
            </w:r>
            <w:r w:rsidRPr="00DF27C6">
              <w:rPr>
                <w:rFonts w:ascii="Helvetica" w:hAnsi="Helvetica"/>
                <w:sz w:val="16"/>
              </w:rPr>
              <w:tab/>
              <w:t xml:space="preserve">2. </w:t>
            </w:r>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Weekly</w:t>
            </w:r>
            <w:r w:rsidRPr="00DF27C6">
              <w:rPr>
                <w:rFonts w:ascii="Helvetica" w:hAnsi="Helvetica"/>
                <w:sz w:val="16"/>
              </w:rPr>
              <w:tab/>
              <w:t xml:space="preserve">3. </w:t>
            </w:r>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Monthly</w:t>
            </w:r>
          </w:p>
          <w:p w:rsidR="00DA53DB" w:rsidRPr="00DF27C6" w:rsidRDefault="00DA53DB">
            <w:pPr>
              <w:tabs>
                <w:tab w:val="left" w:pos="240"/>
                <w:tab w:val="left" w:pos="2052"/>
                <w:tab w:val="left" w:pos="3732"/>
              </w:tabs>
              <w:ind w:left="492"/>
              <w:rPr>
                <w:rFonts w:ascii="Helvetica" w:hAnsi="Helvetica"/>
                <w:sz w:val="16"/>
              </w:rPr>
            </w:pPr>
            <w:r w:rsidRPr="00DF27C6">
              <w:rPr>
                <w:rFonts w:ascii="Helvetica" w:hAnsi="Helvetica"/>
                <w:sz w:val="16"/>
              </w:rPr>
              <w:t xml:space="preserve">4. </w:t>
            </w:r>
            <w:r w:rsidR="005D15DF">
              <w:rPr>
                <w:rFonts w:ascii="Helvetica" w:hAnsi="Helvetica"/>
                <w:b/>
                <w:sz w:val="18"/>
              </w:rPr>
              <w:fldChar w:fldCharType="begin">
                <w:ffData>
                  <w:name w:val=""/>
                  <w:enabled/>
                  <w:calcOnExit w:val="0"/>
                  <w:checkBox>
                    <w:sizeAuto/>
                    <w:default w:val="1"/>
                  </w:checkBox>
                </w:ffData>
              </w:fldChar>
            </w:r>
            <w:r w:rsidR="00B364DE">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Pr>
                <w:rFonts w:ascii="Helvetica" w:hAnsi="Helvetica"/>
                <w:b/>
                <w:sz w:val="18"/>
              </w:rPr>
              <w:fldChar w:fldCharType="end"/>
            </w:r>
            <w:r w:rsidRPr="00DF27C6">
              <w:rPr>
                <w:rFonts w:ascii="Helvetica" w:hAnsi="Helvetica"/>
                <w:sz w:val="16"/>
              </w:rPr>
              <w:t xml:space="preserve">  Quarterly</w:t>
            </w:r>
            <w:r w:rsidRPr="00DF27C6">
              <w:rPr>
                <w:rFonts w:ascii="Helvetica" w:hAnsi="Helvetica"/>
                <w:sz w:val="16"/>
              </w:rPr>
              <w:tab/>
              <w:t xml:space="preserve">5. </w:t>
            </w:r>
            <w:r w:rsidR="005D15DF" w:rsidRPr="00DF27C6">
              <w:rPr>
                <w:rFonts w:ascii="Helvetica" w:hAnsi="Helvetica"/>
                <w:b/>
                <w:sz w:val="18"/>
              </w:rPr>
              <w:fldChar w:fldCharType="begin">
                <w:ffData>
                  <w:name w:val=""/>
                  <w:enabled/>
                  <w:calcOnExit w:val="0"/>
                  <w:checkBox>
                    <w:sizeAuto/>
                    <w:default w:val="0"/>
                  </w:checkBox>
                </w:ffData>
              </w:fldChar>
            </w:r>
            <w:r w:rsidR="002020D0"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Semi-annually</w:t>
            </w:r>
            <w:r w:rsidRPr="00DF27C6">
              <w:rPr>
                <w:rFonts w:ascii="Helvetica" w:hAnsi="Helvetica"/>
                <w:sz w:val="16"/>
              </w:rPr>
              <w:tab/>
              <w:t xml:space="preserve">6. </w:t>
            </w:r>
            <w:r w:rsidR="005D15DF" w:rsidRPr="00DF27C6">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Annually</w:t>
            </w:r>
          </w:p>
          <w:p w:rsidR="00DA53DB" w:rsidRPr="00DF27C6" w:rsidRDefault="00DA53DB">
            <w:pPr>
              <w:tabs>
                <w:tab w:val="left" w:pos="240"/>
                <w:tab w:val="left" w:pos="2052"/>
                <w:tab w:val="left" w:pos="3732"/>
              </w:tabs>
              <w:ind w:left="492"/>
              <w:rPr>
                <w:rFonts w:ascii="Helvetica" w:hAnsi="Helvetica"/>
                <w:sz w:val="16"/>
              </w:rPr>
            </w:pPr>
            <w:r w:rsidRPr="00DF27C6">
              <w:rPr>
                <w:rFonts w:ascii="Helvetica" w:hAnsi="Helvetica"/>
                <w:sz w:val="16"/>
              </w:rPr>
              <w:t xml:space="preserve">7. </w:t>
            </w:r>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Biannually</w:t>
            </w:r>
            <w:r w:rsidRPr="00DF27C6">
              <w:rPr>
                <w:rFonts w:ascii="Helvetica" w:hAnsi="Helvetica"/>
                <w:sz w:val="16"/>
              </w:rPr>
              <w:tab/>
              <w:t xml:space="preserve">8. </w:t>
            </w:r>
            <w:r w:rsidR="005D15DF" w:rsidRPr="00DF27C6">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005D15DF" w:rsidRPr="00DF27C6">
              <w:rPr>
                <w:rFonts w:ascii="Helvetica" w:hAnsi="Helvetica"/>
                <w:b/>
                <w:sz w:val="18"/>
              </w:rPr>
              <w:fldChar w:fldCharType="end"/>
            </w:r>
            <w:r w:rsidRPr="00DF27C6">
              <w:rPr>
                <w:rFonts w:ascii="Helvetica" w:hAnsi="Helvetica"/>
                <w:sz w:val="16"/>
              </w:rPr>
              <w:t xml:space="preserve"> Other </w:t>
            </w:r>
            <w:r w:rsidRPr="00DF27C6">
              <w:rPr>
                <w:rFonts w:ascii="Helvetica" w:hAnsi="Helvetica"/>
                <w:sz w:val="14"/>
              </w:rPr>
              <w:t>(describe)</w:t>
            </w:r>
            <w:r w:rsidRPr="00DF27C6">
              <w:rPr>
                <w:rFonts w:ascii="Helvetica" w:hAnsi="Helvetica"/>
                <w:sz w:val="16"/>
              </w:rPr>
              <w:t xml:space="preserve">  </w:t>
            </w:r>
            <w:bookmarkStart w:id="12" w:name="Text18"/>
            <w:r w:rsidR="005D15DF" w:rsidRPr="00DF27C6">
              <w:rPr>
                <w:rFonts w:ascii="Helvetica" w:hAnsi="Helvetica"/>
                <w:sz w:val="16"/>
              </w:rPr>
              <w:fldChar w:fldCharType="begin">
                <w:ffData>
                  <w:name w:val="Text18"/>
                  <w:enabled/>
                  <w:calcOnExit w:val="0"/>
                  <w:textInput/>
                </w:ffData>
              </w:fldChar>
            </w:r>
            <w:r w:rsidRPr="00DF27C6">
              <w:rPr>
                <w:rFonts w:ascii="Helvetica" w:hAnsi="Helvetica"/>
                <w:sz w:val="16"/>
              </w:rPr>
              <w:instrText xml:space="preserve"> FORMTEXT </w:instrText>
            </w:r>
            <w:r w:rsidR="005D15DF" w:rsidRPr="00DF27C6">
              <w:rPr>
                <w:rFonts w:ascii="Helvetica" w:hAnsi="Helvetica"/>
                <w:sz w:val="16"/>
              </w:rPr>
            </w:r>
            <w:r w:rsidR="005D15DF" w:rsidRPr="00DF27C6">
              <w:rPr>
                <w:rFonts w:ascii="Helvetica" w:hAnsi="Helvetica"/>
                <w:sz w:val="16"/>
              </w:rPr>
              <w:fldChar w:fldCharType="separate"/>
            </w:r>
            <w:r w:rsidRPr="00DF27C6">
              <w:rPr>
                <w:rFonts w:ascii="Helvetica" w:hAnsi="Helvetica"/>
                <w:noProof/>
                <w:sz w:val="16"/>
              </w:rPr>
              <w:t xml:space="preserve">     </w:t>
            </w:r>
            <w:r w:rsidR="005D15DF" w:rsidRPr="00DF27C6">
              <w:rPr>
                <w:rFonts w:ascii="Helvetica" w:hAnsi="Helvetica"/>
                <w:sz w:val="16"/>
              </w:rPr>
              <w:fldChar w:fldCharType="end"/>
            </w:r>
            <w:bookmarkEnd w:id="12"/>
          </w:p>
          <w:p w:rsidR="00DA53DB" w:rsidRPr="00DF27C6" w:rsidRDefault="00DA53DB">
            <w:pPr>
              <w:tabs>
                <w:tab w:val="left" w:pos="240"/>
              </w:tabs>
              <w:rPr>
                <w:rFonts w:ascii="Helvetica" w:hAnsi="Helvetica"/>
                <w:sz w:val="16"/>
              </w:rPr>
            </w:pPr>
          </w:p>
        </w:tc>
      </w:tr>
      <w:tr w:rsidR="00DA53DB" w:rsidRPr="00DF27C6">
        <w:tc>
          <w:tcPr>
            <w:tcW w:w="4908" w:type="dxa"/>
            <w:tcBorders>
              <w:top w:val="single" w:sz="6" w:space="0" w:color="auto"/>
              <w:left w:val="nil"/>
              <w:bottom w:val="single" w:sz="6" w:space="0" w:color="auto"/>
              <w:right w:val="nil"/>
            </w:tcBorders>
          </w:tcPr>
          <w:p w:rsidR="00DA53DB" w:rsidRPr="00DF27C6" w:rsidRDefault="00DA53DB">
            <w:pPr>
              <w:tabs>
                <w:tab w:val="left" w:pos="240"/>
              </w:tabs>
              <w:ind w:left="-120"/>
              <w:rPr>
                <w:rFonts w:ascii="Helvetica" w:hAnsi="Helvetica"/>
                <w:b/>
                <w:sz w:val="14"/>
              </w:rPr>
            </w:pPr>
            <w:r w:rsidRPr="00DF27C6">
              <w:rPr>
                <w:rFonts w:ascii="Helvetica" w:hAnsi="Helvetica"/>
                <w:b/>
                <w:sz w:val="16"/>
              </w:rPr>
              <w:t xml:space="preserve">17. </w:t>
            </w:r>
            <w:r w:rsidRPr="00DF27C6">
              <w:rPr>
                <w:rFonts w:ascii="Helvetica" w:hAnsi="Helvetica"/>
                <w:b/>
                <w:sz w:val="14"/>
              </w:rPr>
              <w:t xml:space="preserve">Statistical methods: </w:t>
            </w:r>
          </w:p>
          <w:p w:rsidR="00DA53DB" w:rsidRPr="00DF27C6" w:rsidRDefault="00DA53DB">
            <w:pPr>
              <w:ind w:left="240"/>
              <w:rPr>
                <w:rFonts w:ascii="Helvetica" w:hAnsi="Helvetica"/>
                <w:b/>
                <w:sz w:val="16"/>
              </w:rPr>
            </w:pPr>
            <w:r w:rsidRPr="00DF27C6">
              <w:rPr>
                <w:rFonts w:ascii="Helvetica" w:hAnsi="Helvetica"/>
                <w:b/>
                <w:sz w:val="16"/>
              </w:rPr>
              <w:t>Does this information collection employ statistical methods?</w:t>
            </w:r>
          </w:p>
          <w:p w:rsidR="00DA53DB" w:rsidRPr="00DF27C6" w:rsidRDefault="005D15DF">
            <w:pPr>
              <w:tabs>
                <w:tab w:val="left" w:pos="240"/>
              </w:tabs>
              <w:ind w:left="240"/>
              <w:rPr>
                <w:rFonts w:ascii="Helvetica" w:hAnsi="Helvetica"/>
                <w:b/>
                <w:sz w:val="18"/>
              </w:rPr>
            </w:pPr>
            <w:r w:rsidRPr="00DF27C6">
              <w:rPr>
                <w:rFonts w:ascii="Helvetica" w:hAnsi="Helvetica"/>
                <w:b/>
                <w:sz w:val="18"/>
              </w:rPr>
              <w:fldChar w:fldCharType="begin">
                <w:ffData>
                  <w:name w:val="Check25"/>
                  <w:enabled/>
                  <w:calcOnExit w:val="0"/>
                  <w:checkBox>
                    <w:sizeAuto/>
                    <w:default w:val="0"/>
                  </w:checkBox>
                </w:ffData>
              </w:fldChar>
            </w:r>
            <w:r w:rsidR="00DA53DB"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r w:rsidR="00DA53DB" w:rsidRPr="00DF27C6">
              <w:rPr>
                <w:rFonts w:ascii="Helvetica" w:hAnsi="Helvetica"/>
                <w:b/>
                <w:sz w:val="18"/>
              </w:rPr>
              <w:t xml:space="preserve"> Yes   </w:t>
            </w:r>
            <w:r w:rsidRPr="00DF27C6">
              <w:rPr>
                <w:rFonts w:ascii="Helvetica" w:hAnsi="Helvetica"/>
                <w:b/>
                <w:sz w:val="18"/>
              </w:rPr>
              <w:fldChar w:fldCharType="begin">
                <w:ffData>
                  <w:name w:val="Check25"/>
                  <w:enabled/>
                  <w:calcOnExit w:val="0"/>
                  <w:checkBox>
                    <w:sizeAuto/>
                    <w:default w:val="1"/>
                  </w:checkBox>
                </w:ffData>
              </w:fldChar>
            </w:r>
            <w:bookmarkStart w:id="13" w:name="Check25"/>
            <w:r w:rsidR="00DA53DB" w:rsidRPr="00DF27C6">
              <w:rPr>
                <w:rFonts w:ascii="Helvetica" w:hAnsi="Helvetica"/>
                <w:b/>
                <w:sz w:val="18"/>
              </w:rPr>
              <w:instrText xml:space="preserve"> FORMCHECKBOX </w:instrText>
            </w:r>
            <w:r w:rsidR="002B459D">
              <w:rPr>
                <w:rFonts w:ascii="Helvetica" w:hAnsi="Helvetica"/>
                <w:b/>
                <w:sz w:val="18"/>
              </w:rPr>
            </w:r>
            <w:r w:rsidR="002B459D">
              <w:rPr>
                <w:rFonts w:ascii="Helvetica" w:hAnsi="Helvetica"/>
                <w:b/>
                <w:sz w:val="18"/>
              </w:rPr>
              <w:fldChar w:fldCharType="separate"/>
            </w:r>
            <w:r w:rsidRPr="00DF27C6">
              <w:rPr>
                <w:rFonts w:ascii="Helvetica" w:hAnsi="Helvetica"/>
                <w:b/>
                <w:sz w:val="18"/>
              </w:rPr>
              <w:fldChar w:fldCharType="end"/>
            </w:r>
            <w:bookmarkEnd w:id="13"/>
            <w:r w:rsidR="00DA53DB" w:rsidRPr="00DF27C6">
              <w:rPr>
                <w:rFonts w:ascii="Helvetica" w:hAnsi="Helvetica"/>
                <w:b/>
                <w:sz w:val="18"/>
              </w:rPr>
              <w:t xml:space="preserve"> No</w:t>
            </w:r>
          </w:p>
          <w:p w:rsidR="00DA53DB" w:rsidRPr="00DF27C6"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DF27C6" w:rsidRDefault="00DA53DB">
            <w:pPr>
              <w:tabs>
                <w:tab w:val="left" w:pos="132"/>
              </w:tabs>
              <w:ind w:left="132" w:right="-120" w:hanging="240"/>
              <w:rPr>
                <w:rFonts w:ascii="Helvetica" w:hAnsi="Helvetica"/>
                <w:b/>
                <w:sz w:val="16"/>
              </w:rPr>
            </w:pPr>
            <w:r w:rsidRPr="00DF27C6">
              <w:rPr>
                <w:rFonts w:ascii="Helvetica" w:hAnsi="Helvetica"/>
                <w:b/>
                <w:sz w:val="16"/>
              </w:rPr>
              <w:t xml:space="preserve">18. </w:t>
            </w:r>
            <w:r w:rsidRPr="00DF27C6">
              <w:rPr>
                <w:rFonts w:ascii="Helvetica" w:hAnsi="Helvetica"/>
                <w:b/>
                <w:sz w:val="14"/>
              </w:rPr>
              <w:t>Agency contact: (person who can best answer questions regarding the content of this submission)</w:t>
            </w:r>
            <w:r w:rsidRPr="00DF27C6">
              <w:rPr>
                <w:rFonts w:ascii="Helvetica" w:hAnsi="Helvetica"/>
                <w:b/>
                <w:sz w:val="16"/>
              </w:rPr>
              <w:t xml:space="preserve"> </w:t>
            </w:r>
          </w:p>
          <w:p w:rsidR="00DA53DB" w:rsidRPr="00DF27C6" w:rsidRDefault="00DA53DB">
            <w:pPr>
              <w:tabs>
                <w:tab w:val="left" w:pos="240"/>
              </w:tabs>
              <w:ind w:left="132"/>
              <w:rPr>
                <w:rFonts w:ascii="Helvetica" w:hAnsi="Helvetica"/>
                <w:b/>
                <w:sz w:val="16"/>
              </w:rPr>
            </w:pPr>
            <w:r w:rsidRPr="00DF27C6">
              <w:rPr>
                <w:rFonts w:ascii="Helvetica" w:hAnsi="Helvetica"/>
                <w:b/>
                <w:sz w:val="16"/>
              </w:rPr>
              <w:t xml:space="preserve">Name: </w:t>
            </w:r>
            <w:r w:rsidRPr="00DF27C6">
              <w:rPr>
                <w:rFonts w:ascii="Helvetica" w:hAnsi="Helvetica"/>
                <w:b/>
                <w:sz w:val="18"/>
                <w:szCs w:val="18"/>
              </w:rPr>
              <w:t>Leigh van Rij</w:t>
            </w:r>
            <w:r w:rsidRPr="00DF27C6">
              <w:rPr>
                <w:rFonts w:ascii="Helvetica" w:hAnsi="Helvetica"/>
                <w:b/>
                <w:sz w:val="18"/>
              </w:rPr>
              <w:t xml:space="preserve"> </w:t>
            </w:r>
          </w:p>
          <w:p w:rsidR="00DA53DB" w:rsidRPr="00DF27C6" w:rsidRDefault="00DA53DB" w:rsidP="00C51980">
            <w:pPr>
              <w:tabs>
                <w:tab w:val="left" w:pos="240"/>
              </w:tabs>
              <w:rPr>
                <w:rFonts w:ascii="Helvetica" w:hAnsi="Helvetica"/>
                <w:b/>
                <w:sz w:val="16"/>
              </w:rPr>
            </w:pPr>
            <w:r w:rsidRPr="00DF27C6">
              <w:rPr>
                <w:rFonts w:ascii="Helvetica" w:hAnsi="Helvetica"/>
                <w:b/>
                <w:sz w:val="16"/>
              </w:rPr>
              <w:t xml:space="preserve">Phone: </w:t>
            </w:r>
            <w:r w:rsidRPr="00DF27C6">
              <w:rPr>
                <w:rFonts w:ascii="Helvetica" w:hAnsi="Helvetica"/>
                <w:b/>
                <w:sz w:val="18"/>
                <w:szCs w:val="18"/>
              </w:rPr>
              <w:t>(202) 402-5788</w:t>
            </w:r>
          </w:p>
        </w:tc>
      </w:tr>
    </w:tbl>
    <w:p w:rsidR="00651E65" w:rsidRPr="00DF27C6" w:rsidRDefault="00651E65" w:rsidP="00651E65">
      <w:pPr>
        <w:pStyle w:val="BodyTextIndent2"/>
        <w:tabs>
          <w:tab w:val="left" w:pos="360"/>
        </w:tabs>
        <w:spacing w:after="120" w:line="240" w:lineRule="auto"/>
        <w:ind w:hanging="336"/>
        <w:rPr>
          <w:b/>
        </w:rPr>
      </w:pPr>
    </w:p>
    <w:p w:rsidR="00DA53DB" w:rsidRPr="00DF27C6" w:rsidRDefault="00DA53DB">
      <w:pPr>
        <w:pBdr>
          <w:top w:val="single" w:sz="6" w:space="1" w:color="auto"/>
        </w:pBdr>
        <w:tabs>
          <w:tab w:val="left" w:pos="240"/>
        </w:tabs>
        <w:jc w:val="center"/>
        <w:rPr>
          <w:rFonts w:ascii="Helvetica" w:hAnsi="Helvetica"/>
          <w:b/>
          <w:sz w:val="28"/>
        </w:rPr>
      </w:pPr>
      <w:r w:rsidRPr="00DF27C6">
        <w:rPr>
          <w:rFonts w:ascii="Helvetica" w:hAnsi="Helvetica"/>
          <w:sz w:val="16"/>
        </w:rPr>
        <w:br w:type="page"/>
      </w:r>
      <w:r w:rsidRPr="00DF27C6">
        <w:rPr>
          <w:rFonts w:ascii="Helvetica" w:hAnsi="Helvetica"/>
          <w:b/>
          <w:sz w:val="28"/>
        </w:rPr>
        <w:lastRenderedPageBreak/>
        <w:t>19.</w:t>
      </w:r>
      <w:r w:rsidRPr="00DF27C6">
        <w:rPr>
          <w:rFonts w:ascii="Helvetica" w:hAnsi="Helvetica"/>
          <w:sz w:val="16"/>
        </w:rPr>
        <w:t xml:space="preserve"> </w:t>
      </w:r>
      <w:r w:rsidRPr="00DF27C6">
        <w:rPr>
          <w:rFonts w:ascii="Helvetica" w:hAnsi="Helvetica"/>
          <w:b/>
          <w:sz w:val="28"/>
        </w:rPr>
        <w:t>Certification for Paperwork Reduction Act Submissions</w:t>
      </w:r>
    </w:p>
    <w:p w:rsidR="00DA53DB" w:rsidRPr="00DF27C6" w:rsidRDefault="00DA53DB">
      <w:pPr>
        <w:tabs>
          <w:tab w:val="left" w:pos="240"/>
        </w:tabs>
        <w:spacing w:line="280" w:lineRule="exact"/>
        <w:rPr>
          <w:sz w:val="22"/>
        </w:rPr>
      </w:pPr>
      <w:r w:rsidRPr="00DF27C6">
        <w:rPr>
          <w:sz w:val="22"/>
        </w:rPr>
        <w:t>On behalf of this Federal Agency, I certify that the collection of information encompassed by this request complies with 5 CFR 1320.9.</w:t>
      </w:r>
    </w:p>
    <w:p w:rsidR="00DA53DB" w:rsidRPr="00DF27C6" w:rsidRDefault="00DA53DB">
      <w:pPr>
        <w:tabs>
          <w:tab w:val="left" w:pos="240"/>
        </w:tabs>
        <w:spacing w:line="280" w:lineRule="exact"/>
        <w:rPr>
          <w:sz w:val="22"/>
        </w:rPr>
      </w:pPr>
      <w:r w:rsidRPr="00DF27C6">
        <w:rPr>
          <w:b/>
          <w:sz w:val="22"/>
        </w:rPr>
        <w:t>Note:</w:t>
      </w:r>
      <w:r w:rsidRPr="00DF27C6">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Pr="00DF27C6" w:rsidRDefault="00DA53DB">
      <w:pPr>
        <w:tabs>
          <w:tab w:val="left" w:pos="240"/>
        </w:tabs>
        <w:spacing w:line="280" w:lineRule="exact"/>
        <w:rPr>
          <w:sz w:val="22"/>
        </w:rPr>
      </w:pPr>
    </w:p>
    <w:p w:rsidR="00DA53DB" w:rsidRPr="00DF27C6" w:rsidRDefault="00DA53DB">
      <w:pPr>
        <w:tabs>
          <w:tab w:val="left" w:pos="240"/>
        </w:tabs>
        <w:spacing w:line="280" w:lineRule="exact"/>
        <w:rPr>
          <w:sz w:val="22"/>
        </w:rPr>
      </w:pPr>
      <w:r w:rsidRPr="00DF27C6">
        <w:rPr>
          <w:sz w:val="22"/>
        </w:rPr>
        <w:t>The following is a summary of the topics, regarding the proposed collections of information, that the certification covers:</w:t>
      </w:r>
    </w:p>
    <w:p w:rsidR="00DA53DB" w:rsidRPr="00DF27C6" w:rsidRDefault="00DA53DB">
      <w:pPr>
        <w:numPr>
          <w:ilvl w:val="0"/>
          <w:numId w:val="3"/>
        </w:numPr>
        <w:tabs>
          <w:tab w:val="left" w:pos="720"/>
        </w:tabs>
        <w:spacing w:line="280" w:lineRule="exact"/>
        <w:rPr>
          <w:sz w:val="22"/>
        </w:rPr>
      </w:pPr>
      <w:r w:rsidRPr="00DF27C6">
        <w:rPr>
          <w:sz w:val="22"/>
        </w:rPr>
        <w:t>It is necessary for the proper performance of agency functions;</w:t>
      </w:r>
    </w:p>
    <w:p w:rsidR="00DA53DB" w:rsidRPr="00DF27C6" w:rsidRDefault="00DA53DB">
      <w:pPr>
        <w:numPr>
          <w:ilvl w:val="0"/>
          <w:numId w:val="3"/>
        </w:numPr>
        <w:tabs>
          <w:tab w:val="left" w:pos="720"/>
        </w:tabs>
        <w:spacing w:line="280" w:lineRule="exact"/>
        <w:rPr>
          <w:sz w:val="22"/>
        </w:rPr>
      </w:pPr>
      <w:r w:rsidRPr="00DF27C6">
        <w:rPr>
          <w:sz w:val="22"/>
        </w:rPr>
        <w:t>It avoids unnecessary duplication;</w:t>
      </w:r>
    </w:p>
    <w:p w:rsidR="00DA53DB" w:rsidRPr="00DF27C6" w:rsidRDefault="00DA53DB">
      <w:pPr>
        <w:numPr>
          <w:ilvl w:val="0"/>
          <w:numId w:val="3"/>
        </w:numPr>
        <w:tabs>
          <w:tab w:val="left" w:pos="720"/>
        </w:tabs>
        <w:spacing w:line="280" w:lineRule="exact"/>
        <w:rPr>
          <w:sz w:val="22"/>
        </w:rPr>
      </w:pPr>
      <w:r w:rsidRPr="00DF27C6">
        <w:rPr>
          <w:sz w:val="22"/>
        </w:rPr>
        <w:t>It reduces burden on small entities;</w:t>
      </w:r>
    </w:p>
    <w:p w:rsidR="00DA53DB" w:rsidRPr="00DF27C6" w:rsidRDefault="00DA53DB">
      <w:pPr>
        <w:numPr>
          <w:ilvl w:val="0"/>
          <w:numId w:val="3"/>
        </w:numPr>
        <w:tabs>
          <w:tab w:val="left" w:pos="720"/>
        </w:tabs>
        <w:spacing w:line="280" w:lineRule="exact"/>
        <w:rPr>
          <w:sz w:val="22"/>
        </w:rPr>
      </w:pPr>
      <w:r w:rsidRPr="00DF27C6">
        <w:rPr>
          <w:sz w:val="22"/>
        </w:rPr>
        <w:t>It uses plain, coherent, and unambiguous terminology that is understandable to respondents;</w:t>
      </w:r>
    </w:p>
    <w:p w:rsidR="00DA53DB" w:rsidRPr="00DF27C6" w:rsidRDefault="00DA53DB">
      <w:pPr>
        <w:numPr>
          <w:ilvl w:val="0"/>
          <w:numId w:val="3"/>
        </w:numPr>
        <w:tabs>
          <w:tab w:val="left" w:pos="720"/>
        </w:tabs>
        <w:spacing w:line="280" w:lineRule="exact"/>
        <w:rPr>
          <w:sz w:val="22"/>
        </w:rPr>
      </w:pPr>
      <w:r w:rsidRPr="00DF27C6">
        <w:rPr>
          <w:sz w:val="22"/>
        </w:rPr>
        <w:t>Its implementation will be consistent and compatible with current reporting and recordkeeping practices;</w:t>
      </w:r>
    </w:p>
    <w:p w:rsidR="00DA53DB" w:rsidRPr="00DF27C6" w:rsidRDefault="00DA53DB">
      <w:pPr>
        <w:numPr>
          <w:ilvl w:val="0"/>
          <w:numId w:val="3"/>
        </w:numPr>
        <w:tabs>
          <w:tab w:val="left" w:pos="720"/>
        </w:tabs>
        <w:spacing w:line="280" w:lineRule="exact"/>
        <w:rPr>
          <w:sz w:val="22"/>
        </w:rPr>
      </w:pPr>
      <w:r w:rsidRPr="00DF27C6">
        <w:rPr>
          <w:sz w:val="22"/>
        </w:rPr>
        <w:t>It indicates the retention periods for recordkeeping requirements;</w:t>
      </w:r>
    </w:p>
    <w:p w:rsidR="00DA53DB" w:rsidRPr="00DF27C6" w:rsidRDefault="00DA53DB">
      <w:pPr>
        <w:numPr>
          <w:ilvl w:val="0"/>
          <w:numId w:val="3"/>
        </w:numPr>
        <w:tabs>
          <w:tab w:val="left" w:pos="720"/>
        </w:tabs>
        <w:spacing w:line="280" w:lineRule="exact"/>
        <w:rPr>
          <w:sz w:val="22"/>
        </w:rPr>
      </w:pPr>
      <w:r w:rsidRPr="00DF27C6">
        <w:rPr>
          <w:sz w:val="22"/>
        </w:rPr>
        <w:t>It informs respondents of the information called for under 5 CFR 1320.8(b)(3):</w:t>
      </w:r>
    </w:p>
    <w:p w:rsidR="00DA53DB" w:rsidRPr="00DF27C6" w:rsidRDefault="00DA53DB">
      <w:pPr>
        <w:numPr>
          <w:ilvl w:val="0"/>
          <w:numId w:val="4"/>
        </w:numPr>
        <w:tabs>
          <w:tab w:val="left" w:pos="720"/>
        </w:tabs>
        <w:spacing w:line="280" w:lineRule="exact"/>
        <w:rPr>
          <w:sz w:val="22"/>
        </w:rPr>
      </w:pPr>
      <w:r w:rsidRPr="00DF27C6">
        <w:rPr>
          <w:sz w:val="22"/>
        </w:rPr>
        <w:t>Why the information is being collected;</w:t>
      </w:r>
    </w:p>
    <w:p w:rsidR="00DA53DB" w:rsidRPr="00DF27C6" w:rsidRDefault="00DA53DB">
      <w:pPr>
        <w:numPr>
          <w:ilvl w:val="0"/>
          <w:numId w:val="4"/>
        </w:numPr>
        <w:tabs>
          <w:tab w:val="left" w:pos="720"/>
        </w:tabs>
        <w:spacing w:line="280" w:lineRule="exact"/>
        <w:rPr>
          <w:sz w:val="22"/>
        </w:rPr>
      </w:pPr>
      <w:r w:rsidRPr="00DF27C6">
        <w:rPr>
          <w:sz w:val="22"/>
        </w:rPr>
        <w:t>Use of the information;</w:t>
      </w:r>
    </w:p>
    <w:p w:rsidR="00DA53DB" w:rsidRPr="00DF27C6" w:rsidRDefault="00DA53DB">
      <w:pPr>
        <w:numPr>
          <w:ilvl w:val="0"/>
          <w:numId w:val="4"/>
        </w:numPr>
        <w:tabs>
          <w:tab w:val="left" w:pos="720"/>
        </w:tabs>
        <w:spacing w:line="280" w:lineRule="exact"/>
        <w:rPr>
          <w:sz w:val="22"/>
        </w:rPr>
      </w:pPr>
      <w:r w:rsidRPr="00DF27C6">
        <w:rPr>
          <w:sz w:val="22"/>
        </w:rPr>
        <w:t>burden estimate;</w:t>
      </w:r>
    </w:p>
    <w:p w:rsidR="00DA53DB" w:rsidRPr="00DF27C6" w:rsidRDefault="00DA53DB">
      <w:pPr>
        <w:numPr>
          <w:ilvl w:val="0"/>
          <w:numId w:val="4"/>
        </w:numPr>
        <w:tabs>
          <w:tab w:val="left" w:pos="720"/>
        </w:tabs>
        <w:spacing w:line="280" w:lineRule="exact"/>
        <w:rPr>
          <w:sz w:val="22"/>
        </w:rPr>
      </w:pPr>
      <w:r w:rsidRPr="00DF27C6">
        <w:rPr>
          <w:sz w:val="22"/>
        </w:rPr>
        <w:t>Nature of response (voluntary, required for a benefit, or mandatory);</w:t>
      </w:r>
    </w:p>
    <w:p w:rsidR="00DA53DB" w:rsidRPr="00DF27C6" w:rsidRDefault="00DA53DB">
      <w:pPr>
        <w:numPr>
          <w:ilvl w:val="0"/>
          <w:numId w:val="4"/>
        </w:numPr>
        <w:tabs>
          <w:tab w:val="left" w:pos="720"/>
        </w:tabs>
        <w:spacing w:line="280" w:lineRule="exact"/>
        <w:rPr>
          <w:sz w:val="22"/>
        </w:rPr>
      </w:pPr>
      <w:r w:rsidRPr="00DF27C6">
        <w:rPr>
          <w:sz w:val="22"/>
        </w:rPr>
        <w:t>Nature and extent of confidentiality; and</w:t>
      </w:r>
    </w:p>
    <w:p w:rsidR="00DA53DB" w:rsidRPr="00DF27C6" w:rsidRDefault="00DA53DB">
      <w:pPr>
        <w:numPr>
          <w:ilvl w:val="0"/>
          <w:numId w:val="4"/>
        </w:numPr>
        <w:tabs>
          <w:tab w:val="left" w:pos="720"/>
        </w:tabs>
        <w:spacing w:line="280" w:lineRule="exact"/>
        <w:rPr>
          <w:sz w:val="22"/>
        </w:rPr>
      </w:pPr>
      <w:r w:rsidRPr="00DF27C6">
        <w:rPr>
          <w:sz w:val="22"/>
        </w:rPr>
        <w:t>Need to display currently valid OMB control number;</w:t>
      </w:r>
    </w:p>
    <w:p w:rsidR="00DA53DB" w:rsidRPr="00DF27C6" w:rsidRDefault="00DA53DB">
      <w:pPr>
        <w:numPr>
          <w:ilvl w:val="0"/>
          <w:numId w:val="5"/>
        </w:numPr>
        <w:tabs>
          <w:tab w:val="left" w:pos="720"/>
        </w:tabs>
        <w:spacing w:line="280" w:lineRule="exact"/>
        <w:rPr>
          <w:sz w:val="22"/>
        </w:rPr>
      </w:pPr>
      <w:r w:rsidRPr="00DF27C6">
        <w:rPr>
          <w:sz w:val="22"/>
        </w:rPr>
        <w:t>It was developed by an  office that has planned and allocated resources for the efficient and effective management and use of the information to collected (see note in item 19 of the instructions);</w:t>
      </w:r>
    </w:p>
    <w:p w:rsidR="00DA53DB" w:rsidRPr="00DF27C6" w:rsidRDefault="00DA53DB">
      <w:pPr>
        <w:numPr>
          <w:ilvl w:val="0"/>
          <w:numId w:val="6"/>
        </w:numPr>
        <w:tabs>
          <w:tab w:val="left" w:pos="720"/>
          <w:tab w:val="left" w:pos="5130"/>
        </w:tabs>
        <w:spacing w:line="280" w:lineRule="exact"/>
        <w:rPr>
          <w:sz w:val="22"/>
        </w:rPr>
      </w:pPr>
      <w:r w:rsidRPr="00DF27C6">
        <w:rPr>
          <w:sz w:val="22"/>
        </w:rPr>
        <w:t>It uses effective and efficient statistical survey methodology; and</w:t>
      </w:r>
    </w:p>
    <w:p w:rsidR="00DA53DB" w:rsidRPr="00DF27C6" w:rsidRDefault="00DA53DB">
      <w:pPr>
        <w:numPr>
          <w:ilvl w:val="0"/>
          <w:numId w:val="6"/>
        </w:numPr>
        <w:tabs>
          <w:tab w:val="left" w:pos="720"/>
          <w:tab w:val="left" w:pos="5130"/>
        </w:tabs>
        <w:spacing w:line="280" w:lineRule="exact"/>
        <w:rPr>
          <w:sz w:val="22"/>
        </w:rPr>
      </w:pPr>
      <w:r w:rsidRPr="00DF27C6">
        <w:rPr>
          <w:sz w:val="22"/>
        </w:rPr>
        <w:t>It makes appropriate use of information technology.</w:t>
      </w:r>
    </w:p>
    <w:p w:rsidR="00DA53DB" w:rsidRPr="00DF27C6" w:rsidRDefault="00DA53DB">
      <w:pPr>
        <w:tabs>
          <w:tab w:val="left" w:pos="600"/>
        </w:tabs>
        <w:spacing w:line="280" w:lineRule="exact"/>
        <w:rPr>
          <w:sz w:val="22"/>
        </w:rPr>
      </w:pPr>
    </w:p>
    <w:p w:rsidR="00DA53DB" w:rsidRPr="00DF27C6" w:rsidRDefault="00DA53DB">
      <w:pPr>
        <w:tabs>
          <w:tab w:val="left" w:pos="600"/>
        </w:tabs>
        <w:spacing w:line="280" w:lineRule="exact"/>
        <w:rPr>
          <w:sz w:val="22"/>
        </w:rPr>
      </w:pPr>
      <w:r w:rsidRPr="00DF27C6">
        <w:rPr>
          <w:sz w:val="22"/>
        </w:rPr>
        <w:t>If you are unable to certify compliance with any of these provisions, identify the item below and explain the reason in item 18 of the Supporting Statement.</w:t>
      </w:r>
    </w:p>
    <w:bookmarkStart w:id="14" w:name="Text20"/>
    <w:p w:rsidR="00DA53DB" w:rsidRPr="00DF27C6" w:rsidRDefault="005D15DF">
      <w:pPr>
        <w:tabs>
          <w:tab w:val="left" w:pos="240"/>
        </w:tabs>
        <w:ind w:left="240"/>
      </w:pPr>
      <w:r w:rsidRPr="00DF27C6">
        <w:fldChar w:fldCharType="begin">
          <w:ffData>
            <w:name w:val="Text20"/>
            <w:enabled/>
            <w:calcOnExit w:val="0"/>
            <w:textInput/>
          </w:ffData>
        </w:fldChar>
      </w:r>
      <w:r w:rsidR="00DA53DB" w:rsidRPr="00DF27C6">
        <w:instrText xml:space="preserve"> FORMTEXT </w:instrText>
      </w:r>
      <w:r w:rsidRPr="00DF27C6">
        <w:fldChar w:fldCharType="separate"/>
      </w:r>
      <w:r w:rsidR="00DA53DB" w:rsidRPr="00DF27C6">
        <w:rPr>
          <w:noProof/>
        </w:rPr>
        <w:t xml:space="preserve">     </w:t>
      </w:r>
      <w:r w:rsidRPr="00DF27C6">
        <w:fldChar w:fldCharType="end"/>
      </w:r>
      <w:bookmarkEnd w:id="14"/>
    </w:p>
    <w:p w:rsidR="00DA53DB" w:rsidRPr="00DF27C6"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rsidRPr="00DF27C6">
        <w:tc>
          <w:tcPr>
            <w:tcW w:w="8388" w:type="dxa"/>
            <w:tcBorders>
              <w:top w:val="single" w:sz="6" w:space="0" w:color="auto"/>
              <w:left w:val="nil"/>
              <w:bottom w:val="nil"/>
              <w:right w:val="nil"/>
            </w:tcBorders>
          </w:tcPr>
          <w:p w:rsidR="00DA53DB" w:rsidRPr="00DF27C6" w:rsidRDefault="00DA53DB">
            <w:pPr>
              <w:tabs>
                <w:tab w:val="left" w:pos="240"/>
              </w:tabs>
              <w:ind w:left="-120"/>
              <w:rPr>
                <w:rFonts w:ascii="Helvetica" w:hAnsi="Helvetica"/>
                <w:sz w:val="16"/>
              </w:rPr>
            </w:pPr>
            <w:r w:rsidRPr="00DF27C6">
              <w:rPr>
                <w:rFonts w:ascii="Helvetica" w:hAnsi="Helvetica"/>
                <w:sz w:val="16"/>
              </w:rPr>
              <w:t>Signature of Program Official:</w:t>
            </w:r>
          </w:p>
          <w:p w:rsidR="00DA53DB" w:rsidRPr="00DF27C6" w:rsidRDefault="00DA53DB">
            <w:pPr>
              <w:tabs>
                <w:tab w:val="left" w:pos="240"/>
              </w:tabs>
              <w:rPr>
                <w:rFonts w:ascii="Helvetica" w:hAnsi="Helvetica"/>
                <w:sz w:val="16"/>
              </w:rPr>
            </w:pPr>
          </w:p>
          <w:p w:rsidR="00DA53DB" w:rsidRPr="00DF27C6" w:rsidRDefault="00DA53DB">
            <w:pPr>
              <w:tabs>
                <w:tab w:val="left" w:pos="240"/>
              </w:tabs>
              <w:rPr>
                <w:rFonts w:ascii="Helvetica" w:hAnsi="Helvetica"/>
                <w:sz w:val="16"/>
              </w:rPr>
            </w:pPr>
          </w:p>
          <w:p w:rsidR="00DA53DB" w:rsidRPr="00DF27C6" w:rsidRDefault="00DA53DB">
            <w:pPr>
              <w:tabs>
                <w:tab w:val="left" w:pos="240"/>
              </w:tabs>
              <w:rPr>
                <w:rFonts w:ascii="Helvetica" w:hAnsi="Helvetica"/>
                <w:sz w:val="16"/>
              </w:rPr>
            </w:pPr>
            <w:r w:rsidRPr="00DF27C6">
              <w:rPr>
                <w:rFonts w:ascii="Helvetica" w:hAnsi="Helvetica"/>
                <w:sz w:val="16"/>
              </w:rPr>
              <w:t>X</w:t>
            </w:r>
          </w:p>
          <w:p w:rsidR="00DA53DB" w:rsidRPr="00DF27C6" w:rsidRDefault="004E6D75">
            <w:pPr>
              <w:tabs>
                <w:tab w:val="left" w:pos="240"/>
              </w:tabs>
              <w:rPr>
                <w:rFonts w:ascii="Helvetica" w:hAnsi="Helvetica"/>
                <w:sz w:val="16"/>
              </w:rPr>
            </w:pPr>
            <w:r>
              <w:rPr>
                <w:rFonts w:ascii="Helvetica" w:hAnsi="Helvetica"/>
                <w:sz w:val="16"/>
              </w:rPr>
              <w:t>Susan Wilson</w:t>
            </w:r>
            <w:r w:rsidR="00DA53DB" w:rsidRPr="00DF27C6">
              <w:rPr>
                <w:rFonts w:ascii="Helvetica" w:hAnsi="Helvetica"/>
                <w:sz w:val="16"/>
              </w:rPr>
              <w:t xml:space="preserve">, </w:t>
            </w:r>
            <w:r>
              <w:rPr>
                <w:rFonts w:ascii="Helvetica" w:hAnsi="Helvetica"/>
                <w:sz w:val="16"/>
              </w:rPr>
              <w:t xml:space="preserve">Acting </w:t>
            </w:r>
            <w:r w:rsidR="00DA53DB" w:rsidRPr="00DF27C6">
              <w:rPr>
                <w:rFonts w:ascii="Helvetica" w:hAnsi="Helvetica"/>
                <w:sz w:val="16"/>
              </w:rPr>
              <w:t>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DA53DB" w:rsidRPr="00DF27C6" w:rsidRDefault="00DA53DB">
            <w:pPr>
              <w:tabs>
                <w:tab w:val="left" w:pos="240"/>
              </w:tabs>
              <w:rPr>
                <w:rFonts w:ascii="Helvetica" w:hAnsi="Helvetica"/>
                <w:sz w:val="16"/>
              </w:rPr>
            </w:pPr>
            <w:r w:rsidRPr="00DF27C6">
              <w:rPr>
                <w:rFonts w:ascii="Helvetica" w:hAnsi="Helvetica"/>
                <w:sz w:val="16"/>
              </w:rPr>
              <w:t>Date:</w:t>
            </w:r>
          </w:p>
        </w:tc>
      </w:tr>
      <w:tr w:rsidR="00DA53DB" w:rsidRPr="00DF27C6">
        <w:tc>
          <w:tcPr>
            <w:tcW w:w="8388" w:type="dxa"/>
            <w:tcBorders>
              <w:top w:val="single" w:sz="6" w:space="0" w:color="auto"/>
              <w:left w:val="nil"/>
              <w:bottom w:val="single" w:sz="6" w:space="0" w:color="auto"/>
              <w:right w:val="nil"/>
            </w:tcBorders>
          </w:tcPr>
          <w:p w:rsidR="00DA53DB" w:rsidRPr="00DF27C6" w:rsidRDefault="00DA53DB">
            <w:pPr>
              <w:tabs>
                <w:tab w:val="left" w:pos="240"/>
              </w:tabs>
              <w:ind w:left="-120"/>
              <w:rPr>
                <w:rFonts w:ascii="Helvetica" w:hAnsi="Helvetica"/>
                <w:sz w:val="16"/>
              </w:rPr>
            </w:pPr>
            <w:r w:rsidRPr="00DF27C6">
              <w:rPr>
                <w:rFonts w:ascii="Helvetica" w:hAnsi="Helvetica"/>
                <w:sz w:val="16"/>
              </w:rPr>
              <w:t>Signature of Senior Officer or Designee:</w:t>
            </w:r>
          </w:p>
          <w:p w:rsidR="00DA53DB" w:rsidRPr="00DF27C6" w:rsidRDefault="00DA53DB">
            <w:pPr>
              <w:tabs>
                <w:tab w:val="left" w:pos="240"/>
              </w:tabs>
              <w:rPr>
                <w:rFonts w:ascii="Helvetica" w:hAnsi="Helvetica"/>
                <w:sz w:val="16"/>
              </w:rPr>
            </w:pPr>
          </w:p>
          <w:p w:rsidR="00DA53DB" w:rsidRPr="00DF27C6" w:rsidRDefault="00DA53DB">
            <w:pPr>
              <w:tabs>
                <w:tab w:val="left" w:pos="240"/>
              </w:tabs>
              <w:rPr>
                <w:rFonts w:ascii="Helvetica" w:hAnsi="Helvetica"/>
                <w:sz w:val="16"/>
              </w:rPr>
            </w:pPr>
          </w:p>
          <w:p w:rsidR="00DA53DB" w:rsidRPr="00DF27C6" w:rsidRDefault="00DA53DB">
            <w:pPr>
              <w:tabs>
                <w:tab w:val="left" w:pos="240"/>
              </w:tabs>
              <w:rPr>
                <w:rFonts w:ascii="Helvetica" w:hAnsi="Helvetica"/>
                <w:sz w:val="16"/>
              </w:rPr>
            </w:pPr>
            <w:r w:rsidRPr="00DF27C6">
              <w:rPr>
                <w:rFonts w:ascii="Helvetica" w:hAnsi="Helvetica"/>
                <w:sz w:val="16"/>
              </w:rPr>
              <w:t>X</w:t>
            </w:r>
          </w:p>
          <w:p w:rsidR="00AB42D0" w:rsidRPr="00DF27C6" w:rsidRDefault="00AB42D0">
            <w:pPr>
              <w:tabs>
                <w:tab w:val="left" w:pos="240"/>
              </w:tabs>
              <w:rPr>
                <w:rFonts w:ascii="Helvetica" w:hAnsi="Helvetica"/>
                <w:sz w:val="16"/>
              </w:rPr>
            </w:pPr>
            <w:r w:rsidRPr="00DF27C6">
              <w:rPr>
                <w:rFonts w:ascii="Helvetica" w:hAnsi="Helvetica"/>
                <w:sz w:val="16"/>
              </w:rPr>
              <w:t>Colette Pollard, Departmental Reports Management Officer</w:t>
            </w:r>
          </w:p>
          <w:p w:rsidR="00DA53DB" w:rsidRPr="00DF27C6" w:rsidRDefault="00DA53DB">
            <w:pPr>
              <w:tabs>
                <w:tab w:val="left" w:pos="240"/>
              </w:tabs>
              <w:rPr>
                <w:rFonts w:ascii="Helvetica" w:hAnsi="Helvetica"/>
                <w:sz w:val="16"/>
              </w:rPr>
            </w:pPr>
            <w:r w:rsidRPr="00DF27C6">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Pr="00DF27C6" w:rsidRDefault="00DA53DB">
            <w:pPr>
              <w:tabs>
                <w:tab w:val="left" w:pos="240"/>
              </w:tabs>
              <w:rPr>
                <w:rFonts w:ascii="Helvetica" w:hAnsi="Helvetica"/>
                <w:sz w:val="16"/>
              </w:rPr>
            </w:pPr>
            <w:r w:rsidRPr="00DF27C6">
              <w:rPr>
                <w:rFonts w:ascii="Helvetica" w:hAnsi="Helvetica"/>
                <w:sz w:val="16"/>
              </w:rPr>
              <w:t>Date:</w:t>
            </w:r>
          </w:p>
        </w:tc>
      </w:tr>
    </w:tbl>
    <w:p w:rsidR="00DA53DB" w:rsidRPr="00DF27C6"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Pr="00DF27C6" w:rsidRDefault="00DA53DB">
      <w:pPr>
        <w:tabs>
          <w:tab w:val="left" w:pos="240"/>
        </w:tabs>
        <w:rPr>
          <w:rFonts w:ascii="Helvetica" w:hAnsi="Helvetica"/>
          <w:sz w:val="16"/>
        </w:rPr>
        <w:sectPr w:rsidR="00DA53DB" w:rsidRPr="00DF27C6">
          <w:footerReference w:type="default" r:id="rId9"/>
          <w:pgSz w:w="12240" w:h="15840"/>
          <w:pgMar w:top="480" w:right="720" w:bottom="480" w:left="600" w:header="480" w:footer="480" w:gutter="0"/>
          <w:cols w:space="480" w:equalWidth="0">
            <w:col w:w="10800"/>
          </w:cols>
        </w:sectPr>
      </w:pPr>
    </w:p>
    <w:p w:rsidR="00DA53DB" w:rsidRPr="00DF27C6" w:rsidRDefault="00DA53DB">
      <w:pPr>
        <w:pStyle w:val="Title"/>
        <w:tabs>
          <w:tab w:val="center" w:pos="5148"/>
        </w:tabs>
        <w:rPr>
          <w:rFonts w:ascii="Times New Roman" w:hAnsi="Times New Roman"/>
        </w:rPr>
      </w:pPr>
      <w:r w:rsidRPr="00DF27C6">
        <w:rPr>
          <w:rFonts w:ascii="Times New Roman" w:hAnsi="Times New Roman"/>
        </w:rPr>
        <w:lastRenderedPageBreak/>
        <w:t>Supporting Statement for Paperwork Reduction Act Submissions</w:t>
      </w:r>
    </w:p>
    <w:p w:rsidR="00DA53DB" w:rsidRPr="00DF27C6" w:rsidRDefault="00DA53DB">
      <w:pPr>
        <w:tabs>
          <w:tab w:val="center" w:pos="5148"/>
        </w:tabs>
        <w:suppressAutoHyphens/>
        <w:jc w:val="center"/>
        <w:rPr>
          <w:b/>
        </w:rPr>
      </w:pPr>
      <w:r w:rsidRPr="00DF27C6">
        <w:rPr>
          <w:b/>
        </w:rPr>
        <w:t>Information Collection:</w:t>
      </w:r>
      <w:r w:rsidR="005D15DF" w:rsidRPr="00DF27C6">
        <w:rPr>
          <w:b/>
        </w:rPr>
        <w:fldChar w:fldCharType="begin"/>
      </w:r>
      <w:r w:rsidRPr="00DF27C6">
        <w:rPr>
          <w:b/>
        </w:rPr>
        <w:instrText xml:space="preserve"> </w:instrText>
      </w:r>
      <w:r w:rsidR="005D15DF" w:rsidRPr="00DF27C6">
        <w:rPr>
          <w:b/>
        </w:rPr>
        <w:fldChar w:fldCharType="end"/>
      </w:r>
    </w:p>
    <w:p w:rsidR="00DA53DB" w:rsidRPr="00DF27C6" w:rsidRDefault="00F20783">
      <w:pPr>
        <w:tabs>
          <w:tab w:val="center" w:pos="5148"/>
        </w:tabs>
        <w:suppressAutoHyphens/>
        <w:jc w:val="center"/>
        <w:rPr>
          <w:b/>
        </w:rPr>
      </w:pPr>
      <w:r w:rsidRPr="00DF27C6">
        <w:rPr>
          <w:b/>
        </w:rPr>
        <w:t>Choice Neighborhoods</w:t>
      </w:r>
    </w:p>
    <w:p w:rsidR="00DA53DB" w:rsidRPr="00DF27C6" w:rsidRDefault="00DA53DB">
      <w:pPr>
        <w:tabs>
          <w:tab w:val="center" w:pos="5148"/>
        </w:tabs>
        <w:suppressAutoHyphens/>
        <w:jc w:val="center"/>
        <w:rPr>
          <w:b/>
        </w:rPr>
      </w:pPr>
    </w:p>
    <w:p w:rsidR="00DA53DB" w:rsidRPr="00DF27C6" w:rsidRDefault="00DA53DB">
      <w:pPr>
        <w:pStyle w:val="BodyTextIndent2"/>
        <w:tabs>
          <w:tab w:val="clear" w:pos="0"/>
          <w:tab w:val="left" w:pos="360"/>
        </w:tabs>
        <w:spacing w:after="120" w:line="240" w:lineRule="auto"/>
        <w:ind w:hanging="360"/>
        <w:rPr>
          <w:b/>
        </w:rPr>
      </w:pPr>
      <w:r w:rsidRPr="00DF27C6">
        <w:rPr>
          <w:b/>
        </w:rPr>
        <w:t>A.</w:t>
      </w:r>
      <w:r w:rsidRPr="00DF27C6">
        <w:rPr>
          <w:b/>
        </w:rPr>
        <w:tab/>
        <w:t>Justification</w:t>
      </w:r>
    </w:p>
    <w:p w:rsidR="00034D79" w:rsidRPr="00DF27C6" w:rsidRDefault="00DA53DB" w:rsidP="00BB4A53">
      <w:pPr>
        <w:overflowPunct/>
        <w:ind w:left="360" w:hanging="360"/>
        <w:textAlignment w:val="auto"/>
      </w:pPr>
      <w:r w:rsidRPr="00DF27C6">
        <w:t>1.</w:t>
      </w:r>
      <w:r w:rsidRPr="00DF27C6">
        <w:tab/>
      </w:r>
      <w:r w:rsidR="006D70D1" w:rsidRPr="00DF27C6">
        <w:t>The f</w:t>
      </w:r>
      <w:r w:rsidR="00C17B88" w:rsidRPr="00DF27C6">
        <w:t xml:space="preserve">ollowing information collection is </w:t>
      </w:r>
      <w:r w:rsidR="006D70D1" w:rsidRPr="00DF27C6">
        <w:t>required to administer the Choice Neighborhoods program, which includes Implementation grants and Planning grants.  The Notices of Fund</w:t>
      </w:r>
      <w:r w:rsidR="009D3DC9">
        <w:t>ing</w:t>
      </w:r>
      <w:r w:rsidR="006D70D1" w:rsidRPr="00DF27C6">
        <w:t xml:space="preserve"> Availability (NOFA) for the program </w:t>
      </w:r>
      <w:r w:rsidR="009D3DC9">
        <w:t xml:space="preserve">annually </w:t>
      </w:r>
      <w:r w:rsidR="006D70D1" w:rsidRPr="00DF27C6">
        <w:t>announce</w:t>
      </w:r>
      <w:r w:rsidR="002F7ED8" w:rsidRPr="00DF27C6">
        <w:t xml:space="preserve"> the amount of funds available for award. (</w:t>
      </w:r>
      <w:r w:rsidR="009D3DC9">
        <w:t>A</w:t>
      </w:r>
      <w:r w:rsidR="006D70D1" w:rsidRPr="00DF27C6">
        <w:t>pproximately $</w:t>
      </w:r>
      <w:r w:rsidR="0007031D">
        <w:t>137,5</w:t>
      </w:r>
      <w:r w:rsidR="006D70D1" w:rsidRPr="00DF27C6">
        <w:t xml:space="preserve">,000,000 </w:t>
      </w:r>
      <w:r w:rsidR="00990F8F" w:rsidRPr="00DF27C6">
        <w:t>for FY 201</w:t>
      </w:r>
      <w:r w:rsidR="0007031D">
        <w:t>7</w:t>
      </w:r>
      <w:r w:rsidR="00990F8F" w:rsidRPr="00DF27C6">
        <w:t>)</w:t>
      </w:r>
      <w:r w:rsidR="002F7ED8" w:rsidRPr="00DF27C6">
        <w:t xml:space="preserve">.  </w:t>
      </w:r>
      <w:r w:rsidR="008C4DF5" w:rsidRPr="00DF27C6">
        <w:t xml:space="preserve">Potential applicants are local governments, tribal entities, public housing </w:t>
      </w:r>
      <w:r w:rsidR="009D3DC9">
        <w:t>agencies</w:t>
      </w:r>
      <w:r w:rsidR="008C4DF5" w:rsidRPr="00DF27C6">
        <w:t xml:space="preserve">, nonprofits, and for-profit developers that apply jointly with a public entity.  </w:t>
      </w:r>
      <w:r w:rsidR="006D70D1" w:rsidRPr="00DF27C6">
        <w:t>The funding authority for Ch</w:t>
      </w:r>
      <w:r w:rsidR="006449BC" w:rsidRPr="00DF27C6">
        <w:t>oice Neighborhoods grants for FY 201</w:t>
      </w:r>
      <w:r w:rsidR="004173D9">
        <w:t>7</w:t>
      </w:r>
      <w:r w:rsidR="006449BC" w:rsidRPr="00DF27C6">
        <w:t xml:space="preserve"> </w:t>
      </w:r>
      <w:r w:rsidR="006D70D1" w:rsidRPr="00DF27C6">
        <w:t>is provided by the Consolidated Appropriations Act, 201</w:t>
      </w:r>
      <w:r w:rsidR="009C7C8B">
        <w:t>7</w:t>
      </w:r>
      <w:r w:rsidR="006D70D1" w:rsidRPr="00DF27C6">
        <w:t xml:space="preserve"> (Public Law 11</w:t>
      </w:r>
      <w:r w:rsidR="009C7C8B">
        <w:t>5-31</w:t>
      </w:r>
      <w:r w:rsidR="006D70D1" w:rsidRPr="00DF27C6">
        <w:t>, approved</w:t>
      </w:r>
      <w:r w:rsidR="006449BC" w:rsidRPr="00DF27C6">
        <w:t xml:space="preserve"> </w:t>
      </w:r>
      <w:r w:rsidR="009C7C8B">
        <w:t>May 5, 2017</w:t>
      </w:r>
      <w:r w:rsidR="006D70D1" w:rsidRPr="00DF27C6">
        <w:t>)</w:t>
      </w:r>
      <w:r w:rsidR="006449BC" w:rsidRPr="00DF27C6">
        <w:t xml:space="preserve"> and </w:t>
      </w:r>
      <w:r w:rsidR="0015144F" w:rsidRPr="00DF27C6">
        <w:t xml:space="preserve">for prior grant years </w:t>
      </w:r>
      <w:r w:rsidR="006449BC" w:rsidRPr="00DF27C6">
        <w:t>by previous years</w:t>
      </w:r>
      <w:r w:rsidR="00034D79" w:rsidRPr="00DF27C6">
        <w:t>’</w:t>
      </w:r>
      <w:r w:rsidR="006449BC" w:rsidRPr="00DF27C6">
        <w:t xml:space="preserve"> appropriations acts </w:t>
      </w:r>
      <w:r w:rsidR="0015144F" w:rsidRPr="00DF27C6">
        <w:t>(</w:t>
      </w:r>
      <w:r w:rsidR="00034D79" w:rsidRPr="00DF27C6">
        <w:t>since</w:t>
      </w:r>
      <w:r w:rsidR="006449BC" w:rsidRPr="00DF27C6">
        <w:t xml:space="preserve"> FY 2010</w:t>
      </w:r>
      <w:r w:rsidR="0015144F" w:rsidRPr="00DF27C6">
        <w:t>)</w:t>
      </w:r>
      <w:r w:rsidR="006D70D1" w:rsidRPr="00DF27C6">
        <w:t>.</w:t>
      </w:r>
      <w:r w:rsidR="006449BC" w:rsidRPr="00DF27C6">
        <w:t xml:space="preserve">  </w:t>
      </w:r>
      <w:r w:rsidR="006D70D1" w:rsidRPr="00DF27C6">
        <w:t xml:space="preserve"> </w:t>
      </w:r>
      <w:r w:rsidR="006449BC" w:rsidRPr="00DF27C6">
        <w:t>The program authority for the Choice Neighborhoods Initiative is Section 24 of the United States Housing Act of 1937 (42 U.S.C. 1437v) (1937 Act), as amended by the</w:t>
      </w:r>
      <w:r w:rsidR="00880CF8" w:rsidRPr="00DF27C6">
        <w:t xml:space="preserve"> </w:t>
      </w:r>
      <w:r w:rsidR="009C7C8B">
        <w:t>FY 2017 appropriations law</w:t>
      </w:r>
      <w:r w:rsidR="006449BC" w:rsidRPr="00DF27C6">
        <w:t xml:space="preserve">.  The appropriations act </w:t>
      </w:r>
      <w:r w:rsidR="00804137" w:rsidRPr="00DF27C6">
        <w:t xml:space="preserve">permits the HUD Secretary to use </w:t>
      </w:r>
      <w:r w:rsidR="006449BC" w:rsidRPr="00DF27C6">
        <w:t xml:space="preserve">the appropriated amount </w:t>
      </w:r>
      <w:r w:rsidR="00804137" w:rsidRPr="00DF27C6">
        <w:t>for a Choice Neighborhoods Initiative demonstration</w:t>
      </w:r>
      <w:r w:rsidR="006449BC" w:rsidRPr="00DF27C6">
        <w:t xml:space="preserve">.  </w:t>
      </w:r>
    </w:p>
    <w:p w:rsidR="00034D79" w:rsidRPr="00DF27C6" w:rsidRDefault="00034D79" w:rsidP="00DF27C6">
      <w:pPr>
        <w:overflowPunct/>
        <w:textAlignment w:val="auto"/>
      </w:pPr>
    </w:p>
    <w:p w:rsidR="000447EA" w:rsidRPr="00DF27C6" w:rsidRDefault="006449BC" w:rsidP="00BB4A53">
      <w:pPr>
        <w:overflowPunct/>
        <w:ind w:left="360"/>
        <w:textAlignment w:val="auto"/>
      </w:pPr>
      <w:r w:rsidRPr="00DF27C6">
        <w:t xml:space="preserve">Because the program authority continues to come from Section 24 of the U.S. Housing Act (the HOPE VI statute), </w:t>
      </w:r>
      <w:r w:rsidR="008650BE" w:rsidRPr="00DF27C6">
        <w:t xml:space="preserve">except as otherwise specified in the appropriations act, the HOPE VI program requirements and selection criteria apply to Choice Neighborhoods grants, including the authorization to collect information in order for HUD to award and manage grants.  Accordingly, the information collection will </w:t>
      </w:r>
      <w:r w:rsidRPr="00DF27C6">
        <w:t xml:space="preserve">continue to </w:t>
      </w:r>
      <w:r w:rsidR="008650BE" w:rsidRPr="00DF27C6">
        <w:t xml:space="preserve">collect similar information to that collected in the past for HOPE VI.  </w:t>
      </w:r>
      <w:r w:rsidRPr="00DF27C6">
        <w:t>When the Choice Neighborhoods information collection was first processed and approved (OMB Control Number 2577-0269), m</w:t>
      </w:r>
      <w:r w:rsidR="008650BE" w:rsidRPr="00DF27C6">
        <w:t xml:space="preserve">any of the existing HOPE VI forms </w:t>
      </w:r>
      <w:r w:rsidRPr="00DF27C6">
        <w:t xml:space="preserve">were </w:t>
      </w:r>
      <w:r w:rsidR="008650BE" w:rsidRPr="00DF27C6">
        <w:t>revised slightly to be useable for Choice Neighborhoods (e.g., changing titling</w:t>
      </w:r>
      <w:r w:rsidR="000447EA" w:rsidRPr="00DF27C6">
        <w:t>, etc.</w:t>
      </w:r>
      <w:r w:rsidR="008650BE" w:rsidRPr="00DF27C6">
        <w:t>).</w:t>
      </w:r>
      <w:r w:rsidRPr="00DF27C6">
        <w:t xml:space="preserve">  This continues to be the case.</w:t>
      </w:r>
      <w:r w:rsidR="006D70D1" w:rsidRPr="00DF27C6">
        <w:t xml:space="preserve">  </w:t>
      </w:r>
    </w:p>
    <w:p w:rsidR="000447EA" w:rsidRPr="00DF27C6" w:rsidRDefault="000447EA" w:rsidP="000447EA">
      <w:pPr>
        <w:pStyle w:val="NoSpacing"/>
        <w:ind w:left="360"/>
        <w:rPr>
          <w:rFonts w:ascii="Times New Roman" w:hAnsi="Times New Roman" w:cs="Times New Roman"/>
          <w:sz w:val="24"/>
          <w:szCs w:val="24"/>
        </w:rPr>
      </w:pPr>
    </w:p>
    <w:p w:rsidR="00BB4A53" w:rsidRDefault="000447EA" w:rsidP="00BB4A53">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 xml:space="preserve">Building upon the successes achieved and the lessons learned from the HOPE VI program, </w:t>
      </w:r>
    </w:p>
    <w:p w:rsidR="000447EA" w:rsidRPr="00DF27C6" w:rsidRDefault="000447EA" w:rsidP="00BB4A53">
      <w:pPr>
        <w:pStyle w:val="NoSpacing"/>
        <w:ind w:left="360"/>
        <w:rPr>
          <w:rFonts w:ascii="Times New Roman" w:hAnsi="Times New Roman" w:cs="Times New Roman"/>
          <w:sz w:val="24"/>
          <w:szCs w:val="24"/>
        </w:rPr>
      </w:pPr>
      <w:r w:rsidRPr="00DF27C6">
        <w:rPr>
          <w:rFonts w:ascii="Times New Roman" w:hAnsi="Times New Roman" w:cs="Times New Roman"/>
          <w:sz w:val="24"/>
          <w:szCs w:val="24"/>
        </w:rPr>
        <w:t>Choice Neighborhoods is a program that employ</w:t>
      </w:r>
      <w:r w:rsidR="006C74B6" w:rsidRPr="00DF27C6">
        <w:rPr>
          <w:rFonts w:ascii="Times New Roman" w:hAnsi="Times New Roman" w:cs="Times New Roman"/>
          <w:sz w:val="24"/>
          <w:szCs w:val="24"/>
        </w:rPr>
        <w:t>s</w:t>
      </w:r>
      <w:r w:rsidRPr="00DF27C6">
        <w:rPr>
          <w:rFonts w:ascii="Times New Roman" w:hAnsi="Times New Roman" w:cs="Times New Roman"/>
          <w:sz w:val="24"/>
          <w:szCs w:val="24"/>
        </w:rPr>
        <w:t xml:space="preserve"> a 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000447EA" w:rsidRPr="00DF27C6" w:rsidRDefault="000447EA" w:rsidP="008650BE">
      <w:pPr>
        <w:pStyle w:val="NoSpacing"/>
        <w:ind w:left="360"/>
        <w:rPr>
          <w:rFonts w:ascii="Times New Roman" w:hAnsi="Times New Roman" w:cs="Times New Roman"/>
          <w:sz w:val="24"/>
          <w:szCs w:val="24"/>
        </w:rPr>
      </w:pPr>
    </w:p>
    <w:p w:rsidR="00BB4A53" w:rsidRDefault="000447EA" w:rsidP="00BB4A53">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Choice Neighborhoods grants primarily fund the tran</w:t>
      </w:r>
      <w:r w:rsidR="00BB4A53">
        <w:rPr>
          <w:rFonts w:ascii="Times New Roman" w:hAnsi="Times New Roman" w:cs="Times New Roman"/>
          <w:sz w:val="24"/>
          <w:szCs w:val="24"/>
        </w:rPr>
        <w:t>sformation of public and/or HUD</w:t>
      </w:r>
    </w:p>
    <w:p w:rsidR="008650BE" w:rsidRPr="00DF27C6" w:rsidRDefault="000447EA" w:rsidP="00BB4A53">
      <w:pPr>
        <w:pStyle w:val="NoSpacing"/>
        <w:ind w:left="360"/>
        <w:contextualSpacing/>
        <w:rPr>
          <w:rFonts w:ascii="Times New Roman" w:hAnsi="Times New Roman" w:cs="Times New Roman"/>
          <w:sz w:val="24"/>
          <w:szCs w:val="24"/>
        </w:rPr>
      </w:pPr>
      <w:r w:rsidRPr="00DF27C6">
        <w:rPr>
          <w:rFonts w:ascii="Times New Roman" w:hAnsi="Times New Roman" w:cs="Times New Roman"/>
          <w:sz w:val="24"/>
          <w:szCs w:val="24"/>
        </w:rPr>
        <w:t xml:space="preserve">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w:t>
      </w:r>
      <w:r w:rsidR="008650BE" w:rsidRPr="00DF27C6">
        <w:rPr>
          <w:rFonts w:ascii="Times New Roman" w:hAnsi="Times New Roman" w:cs="Times New Roman"/>
          <w:sz w:val="24"/>
          <w:szCs w:val="24"/>
        </w:rPr>
        <w:t xml:space="preserve"> </w:t>
      </w:r>
    </w:p>
    <w:p w:rsidR="00804137" w:rsidRPr="00DF27C6" w:rsidRDefault="00804137" w:rsidP="00804137">
      <w:pPr>
        <w:pStyle w:val="NoSpacing"/>
        <w:ind w:left="360"/>
        <w:contextualSpacing/>
        <w:rPr>
          <w:rFonts w:ascii="Times New Roman" w:hAnsi="Times New Roman" w:cs="Times New Roman"/>
          <w:sz w:val="24"/>
          <w:szCs w:val="24"/>
        </w:rPr>
      </w:pPr>
    </w:p>
    <w:p w:rsidR="00BB4A53" w:rsidRDefault="00966D5B" w:rsidP="00BB4A53">
      <w:pPr>
        <w:pStyle w:val="BodyTextIndent2"/>
        <w:tabs>
          <w:tab w:val="clear" w:pos="0"/>
          <w:tab w:val="left" w:pos="360"/>
        </w:tabs>
        <w:spacing w:after="120" w:line="240" w:lineRule="auto"/>
        <w:contextualSpacing/>
      </w:pPr>
      <w:r w:rsidRPr="00DF27C6">
        <w:t>Choice Neighborhoods</w:t>
      </w:r>
      <w:r w:rsidR="00DA53DB" w:rsidRPr="00DF27C6">
        <w:t xml:space="preserve"> grants </w:t>
      </w:r>
      <w:r w:rsidR="00F63753" w:rsidRPr="00DF27C6">
        <w:t>are</w:t>
      </w:r>
      <w:r w:rsidR="00BF0C63">
        <w:t xml:space="preserve"> </w:t>
      </w:r>
      <w:r w:rsidR="00DA53DB" w:rsidRPr="00DF27C6">
        <w:t xml:space="preserve">governed by </w:t>
      </w:r>
      <w:r w:rsidRPr="00DF27C6">
        <w:t>the Notice of Funding Availability (NOFA)</w:t>
      </w:r>
      <w:r w:rsidR="00BB4A53">
        <w:t xml:space="preserve"> </w:t>
      </w:r>
    </w:p>
    <w:p w:rsidR="00DA53DB" w:rsidRDefault="00BB4A53" w:rsidP="00BB4A53">
      <w:pPr>
        <w:pStyle w:val="BodyTextIndent2"/>
        <w:tabs>
          <w:tab w:val="clear" w:pos="0"/>
          <w:tab w:val="left" w:pos="360"/>
        </w:tabs>
        <w:spacing w:after="120" w:line="240" w:lineRule="auto"/>
        <w:ind w:left="0"/>
        <w:contextualSpacing/>
      </w:pPr>
      <w:r>
        <w:tab/>
      </w:r>
      <w:r w:rsidR="00DA53DB" w:rsidRPr="00DF27C6">
        <w:t>and the Grant Agreements executed between each grant recipient and HUD.</w:t>
      </w:r>
      <w:r w:rsidR="00DA53DB" w:rsidRPr="00DF27C6">
        <w:tab/>
      </w:r>
    </w:p>
    <w:p w:rsidR="00BB4A53" w:rsidRPr="00BB4A53" w:rsidRDefault="00BB4A53" w:rsidP="00BB4A53">
      <w:pPr>
        <w:pStyle w:val="BodyTextIndent2"/>
        <w:tabs>
          <w:tab w:val="clear" w:pos="0"/>
          <w:tab w:val="left" w:pos="360"/>
        </w:tabs>
        <w:spacing w:after="120" w:line="240" w:lineRule="auto"/>
        <w:ind w:left="0"/>
        <w:contextualSpacing/>
      </w:pPr>
    </w:p>
    <w:p w:rsidR="00DA53DB" w:rsidRDefault="00DA53DB">
      <w:pPr>
        <w:pStyle w:val="BodyTextIndent2"/>
        <w:tabs>
          <w:tab w:val="clear" w:pos="0"/>
          <w:tab w:val="left" w:pos="360"/>
        </w:tabs>
        <w:spacing w:after="120" w:line="240" w:lineRule="auto"/>
        <w:ind w:hanging="360"/>
        <w:contextualSpacing/>
      </w:pPr>
      <w:r w:rsidRPr="00DF27C6">
        <w:rPr>
          <w:b/>
          <w:bCs/>
        </w:rPr>
        <w:t>2.</w:t>
      </w:r>
      <w:r w:rsidRPr="00DF27C6">
        <w:rPr>
          <w:b/>
          <w:bCs/>
        </w:rPr>
        <w:tab/>
      </w:r>
      <w:r w:rsidRPr="00DF27C6">
        <w:t xml:space="preserve">Eligible </w:t>
      </w:r>
      <w:r w:rsidR="00D55D20" w:rsidRPr="00DF27C6">
        <w:t xml:space="preserve">applicants </w:t>
      </w:r>
      <w:r w:rsidRPr="00DF27C6">
        <w:t xml:space="preserve">interested in obtaining </w:t>
      </w:r>
      <w:r w:rsidR="00966D5B" w:rsidRPr="00DF27C6">
        <w:t xml:space="preserve">Choice Neighborhoods </w:t>
      </w:r>
      <w:r w:rsidRPr="00DF27C6">
        <w:t xml:space="preserve">grant funds </w:t>
      </w:r>
      <w:r w:rsidR="005A4E3D" w:rsidRPr="00DF27C6">
        <w:t>are</w:t>
      </w:r>
      <w:r w:rsidR="00E961F6" w:rsidRPr="00DF27C6">
        <w:t xml:space="preserve"> </w:t>
      </w:r>
      <w:r w:rsidRPr="00DF27C6">
        <w:t>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w:t>
      </w:r>
      <w:r w:rsidR="00696A24" w:rsidRPr="00DF27C6">
        <w:t xml:space="preserve">  </w:t>
      </w:r>
      <w:r w:rsidR="009A54C4" w:rsidRPr="00DF27C6">
        <w:t>The application include</w:t>
      </w:r>
      <w:r w:rsidR="0015144F" w:rsidRPr="00DF27C6">
        <w:t>s</w:t>
      </w:r>
      <w:r w:rsidR="009A54C4" w:rsidRPr="00DF27C6">
        <w:t xml:space="preserve"> such information as n</w:t>
      </w:r>
      <w:r w:rsidR="00696A24" w:rsidRPr="00DF27C6">
        <w:t>ar</w:t>
      </w:r>
      <w:r w:rsidR="009A54C4" w:rsidRPr="00DF27C6">
        <w:t>rative exhibits, certifications, data forms, supporting documentation</w:t>
      </w:r>
      <w:r w:rsidR="00704865" w:rsidRPr="00DF27C6">
        <w:t xml:space="preserve">, maps, and drawings.  </w:t>
      </w:r>
      <w:r w:rsidRPr="00DF27C6">
        <w:t xml:space="preserve">The information will be used by HUD staff to evaluate threshold requirements and rate and rank grant applications.  </w:t>
      </w:r>
      <w:r w:rsidR="005A4E3D" w:rsidRPr="00DF27C6">
        <w:t>Applicants that receive grant funds are required to report to HUD quarterly on their progress, enabling HUD to manage and monitor the programs.  The information collection also covers the data needed to fulfill this reporting requirement</w:t>
      </w:r>
      <w:r w:rsidR="0027226F">
        <w:t>, and information needed for program management</w:t>
      </w:r>
      <w:r w:rsidR="005A4E3D" w:rsidRPr="00DF27C6">
        <w:t>.</w:t>
      </w:r>
      <w:r w:rsidR="00F63753" w:rsidRPr="00DF27C6">
        <w:t xml:space="preserve">  </w:t>
      </w:r>
    </w:p>
    <w:p w:rsidR="00BB4A53" w:rsidRPr="00DF27C6" w:rsidRDefault="00BB4A53">
      <w:pPr>
        <w:pStyle w:val="BodyTextIndent2"/>
        <w:tabs>
          <w:tab w:val="clear" w:pos="0"/>
          <w:tab w:val="left" w:pos="360"/>
        </w:tabs>
        <w:spacing w:after="120" w:line="240" w:lineRule="auto"/>
        <w:ind w:hanging="360"/>
        <w:contextualSpacing/>
      </w:pPr>
    </w:p>
    <w:p w:rsidR="00DA53DB" w:rsidRPr="00DF27C6" w:rsidRDefault="00DA53DB">
      <w:pPr>
        <w:pStyle w:val="BodyTextIndent2"/>
        <w:tabs>
          <w:tab w:val="clear" w:pos="0"/>
          <w:tab w:val="left" w:pos="360"/>
        </w:tabs>
        <w:spacing w:after="120" w:line="240" w:lineRule="auto"/>
        <w:ind w:hanging="360"/>
      </w:pPr>
      <w:r w:rsidRPr="00DF27C6">
        <w:rPr>
          <w:b/>
          <w:bCs/>
        </w:rPr>
        <w:t>3</w:t>
      </w:r>
      <w:r w:rsidRPr="00DF27C6">
        <w:t>.</w:t>
      </w:r>
      <w:r w:rsidRPr="00DF27C6">
        <w:tab/>
      </w:r>
      <w:r w:rsidRPr="00DF27C6">
        <w:rPr>
          <w:b/>
          <w:bCs/>
        </w:rPr>
        <w:t xml:space="preserve">Technology applied to the collection: </w:t>
      </w:r>
      <w:r w:rsidRPr="00DF27C6">
        <w:t xml:space="preserve">This information collection </w:t>
      </w:r>
      <w:r w:rsidR="00212491" w:rsidRPr="00DF27C6">
        <w:t>is automated</w:t>
      </w:r>
      <w:r w:rsidRPr="00DF27C6">
        <w:t xml:space="preserve"> in order to improve data quality and to reduce the public reporting burden.  Since FY 2005, the Department has required </w:t>
      </w:r>
      <w:r w:rsidR="00966D5B" w:rsidRPr="00DF27C6">
        <w:t xml:space="preserve">applications prepared in response to </w:t>
      </w:r>
      <w:r w:rsidRPr="00DF27C6">
        <w:t xml:space="preserve">NOFAs to be submitted electronically via Grants.gov.  </w:t>
      </w:r>
      <w:r w:rsidR="00F63753" w:rsidRPr="00DF27C6">
        <w:t xml:space="preserve">Choice </w:t>
      </w:r>
      <w:r w:rsidR="001B2252" w:rsidRPr="00DF27C6">
        <w:t xml:space="preserve">Neighborhoods </w:t>
      </w:r>
      <w:r w:rsidR="00F63753" w:rsidRPr="00DF27C6">
        <w:t>grantee</w:t>
      </w:r>
      <w:r w:rsidR="00D20A88" w:rsidRPr="00DF27C6">
        <w:t xml:space="preserve"> quarterly reporting is electronic</w:t>
      </w:r>
      <w:r w:rsidR="001B2252" w:rsidRPr="00DF27C6">
        <w:t>.</w:t>
      </w:r>
      <w:r w:rsidR="00DB37C7" w:rsidRPr="00DF27C6">
        <w:t xml:space="preserve">  </w:t>
      </w:r>
    </w:p>
    <w:p w:rsidR="00DA53DB" w:rsidRPr="00DF27C6" w:rsidRDefault="00DA53DB">
      <w:pPr>
        <w:pStyle w:val="BodyTextIndent2"/>
        <w:tabs>
          <w:tab w:val="clear" w:pos="0"/>
          <w:tab w:val="left" w:pos="360"/>
        </w:tabs>
        <w:spacing w:after="120" w:line="240" w:lineRule="auto"/>
        <w:ind w:hanging="360"/>
        <w:rPr>
          <w:b/>
        </w:rPr>
      </w:pPr>
      <w:r w:rsidRPr="00DF27C6">
        <w:rPr>
          <w:b/>
        </w:rPr>
        <w:t>4.</w:t>
      </w:r>
      <w:r w:rsidRPr="00DF27C6">
        <w:rPr>
          <w:b/>
        </w:rPr>
        <w:tab/>
        <w:t xml:space="preserve">Duplication of Effort: </w:t>
      </w:r>
    </w:p>
    <w:p w:rsidR="00DA53DB" w:rsidRPr="00DF27C6" w:rsidRDefault="00DA53DB">
      <w:pPr>
        <w:pStyle w:val="BodyTextIndent2"/>
        <w:tabs>
          <w:tab w:val="clear" w:pos="0"/>
          <w:tab w:val="left" w:pos="360"/>
        </w:tabs>
        <w:spacing w:after="120" w:line="240" w:lineRule="auto"/>
        <w:ind w:hanging="360"/>
      </w:pPr>
      <w:r w:rsidRPr="00DF27C6">
        <w:tab/>
        <w:t xml:space="preserve">There is no duplication of effort.  Information collected is unique to each type of collection and does not duplicate any similar information or method. </w:t>
      </w:r>
    </w:p>
    <w:p w:rsidR="00DA53DB" w:rsidRPr="00DF27C6" w:rsidRDefault="00DA53DB">
      <w:pPr>
        <w:pStyle w:val="BodyTextIndent2"/>
        <w:tabs>
          <w:tab w:val="clear" w:pos="0"/>
          <w:tab w:val="left" w:pos="360"/>
        </w:tabs>
        <w:spacing w:after="120" w:line="240" w:lineRule="auto"/>
        <w:ind w:hanging="360"/>
        <w:rPr>
          <w:b/>
        </w:rPr>
      </w:pPr>
      <w:r w:rsidRPr="00DF27C6">
        <w:rPr>
          <w:b/>
        </w:rPr>
        <w:t>5.</w:t>
      </w:r>
      <w:r w:rsidRPr="00DF27C6">
        <w:rPr>
          <w:b/>
        </w:rPr>
        <w:tab/>
        <w:t xml:space="preserve">Impact on Small Business and Small Entities:  </w:t>
      </w:r>
    </w:p>
    <w:p w:rsidR="00DA53DB" w:rsidRPr="00DF27C6" w:rsidRDefault="00DA53DB">
      <w:pPr>
        <w:pStyle w:val="BodyTextIndent2"/>
        <w:tabs>
          <w:tab w:val="clear" w:pos="0"/>
          <w:tab w:val="left" w:pos="360"/>
        </w:tabs>
        <w:spacing w:after="120" w:line="240" w:lineRule="auto"/>
        <w:ind w:hanging="360"/>
      </w:pPr>
      <w:r w:rsidRPr="00DF27C6">
        <w:tab/>
        <w:t>These information collections have no impact on small businesses or other entities.</w:t>
      </w:r>
    </w:p>
    <w:p w:rsidR="00DA53DB" w:rsidRPr="00DF27C6" w:rsidRDefault="00DA53DB">
      <w:pPr>
        <w:pStyle w:val="BodyTextIndent2"/>
        <w:tabs>
          <w:tab w:val="clear" w:pos="0"/>
          <w:tab w:val="left" w:pos="360"/>
        </w:tabs>
        <w:spacing w:after="120" w:line="240" w:lineRule="auto"/>
        <w:ind w:hanging="360"/>
        <w:rPr>
          <w:b/>
        </w:rPr>
      </w:pPr>
      <w:r w:rsidRPr="00DF27C6">
        <w:rPr>
          <w:b/>
        </w:rPr>
        <w:t>6.</w:t>
      </w:r>
      <w:r w:rsidRPr="00DF27C6">
        <w:rPr>
          <w:b/>
        </w:rPr>
        <w:tab/>
        <w:t xml:space="preserve">Consequence of Less Frequent Collection:  </w:t>
      </w:r>
    </w:p>
    <w:p w:rsidR="00DA53DB" w:rsidRPr="00DF27C6" w:rsidRDefault="00DA53DB">
      <w:pPr>
        <w:pStyle w:val="BodyTextIndent2"/>
        <w:tabs>
          <w:tab w:val="clear" w:pos="0"/>
          <w:tab w:val="left" w:pos="360"/>
        </w:tabs>
        <w:spacing w:after="120" w:line="240" w:lineRule="auto"/>
        <w:ind w:hanging="360"/>
      </w:pPr>
      <w:r w:rsidRPr="00DF27C6">
        <w:tab/>
        <w:t xml:space="preserve">The Federal statutory mandate </w:t>
      </w:r>
      <w:r w:rsidR="006C74B6" w:rsidRPr="00DF27C6">
        <w:t xml:space="preserve">to award funds competitively </w:t>
      </w:r>
      <w:r w:rsidRPr="00DF27C6">
        <w:t>would not be met if the collection is not conducted.  The informa</w:t>
      </w:r>
      <w:r w:rsidR="009A54C4" w:rsidRPr="00DF27C6">
        <w:t xml:space="preserve">tion collection is necessary so that </w:t>
      </w:r>
      <w:r w:rsidRPr="00DF27C6">
        <w:t>the available funds</w:t>
      </w:r>
      <w:r w:rsidR="009A54C4" w:rsidRPr="00DF27C6">
        <w:t>, per the appropriations act,</w:t>
      </w:r>
      <w:r w:rsidRPr="00DF27C6">
        <w:t xml:space="preserve"> may be awarded to successful applicants for </w:t>
      </w:r>
      <w:r w:rsidR="00966D5B" w:rsidRPr="00DF27C6">
        <w:t>Choice Neighborhoods</w:t>
      </w:r>
      <w:r w:rsidRPr="00DF27C6">
        <w:t xml:space="preserve"> grants.  </w:t>
      </w:r>
      <w:r w:rsidR="00E84BCB" w:rsidRPr="00DF27C6">
        <w:t>The statute also requires reporting on the Choice Neighborhoods program.</w:t>
      </w:r>
    </w:p>
    <w:p w:rsidR="00DA53DB" w:rsidRDefault="00DA53DB">
      <w:pPr>
        <w:pStyle w:val="BodyTextIndent2"/>
        <w:tabs>
          <w:tab w:val="clear" w:pos="0"/>
          <w:tab w:val="left" w:pos="360"/>
        </w:tabs>
        <w:spacing w:after="120" w:line="240" w:lineRule="auto"/>
        <w:ind w:hanging="360"/>
        <w:rPr>
          <w:b/>
        </w:rPr>
      </w:pPr>
      <w:r w:rsidRPr="00DF27C6">
        <w:rPr>
          <w:b/>
        </w:rPr>
        <w:t xml:space="preserve">7. </w:t>
      </w:r>
      <w:r w:rsidRPr="00DF27C6">
        <w:rPr>
          <w:b/>
        </w:rPr>
        <w:tab/>
        <w:t xml:space="preserve">Special Circumstances for Information Collection: </w:t>
      </w:r>
    </w:p>
    <w:p w:rsidR="006D12F0" w:rsidRPr="00337505" w:rsidRDefault="006D12F0" w:rsidP="006D12F0">
      <w:pPr>
        <w:keepNext/>
        <w:numPr>
          <w:ilvl w:val="0"/>
          <w:numId w:val="15"/>
        </w:numPr>
        <w:tabs>
          <w:tab w:val="left" w:pos="360"/>
        </w:tabs>
        <w:textAlignment w:val="auto"/>
        <w:rPr>
          <w:bCs/>
        </w:rPr>
      </w:pPr>
      <w:r w:rsidRPr="00337505">
        <w:rPr>
          <w:bCs/>
        </w:rPr>
        <w:t xml:space="preserve">requiring respondents to report information to the agency more than quarterly;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 xml:space="preserve">requiring respondents to prepare a written response to a collection of information in fewer than 30 days after receipt of it;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 xml:space="preserve">requiring respondents to submit more than an original and two copies of any document;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 xml:space="preserve">requiring respondents to retain records other than health, medical, government contract, grant-in-aid, or tax records for more than three years;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 xml:space="preserve">in connection with a statistical survey, that is not designed to produce valid and reliable results than can be generalized to the universe of study;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 xml:space="preserve">requiring the use of a statistical data classification that has not been reviewed and approved by OMB; </w:t>
      </w:r>
    </w:p>
    <w:p w:rsidR="006D12F0" w:rsidRPr="00337505" w:rsidRDefault="006D12F0" w:rsidP="006D12F0">
      <w:pPr>
        <w:keepNext/>
        <w:tabs>
          <w:tab w:val="left" w:pos="360"/>
        </w:tabs>
        <w:ind w:left="360" w:firstLine="180"/>
        <w:textAlignment w:val="auto"/>
        <w:rPr>
          <w:b/>
          <w:bCs/>
        </w:rPr>
      </w:pPr>
      <w:r w:rsidRPr="00337505">
        <w:rPr>
          <w:b/>
          <w:bCs/>
        </w:rPr>
        <w:t>Not Applicable</w:t>
      </w:r>
    </w:p>
    <w:p w:rsidR="006D12F0" w:rsidRPr="00337505" w:rsidRDefault="006D12F0" w:rsidP="006D12F0">
      <w:pPr>
        <w:keepNext/>
        <w:numPr>
          <w:ilvl w:val="0"/>
          <w:numId w:val="15"/>
        </w:numPr>
        <w:tabs>
          <w:tab w:val="left" w:pos="360"/>
        </w:tabs>
        <w:ind w:left="864" w:hanging="504"/>
        <w:rPr>
          <w:bCs/>
        </w:rPr>
      </w:pPr>
      <w:r w:rsidRPr="00337505">
        <w:rPr>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D12F0" w:rsidRPr="00337505" w:rsidRDefault="006D12F0" w:rsidP="006D12F0">
      <w:pPr>
        <w:keepNext/>
        <w:tabs>
          <w:tab w:val="left" w:pos="360"/>
        </w:tabs>
        <w:ind w:left="504"/>
        <w:rPr>
          <w:b/>
          <w:bCs/>
        </w:rPr>
      </w:pPr>
      <w:r w:rsidRPr="00337505">
        <w:rPr>
          <w:b/>
          <w:bCs/>
        </w:rPr>
        <w:t>Not Applicable</w:t>
      </w:r>
    </w:p>
    <w:p w:rsidR="006D12F0" w:rsidRPr="00337505" w:rsidRDefault="006D12F0" w:rsidP="006D12F0">
      <w:pPr>
        <w:keepNext/>
        <w:numPr>
          <w:ilvl w:val="0"/>
          <w:numId w:val="15"/>
        </w:numPr>
        <w:tabs>
          <w:tab w:val="left" w:pos="360"/>
        </w:tabs>
        <w:textAlignment w:val="auto"/>
        <w:rPr>
          <w:bCs/>
        </w:rPr>
      </w:pPr>
      <w:r w:rsidRPr="00337505">
        <w:rPr>
          <w:bCs/>
        </w:rPr>
        <w:t>requiring respondents to submit proprietary trade secret, or other confidential information unless the agency can demonstrate that it has instituted procedures to protect the information's confidentiality to the extent permitted by law.</w:t>
      </w:r>
    </w:p>
    <w:p w:rsidR="006D12F0" w:rsidRPr="00337505" w:rsidRDefault="006D12F0" w:rsidP="006D12F0">
      <w:pPr>
        <w:keepNext/>
        <w:tabs>
          <w:tab w:val="left" w:pos="360"/>
        </w:tabs>
        <w:ind w:left="504"/>
        <w:textAlignment w:val="auto"/>
        <w:rPr>
          <w:b/>
          <w:bCs/>
        </w:rPr>
      </w:pPr>
      <w:r w:rsidRPr="00337505">
        <w:rPr>
          <w:b/>
          <w:bCs/>
        </w:rPr>
        <w:t>Not Applicable</w:t>
      </w:r>
      <w:r w:rsidRPr="00337505">
        <w:t xml:space="preserve">.   </w:t>
      </w:r>
    </w:p>
    <w:p w:rsidR="006D12F0" w:rsidRDefault="006D12F0">
      <w:pPr>
        <w:pStyle w:val="BodyTextIndent2"/>
        <w:tabs>
          <w:tab w:val="clear" w:pos="0"/>
          <w:tab w:val="left" w:pos="360"/>
        </w:tabs>
        <w:spacing w:after="120" w:line="240" w:lineRule="auto"/>
        <w:ind w:hanging="360"/>
        <w:rPr>
          <w:b/>
        </w:rPr>
      </w:pPr>
    </w:p>
    <w:p w:rsidR="00DA53DB" w:rsidRDefault="00DA53DB">
      <w:pPr>
        <w:pStyle w:val="BodyTextIndent2"/>
        <w:tabs>
          <w:tab w:val="clear" w:pos="0"/>
          <w:tab w:val="left" w:pos="360"/>
        </w:tabs>
        <w:spacing w:after="120" w:line="240" w:lineRule="auto"/>
        <w:ind w:hanging="360"/>
      </w:pPr>
      <w:r w:rsidRPr="00DF27C6">
        <w:tab/>
        <w:t>There are no special circumstances that would cause these information collections to be conducted inappropriately.</w:t>
      </w:r>
      <w:r w:rsidR="00150DDA" w:rsidRPr="00DF27C6">
        <w:t xml:space="preserve"> </w:t>
      </w:r>
    </w:p>
    <w:p w:rsidR="006D12F0" w:rsidRPr="00DF27C6" w:rsidRDefault="006D12F0">
      <w:pPr>
        <w:pStyle w:val="BodyTextIndent2"/>
        <w:tabs>
          <w:tab w:val="clear" w:pos="0"/>
          <w:tab w:val="left" w:pos="360"/>
        </w:tabs>
        <w:spacing w:after="120" w:line="240" w:lineRule="auto"/>
        <w:ind w:hanging="360"/>
      </w:pPr>
    </w:p>
    <w:p w:rsidR="00DA53DB" w:rsidRPr="00DF27C6" w:rsidRDefault="00DA53DB">
      <w:pPr>
        <w:pStyle w:val="BodyTextIndent2"/>
        <w:tabs>
          <w:tab w:val="clear" w:pos="0"/>
          <w:tab w:val="left" w:pos="360"/>
        </w:tabs>
        <w:spacing w:after="120" w:line="240" w:lineRule="auto"/>
        <w:ind w:hanging="360"/>
        <w:rPr>
          <w:b/>
        </w:rPr>
      </w:pPr>
      <w:r w:rsidRPr="00DF27C6">
        <w:rPr>
          <w:b/>
        </w:rPr>
        <w:t xml:space="preserve"> 8.</w:t>
      </w:r>
      <w:r w:rsidRPr="00DF27C6">
        <w:rPr>
          <w:b/>
        </w:rPr>
        <w:tab/>
        <w:t xml:space="preserve">Federal Register Notice and Public Comments: </w:t>
      </w:r>
    </w:p>
    <w:p w:rsidR="00DA53DB" w:rsidRPr="00DF27C6" w:rsidRDefault="00DA53DB">
      <w:pPr>
        <w:pStyle w:val="BodyTextIndent2"/>
        <w:tabs>
          <w:tab w:val="clear" w:pos="0"/>
          <w:tab w:val="left" w:pos="360"/>
        </w:tabs>
        <w:spacing w:after="120" w:line="240" w:lineRule="auto"/>
        <w:ind w:hanging="360"/>
      </w:pPr>
      <w:r w:rsidRPr="00DF27C6">
        <w:tab/>
      </w:r>
      <w:r w:rsidR="009A54C4" w:rsidRPr="00DF27C6">
        <w:t>A</w:t>
      </w:r>
      <w:r w:rsidR="009F4B77" w:rsidRPr="00DF27C6">
        <w:t xml:space="preserve"> Notice was published in the </w:t>
      </w:r>
      <w:r w:rsidR="005D15DF">
        <w:rPr>
          <w:i/>
        </w:rPr>
        <w:t>Federal Register,</w:t>
      </w:r>
      <w:r w:rsidR="005D15DF">
        <w:t xml:space="preserve"> Volume </w:t>
      </w:r>
      <w:r w:rsidR="00B47C22" w:rsidRPr="00B47C22">
        <w:t>83</w:t>
      </w:r>
      <w:r w:rsidR="00B47C22">
        <w:t>,</w:t>
      </w:r>
      <w:r w:rsidR="005D15DF" w:rsidRPr="00B47C22">
        <w:t xml:space="preserve"> page </w:t>
      </w:r>
      <w:r w:rsidR="00B47C22" w:rsidRPr="00B47C22">
        <w:t>8690</w:t>
      </w:r>
      <w:r w:rsidR="005D15DF" w:rsidRPr="00B47C22">
        <w:t xml:space="preserve">, on </w:t>
      </w:r>
      <w:r w:rsidR="00B47C22" w:rsidRPr="005129F9">
        <w:t>February 28, 2018</w:t>
      </w:r>
      <w:r w:rsidR="005D15DF" w:rsidRPr="00B47C22">
        <w:rPr>
          <w:u w:val="single"/>
        </w:rPr>
        <w:t>,</w:t>
      </w:r>
      <w:r w:rsidR="009F4B77" w:rsidRPr="00B47C22">
        <w:t xml:space="preserve"> to solicit comments on the </w:t>
      </w:r>
      <w:r w:rsidR="00966D5B" w:rsidRPr="00B47C22">
        <w:t xml:space="preserve">Choice Neighborhoods </w:t>
      </w:r>
      <w:r w:rsidR="009F4B77" w:rsidRPr="00B47C22">
        <w:t>information collection</w:t>
      </w:r>
      <w:r w:rsidR="00966D5B" w:rsidRPr="00B47C22">
        <w:t>.</w:t>
      </w:r>
      <w:r w:rsidR="009F4B77" w:rsidRPr="00B47C22">
        <w:t xml:space="preserve"> </w:t>
      </w:r>
      <w:r w:rsidR="00BB4A53" w:rsidRPr="00B47C22">
        <w:t xml:space="preserve"> </w:t>
      </w:r>
      <w:r w:rsidR="005D15DF" w:rsidRPr="00B47C22">
        <w:t>No comments</w:t>
      </w:r>
      <w:r w:rsidR="009F4B77" w:rsidRPr="00DF27C6">
        <w:t xml:space="preserve"> were received in response to the Federal Register notice.</w:t>
      </w:r>
    </w:p>
    <w:p w:rsidR="00DA53DB" w:rsidRPr="00DF27C6" w:rsidRDefault="00DA53DB">
      <w:pPr>
        <w:pStyle w:val="BodyTextIndent2"/>
        <w:tabs>
          <w:tab w:val="clear" w:pos="0"/>
          <w:tab w:val="left" w:pos="360"/>
        </w:tabs>
        <w:spacing w:after="120" w:line="240" w:lineRule="auto"/>
        <w:ind w:hanging="360"/>
        <w:rPr>
          <w:b/>
        </w:rPr>
      </w:pPr>
      <w:r w:rsidRPr="00DF27C6">
        <w:rPr>
          <w:b/>
        </w:rPr>
        <w:t>9.</w:t>
      </w:r>
      <w:r w:rsidRPr="00DF27C6">
        <w:rPr>
          <w:b/>
        </w:rPr>
        <w:tab/>
        <w:t xml:space="preserve">Payment/Gifts to Respondents:  </w:t>
      </w:r>
    </w:p>
    <w:p w:rsidR="00DA53DB" w:rsidRPr="00DF27C6" w:rsidRDefault="00DA53DB">
      <w:pPr>
        <w:pStyle w:val="BodyTextIndent2"/>
        <w:tabs>
          <w:tab w:val="clear" w:pos="0"/>
          <w:tab w:val="left" w:pos="360"/>
        </w:tabs>
        <w:spacing w:after="120" w:line="240" w:lineRule="auto"/>
        <w:ind w:hanging="360"/>
      </w:pPr>
      <w:r w:rsidRPr="00DF27C6">
        <w:tab/>
        <w:t>No payments or gifts are provided to respondents for any of these information collections.</w:t>
      </w:r>
    </w:p>
    <w:p w:rsidR="00DA53DB" w:rsidRPr="00DF27C6" w:rsidRDefault="00DA53DB">
      <w:pPr>
        <w:pStyle w:val="BodyTextIndent2"/>
        <w:tabs>
          <w:tab w:val="clear" w:pos="0"/>
          <w:tab w:val="left" w:pos="360"/>
        </w:tabs>
        <w:spacing w:after="120" w:line="240" w:lineRule="auto"/>
        <w:ind w:hanging="360"/>
        <w:rPr>
          <w:b/>
        </w:rPr>
      </w:pPr>
      <w:r w:rsidRPr="00DF27C6">
        <w:rPr>
          <w:b/>
        </w:rPr>
        <w:t>10.</w:t>
      </w:r>
      <w:r w:rsidRPr="00DF27C6">
        <w:rPr>
          <w:b/>
        </w:rPr>
        <w:tab/>
        <w:t xml:space="preserve">Assurances of Confidentiality:  </w:t>
      </w:r>
    </w:p>
    <w:p w:rsidR="00DA53DB" w:rsidRPr="00DF27C6" w:rsidRDefault="00DA53DB">
      <w:pPr>
        <w:pStyle w:val="BodyTextIndent2"/>
        <w:tabs>
          <w:tab w:val="clear" w:pos="0"/>
          <w:tab w:val="left" w:pos="360"/>
        </w:tabs>
        <w:spacing w:after="120" w:line="240" w:lineRule="auto"/>
        <w:ind w:hanging="360"/>
      </w:pPr>
      <w:r w:rsidRPr="00DF27C6">
        <w:tab/>
        <w:t xml:space="preserve">Assurance of confidentiality is neither provided nor needed for any of these information collections.  </w:t>
      </w:r>
      <w:r w:rsidR="000014BC">
        <w:t>The Privacy Act of 1974 provided privacy protection to respondents.</w:t>
      </w:r>
    </w:p>
    <w:p w:rsidR="00DA53DB" w:rsidRPr="00DF27C6" w:rsidRDefault="00DA53DB">
      <w:pPr>
        <w:pStyle w:val="BodyTextIndent2"/>
        <w:tabs>
          <w:tab w:val="clear" w:pos="0"/>
          <w:tab w:val="left" w:pos="360"/>
        </w:tabs>
        <w:spacing w:after="120" w:line="240" w:lineRule="auto"/>
        <w:ind w:hanging="360"/>
        <w:rPr>
          <w:b/>
        </w:rPr>
      </w:pPr>
      <w:r w:rsidRPr="00DF27C6">
        <w:rPr>
          <w:b/>
        </w:rPr>
        <w:t>11.</w:t>
      </w:r>
      <w:r w:rsidRPr="00DF27C6">
        <w:rPr>
          <w:b/>
        </w:rPr>
        <w:tab/>
        <w:t xml:space="preserve">Questions of a Sensitive Nature:  </w:t>
      </w:r>
    </w:p>
    <w:p w:rsidR="00DA53DB" w:rsidRPr="00DF27C6" w:rsidRDefault="00DA53DB">
      <w:pPr>
        <w:pStyle w:val="BodyTextIndent2"/>
        <w:tabs>
          <w:tab w:val="clear" w:pos="0"/>
          <w:tab w:val="left" w:pos="360"/>
        </w:tabs>
        <w:spacing w:after="120" w:line="240" w:lineRule="auto"/>
        <w:ind w:hanging="360"/>
      </w:pPr>
      <w:r w:rsidRPr="00DF27C6">
        <w:tab/>
        <w:t>No sensitive questions are being asked for any of these information collections.</w:t>
      </w:r>
    </w:p>
    <w:p w:rsidR="00DA53DB" w:rsidRPr="00DF27C6" w:rsidRDefault="00DA53DB">
      <w:pPr>
        <w:pStyle w:val="BodyTextIndent2"/>
        <w:keepNext/>
        <w:keepLines/>
        <w:tabs>
          <w:tab w:val="clear" w:pos="0"/>
          <w:tab w:val="left" w:pos="360"/>
        </w:tabs>
        <w:spacing w:after="120" w:line="240" w:lineRule="auto"/>
        <w:ind w:hanging="360"/>
      </w:pPr>
      <w:r w:rsidRPr="00DF27C6">
        <w:rPr>
          <w:b/>
        </w:rPr>
        <w:t>12.</w:t>
      </w:r>
      <w:r w:rsidRPr="00DF27C6">
        <w:rPr>
          <w:b/>
        </w:rPr>
        <w:tab/>
        <w:t xml:space="preserve">Estimate of Annual Burden Hours for Information Collection:  </w:t>
      </w:r>
      <w:r w:rsidRPr="00DF27C6">
        <w:rPr>
          <w:bCs/>
        </w:rPr>
        <w:t xml:space="preserve">The chart below outlines the burden associated with the various aspects of the </w:t>
      </w:r>
      <w:r w:rsidR="00966D5B" w:rsidRPr="00DF27C6">
        <w:rPr>
          <w:bCs/>
        </w:rPr>
        <w:t>Choice Neighborhoods</w:t>
      </w:r>
      <w:r w:rsidRPr="00DF27C6">
        <w:rPr>
          <w:bCs/>
        </w:rPr>
        <w:t xml:space="preserve"> grants program and a breakout of the forms associated with each portion of that burden.</w:t>
      </w:r>
    </w:p>
    <w:p w:rsidR="00DA53DB" w:rsidRPr="00DF27C6" w:rsidRDefault="00DA53DB">
      <w:pPr>
        <w:pStyle w:val="BodyTextIndent2"/>
        <w:tabs>
          <w:tab w:val="left" w:pos="360"/>
        </w:tabs>
        <w:spacing w:after="120" w:line="240" w:lineRule="auto"/>
        <w:ind w:hanging="336"/>
      </w:pPr>
      <w:r w:rsidRPr="00DF27C6">
        <w:rPr>
          <w:b/>
        </w:rPr>
        <w:tab/>
      </w:r>
      <w:r w:rsidRPr="00DF27C6">
        <w:t xml:space="preserve">Costs to the respondents to complete these information collections will not exceed those incurred by regular grant administration, planning and management.  </w:t>
      </w:r>
    </w:p>
    <w:p w:rsidR="00CB3CD5" w:rsidRDefault="0020186E" w:rsidP="00CB3CD5">
      <w:pPr>
        <w:pStyle w:val="BodyTextIndent2"/>
        <w:tabs>
          <w:tab w:val="left" w:pos="360"/>
        </w:tabs>
        <w:spacing w:after="120" w:line="240" w:lineRule="auto"/>
        <w:ind w:hanging="336"/>
      </w:pPr>
      <w:r w:rsidRPr="00DF27C6">
        <w:tab/>
        <w:t xml:space="preserve">For </w:t>
      </w:r>
      <w:r w:rsidR="00966D5B" w:rsidRPr="00DF27C6">
        <w:t>Choice</w:t>
      </w:r>
      <w:r w:rsidR="009A54C4" w:rsidRPr="00DF27C6">
        <w:t xml:space="preserve"> Neighborhoods </w:t>
      </w:r>
      <w:r w:rsidR="006C74B6" w:rsidRPr="00DF27C6">
        <w:t xml:space="preserve">the </w:t>
      </w:r>
      <w:r w:rsidR="00CB3CD5" w:rsidRPr="00DF27C6">
        <w:t>burden hours</w:t>
      </w:r>
      <w:r w:rsidR="00966D5B" w:rsidRPr="00DF27C6">
        <w:t xml:space="preserve"> per response</w:t>
      </w:r>
      <w:r w:rsidR="00CB3CD5" w:rsidRPr="00DF27C6">
        <w:t xml:space="preserve"> total</w:t>
      </w:r>
      <w:r w:rsidRPr="00DF27C6">
        <w:t xml:space="preserve"> to</w:t>
      </w:r>
      <w:r w:rsidR="009A54C4" w:rsidRPr="00DF27C6">
        <w:t xml:space="preserve"> </w:t>
      </w:r>
      <w:r w:rsidR="00774D98">
        <w:t>71.09</w:t>
      </w:r>
      <w:r w:rsidR="009A54C4" w:rsidRPr="00DF27C6">
        <w:t xml:space="preserve"> for Implementation Grant applications and </w:t>
      </w:r>
      <w:r w:rsidR="00774D98">
        <w:t>36.34</w:t>
      </w:r>
      <w:r w:rsidR="009A54C4" w:rsidRPr="00DF27C6">
        <w:t xml:space="preserve"> for Planning Grant applications</w:t>
      </w:r>
      <w:r w:rsidRPr="00DF27C6">
        <w:t xml:space="preserve">. </w:t>
      </w:r>
      <w:r w:rsidR="009A54C4" w:rsidRPr="00DF27C6">
        <w:t xml:space="preserve"> </w:t>
      </w:r>
      <w:r w:rsidR="006E3E07" w:rsidRPr="00DF27C6">
        <w:t>Choice Neighborhoods in</w:t>
      </w:r>
      <w:r w:rsidR="00DF27C6">
        <w:t>for</w:t>
      </w:r>
      <w:r w:rsidR="006E3E07" w:rsidRPr="00DF27C6">
        <w:t>ma</w:t>
      </w:r>
      <w:r w:rsidR="00DF27C6">
        <w:t>ti</w:t>
      </w:r>
      <w:r w:rsidR="006E3E07" w:rsidRPr="00DF27C6">
        <w:t>on collections unrelated to the NOFA, including grantee reporting</w:t>
      </w:r>
      <w:r w:rsidR="00774D98">
        <w:t xml:space="preserve"> and program management</w:t>
      </w:r>
      <w:r w:rsidR="006E3E07" w:rsidRPr="00DF27C6">
        <w:t xml:space="preserve">, total to </w:t>
      </w:r>
      <w:r w:rsidR="00774D98">
        <w:t>48</w:t>
      </w:r>
      <w:r w:rsidR="006E3E07" w:rsidRPr="00DF27C6">
        <w:t xml:space="preserve">.58.  </w:t>
      </w:r>
      <w:r w:rsidRPr="00DF27C6">
        <w:t>The total burden</w:t>
      </w:r>
      <w:r w:rsidR="00AA66FB" w:rsidRPr="00DF27C6">
        <w:t xml:space="preserve"> hours, </w:t>
      </w:r>
      <w:r w:rsidR="009A54C4" w:rsidRPr="00DF27C6">
        <w:t xml:space="preserve">for each grant application type, is </w:t>
      </w:r>
      <w:r w:rsidR="006E3E07" w:rsidRPr="00DF27C6">
        <w:t>1,</w:t>
      </w:r>
      <w:r w:rsidR="005C4070">
        <w:t>777.25</w:t>
      </w:r>
      <w:r w:rsidR="009A54C4" w:rsidRPr="00DF27C6">
        <w:t xml:space="preserve"> for Implementation Grants and </w:t>
      </w:r>
      <w:r w:rsidR="006E3E07" w:rsidRPr="00DF27C6">
        <w:t>1,8</w:t>
      </w:r>
      <w:r w:rsidR="005C4070">
        <w:t>17</w:t>
      </w:r>
      <w:r w:rsidR="009A54C4" w:rsidRPr="00DF27C6">
        <w:t xml:space="preserve"> for Planning Grants. </w:t>
      </w:r>
      <w:r w:rsidRPr="00DF27C6">
        <w:t xml:space="preserve"> </w:t>
      </w:r>
      <w:r w:rsidR="00CB3CD5" w:rsidRPr="00DF27C6">
        <w:t xml:space="preserve">Forms such as </w:t>
      </w:r>
      <w:r w:rsidR="00AA66FB" w:rsidRPr="00DF27C6">
        <w:t xml:space="preserve">the SF 424 </w:t>
      </w:r>
      <w:r w:rsidR="00CB3CD5" w:rsidRPr="00DF27C6">
        <w:t xml:space="preserve">are not duplicative information.  These forms, while authorized under different OMB Control Numbers, are submitted as part of the </w:t>
      </w:r>
      <w:r w:rsidR="00AA66FB" w:rsidRPr="00DF27C6">
        <w:t>Choice Neighborhoods</w:t>
      </w:r>
      <w:r w:rsidR="00CB3CD5" w:rsidRPr="00DF27C6">
        <w:t xml:space="preserve"> applications and used specific to the applications’ content. </w:t>
      </w:r>
    </w:p>
    <w:tbl>
      <w:tblPr>
        <w:tblW w:w="10615" w:type="dxa"/>
        <w:tblInd w:w="113" w:type="dxa"/>
        <w:tblLayout w:type="fixed"/>
        <w:tblLook w:val="04A0" w:firstRow="1" w:lastRow="0" w:firstColumn="1" w:lastColumn="0" w:noHBand="0" w:noVBand="1"/>
      </w:tblPr>
      <w:tblGrid>
        <w:gridCol w:w="3609"/>
        <w:gridCol w:w="1246"/>
        <w:gridCol w:w="1170"/>
        <w:gridCol w:w="990"/>
        <w:gridCol w:w="833"/>
        <w:gridCol w:w="877"/>
        <w:gridCol w:w="720"/>
        <w:gridCol w:w="1170"/>
      </w:tblGrid>
      <w:tr w:rsidR="00454C35" w:rsidRPr="00454C35" w:rsidTr="00987DDE">
        <w:trPr>
          <w:trHeight w:val="720"/>
        </w:trPr>
        <w:tc>
          <w:tcPr>
            <w:tcW w:w="3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Respondents Annually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Annual responses (Frequency)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Total responses Annually</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Burden Hours per Response</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 xml:space="preserve">Total Burden Hours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Salary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b/>
                <w:bCs/>
                <w:color w:val="000000"/>
                <w:sz w:val="18"/>
                <w:szCs w:val="18"/>
              </w:rPr>
            </w:pPr>
            <w:r w:rsidRPr="00454C35">
              <w:rPr>
                <w:b/>
                <w:bCs/>
                <w:color w:val="000000"/>
                <w:sz w:val="18"/>
                <w:szCs w:val="18"/>
              </w:rPr>
              <w:t xml:space="preserve">Total Burden Cost </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noWrap/>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Choice Neighborhoods Application - Implementation Grants</w:t>
            </w:r>
          </w:p>
        </w:tc>
        <w:tc>
          <w:tcPr>
            <w:tcW w:w="1246"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833"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jc w:val="center"/>
              <w:textAlignment w:val="auto"/>
              <w:rPr>
                <w:color w:val="000000"/>
                <w:sz w:val="18"/>
                <w:szCs w:val="18"/>
              </w:rPr>
            </w:pPr>
            <w:r w:rsidRPr="00454C35">
              <w:rPr>
                <w:color w:val="000000"/>
                <w:sz w:val="18"/>
                <w:szCs w:val="18"/>
              </w:rPr>
              <w:t> </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Application Checklist/Table of Contents (HUD-53230)</w:t>
            </w:r>
          </w:p>
        </w:tc>
        <w:tc>
          <w:tcPr>
            <w:tcW w:w="1246"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25</w:t>
            </w:r>
            <w:r w:rsidR="006C4178">
              <w:rPr>
                <w:color w:val="000000"/>
                <w:sz w:val="18"/>
                <w:szCs w:val="18"/>
              </w:rPr>
              <w:t>.00</w:t>
            </w:r>
          </w:p>
        </w:tc>
        <w:tc>
          <w:tcPr>
            <w:tcW w:w="117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6C4178">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w:t>
            </w:r>
            <w:r w:rsidR="00D50B6B">
              <w:rPr>
                <w:color w:val="000000"/>
                <w:sz w:val="18"/>
                <w:szCs w:val="18"/>
              </w:rPr>
              <w:t>5.00</w:t>
            </w:r>
          </w:p>
        </w:tc>
        <w:tc>
          <w:tcPr>
            <w:tcW w:w="833"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0.17</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4.25</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$179.</w:t>
            </w:r>
            <w:r w:rsidR="000014BC">
              <w:rPr>
                <w:color w:val="000000"/>
                <w:sz w:val="18"/>
                <w:szCs w:val="18"/>
              </w:rPr>
              <w:t>48</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Narrative Exhibits</w:t>
            </w:r>
          </w:p>
        </w:tc>
        <w:tc>
          <w:tcPr>
            <w:tcW w:w="1246"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25</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25</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20</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500</w:t>
            </w:r>
            <w:r w:rsidR="001A2EC9">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$21,115.00</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Key Eligibility Data Form- Implementation Grants (HUD-53233)</w:t>
            </w:r>
          </w:p>
        </w:tc>
        <w:tc>
          <w:tcPr>
            <w:tcW w:w="1246"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Pr>
                <w:color w:val="000000"/>
                <w:sz w:val="18"/>
                <w:szCs w:val="18"/>
              </w:rPr>
              <w:t>.00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18.75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$791.81</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Application Data Form: Existing Units, Occupancy, Vacancy (HUD-53234)</w:t>
            </w:r>
          </w:p>
        </w:tc>
        <w:tc>
          <w:tcPr>
            <w:tcW w:w="1246"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Pr>
                <w:color w:val="000000"/>
                <w:sz w:val="18"/>
                <w:szCs w:val="18"/>
              </w:rPr>
              <w:t>.00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18.75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$791.81</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Application Data Form: Planned Units (HUD-53234)</w:t>
            </w:r>
          </w:p>
        </w:tc>
        <w:tc>
          <w:tcPr>
            <w:tcW w:w="1246"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Pr>
                <w:color w:val="000000"/>
                <w:sz w:val="18"/>
                <w:szCs w:val="18"/>
              </w:rPr>
              <w:t>.00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18.75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$791.81</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Rental Assistance Demonstration (RAD) certification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Sources and Uses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w:t>
            </w:r>
            <w:r w:rsidR="001A2EC9">
              <w:rPr>
                <w:color w:val="000000"/>
                <w:sz w:val="18"/>
                <w:szCs w:val="18"/>
              </w:rPr>
              <w:t>0</w:t>
            </w:r>
            <w:r w:rsidRPr="00BC4033">
              <w:rPr>
                <w:color w:val="000000"/>
                <w:sz w:val="18"/>
                <w:szCs w:val="18"/>
              </w:rPr>
              <w:t>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CN Implementation Budget Form (HUD-53236)</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37.5</w:t>
            </w:r>
            <w:r>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$1,583.63</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Grant Sizing Worksheet (HUD-53235)</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w:t>
            </w:r>
            <w:r w:rsidR="001A2EC9">
              <w:rPr>
                <w:color w:val="000000"/>
                <w:sz w:val="18"/>
                <w:szCs w:val="18"/>
              </w:rPr>
              <w:t>5</w:t>
            </w:r>
            <w:r w:rsidRPr="00BC4033">
              <w:rPr>
                <w:color w:val="000000"/>
                <w:sz w:val="18"/>
                <w:szCs w:val="18"/>
              </w:rPr>
              <w:t>.00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18.75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$791.81</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Extraordinary Site Costs Certification (HUD-53237)</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CCI Budget and Leverage</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Site Control and land use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Applicants Documentation (including HUD-2530)</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w:t>
            </w:r>
            <w:r w:rsidR="001A2EC9">
              <w:rPr>
                <w:color w:val="000000"/>
                <w:sz w:val="18"/>
                <w:szCs w:val="18"/>
              </w:rPr>
              <w:t>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Partnership Certifications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Neighborhoods Documentation – Eligible Neighborhoods Map</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B6274">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C3694">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BC4033">
              <w:rPr>
                <w:color w:val="000000"/>
                <w:sz w:val="18"/>
                <w:szCs w:val="18"/>
              </w:rPr>
              <w:t>25.</w:t>
            </w:r>
            <w:r w:rsidR="001A2EC9">
              <w:rPr>
                <w:color w:val="000000"/>
                <w:sz w:val="18"/>
                <w:szCs w:val="18"/>
              </w:rPr>
              <w:t>0</w:t>
            </w:r>
            <w:r w:rsidRPr="00BC4033">
              <w:rPr>
                <w:color w:val="000000"/>
                <w:sz w:val="18"/>
                <w:szCs w:val="18"/>
              </w:rPr>
              <w:t>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0014BC">
              <w:rPr>
                <w:color w:val="000000"/>
                <w:sz w:val="18"/>
                <w:szCs w:val="18"/>
              </w:rPr>
              <w:t>8</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Neighborhoods Documentation – Substandard Housing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96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Target Housing Documentation –Severe Distress of Targeted Project Certification (HUD-53232)</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0014BC">
              <w:rPr>
                <w:color w:val="000000"/>
                <w:sz w:val="18"/>
                <w:szCs w:val="18"/>
              </w:rPr>
              <w:t>8</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One-for-One Replacement Certification (HUD-53238)</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Resident and Community Involvement Certification (HUD-53231)</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Capacity - Lead Applicant Implementation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 xml:space="preserve">Capacity - Housing Implementation Documentation </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868FB">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Capacity - People Implementation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868FB">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Capacity - Neighborhood Implementation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nil"/>
              <w:right w:val="single" w:sz="4" w:space="0" w:color="auto"/>
            </w:tcBorders>
            <w:shd w:val="clear" w:color="auto" w:fill="auto"/>
            <w:hideMark/>
          </w:tcPr>
          <w:p w:rsidR="00D50B6B" w:rsidRDefault="00D50B6B" w:rsidP="001F408B">
            <w:pPr>
              <w:jc w:val="right"/>
            </w:pPr>
            <w:r w:rsidRPr="00A868FB">
              <w:rPr>
                <w:color w:val="000000"/>
                <w:sz w:val="18"/>
                <w:szCs w:val="18"/>
              </w:rPr>
              <w:t>1.00</w:t>
            </w:r>
          </w:p>
        </w:tc>
        <w:tc>
          <w:tcPr>
            <w:tcW w:w="877" w:type="dxa"/>
            <w:tcBorders>
              <w:top w:val="nil"/>
              <w:left w:val="nil"/>
              <w:bottom w:val="nil"/>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nil"/>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vMerge w:val="restart"/>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Capacity - Overall Community Involvement Documentation</w:t>
            </w:r>
          </w:p>
        </w:tc>
        <w:tc>
          <w:tcPr>
            <w:tcW w:w="1246" w:type="dxa"/>
            <w:vMerge w:val="restart"/>
            <w:tcBorders>
              <w:top w:val="nil"/>
              <w:left w:val="single" w:sz="4" w:space="0" w:color="auto"/>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vMerge w:val="restart"/>
            <w:tcBorders>
              <w:top w:val="nil"/>
              <w:left w:val="single" w:sz="4" w:space="0" w:color="auto"/>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vMerge w:val="restart"/>
            <w:tcBorders>
              <w:top w:val="nil"/>
              <w:left w:val="single" w:sz="4" w:space="0" w:color="auto"/>
              <w:bottom w:val="single" w:sz="4" w:space="0" w:color="auto"/>
              <w:right w:val="nil"/>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single" w:sz="4" w:space="0" w:color="auto"/>
              <w:left w:val="single" w:sz="4" w:space="0" w:color="auto"/>
              <w:bottom w:val="nil"/>
              <w:right w:val="single" w:sz="4" w:space="0" w:color="auto"/>
            </w:tcBorders>
            <w:shd w:val="clear" w:color="auto" w:fill="auto"/>
            <w:hideMark/>
          </w:tcPr>
          <w:p w:rsidR="00D50B6B" w:rsidRDefault="00D50B6B" w:rsidP="001F408B">
            <w:pPr>
              <w:jc w:val="right"/>
            </w:pPr>
            <w:r w:rsidRPr="00A868FB">
              <w:rPr>
                <w:color w:val="000000"/>
                <w:sz w:val="18"/>
                <w:szCs w:val="18"/>
              </w:rPr>
              <w:t>1.00</w:t>
            </w:r>
          </w:p>
        </w:tc>
        <w:tc>
          <w:tcPr>
            <w:tcW w:w="877" w:type="dxa"/>
            <w:tcBorders>
              <w:top w:val="single" w:sz="4" w:space="0" w:color="auto"/>
              <w:left w:val="nil"/>
              <w:bottom w:val="nil"/>
              <w:right w:val="nil"/>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nil"/>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vMerge/>
            <w:tcBorders>
              <w:top w:val="nil"/>
              <w:left w:val="single" w:sz="4" w:space="0" w:color="auto"/>
              <w:bottom w:val="single" w:sz="4" w:space="0" w:color="auto"/>
              <w:right w:val="single" w:sz="4" w:space="0" w:color="auto"/>
            </w:tcBorders>
            <w:vAlign w:val="center"/>
            <w:hideMark/>
          </w:tcPr>
          <w:p w:rsidR="00D50B6B" w:rsidRPr="00454C35" w:rsidRDefault="00D50B6B" w:rsidP="00D50B6B">
            <w:pPr>
              <w:overflowPunct/>
              <w:autoSpaceDE/>
              <w:autoSpaceDN/>
              <w:adjustRightInd/>
              <w:textAlignment w:val="auto"/>
              <w:rPr>
                <w:color w:val="000000"/>
                <w:sz w:val="18"/>
                <w:szCs w:val="18"/>
              </w:rPr>
            </w:pPr>
          </w:p>
        </w:tc>
        <w:tc>
          <w:tcPr>
            <w:tcW w:w="1246" w:type="dxa"/>
            <w:vMerge/>
            <w:tcBorders>
              <w:top w:val="nil"/>
              <w:left w:val="single" w:sz="4" w:space="0" w:color="auto"/>
              <w:bottom w:val="single" w:sz="4" w:space="0" w:color="auto"/>
              <w:right w:val="single" w:sz="4" w:space="0" w:color="auto"/>
            </w:tcBorders>
            <w:hideMark/>
          </w:tcPr>
          <w:p w:rsidR="00D50B6B" w:rsidRPr="00454C35" w:rsidRDefault="00D50B6B" w:rsidP="001F408B">
            <w:pPr>
              <w:overflowPunct/>
              <w:autoSpaceDE/>
              <w:autoSpaceDN/>
              <w:adjustRightInd/>
              <w:jc w:val="right"/>
              <w:textAlignment w:val="auto"/>
              <w:rPr>
                <w:color w:val="000000"/>
                <w:sz w:val="18"/>
                <w:szCs w:val="18"/>
              </w:rPr>
            </w:pPr>
          </w:p>
        </w:tc>
        <w:tc>
          <w:tcPr>
            <w:tcW w:w="1170" w:type="dxa"/>
            <w:vMerge/>
            <w:tcBorders>
              <w:top w:val="nil"/>
              <w:left w:val="single" w:sz="4" w:space="0" w:color="auto"/>
              <w:bottom w:val="single" w:sz="4" w:space="0" w:color="auto"/>
              <w:right w:val="single" w:sz="4" w:space="0" w:color="auto"/>
            </w:tcBorders>
            <w:hideMark/>
          </w:tcPr>
          <w:p w:rsidR="00D50B6B" w:rsidRPr="00454C35" w:rsidRDefault="00D50B6B" w:rsidP="001F408B">
            <w:pPr>
              <w:overflowPunct/>
              <w:autoSpaceDE/>
              <w:autoSpaceDN/>
              <w:adjustRightInd/>
              <w:jc w:val="right"/>
              <w:textAlignment w:val="auto"/>
              <w:rPr>
                <w:color w:val="000000"/>
                <w:sz w:val="18"/>
                <w:szCs w:val="18"/>
              </w:rPr>
            </w:pPr>
          </w:p>
        </w:tc>
        <w:tc>
          <w:tcPr>
            <w:tcW w:w="990" w:type="dxa"/>
            <w:vMerge/>
            <w:tcBorders>
              <w:top w:val="nil"/>
              <w:left w:val="single" w:sz="4" w:space="0" w:color="auto"/>
              <w:bottom w:val="single" w:sz="4" w:space="0" w:color="auto"/>
              <w:right w:val="nil"/>
            </w:tcBorders>
            <w:hideMark/>
          </w:tcPr>
          <w:p w:rsidR="00D50B6B" w:rsidRPr="00454C35" w:rsidRDefault="00D50B6B" w:rsidP="001F408B">
            <w:pPr>
              <w:overflowPunct/>
              <w:autoSpaceDE/>
              <w:autoSpaceDN/>
              <w:adjustRightInd/>
              <w:jc w:val="right"/>
              <w:textAlignment w:val="auto"/>
              <w:rPr>
                <w:color w:val="000000"/>
                <w:sz w:val="18"/>
                <w:szCs w:val="18"/>
              </w:rPr>
            </w:pPr>
          </w:p>
        </w:tc>
        <w:tc>
          <w:tcPr>
            <w:tcW w:w="833"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p>
        </w:tc>
        <w:tc>
          <w:tcPr>
            <w:tcW w:w="877" w:type="dxa"/>
            <w:tcBorders>
              <w:top w:val="nil"/>
              <w:left w:val="nil"/>
              <w:bottom w:val="single" w:sz="4" w:space="0" w:color="auto"/>
              <w:right w:val="nil"/>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50B6B" w:rsidRPr="00454C35" w:rsidRDefault="00D50B6B"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Capacity - References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18.75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$791.81</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Rehab cost est.</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Structural Deficiencies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Design Deficiencies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Part I Violent Crimes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Local govt., anchor institution, health center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Market analysis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Program Schedule</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Project-based voucher (PBV)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056D9F">
              <w:rPr>
                <w:color w:val="000000"/>
                <w:sz w:val="18"/>
                <w:szCs w:val="18"/>
              </w:rPr>
              <w:t>1.00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Consistency with Consolidated Plan (HUD-2991)</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Consistency with PHA/MTW Plan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Housing Leverage Documentation (HUD-53239), including tax credit allocation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$3,167.25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Supportive Services Sustainabilty and People Leverage (HUD-53239)</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$3,167.25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Neighborhood Investment, CCI and CDBG documentation (HUD-53239)</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A0197D">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84650">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40308">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75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$3,167.25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Organizational and decision-making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City and Neighborhood Maps, Location of housing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Current Site Plan and photographs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Conceptual Site Plan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Building elevations, schematic drawings</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Bonus points documentation (HUD-2995)</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0014BC">
              <w:rPr>
                <w:color w:val="000000"/>
                <w:sz w:val="18"/>
                <w:szCs w:val="18"/>
              </w:rPr>
              <w:t>8</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Housing Choice Voucher form (HUD-52515)</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SF-424 Application for Federal Assistance</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w:t>
            </w:r>
            <w:r w:rsidR="000014BC">
              <w:rPr>
                <w:color w:val="000000"/>
                <w:sz w:val="18"/>
                <w:szCs w:val="18"/>
              </w:rPr>
              <w:t>4</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SF-LLL Disclosure of Lobbying Activities documentation</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0.17</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$179.4</w:t>
            </w:r>
            <w:r w:rsidR="000014BC">
              <w:rPr>
                <w:color w:val="000000"/>
                <w:sz w:val="18"/>
                <w:szCs w:val="18"/>
              </w:rPr>
              <w:t>8</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2880 Applicant/Recipient Disclosure/Update Report</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6C5E9E">
              <w:rPr>
                <w:color w:val="000000"/>
                <w:sz w:val="18"/>
                <w:szCs w:val="18"/>
              </w:rPr>
              <w:t>25.00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FB41E2">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445079">
              <w:rPr>
                <w:color w:val="000000"/>
                <w:sz w:val="18"/>
                <w:szCs w:val="18"/>
              </w:rPr>
              <w:t>25.00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6.25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$263.94</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b/>
                <w:bCs/>
                <w:color w:val="000000"/>
                <w:sz w:val="18"/>
                <w:szCs w:val="18"/>
              </w:rPr>
            </w:pPr>
            <w:r w:rsidRPr="00454C35">
              <w:rPr>
                <w:b/>
                <w:bCs/>
                <w:color w:val="000000"/>
                <w:sz w:val="18"/>
                <w:szCs w:val="18"/>
              </w:rPr>
              <w:t>Sub Total</w:t>
            </w:r>
          </w:p>
        </w:tc>
        <w:tc>
          <w:tcPr>
            <w:tcW w:w="1246" w:type="dxa"/>
            <w:tcBorders>
              <w:top w:val="nil"/>
              <w:left w:val="nil"/>
              <w:bottom w:val="single" w:sz="4" w:space="0" w:color="auto"/>
              <w:right w:val="single" w:sz="4" w:space="0" w:color="auto"/>
            </w:tcBorders>
            <w:shd w:val="clear" w:color="auto" w:fill="auto"/>
            <w:hideMark/>
          </w:tcPr>
          <w:p w:rsidR="00D50B6B" w:rsidRDefault="00D50B6B" w:rsidP="001F408B">
            <w:pPr>
              <w:jc w:val="right"/>
            </w:pPr>
          </w:p>
        </w:tc>
        <w:tc>
          <w:tcPr>
            <w:tcW w:w="117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b/>
                <w:bCs/>
                <w:color w:val="000000"/>
                <w:sz w:val="18"/>
                <w:szCs w:val="18"/>
              </w:rPr>
            </w:pP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71.09</w:t>
            </w:r>
          </w:p>
        </w:tc>
        <w:tc>
          <w:tcPr>
            <w:tcW w:w="877"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1</w:t>
            </w:r>
            <w:r>
              <w:rPr>
                <w:b/>
                <w:bCs/>
                <w:color w:val="000000"/>
                <w:sz w:val="18"/>
                <w:szCs w:val="18"/>
              </w:rPr>
              <w:t>,</w:t>
            </w:r>
            <w:r w:rsidRPr="00454C35">
              <w:rPr>
                <w:b/>
                <w:bCs/>
                <w:color w:val="000000"/>
                <w:sz w:val="18"/>
                <w:szCs w:val="18"/>
              </w:rPr>
              <w:t>777.25</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$75,053.27</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 </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noWrap/>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Choice Neighborhoods Application - Planning Grants</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Application Checklist/Table of Contents (HUD-53150)</w:t>
            </w:r>
          </w:p>
        </w:tc>
        <w:tc>
          <w:tcPr>
            <w:tcW w:w="1246"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0.17</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8.5</w:t>
            </w:r>
            <w:r>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$358.9</w:t>
            </w:r>
            <w:r w:rsidR="000014BC">
              <w:rPr>
                <w:color w:val="000000"/>
                <w:sz w:val="18"/>
                <w:szCs w:val="18"/>
              </w:rPr>
              <w:t>6</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Narrative Exhibits</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$23,226.50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Key Eligibility Data (HUD-53152)</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37.5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$1,583.6</w:t>
            </w:r>
            <w:r w:rsidR="000014BC">
              <w:rPr>
                <w:color w:val="000000"/>
                <w:sz w:val="18"/>
                <w:szCs w:val="18"/>
              </w:rPr>
              <w:t>3</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Budget</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Applicants Documentation (including HUD-2530)</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$4,223.00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Planning Coordinator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$4,223.00</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Neighborhoods Documentation – Eligible Neighborhoods Map</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Neighborhoods Documentation – Substandard Housing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96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Eligible Target Housing Documentation –Severe Distress of Targeted Project Certification (HUD-53232)</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Resident Involvement Certification (HUD-53151)</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0014BC">
              <w:rPr>
                <w:color w:val="000000"/>
                <w:sz w:val="18"/>
                <w:szCs w:val="18"/>
              </w:rPr>
              <w:t>8</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City and Neighborhood Maps</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$4,223.00</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Rehab cost est.</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Structural Deficiencies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5502E2">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76635">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Design Deficiencies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Need - Part I Violent Crimes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Consistency with other plans documentation (HUD-2991)</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0.75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37.5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$1,583.63</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 xml:space="preserve">Alignment with existing efforts documentation </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000000" w:fill="FFFFFF"/>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Leverage documentation (HUD-5315</w:t>
            </w:r>
            <w:r>
              <w:rPr>
                <w:color w:val="000000"/>
                <w:sz w:val="18"/>
                <w:szCs w:val="18"/>
              </w:rPr>
              <w:t xml:space="preserve"> </w:t>
            </w:r>
            <w:r w:rsidRPr="00454C35">
              <w:rPr>
                <w:color w:val="000000"/>
                <w:sz w:val="18"/>
                <w:szCs w:val="18"/>
              </w:rPr>
              <w:t>4)</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Current Site Plan and photographs</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Local govt. and partnerships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Schedule and staffing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w:t>
            </w:r>
            <w:r>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50</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$2,111.50</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Bonus points documentation (HUD-2995)</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0.5</w:t>
            </w:r>
            <w:r>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25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$1,055.75</w:t>
            </w:r>
          </w:p>
        </w:tc>
      </w:tr>
      <w:tr w:rsidR="00D50B6B" w:rsidRPr="00454C35" w:rsidTr="00D50B6B">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SF-424 Application for Federal Assistance</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0014BC">
              <w:rPr>
                <w:color w:val="000000"/>
                <w:sz w:val="18"/>
                <w:szCs w:val="18"/>
              </w:rPr>
              <w:t>8</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SF-LLL Disclosure of Lobbying Activities documentation</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0.17</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8.5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$358.</w:t>
            </w:r>
            <w:r w:rsidR="001F408B">
              <w:rPr>
                <w:color w:val="000000"/>
                <w:sz w:val="18"/>
                <w:szCs w:val="18"/>
              </w:rPr>
              <w:t>9</w:t>
            </w:r>
            <w:r w:rsidR="000014BC">
              <w:rPr>
                <w:color w:val="000000"/>
                <w:sz w:val="18"/>
                <w:szCs w:val="18"/>
              </w:rPr>
              <w:t>6</w:t>
            </w:r>
          </w:p>
        </w:tc>
      </w:tr>
      <w:tr w:rsidR="00D50B6B" w:rsidRPr="00454C35" w:rsidTr="00D50B6B">
        <w:trPr>
          <w:trHeight w:val="7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color w:val="000000"/>
                <w:sz w:val="18"/>
                <w:szCs w:val="18"/>
              </w:rPr>
            </w:pPr>
            <w:r w:rsidRPr="00454C35">
              <w:rPr>
                <w:color w:val="000000"/>
                <w:sz w:val="18"/>
                <w:szCs w:val="18"/>
              </w:rPr>
              <w:t>HUD-2880 Applicant/Recipient Disclosure/Update Report</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BB5B13">
              <w:rPr>
                <w:color w:val="000000"/>
                <w:sz w:val="18"/>
                <w:szCs w:val="18"/>
              </w:rPr>
              <w:t>50.00</w:t>
            </w:r>
          </w:p>
        </w:tc>
        <w:tc>
          <w:tcPr>
            <w:tcW w:w="117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r w:rsidRPr="00974658">
              <w:rPr>
                <w:color w:val="000000"/>
                <w:sz w:val="18"/>
                <w:szCs w:val="18"/>
              </w:rPr>
              <w:t>1.00</w:t>
            </w:r>
          </w:p>
        </w:tc>
        <w:tc>
          <w:tcPr>
            <w:tcW w:w="990" w:type="dxa"/>
            <w:tcBorders>
              <w:top w:val="nil"/>
              <w:left w:val="nil"/>
              <w:bottom w:val="single" w:sz="4" w:space="0" w:color="auto"/>
              <w:right w:val="single" w:sz="4" w:space="0" w:color="auto"/>
            </w:tcBorders>
            <w:shd w:val="clear" w:color="auto" w:fill="auto"/>
            <w:hideMark/>
          </w:tcPr>
          <w:p w:rsidR="00D50B6B" w:rsidRDefault="00D50B6B" w:rsidP="001F408B">
            <w:pPr>
              <w:jc w:val="right"/>
            </w:pPr>
            <w:r w:rsidRPr="005C67FD">
              <w:rPr>
                <w:color w:val="000000"/>
                <w:sz w:val="18"/>
                <w:szCs w:val="18"/>
              </w:rPr>
              <w:t>50.00</w:t>
            </w: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0.25</w:t>
            </w:r>
          </w:p>
        </w:tc>
        <w:tc>
          <w:tcPr>
            <w:tcW w:w="877"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12.5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color w:val="000000"/>
                <w:sz w:val="18"/>
                <w:szCs w:val="18"/>
              </w:rPr>
            </w:pPr>
            <w:r w:rsidRPr="00454C35">
              <w:rPr>
                <w:color w:val="000000"/>
                <w:sz w:val="18"/>
                <w:szCs w:val="18"/>
              </w:rPr>
              <w:t>$527.8</w:t>
            </w:r>
            <w:r w:rsidR="001F408B">
              <w:rPr>
                <w:color w:val="000000"/>
                <w:sz w:val="18"/>
                <w:szCs w:val="18"/>
              </w:rPr>
              <w:t>7</w:t>
            </w:r>
          </w:p>
        </w:tc>
      </w:tr>
      <w:tr w:rsidR="00D50B6B" w:rsidRPr="00454C35" w:rsidTr="00D50B6B">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D50B6B" w:rsidRPr="00454C35" w:rsidRDefault="00D50B6B" w:rsidP="00D50B6B">
            <w:pPr>
              <w:overflowPunct/>
              <w:autoSpaceDE/>
              <w:autoSpaceDN/>
              <w:adjustRightInd/>
              <w:textAlignment w:val="auto"/>
              <w:rPr>
                <w:b/>
                <w:bCs/>
                <w:color w:val="000000"/>
                <w:sz w:val="18"/>
                <w:szCs w:val="18"/>
              </w:rPr>
            </w:pPr>
            <w:r w:rsidRPr="00454C35">
              <w:rPr>
                <w:b/>
                <w:bCs/>
                <w:color w:val="000000"/>
                <w:sz w:val="18"/>
                <w:szCs w:val="18"/>
              </w:rPr>
              <w:t>Sub Total</w:t>
            </w:r>
          </w:p>
        </w:tc>
        <w:tc>
          <w:tcPr>
            <w:tcW w:w="1246"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b/>
                <w:bCs/>
                <w:color w:val="000000"/>
                <w:sz w:val="18"/>
                <w:szCs w:val="18"/>
              </w:rPr>
            </w:pPr>
          </w:p>
        </w:tc>
        <w:tc>
          <w:tcPr>
            <w:tcW w:w="990" w:type="dxa"/>
            <w:tcBorders>
              <w:top w:val="nil"/>
              <w:left w:val="nil"/>
              <w:bottom w:val="single" w:sz="4" w:space="0" w:color="auto"/>
              <w:right w:val="single" w:sz="4" w:space="0" w:color="auto"/>
            </w:tcBorders>
            <w:shd w:val="clear" w:color="auto" w:fill="auto"/>
            <w:noWrap/>
            <w:hideMark/>
          </w:tcPr>
          <w:p w:rsidR="00D50B6B" w:rsidRDefault="00D50B6B" w:rsidP="001F408B">
            <w:pPr>
              <w:jc w:val="right"/>
            </w:pPr>
          </w:p>
        </w:tc>
        <w:tc>
          <w:tcPr>
            <w:tcW w:w="833"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36.59</w:t>
            </w:r>
          </w:p>
        </w:tc>
        <w:tc>
          <w:tcPr>
            <w:tcW w:w="877"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1</w:t>
            </w:r>
            <w:r>
              <w:rPr>
                <w:b/>
                <w:bCs/>
                <w:color w:val="000000"/>
                <w:sz w:val="18"/>
                <w:szCs w:val="18"/>
              </w:rPr>
              <w:t>,</w:t>
            </w:r>
            <w:r w:rsidRPr="00454C35">
              <w:rPr>
                <w:b/>
                <w:bCs/>
                <w:color w:val="000000"/>
                <w:sz w:val="18"/>
                <w:szCs w:val="18"/>
              </w:rPr>
              <w:t>829.5</w:t>
            </w:r>
            <w:r w:rsidR="00C740A2">
              <w:rPr>
                <w:b/>
                <w:bCs/>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D50B6B" w:rsidRPr="00454C35" w:rsidRDefault="00D50B6B"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D50B6B" w:rsidRPr="00454C35" w:rsidRDefault="00D50B6B" w:rsidP="001F408B">
            <w:pPr>
              <w:overflowPunct/>
              <w:autoSpaceDE/>
              <w:autoSpaceDN/>
              <w:adjustRightInd/>
              <w:jc w:val="right"/>
              <w:textAlignment w:val="auto"/>
              <w:rPr>
                <w:b/>
                <w:bCs/>
                <w:color w:val="000000"/>
                <w:sz w:val="18"/>
                <w:szCs w:val="18"/>
              </w:rPr>
            </w:pPr>
            <w:r w:rsidRPr="00454C35">
              <w:rPr>
                <w:b/>
                <w:bCs/>
                <w:color w:val="000000"/>
                <w:sz w:val="18"/>
                <w:szCs w:val="18"/>
              </w:rPr>
              <w:t>$77,259.79</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 </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77"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noWrap/>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Non-NOFA Collections</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877"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Implementation grantees on-line quarterly reporting</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23</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92</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8</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736</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$31,081.28</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Planning grantees quarterly reporting</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16</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64</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128</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$5,405.44</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Planning Grant Budget Form (HUD-53421)</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16</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16</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16</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$675.68</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 xml:space="preserve">Implementation Grant Budget Form (HUD-53236) </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23</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23</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D50B6B">
              <w:rPr>
                <w:color w:val="000000"/>
                <w:sz w:val="18"/>
                <w:szCs w:val="18"/>
              </w:rPr>
              <w:t>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34.5</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$1,456.9</w:t>
            </w:r>
            <w:r w:rsidR="000014BC">
              <w:rPr>
                <w:color w:val="000000"/>
                <w:sz w:val="18"/>
                <w:szCs w:val="18"/>
              </w:rPr>
              <w:t>4</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 xml:space="preserve">Actual Cost Certificate (HUD-50163) closeout </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$633.45</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TA feedback document</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70</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2</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14</w:t>
            </w:r>
            <w:r w:rsidR="00B830FE">
              <w:rPr>
                <w:color w:val="000000"/>
                <w:sz w:val="18"/>
                <w:szCs w:val="18"/>
              </w:rPr>
              <w:t>0</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0.08</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11.2</w:t>
            </w:r>
            <w:r w:rsidR="00C740A2">
              <w:rPr>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$472.9</w:t>
            </w:r>
            <w:r w:rsidR="000014BC">
              <w:rPr>
                <w:color w:val="000000"/>
                <w:sz w:val="18"/>
                <w:szCs w:val="18"/>
              </w:rPr>
              <w:t>8</w:t>
            </w:r>
          </w:p>
        </w:tc>
      </w:tr>
      <w:tr w:rsidR="00454C35" w:rsidRPr="00454C35" w:rsidTr="00987DDE">
        <w:trPr>
          <w:trHeight w:val="480"/>
        </w:trPr>
        <w:tc>
          <w:tcPr>
            <w:tcW w:w="3609" w:type="dxa"/>
            <w:tcBorders>
              <w:top w:val="nil"/>
              <w:left w:val="single" w:sz="4" w:space="0" w:color="auto"/>
              <w:bottom w:val="single" w:sz="4" w:space="0" w:color="auto"/>
              <w:right w:val="single" w:sz="4" w:space="0" w:color="auto"/>
            </w:tcBorders>
            <w:shd w:val="clear" w:color="000000" w:fill="FFFFFF"/>
            <w:vAlign w:val="center"/>
            <w:hideMark/>
          </w:tcPr>
          <w:p w:rsidR="00454C35" w:rsidRPr="00454C35" w:rsidRDefault="00454C35" w:rsidP="00454C35">
            <w:pPr>
              <w:overflowPunct/>
              <w:autoSpaceDE/>
              <w:autoSpaceDN/>
              <w:adjustRightInd/>
              <w:textAlignment w:val="auto"/>
              <w:rPr>
                <w:color w:val="000000"/>
                <w:sz w:val="18"/>
                <w:szCs w:val="18"/>
              </w:rPr>
            </w:pPr>
            <w:r w:rsidRPr="00454C35">
              <w:rPr>
                <w:color w:val="000000"/>
                <w:sz w:val="18"/>
                <w:szCs w:val="18"/>
              </w:rPr>
              <w:t>Certifications and Assurances (CN development)</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D50B6B">
              <w:rPr>
                <w:color w:val="000000"/>
                <w:sz w:val="18"/>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99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D50B6B">
              <w:rPr>
                <w:color w:val="000000"/>
                <w:sz w:val="18"/>
                <w:szCs w:val="18"/>
              </w:rPr>
              <w:t>.00</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w:t>
            </w:r>
            <w:r w:rsidR="00D50B6B">
              <w:rPr>
                <w:color w:val="000000"/>
                <w:sz w:val="18"/>
                <w:szCs w:val="18"/>
              </w:rPr>
              <w:t>.00</w:t>
            </w:r>
          </w:p>
        </w:tc>
        <w:tc>
          <w:tcPr>
            <w:tcW w:w="877"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15</w:t>
            </w:r>
            <w:r w:rsidR="00C740A2">
              <w:rPr>
                <w:color w:val="000000"/>
                <w:sz w:val="18"/>
                <w:szCs w:val="18"/>
              </w:rPr>
              <w:t>.00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$42.23</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r w:rsidRPr="00454C35">
              <w:rPr>
                <w:color w:val="000000"/>
                <w:sz w:val="18"/>
                <w:szCs w:val="18"/>
              </w:rPr>
              <w:t>$633.45</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Sub Total</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0014BC" w:rsidP="001F408B">
            <w:pPr>
              <w:overflowPunct/>
              <w:autoSpaceDE/>
              <w:autoSpaceDN/>
              <w:adjustRightInd/>
              <w:jc w:val="right"/>
              <w:textAlignment w:val="auto"/>
              <w:rPr>
                <w:b/>
                <w:bCs/>
                <w:color w:val="000000"/>
                <w:sz w:val="18"/>
                <w:szCs w:val="18"/>
              </w:rPr>
            </w:pPr>
            <w:r>
              <w:rPr>
                <w:b/>
                <w:bCs/>
                <w:color w:val="000000"/>
                <w:sz w:val="18"/>
                <w:szCs w:val="18"/>
              </w:rPr>
              <w:t>178.00</w:t>
            </w: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365</w:t>
            </w: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14.58</w:t>
            </w:r>
          </w:p>
        </w:tc>
        <w:tc>
          <w:tcPr>
            <w:tcW w:w="877"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955.7</w:t>
            </w:r>
            <w:r w:rsidR="00C740A2">
              <w:rPr>
                <w:b/>
                <w:bCs/>
                <w:color w:val="000000"/>
                <w:sz w:val="18"/>
                <w:szCs w:val="18"/>
              </w:rPr>
              <w:t>0</w:t>
            </w:r>
          </w:p>
        </w:tc>
        <w:tc>
          <w:tcPr>
            <w:tcW w:w="720" w:type="dxa"/>
            <w:tcBorders>
              <w:top w:val="nil"/>
              <w:left w:val="nil"/>
              <w:bottom w:val="single" w:sz="4" w:space="0" w:color="auto"/>
              <w:right w:val="single" w:sz="4" w:space="0" w:color="auto"/>
            </w:tcBorders>
            <w:shd w:val="clear" w:color="auto" w:fill="auto"/>
            <w:vAlign w:val="center"/>
            <w:hideMark/>
          </w:tcPr>
          <w:p w:rsidR="00454C35" w:rsidRPr="00454C35" w:rsidRDefault="00454C35" w:rsidP="001F408B">
            <w:pPr>
              <w:overflowPunct/>
              <w:autoSpaceDE/>
              <w:autoSpaceDN/>
              <w:adjustRightInd/>
              <w:jc w:val="right"/>
              <w:textAlignment w:val="auto"/>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$40,359.21</w:t>
            </w:r>
          </w:p>
        </w:tc>
      </w:tr>
      <w:tr w:rsidR="00454C35" w:rsidRPr="00454C35" w:rsidTr="00987DDE">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 </w:t>
            </w:r>
          </w:p>
        </w:tc>
        <w:tc>
          <w:tcPr>
            <w:tcW w:w="1246"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77"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r>
      <w:tr w:rsidR="00454C35" w:rsidRPr="00454C35" w:rsidTr="000014BC">
        <w:trPr>
          <w:trHeight w:val="30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454C35" w:rsidRPr="00454C35" w:rsidRDefault="00454C35" w:rsidP="00454C35">
            <w:pPr>
              <w:overflowPunct/>
              <w:autoSpaceDE/>
              <w:autoSpaceDN/>
              <w:adjustRightInd/>
              <w:textAlignment w:val="auto"/>
              <w:rPr>
                <w:b/>
                <w:bCs/>
                <w:color w:val="000000"/>
                <w:sz w:val="18"/>
                <w:szCs w:val="18"/>
              </w:rPr>
            </w:pPr>
            <w:r w:rsidRPr="00454C35">
              <w:rPr>
                <w:b/>
                <w:bCs/>
                <w:color w:val="000000"/>
                <w:sz w:val="18"/>
                <w:szCs w:val="18"/>
              </w:rPr>
              <w:t>Overall Total</w:t>
            </w:r>
          </w:p>
        </w:tc>
        <w:tc>
          <w:tcPr>
            <w:tcW w:w="1246" w:type="dxa"/>
            <w:tcBorders>
              <w:top w:val="nil"/>
              <w:left w:val="nil"/>
              <w:bottom w:val="single" w:sz="4" w:space="0" w:color="auto"/>
              <w:right w:val="single" w:sz="4" w:space="0" w:color="auto"/>
            </w:tcBorders>
            <w:shd w:val="clear" w:color="auto" w:fill="auto"/>
            <w:noWrap/>
            <w:vAlign w:val="center"/>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122.26</w:t>
            </w:r>
          </w:p>
        </w:tc>
        <w:tc>
          <w:tcPr>
            <w:tcW w:w="877"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4</w:t>
            </w:r>
            <w:r w:rsidR="0091034B">
              <w:rPr>
                <w:b/>
                <w:bCs/>
                <w:color w:val="000000"/>
                <w:sz w:val="18"/>
                <w:szCs w:val="18"/>
              </w:rPr>
              <w:t>,</w:t>
            </w:r>
            <w:r w:rsidRPr="00454C35">
              <w:rPr>
                <w:b/>
                <w:bCs/>
                <w:color w:val="000000"/>
                <w:sz w:val="18"/>
                <w:szCs w:val="18"/>
              </w:rPr>
              <w:t>562.45</w:t>
            </w:r>
          </w:p>
        </w:tc>
        <w:tc>
          <w:tcPr>
            <w:tcW w:w="72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454C35" w:rsidRPr="00454C35" w:rsidRDefault="00454C35" w:rsidP="001F408B">
            <w:pPr>
              <w:overflowPunct/>
              <w:autoSpaceDE/>
              <w:autoSpaceDN/>
              <w:adjustRightInd/>
              <w:jc w:val="right"/>
              <w:textAlignment w:val="auto"/>
              <w:rPr>
                <w:b/>
                <w:bCs/>
                <w:color w:val="000000"/>
                <w:sz w:val="18"/>
                <w:szCs w:val="18"/>
              </w:rPr>
            </w:pPr>
            <w:r w:rsidRPr="00454C35">
              <w:rPr>
                <w:b/>
                <w:bCs/>
                <w:color w:val="000000"/>
                <w:sz w:val="18"/>
                <w:szCs w:val="18"/>
              </w:rPr>
              <w:t>$192,672.26</w:t>
            </w:r>
          </w:p>
        </w:tc>
      </w:tr>
    </w:tbl>
    <w:p w:rsidR="004D0425" w:rsidRPr="00DF27C6" w:rsidRDefault="004D0425">
      <w:pPr>
        <w:pStyle w:val="BodyTextIndent2"/>
        <w:tabs>
          <w:tab w:val="left" w:pos="360"/>
        </w:tabs>
        <w:spacing w:after="120" w:line="240" w:lineRule="auto"/>
        <w:ind w:hanging="336"/>
        <w:rPr>
          <w:b/>
        </w:rPr>
      </w:pPr>
    </w:p>
    <w:p w:rsidR="00DA53DB" w:rsidRPr="00DF27C6" w:rsidRDefault="00DA53DB">
      <w:pPr>
        <w:pStyle w:val="BodyTextIndent2"/>
        <w:tabs>
          <w:tab w:val="left" w:pos="360"/>
        </w:tabs>
        <w:spacing w:after="120" w:line="240" w:lineRule="auto"/>
        <w:ind w:hanging="336"/>
        <w:rPr>
          <w:b/>
        </w:rPr>
      </w:pPr>
      <w:r w:rsidRPr="00DF27C6">
        <w:rPr>
          <w:b/>
        </w:rPr>
        <w:t>13.</w:t>
      </w:r>
      <w:r w:rsidRPr="00DF27C6">
        <w:rPr>
          <w:b/>
        </w:rPr>
        <w:tab/>
        <w:t xml:space="preserve">Cost Burden of Information Collection: </w:t>
      </w:r>
    </w:p>
    <w:p w:rsidR="008C0244" w:rsidRPr="00DF27C6" w:rsidRDefault="00DA53DB">
      <w:pPr>
        <w:pStyle w:val="BodyTextIndent2"/>
        <w:tabs>
          <w:tab w:val="left" w:pos="360"/>
        </w:tabs>
        <w:spacing w:after="120" w:line="240" w:lineRule="auto"/>
        <w:ind w:hanging="336"/>
      </w:pPr>
      <w:r w:rsidRPr="00DF27C6">
        <w:tab/>
      </w:r>
      <w:r w:rsidR="009F4B77" w:rsidRPr="00DF27C6">
        <w:t xml:space="preserve">There are no start-up or additional costs to the respondents other than those reported in Item 12 above in the Burden Cost Column.  </w:t>
      </w:r>
    </w:p>
    <w:p w:rsidR="00DA53DB" w:rsidRPr="00DF27C6" w:rsidRDefault="00DA53DB" w:rsidP="008C0244">
      <w:pPr>
        <w:pStyle w:val="BodyTextIndent2"/>
        <w:tabs>
          <w:tab w:val="left" w:pos="360"/>
        </w:tabs>
        <w:spacing w:after="120" w:line="240" w:lineRule="auto"/>
        <w:ind w:left="0"/>
        <w:rPr>
          <w:b/>
        </w:rPr>
      </w:pPr>
      <w:r w:rsidRPr="00DF27C6">
        <w:rPr>
          <w:b/>
        </w:rPr>
        <w:t>14.</w:t>
      </w:r>
      <w:r w:rsidRPr="00DF27C6">
        <w:rPr>
          <w:b/>
        </w:rPr>
        <w:tab/>
        <w:t xml:space="preserve">Annualized Cost to Federal Government:  </w:t>
      </w:r>
    </w:p>
    <w:p w:rsidR="00DA53DB" w:rsidRPr="00DF27C6" w:rsidRDefault="00DA53DB">
      <w:pPr>
        <w:pStyle w:val="BodyTextIndent2"/>
        <w:tabs>
          <w:tab w:val="left" w:pos="360"/>
        </w:tabs>
        <w:spacing w:after="120" w:line="240" w:lineRule="auto"/>
        <w:ind w:hanging="336"/>
      </w:pPr>
      <w:r w:rsidRPr="00DF27C6">
        <w:tab/>
        <w:t xml:space="preserve">We do not estimate that there will be any additional costs to the Federal government for any of these information collections.  </w:t>
      </w:r>
    </w:p>
    <w:p w:rsidR="00DA53DB" w:rsidRPr="00DF27C6" w:rsidRDefault="00DA53DB">
      <w:pPr>
        <w:pStyle w:val="BodyTextIndent2"/>
        <w:tabs>
          <w:tab w:val="left" w:pos="360"/>
        </w:tabs>
        <w:spacing w:after="120" w:line="240" w:lineRule="auto"/>
        <w:ind w:hanging="336"/>
        <w:rPr>
          <w:b/>
        </w:rPr>
      </w:pPr>
      <w:r w:rsidRPr="00DF27C6">
        <w:rPr>
          <w:b/>
        </w:rPr>
        <w:t>15.</w:t>
      </w:r>
      <w:r w:rsidRPr="00DF27C6">
        <w:rPr>
          <w:b/>
        </w:rPr>
        <w:tab/>
        <w:t xml:space="preserve">Changes or Adjustments to OMB Form 83-I: </w:t>
      </w:r>
    </w:p>
    <w:p w:rsidR="00016734" w:rsidRPr="00DF27C6" w:rsidRDefault="00820F26" w:rsidP="004A361A">
      <w:pPr>
        <w:pStyle w:val="BodyTextIndent2"/>
        <w:tabs>
          <w:tab w:val="left" w:pos="360"/>
        </w:tabs>
        <w:spacing w:after="120" w:line="240" w:lineRule="auto"/>
        <w:ind w:hanging="336"/>
      </w:pPr>
      <w:r w:rsidRPr="00DF27C6">
        <w:t xml:space="preserve">Program Change:  </w:t>
      </w:r>
      <w:r w:rsidR="005D3180">
        <w:t>N/A</w:t>
      </w:r>
    </w:p>
    <w:p w:rsidR="00E06E0D" w:rsidRPr="00DF27C6" w:rsidRDefault="00E06E0D" w:rsidP="00DF27C6">
      <w:pPr>
        <w:pStyle w:val="ListParagraph"/>
      </w:pPr>
    </w:p>
    <w:p w:rsidR="00C52774" w:rsidRPr="00DF27C6" w:rsidRDefault="00C52774" w:rsidP="00C52774">
      <w:pPr>
        <w:pStyle w:val="BodyTextIndent2"/>
        <w:tabs>
          <w:tab w:val="left" w:pos="360"/>
        </w:tabs>
        <w:spacing w:line="240" w:lineRule="auto"/>
        <w:ind w:left="0"/>
      </w:pPr>
      <w:r w:rsidRPr="00DF27C6">
        <w:t>Adjustment:</w:t>
      </w:r>
    </w:p>
    <w:p w:rsidR="00C52774" w:rsidRPr="00DF27C6" w:rsidRDefault="00C52774" w:rsidP="00C52774">
      <w:pPr>
        <w:pStyle w:val="BodyTextIndent2"/>
        <w:tabs>
          <w:tab w:val="left" w:pos="360"/>
        </w:tabs>
        <w:spacing w:line="240" w:lineRule="auto"/>
        <w:ind w:left="0"/>
      </w:pPr>
    </w:p>
    <w:p w:rsidR="008826BD" w:rsidRPr="0091034B" w:rsidRDefault="00EE5693">
      <w:pPr>
        <w:pStyle w:val="BodyTextIndent2"/>
        <w:tabs>
          <w:tab w:val="left" w:pos="360"/>
        </w:tabs>
        <w:spacing w:line="240" w:lineRule="auto"/>
        <w:ind w:left="0"/>
        <w:rPr>
          <w:i/>
        </w:rPr>
      </w:pPr>
      <w:r w:rsidRPr="0091034B">
        <w:rPr>
          <w:i/>
        </w:rPr>
        <w:t>NOFA-related Collections:</w:t>
      </w:r>
    </w:p>
    <w:p w:rsidR="00EE5693" w:rsidRDefault="00587B12" w:rsidP="00EE5693">
      <w:pPr>
        <w:pStyle w:val="BodyTextIndent2"/>
        <w:numPr>
          <w:ilvl w:val="0"/>
          <w:numId w:val="14"/>
        </w:numPr>
        <w:tabs>
          <w:tab w:val="left" w:pos="360"/>
        </w:tabs>
        <w:spacing w:line="240" w:lineRule="auto"/>
      </w:pPr>
      <w:r>
        <w:t xml:space="preserve">The NOFAs continue to </w:t>
      </w:r>
      <w:r w:rsidR="006E202C">
        <w:t>focus on evaluating</w:t>
      </w:r>
      <w:r>
        <w:t xml:space="preserve"> eligibility, capacity, need</w:t>
      </w:r>
      <w:r w:rsidR="006E202C">
        <w:t xml:space="preserve">, </w:t>
      </w:r>
      <w:r>
        <w:t>soundness of approach</w:t>
      </w:r>
      <w:r w:rsidR="005C4070">
        <w:t>/plan</w:t>
      </w:r>
      <w:r>
        <w:t>, and match/leverage</w:t>
      </w:r>
      <w:r w:rsidR="002878B6">
        <w:t>, with a</w:t>
      </w:r>
      <w:r w:rsidR="00EE5693">
        <w:t>dditions to the collection (necessary for the program)</w:t>
      </w:r>
      <w:r w:rsidR="002878B6">
        <w:t xml:space="preserve">: Rental Assistance Demonstration certification, </w:t>
      </w:r>
      <w:r w:rsidR="00471B53">
        <w:t>P</w:t>
      </w:r>
      <w:r w:rsidR="002878B6">
        <w:t xml:space="preserve">roject-based voucher documentation, and Alignment with </w:t>
      </w:r>
      <w:r w:rsidR="00471B53">
        <w:t>e</w:t>
      </w:r>
      <w:r w:rsidR="002878B6">
        <w:t xml:space="preserve">xisting </w:t>
      </w:r>
      <w:r w:rsidR="00471B53">
        <w:t>e</w:t>
      </w:r>
      <w:r w:rsidR="002878B6">
        <w:t xml:space="preserve">fforts documentation. </w:t>
      </w:r>
    </w:p>
    <w:p w:rsidR="00B56708" w:rsidRPr="00471288" w:rsidRDefault="00C42A7B" w:rsidP="00EE5693">
      <w:pPr>
        <w:pStyle w:val="BodyTextIndent2"/>
        <w:numPr>
          <w:ilvl w:val="0"/>
          <w:numId w:val="14"/>
        </w:numPr>
        <w:tabs>
          <w:tab w:val="left" w:pos="360"/>
        </w:tabs>
        <w:spacing w:line="240" w:lineRule="auto"/>
      </w:pPr>
      <w:r>
        <w:t>Overall,</w:t>
      </w:r>
      <w:r w:rsidR="009C2969">
        <w:t xml:space="preserve"> the NOFA-related collections have been streamlined as reflected in the removal of the following </w:t>
      </w:r>
      <w:r w:rsidR="005D15DF">
        <w:t xml:space="preserve">items:  </w:t>
      </w:r>
    </w:p>
    <w:p w:rsidR="00471288" w:rsidRPr="00471288" w:rsidRDefault="005D15DF" w:rsidP="00B56708">
      <w:pPr>
        <w:pStyle w:val="BodyTextIndent2"/>
        <w:numPr>
          <w:ilvl w:val="1"/>
          <w:numId w:val="14"/>
        </w:numPr>
        <w:tabs>
          <w:tab w:val="left" w:pos="360"/>
        </w:tabs>
        <w:spacing w:line="240" w:lineRule="auto"/>
      </w:pPr>
      <w:r>
        <w:t>From Implementation applications:</w:t>
      </w:r>
    </w:p>
    <w:p w:rsidR="00B56708" w:rsidRPr="00471288" w:rsidRDefault="005D15DF" w:rsidP="00471288">
      <w:pPr>
        <w:pStyle w:val="BodyTextIndent2"/>
        <w:numPr>
          <w:ilvl w:val="2"/>
          <w:numId w:val="14"/>
        </w:numPr>
        <w:tabs>
          <w:tab w:val="left" w:pos="360"/>
        </w:tabs>
        <w:spacing w:line="240" w:lineRule="auto"/>
      </w:pPr>
      <w:r w:rsidRPr="005D15DF">
        <w:rPr>
          <w:color w:val="000000"/>
        </w:rPr>
        <w:t xml:space="preserve">Eligible Neighborhoods Documentation – Inadequate School Documentation (HUD-53153) </w:t>
      </w:r>
    </w:p>
    <w:p w:rsidR="00B56708" w:rsidRPr="00471288" w:rsidRDefault="005D15DF" w:rsidP="00471288">
      <w:pPr>
        <w:pStyle w:val="BodyTextIndent2"/>
        <w:numPr>
          <w:ilvl w:val="2"/>
          <w:numId w:val="14"/>
        </w:numPr>
        <w:tabs>
          <w:tab w:val="left" w:pos="360"/>
        </w:tabs>
        <w:spacing w:line="240" w:lineRule="auto"/>
      </w:pPr>
      <w:r w:rsidRPr="005D15DF">
        <w:rPr>
          <w:color w:val="000000"/>
        </w:rPr>
        <w:t>Capacity - Education Implementation Documentation</w:t>
      </w:r>
    </w:p>
    <w:p w:rsidR="00B56708" w:rsidRPr="00471288" w:rsidRDefault="005D15DF" w:rsidP="00471288">
      <w:pPr>
        <w:pStyle w:val="BodyTextIndent2"/>
        <w:numPr>
          <w:ilvl w:val="2"/>
          <w:numId w:val="14"/>
        </w:numPr>
        <w:tabs>
          <w:tab w:val="left" w:pos="360"/>
        </w:tabs>
        <w:spacing w:line="240" w:lineRule="auto"/>
      </w:pPr>
      <w:r w:rsidRPr="005D15DF">
        <w:rPr>
          <w:color w:val="000000"/>
        </w:rPr>
        <w:t>LEED, green development, energy efficiency documentation</w:t>
      </w:r>
    </w:p>
    <w:p w:rsidR="009C2969" w:rsidRPr="00471288" w:rsidRDefault="005D15DF" w:rsidP="00471288">
      <w:pPr>
        <w:pStyle w:val="BodyTextIndent2"/>
        <w:numPr>
          <w:ilvl w:val="2"/>
          <w:numId w:val="14"/>
        </w:numPr>
        <w:tabs>
          <w:tab w:val="left" w:pos="360"/>
        </w:tabs>
        <w:spacing w:line="240" w:lineRule="auto"/>
      </w:pPr>
      <w:r w:rsidRPr="005D15DF">
        <w:rPr>
          <w:color w:val="000000"/>
        </w:rPr>
        <w:t xml:space="preserve">CFFP documentation </w:t>
      </w:r>
    </w:p>
    <w:p w:rsidR="00B56708" w:rsidRPr="00471288" w:rsidRDefault="005D15DF" w:rsidP="00471288">
      <w:pPr>
        <w:pStyle w:val="BodyTextIndent2"/>
        <w:numPr>
          <w:ilvl w:val="2"/>
          <w:numId w:val="14"/>
        </w:numPr>
        <w:tabs>
          <w:tab w:val="left" w:pos="360"/>
        </w:tabs>
        <w:spacing w:line="240" w:lineRule="auto"/>
      </w:pPr>
      <w:r w:rsidRPr="005D15DF">
        <w:rPr>
          <w:color w:val="000000"/>
        </w:rPr>
        <w:t>Choice Neighborhoods Application Certification - Implementation Grants (HUD-53240)</w:t>
      </w:r>
    </w:p>
    <w:p w:rsidR="00B56708" w:rsidRPr="00471288" w:rsidRDefault="005D15DF" w:rsidP="00471288">
      <w:pPr>
        <w:pStyle w:val="BodyTextIndent2"/>
        <w:numPr>
          <w:ilvl w:val="2"/>
          <w:numId w:val="14"/>
        </w:numPr>
        <w:tabs>
          <w:tab w:val="left" w:pos="360"/>
        </w:tabs>
        <w:spacing w:line="240" w:lineRule="auto"/>
      </w:pPr>
      <w:r w:rsidRPr="005D15DF">
        <w:rPr>
          <w:color w:val="000000"/>
        </w:rPr>
        <w:t>Section 3 report</w:t>
      </w:r>
    </w:p>
    <w:p w:rsidR="00B56708" w:rsidRPr="00471288" w:rsidRDefault="005D15DF" w:rsidP="00471288">
      <w:pPr>
        <w:pStyle w:val="BodyTextIndent2"/>
        <w:numPr>
          <w:ilvl w:val="2"/>
          <w:numId w:val="14"/>
        </w:numPr>
        <w:tabs>
          <w:tab w:val="left" w:pos="360"/>
        </w:tabs>
        <w:spacing w:line="240" w:lineRule="auto"/>
      </w:pPr>
      <w:r w:rsidRPr="005D15DF">
        <w:rPr>
          <w:color w:val="000000"/>
        </w:rPr>
        <w:t>96011 Third Party Facsimile Report</w:t>
      </w:r>
    </w:p>
    <w:p w:rsidR="00471288" w:rsidRPr="00471288" w:rsidRDefault="005D15DF" w:rsidP="00471288">
      <w:pPr>
        <w:pStyle w:val="BodyTextIndent2"/>
        <w:numPr>
          <w:ilvl w:val="1"/>
          <w:numId w:val="14"/>
        </w:numPr>
        <w:tabs>
          <w:tab w:val="left" w:pos="360"/>
        </w:tabs>
        <w:spacing w:line="240" w:lineRule="auto"/>
      </w:pPr>
      <w:r w:rsidRPr="005D15DF">
        <w:rPr>
          <w:color w:val="000000"/>
        </w:rPr>
        <w:t>From Planning applications:</w:t>
      </w:r>
    </w:p>
    <w:p w:rsidR="00471288" w:rsidRPr="00471288" w:rsidRDefault="005D15DF" w:rsidP="00471288">
      <w:pPr>
        <w:pStyle w:val="BodyTextIndent2"/>
        <w:numPr>
          <w:ilvl w:val="2"/>
          <w:numId w:val="14"/>
        </w:numPr>
        <w:tabs>
          <w:tab w:val="left" w:pos="360"/>
        </w:tabs>
        <w:spacing w:line="240" w:lineRule="auto"/>
      </w:pPr>
      <w:r w:rsidRPr="005D15DF">
        <w:rPr>
          <w:color w:val="000000"/>
        </w:rPr>
        <w:t xml:space="preserve">Eligible Neighborhoods Documentation – Inadequate School Documentation (HUD-53153) </w:t>
      </w:r>
    </w:p>
    <w:p w:rsidR="008826BD" w:rsidRDefault="005D15DF">
      <w:pPr>
        <w:pStyle w:val="BodyTextIndent2"/>
        <w:numPr>
          <w:ilvl w:val="2"/>
          <w:numId w:val="14"/>
        </w:numPr>
        <w:tabs>
          <w:tab w:val="left" w:pos="360"/>
        </w:tabs>
        <w:spacing w:line="240" w:lineRule="auto"/>
      </w:pPr>
      <w:r w:rsidRPr="005D15DF">
        <w:rPr>
          <w:color w:val="000000"/>
        </w:rPr>
        <w:t>Energy/green documentation</w:t>
      </w:r>
    </w:p>
    <w:p w:rsidR="00471288" w:rsidRPr="00471288" w:rsidRDefault="005D15DF" w:rsidP="00471288">
      <w:pPr>
        <w:pStyle w:val="BodyTextIndent2"/>
        <w:numPr>
          <w:ilvl w:val="2"/>
          <w:numId w:val="14"/>
        </w:numPr>
        <w:tabs>
          <w:tab w:val="left" w:pos="360"/>
        </w:tabs>
        <w:spacing w:line="240" w:lineRule="auto"/>
      </w:pPr>
      <w:r w:rsidRPr="005D15DF">
        <w:rPr>
          <w:color w:val="000000"/>
        </w:rPr>
        <w:t>Category preferences documentation</w:t>
      </w:r>
    </w:p>
    <w:p w:rsidR="00471288" w:rsidRPr="00471288" w:rsidRDefault="005D15DF" w:rsidP="00471288">
      <w:pPr>
        <w:pStyle w:val="BodyTextIndent2"/>
        <w:numPr>
          <w:ilvl w:val="2"/>
          <w:numId w:val="14"/>
        </w:numPr>
        <w:tabs>
          <w:tab w:val="left" w:pos="360"/>
        </w:tabs>
        <w:spacing w:line="240" w:lineRule="auto"/>
      </w:pPr>
      <w:r w:rsidRPr="005D15DF">
        <w:rPr>
          <w:color w:val="000000"/>
        </w:rPr>
        <w:t>Choice Neighborhoods Application Certifications - Planning Grants (HUD-53156)</w:t>
      </w:r>
    </w:p>
    <w:p w:rsidR="008826BD" w:rsidRDefault="005D15DF">
      <w:pPr>
        <w:pStyle w:val="BodyTextIndent2"/>
        <w:numPr>
          <w:ilvl w:val="2"/>
          <w:numId w:val="14"/>
        </w:numPr>
        <w:tabs>
          <w:tab w:val="left" w:pos="360"/>
        </w:tabs>
        <w:spacing w:line="240" w:lineRule="auto"/>
      </w:pPr>
      <w:r w:rsidRPr="005D15DF">
        <w:rPr>
          <w:color w:val="000000"/>
        </w:rPr>
        <w:t>HUD-96011 Third Party Facsimile Report</w:t>
      </w:r>
    </w:p>
    <w:p w:rsidR="008826BD" w:rsidRPr="0091034B" w:rsidRDefault="005D15DF">
      <w:pPr>
        <w:pStyle w:val="BodyTextIndent2"/>
        <w:tabs>
          <w:tab w:val="left" w:pos="360"/>
        </w:tabs>
        <w:spacing w:line="240" w:lineRule="auto"/>
        <w:ind w:left="0"/>
        <w:rPr>
          <w:i/>
        </w:rPr>
      </w:pPr>
      <w:r w:rsidRPr="0091034B">
        <w:rPr>
          <w:i/>
        </w:rPr>
        <w:t xml:space="preserve">Non-NOFA related Collections: </w:t>
      </w:r>
    </w:p>
    <w:p w:rsidR="00EE5693" w:rsidRDefault="005D15DF" w:rsidP="006E202C">
      <w:pPr>
        <w:pStyle w:val="BodyTextIndent2"/>
        <w:numPr>
          <w:ilvl w:val="0"/>
          <w:numId w:val="14"/>
        </w:numPr>
        <w:tabs>
          <w:tab w:val="left" w:pos="360"/>
        </w:tabs>
        <w:spacing w:line="240" w:lineRule="auto"/>
      </w:pPr>
      <w:r>
        <w:t>These collections continue to focus on reporting and program management. However, the number of grantees by type has been adjusted. The prior approval for information collection was for a smaller group of</w:t>
      </w:r>
      <w:r w:rsidR="00EE5693">
        <w:t xml:space="preserve"> Implementation grantees. The number of Implementation</w:t>
      </w:r>
      <w:r w:rsidR="00A70EF4">
        <w:t xml:space="preserve"> grantees has been increased. </w:t>
      </w:r>
      <w:r w:rsidR="0091034B">
        <w:t>A document</w:t>
      </w:r>
      <w:r w:rsidR="00EE5693">
        <w:t xml:space="preserve"> related to program management </w:t>
      </w:r>
      <w:r w:rsidR="00EE5693" w:rsidRPr="00DF27C6">
        <w:t>has been added</w:t>
      </w:r>
      <w:r w:rsidR="00EE5693">
        <w:t xml:space="preserve"> (</w:t>
      </w:r>
      <w:r w:rsidR="0091034B">
        <w:t>Certifications and Assurances for CN development)</w:t>
      </w:r>
      <w:r w:rsidR="00EE5693" w:rsidRPr="00DF27C6">
        <w:t>.</w:t>
      </w:r>
      <w:r w:rsidR="00EE5693">
        <w:t xml:space="preserve">  The number of Planning grantees h</w:t>
      </w:r>
      <w:r w:rsidR="00A70EF4">
        <w:t xml:space="preserve">as been reduced to reflect </w:t>
      </w:r>
      <w:r w:rsidR="00B85A9C">
        <w:t>their completion.</w:t>
      </w:r>
    </w:p>
    <w:p w:rsidR="00214719" w:rsidRDefault="00A70EF4" w:rsidP="00FE46CA">
      <w:pPr>
        <w:pStyle w:val="BodyTextIndent2"/>
        <w:numPr>
          <w:ilvl w:val="0"/>
          <w:numId w:val="14"/>
        </w:numPr>
        <w:tabs>
          <w:tab w:val="left" w:pos="360"/>
        </w:tabs>
        <w:spacing w:line="240" w:lineRule="auto"/>
      </w:pPr>
      <w:r>
        <w:t>A HUD</w:t>
      </w:r>
      <w:r w:rsidR="00214719">
        <w:t xml:space="preserve"> for</w:t>
      </w:r>
      <w:r w:rsidR="00A6733B">
        <w:t>m</w:t>
      </w:r>
      <w:r>
        <w:t xml:space="preserve"> number was added t</w:t>
      </w:r>
      <w:r w:rsidR="00214719">
        <w:t>o</w:t>
      </w:r>
      <w:r>
        <w:t xml:space="preserve"> the</w:t>
      </w:r>
      <w:r w:rsidR="00214719">
        <w:t xml:space="preserve"> Actual Cost Certificate</w:t>
      </w:r>
      <w:r w:rsidR="0091034B">
        <w:t xml:space="preserve"> (HUD-50163)</w:t>
      </w:r>
      <w:r w:rsidR="00214719">
        <w:t>, which was obtained since prior collection approval.</w:t>
      </w:r>
    </w:p>
    <w:p w:rsidR="009E393B" w:rsidRDefault="009C2969" w:rsidP="00FE46CA">
      <w:pPr>
        <w:pStyle w:val="BodyTextIndent2"/>
        <w:numPr>
          <w:ilvl w:val="0"/>
          <w:numId w:val="14"/>
        </w:numPr>
        <w:tabs>
          <w:tab w:val="left" w:pos="360"/>
        </w:tabs>
        <w:spacing w:line="240" w:lineRule="auto"/>
      </w:pPr>
      <w:r>
        <w:t>A correction of the calculation of Non-NOFA Collections</w:t>
      </w:r>
      <w:r w:rsidR="009E393B">
        <w:t xml:space="preserve"> was made</w:t>
      </w:r>
      <w:r w:rsidR="0092161D">
        <w:t xml:space="preserve"> which reduced burden</w:t>
      </w:r>
      <w:r w:rsidR="009E393B">
        <w:t xml:space="preserve">. </w:t>
      </w:r>
    </w:p>
    <w:p w:rsidR="008826BD" w:rsidRPr="0091034B" w:rsidRDefault="00A70EF4">
      <w:pPr>
        <w:pStyle w:val="BodyTextIndent2"/>
        <w:tabs>
          <w:tab w:val="left" w:pos="360"/>
        </w:tabs>
        <w:spacing w:line="240" w:lineRule="auto"/>
        <w:ind w:left="0"/>
        <w:rPr>
          <w:i/>
        </w:rPr>
      </w:pPr>
      <w:r w:rsidRPr="0091034B">
        <w:rPr>
          <w:i/>
        </w:rPr>
        <w:t>Overall:</w:t>
      </w:r>
    </w:p>
    <w:p w:rsidR="00C42A7B" w:rsidRDefault="00C42A7B" w:rsidP="00FE46CA">
      <w:pPr>
        <w:pStyle w:val="BodyTextIndent2"/>
        <w:numPr>
          <w:ilvl w:val="0"/>
          <w:numId w:val="14"/>
        </w:numPr>
        <w:tabs>
          <w:tab w:val="left" w:pos="360"/>
        </w:tabs>
        <w:spacing w:line="240" w:lineRule="auto"/>
      </w:pPr>
      <w:r>
        <w:t>The salary amount was increased to reflect the 201</w:t>
      </w:r>
      <w:r w:rsidR="000014BC">
        <w:t>8</w:t>
      </w:r>
      <w:r>
        <w:t xml:space="preserve"> general schedule pay table.</w:t>
      </w:r>
    </w:p>
    <w:p w:rsidR="00FE46CA" w:rsidRPr="00DF27C6" w:rsidRDefault="00FE46CA" w:rsidP="00FE46CA">
      <w:pPr>
        <w:pStyle w:val="BodyTextIndent2"/>
        <w:numPr>
          <w:ilvl w:val="0"/>
          <w:numId w:val="14"/>
        </w:numPr>
        <w:tabs>
          <w:tab w:val="left" w:pos="360"/>
        </w:tabs>
        <w:spacing w:line="240" w:lineRule="auto"/>
      </w:pPr>
      <w:r>
        <w:t>The</w:t>
      </w:r>
      <w:r w:rsidR="00A70EF4">
        <w:t xml:space="preserve"> above</w:t>
      </w:r>
      <w:r>
        <w:t xml:space="preserve"> adjustments </w:t>
      </w:r>
      <w:r w:rsidR="009E393B">
        <w:t xml:space="preserve">resulted in a reduction of </w:t>
      </w:r>
      <w:r w:rsidR="00A70EF4">
        <w:t>5</w:t>
      </w:r>
      <w:r w:rsidR="0091034B">
        <w:t>,361.55</w:t>
      </w:r>
      <w:r w:rsidR="009E393B">
        <w:t xml:space="preserve"> burden hours.</w:t>
      </w:r>
    </w:p>
    <w:p w:rsidR="00820F26" w:rsidRPr="00DF27C6" w:rsidRDefault="00820F26" w:rsidP="00F63D08">
      <w:pPr>
        <w:pStyle w:val="BodyTextIndent2"/>
        <w:tabs>
          <w:tab w:val="left" w:pos="360"/>
        </w:tabs>
        <w:spacing w:line="240" w:lineRule="auto"/>
        <w:ind w:left="0"/>
      </w:pPr>
    </w:p>
    <w:p w:rsidR="00DA53DB" w:rsidRPr="00DF27C6" w:rsidRDefault="00DA53DB">
      <w:pPr>
        <w:pStyle w:val="BodyTextIndent2"/>
        <w:tabs>
          <w:tab w:val="clear" w:pos="0"/>
          <w:tab w:val="left" w:pos="360"/>
        </w:tabs>
        <w:spacing w:after="120" w:line="240" w:lineRule="auto"/>
        <w:ind w:hanging="360"/>
        <w:rPr>
          <w:b/>
        </w:rPr>
      </w:pPr>
      <w:r w:rsidRPr="00DF27C6">
        <w:rPr>
          <w:b/>
        </w:rPr>
        <w:t>16.</w:t>
      </w:r>
      <w:r w:rsidRPr="00DF27C6">
        <w:rPr>
          <w:b/>
        </w:rPr>
        <w:tab/>
        <w:t xml:space="preserve">Publication of Information Collection Results:  </w:t>
      </w:r>
    </w:p>
    <w:p w:rsidR="00DA53DB" w:rsidRPr="00DF27C6" w:rsidRDefault="00DA53DB">
      <w:pPr>
        <w:pStyle w:val="BodyTextIndent2"/>
        <w:tabs>
          <w:tab w:val="clear" w:pos="0"/>
          <w:tab w:val="left" w:pos="360"/>
        </w:tabs>
        <w:spacing w:after="120" w:line="240" w:lineRule="auto"/>
        <w:ind w:hanging="360"/>
      </w:pPr>
      <w:r w:rsidRPr="00DF27C6">
        <w:tab/>
        <w:t xml:space="preserve">Information collection results will not be published. </w:t>
      </w:r>
    </w:p>
    <w:p w:rsidR="00DA53DB" w:rsidRPr="00DF27C6" w:rsidRDefault="00DA53DB">
      <w:pPr>
        <w:pStyle w:val="BodyTextIndent2"/>
        <w:tabs>
          <w:tab w:val="clear" w:pos="0"/>
          <w:tab w:val="left" w:pos="360"/>
        </w:tabs>
        <w:spacing w:after="120" w:line="240" w:lineRule="auto"/>
        <w:ind w:hanging="360"/>
        <w:rPr>
          <w:b/>
        </w:rPr>
      </w:pPr>
      <w:r w:rsidRPr="00DF27C6">
        <w:rPr>
          <w:b/>
        </w:rPr>
        <w:t>17.</w:t>
      </w:r>
      <w:r w:rsidRPr="00DF27C6">
        <w:rPr>
          <w:b/>
        </w:rPr>
        <w:tab/>
        <w:t xml:space="preserve">Expiration Date:  </w:t>
      </w:r>
    </w:p>
    <w:p w:rsidR="00DA53DB" w:rsidRPr="00DF27C6" w:rsidRDefault="00DA53DB">
      <w:pPr>
        <w:pStyle w:val="BodyTextIndent2"/>
        <w:tabs>
          <w:tab w:val="clear" w:pos="0"/>
          <w:tab w:val="left" w:pos="360"/>
        </w:tabs>
        <w:spacing w:after="120" w:line="240" w:lineRule="auto"/>
        <w:ind w:hanging="360"/>
      </w:pPr>
      <w:r w:rsidRPr="00DF27C6">
        <w:tab/>
        <w:t>The OMB approval number and date will appear on the HUD-prescribed forms.</w:t>
      </w:r>
    </w:p>
    <w:p w:rsidR="00DA53DB" w:rsidRPr="00DF27C6" w:rsidRDefault="00DA53DB">
      <w:pPr>
        <w:pStyle w:val="BodyTextIndent2"/>
        <w:tabs>
          <w:tab w:val="clear" w:pos="0"/>
          <w:tab w:val="left" w:pos="360"/>
        </w:tabs>
        <w:spacing w:after="120" w:line="240" w:lineRule="auto"/>
        <w:ind w:hanging="360"/>
        <w:rPr>
          <w:b/>
        </w:rPr>
      </w:pPr>
      <w:r w:rsidRPr="00DF27C6">
        <w:rPr>
          <w:b/>
        </w:rPr>
        <w:t>18.</w:t>
      </w:r>
      <w:r w:rsidRPr="00DF27C6">
        <w:rPr>
          <w:b/>
        </w:rPr>
        <w:tab/>
        <w:t xml:space="preserve">Exceptions to Certification Statement:  </w:t>
      </w:r>
    </w:p>
    <w:p w:rsidR="00DA53DB" w:rsidRPr="00DF27C6" w:rsidRDefault="00DA53DB" w:rsidP="007A6401">
      <w:pPr>
        <w:pStyle w:val="BodyTextIndent2"/>
        <w:tabs>
          <w:tab w:val="clear" w:pos="0"/>
          <w:tab w:val="left" w:pos="360"/>
        </w:tabs>
        <w:spacing w:after="120" w:line="240" w:lineRule="auto"/>
        <w:ind w:hanging="360"/>
      </w:pPr>
      <w:r w:rsidRPr="00DF27C6">
        <w:tab/>
        <w:t>There are no exceptions to the certification statement identified in item 19.</w:t>
      </w:r>
    </w:p>
    <w:p w:rsidR="00DA53DB" w:rsidRPr="00DF27C6" w:rsidRDefault="00DA53DB">
      <w:pPr>
        <w:tabs>
          <w:tab w:val="left" w:pos="360"/>
          <w:tab w:val="left" w:pos="720"/>
        </w:tabs>
        <w:ind w:left="360" w:hanging="360"/>
      </w:pPr>
    </w:p>
    <w:p w:rsidR="00DA53DB" w:rsidRPr="00DF27C6" w:rsidRDefault="00DA53DB">
      <w:pPr>
        <w:pStyle w:val="BodyTextIndent2"/>
        <w:tabs>
          <w:tab w:val="clear" w:pos="0"/>
          <w:tab w:val="left" w:pos="360"/>
        </w:tabs>
        <w:spacing w:after="120" w:line="240" w:lineRule="auto"/>
        <w:ind w:hanging="360"/>
      </w:pPr>
      <w:r w:rsidRPr="00DF27C6">
        <w:rPr>
          <w:b/>
        </w:rPr>
        <w:t xml:space="preserve">B. </w:t>
      </w:r>
      <w:r w:rsidRPr="00DF27C6">
        <w:rPr>
          <w:b/>
        </w:rPr>
        <w:tab/>
        <w:t>Collections of Information Employing Statistical Methods</w:t>
      </w:r>
    </w:p>
    <w:p w:rsidR="00DA53DB" w:rsidRPr="007A6401" w:rsidRDefault="00DA53DB" w:rsidP="007A6401">
      <w:pPr>
        <w:pStyle w:val="BodyTextIndent2"/>
        <w:tabs>
          <w:tab w:val="clear" w:pos="0"/>
          <w:tab w:val="left" w:pos="360"/>
        </w:tabs>
        <w:spacing w:after="120" w:line="240" w:lineRule="auto"/>
        <w:ind w:hanging="360"/>
      </w:pPr>
      <w:r w:rsidRPr="00DF27C6">
        <w:tab/>
        <w:t>There are no collections of information that employ statistical methods</w:t>
      </w:r>
      <w:r w:rsidR="007A6401" w:rsidRPr="00DF27C6">
        <w:t>.</w:t>
      </w:r>
    </w:p>
    <w:sectPr w:rsidR="00DA53DB" w:rsidRPr="007A6401" w:rsidSect="00500DA0">
      <w:headerReference w:type="default" r:id="rId10"/>
      <w:footerReference w:type="default" r:id="rId11"/>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8B" w:rsidRDefault="001F408B">
      <w:r>
        <w:separator/>
      </w:r>
    </w:p>
  </w:endnote>
  <w:endnote w:type="continuationSeparator" w:id="0">
    <w:p w:rsidR="001F408B" w:rsidRDefault="001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8B" w:rsidRDefault="001F408B">
    <w:pPr>
      <w:pStyle w:val="Footer"/>
      <w:tabs>
        <w:tab w:val="clear" w:pos="4320"/>
        <w:tab w:val="clear" w:pos="8640"/>
        <w:tab w:val="right" w:pos="10920"/>
      </w:tabs>
      <w:spacing w:line="120" w:lineRule="exact"/>
      <w:ind w:left="-120" w:right="-120"/>
      <w:rPr>
        <w:rFonts w:ascii="Helvetica" w:hAnsi="Helvetica"/>
        <w:b/>
        <w:sz w:val="18"/>
      </w:rPr>
    </w:pPr>
  </w:p>
  <w:p w:rsidR="001F408B" w:rsidRDefault="001F408B">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8B" w:rsidRDefault="001F408B">
    <w:pPr>
      <w:pStyle w:val="Footer"/>
      <w:tabs>
        <w:tab w:val="clear" w:pos="4320"/>
        <w:tab w:val="clear" w:pos="8640"/>
        <w:tab w:val="right" w:pos="10920"/>
      </w:tabs>
      <w:spacing w:line="120" w:lineRule="exact"/>
      <w:ind w:left="-120" w:right="-120"/>
      <w:rPr>
        <w:rFonts w:ascii="Helvetica" w:hAnsi="Helvetica"/>
        <w:b/>
        <w:sz w:val="18"/>
      </w:rPr>
    </w:pPr>
  </w:p>
  <w:p w:rsidR="001F408B" w:rsidRDefault="001F408B">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8B" w:rsidRDefault="001F408B">
      <w:r>
        <w:separator/>
      </w:r>
    </w:p>
  </w:footnote>
  <w:footnote w:type="continuationSeparator" w:id="0">
    <w:p w:rsidR="001F408B" w:rsidRDefault="001F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8B" w:rsidRDefault="001F408B">
    <w:pPr>
      <w:suppressAutoHyphens/>
    </w:pPr>
    <w:r>
      <w:rPr>
        <w:noProof/>
      </w:rPr>
      <mc:AlternateContent>
        <mc:Choice Requires="wps">
          <w:drawing>
            <wp:anchor distT="0" distB="0" distL="114300" distR="114300" simplePos="0" relativeHeight="251657728" behindDoc="0" locked="0" layoutInCell="0" allowOverlap="1" wp14:anchorId="229944D1" wp14:editId="6CF1BA26">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F408B" w:rsidRDefault="001F408B">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1F408B" w:rsidRDefault="001F408B">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v:textbox>
              <w10:wrap anchorx="page"/>
            </v:rect>
          </w:pict>
        </mc:Fallback>
      </mc:AlternateContent>
    </w:r>
  </w:p>
  <w:p w:rsidR="001F408B" w:rsidRDefault="001F408B">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 w:numId="15">
    <w:abstractNumId w:val="0"/>
    <w:lvlOverride w:ilvl="0">
      <w:lvl w:ilvl="0">
        <w:start w:val="1"/>
        <w:numFmt w:val="bullet"/>
        <w:lvlText w:val=""/>
        <w:lvlJc w:val="left"/>
        <w:pPr>
          <w:ind w:left="72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14BC"/>
    <w:rsid w:val="00016734"/>
    <w:rsid w:val="00020C7B"/>
    <w:rsid w:val="0002199B"/>
    <w:rsid w:val="00026A1E"/>
    <w:rsid w:val="00032777"/>
    <w:rsid w:val="00034D79"/>
    <w:rsid w:val="000447EA"/>
    <w:rsid w:val="00050C08"/>
    <w:rsid w:val="00055EC1"/>
    <w:rsid w:val="0007031D"/>
    <w:rsid w:val="000708A8"/>
    <w:rsid w:val="00075EC5"/>
    <w:rsid w:val="00083E30"/>
    <w:rsid w:val="00086629"/>
    <w:rsid w:val="00093797"/>
    <w:rsid w:val="0009556E"/>
    <w:rsid w:val="000A4237"/>
    <w:rsid w:val="000B2C9F"/>
    <w:rsid w:val="000B6CAD"/>
    <w:rsid w:val="000B7BA3"/>
    <w:rsid w:val="0010180B"/>
    <w:rsid w:val="00133830"/>
    <w:rsid w:val="00150DDA"/>
    <w:rsid w:val="0015144F"/>
    <w:rsid w:val="00175A34"/>
    <w:rsid w:val="001839CF"/>
    <w:rsid w:val="00184687"/>
    <w:rsid w:val="001859E2"/>
    <w:rsid w:val="00194BE7"/>
    <w:rsid w:val="001A2EC9"/>
    <w:rsid w:val="001B2252"/>
    <w:rsid w:val="001B4602"/>
    <w:rsid w:val="001E4851"/>
    <w:rsid w:val="001F408B"/>
    <w:rsid w:val="001F6B37"/>
    <w:rsid w:val="0020186E"/>
    <w:rsid w:val="002020D0"/>
    <w:rsid w:val="00212491"/>
    <w:rsid w:val="00214719"/>
    <w:rsid w:val="0023680B"/>
    <w:rsid w:val="00241907"/>
    <w:rsid w:val="0027226F"/>
    <w:rsid w:val="00275CA3"/>
    <w:rsid w:val="002878B6"/>
    <w:rsid w:val="0029451B"/>
    <w:rsid w:val="002A4799"/>
    <w:rsid w:val="002A6BB1"/>
    <w:rsid w:val="002B459D"/>
    <w:rsid w:val="002B5788"/>
    <w:rsid w:val="002C51E8"/>
    <w:rsid w:val="002C721B"/>
    <w:rsid w:val="002E6FAA"/>
    <w:rsid w:val="002F0EF7"/>
    <w:rsid w:val="002F7ED8"/>
    <w:rsid w:val="003147DC"/>
    <w:rsid w:val="0032148B"/>
    <w:rsid w:val="00324A7E"/>
    <w:rsid w:val="00332537"/>
    <w:rsid w:val="003366E5"/>
    <w:rsid w:val="0035477E"/>
    <w:rsid w:val="003B6259"/>
    <w:rsid w:val="003C6855"/>
    <w:rsid w:val="003D3CC5"/>
    <w:rsid w:val="00416E09"/>
    <w:rsid w:val="004173D9"/>
    <w:rsid w:val="00446F01"/>
    <w:rsid w:val="00446F73"/>
    <w:rsid w:val="00454C35"/>
    <w:rsid w:val="004578A6"/>
    <w:rsid w:val="00471288"/>
    <w:rsid w:val="00471B53"/>
    <w:rsid w:val="0047315A"/>
    <w:rsid w:val="00481E0E"/>
    <w:rsid w:val="004962F4"/>
    <w:rsid w:val="004A361A"/>
    <w:rsid w:val="004A78C4"/>
    <w:rsid w:val="004B00BA"/>
    <w:rsid w:val="004D0425"/>
    <w:rsid w:val="004D47B3"/>
    <w:rsid w:val="004E45CB"/>
    <w:rsid w:val="004E6D75"/>
    <w:rsid w:val="004F4C54"/>
    <w:rsid w:val="00500DA0"/>
    <w:rsid w:val="00505CCB"/>
    <w:rsid w:val="005100B3"/>
    <w:rsid w:val="005129F9"/>
    <w:rsid w:val="005272D8"/>
    <w:rsid w:val="005414AF"/>
    <w:rsid w:val="00544CDD"/>
    <w:rsid w:val="00546207"/>
    <w:rsid w:val="00547DD9"/>
    <w:rsid w:val="00550A97"/>
    <w:rsid w:val="00562DFD"/>
    <w:rsid w:val="00580014"/>
    <w:rsid w:val="00583B7D"/>
    <w:rsid w:val="00586D07"/>
    <w:rsid w:val="00587B12"/>
    <w:rsid w:val="005A4E3D"/>
    <w:rsid w:val="005B4B78"/>
    <w:rsid w:val="005C4070"/>
    <w:rsid w:val="005D15DF"/>
    <w:rsid w:val="005D3180"/>
    <w:rsid w:val="005D34B1"/>
    <w:rsid w:val="005E12F6"/>
    <w:rsid w:val="005E324B"/>
    <w:rsid w:val="00633CA6"/>
    <w:rsid w:val="00634534"/>
    <w:rsid w:val="006449BC"/>
    <w:rsid w:val="00651E65"/>
    <w:rsid w:val="006707AF"/>
    <w:rsid w:val="00672D35"/>
    <w:rsid w:val="0067551D"/>
    <w:rsid w:val="00685293"/>
    <w:rsid w:val="00692B90"/>
    <w:rsid w:val="006955F1"/>
    <w:rsid w:val="00696A24"/>
    <w:rsid w:val="006A68AC"/>
    <w:rsid w:val="006A6900"/>
    <w:rsid w:val="006B0D78"/>
    <w:rsid w:val="006B7977"/>
    <w:rsid w:val="006C4178"/>
    <w:rsid w:val="006C74B6"/>
    <w:rsid w:val="006D12F0"/>
    <w:rsid w:val="006D3637"/>
    <w:rsid w:val="006D70D1"/>
    <w:rsid w:val="006E202C"/>
    <w:rsid w:val="006E3E07"/>
    <w:rsid w:val="006F04DB"/>
    <w:rsid w:val="006F4E5D"/>
    <w:rsid w:val="00704865"/>
    <w:rsid w:val="00716186"/>
    <w:rsid w:val="0073153D"/>
    <w:rsid w:val="00737231"/>
    <w:rsid w:val="0074676F"/>
    <w:rsid w:val="00767132"/>
    <w:rsid w:val="00774D98"/>
    <w:rsid w:val="007A2E8E"/>
    <w:rsid w:val="007A6401"/>
    <w:rsid w:val="007B3043"/>
    <w:rsid w:val="007B331C"/>
    <w:rsid w:val="00804137"/>
    <w:rsid w:val="00820F26"/>
    <w:rsid w:val="00840C58"/>
    <w:rsid w:val="008462DA"/>
    <w:rsid w:val="00855A04"/>
    <w:rsid w:val="00861402"/>
    <w:rsid w:val="008650BE"/>
    <w:rsid w:val="00867297"/>
    <w:rsid w:val="0087073C"/>
    <w:rsid w:val="0087404E"/>
    <w:rsid w:val="00880CF8"/>
    <w:rsid w:val="008826BD"/>
    <w:rsid w:val="00886DEC"/>
    <w:rsid w:val="008A11C3"/>
    <w:rsid w:val="008C0244"/>
    <w:rsid w:val="008C4DF5"/>
    <w:rsid w:val="008C572A"/>
    <w:rsid w:val="008F7BC7"/>
    <w:rsid w:val="00906CA4"/>
    <w:rsid w:val="0091034B"/>
    <w:rsid w:val="0092161D"/>
    <w:rsid w:val="00931121"/>
    <w:rsid w:val="009352EE"/>
    <w:rsid w:val="0093538C"/>
    <w:rsid w:val="00940FC5"/>
    <w:rsid w:val="009546CD"/>
    <w:rsid w:val="00964BD7"/>
    <w:rsid w:val="00966D5B"/>
    <w:rsid w:val="0097110C"/>
    <w:rsid w:val="00971EBD"/>
    <w:rsid w:val="00987DDE"/>
    <w:rsid w:val="00990F8F"/>
    <w:rsid w:val="00993770"/>
    <w:rsid w:val="009A54C4"/>
    <w:rsid w:val="009C2969"/>
    <w:rsid w:val="009C45C2"/>
    <w:rsid w:val="009C7C8B"/>
    <w:rsid w:val="009D3DC9"/>
    <w:rsid w:val="009D70E6"/>
    <w:rsid w:val="009E393B"/>
    <w:rsid w:val="009E696F"/>
    <w:rsid w:val="009F450F"/>
    <w:rsid w:val="009F4B77"/>
    <w:rsid w:val="009F790B"/>
    <w:rsid w:val="00A07464"/>
    <w:rsid w:val="00A1598E"/>
    <w:rsid w:val="00A20636"/>
    <w:rsid w:val="00A26AE2"/>
    <w:rsid w:val="00A353A3"/>
    <w:rsid w:val="00A45CDA"/>
    <w:rsid w:val="00A5188F"/>
    <w:rsid w:val="00A6733B"/>
    <w:rsid w:val="00A70EF4"/>
    <w:rsid w:val="00A71F56"/>
    <w:rsid w:val="00A801ED"/>
    <w:rsid w:val="00AA37FD"/>
    <w:rsid w:val="00AA66FB"/>
    <w:rsid w:val="00AB1D07"/>
    <w:rsid w:val="00AB42D0"/>
    <w:rsid w:val="00AC17B3"/>
    <w:rsid w:val="00AD1114"/>
    <w:rsid w:val="00AD3AC3"/>
    <w:rsid w:val="00AE08BD"/>
    <w:rsid w:val="00B0106A"/>
    <w:rsid w:val="00B10918"/>
    <w:rsid w:val="00B147EB"/>
    <w:rsid w:val="00B16431"/>
    <w:rsid w:val="00B25491"/>
    <w:rsid w:val="00B277C0"/>
    <w:rsid w:val="00B27BAB"/>
    <w:rsid w:val="00B364DE"/>
    <w:rsid w:val="00B41290"/>
    <w:rsid w:val="00B47C22"/>
    <w:rsid w:val="00B552DA"/>
    <w:rsid w:val="00B56708"/>
    <w:rsid w:val="00B6499C"/>
    <w:rsid w:val="00B710F4"/>
    <w:rsid w:val="00B80D31"/>
    <w:rsid w:val="00B830FE"/>
    <w:rsid w:val="00B85A9C"/>
    <w:rsid w:val="00BB4A53"/>
    <w:rsid w:val="00BD2309"/>
    <w:rsid w:val="00BE258B"/>
    <w:rsid w:val="00BF0C63"/>
    <w:rsid w:val="00C0738F"/>
    <w:rsid w:val="00C113B2"/>
    <w:rsid w:val="00C13D1D"/>
    <w:rsid w:val="00C17B88"/>
    <w:rsid w:val="00C30B48"/>
    <w:rsid w:val="00C35A3E"/>
    <w:rsid w:val="00C42A7B"/>
    <w:rsid w:val="00C47F13"/>
    <w:rsid w:val="00C518F4"/>
    <w:rsid w:val="00C51980"/>
    <w:rsid w:val="00C52774"/>
    <w:rsid w:val="00C7182D"/>
    <w:rsid w:val="00C740A2"/>
    <w:rsid w:val="00C828A2"/>
    <w:rsid w:val="00CB3CD5"/>
    <w:rsid w:val="00CB5AFB"/>
    <w:rsid w:val="00CC3102"/>
    <w:rsid w:val="00CC6695"/>
    <w:rsid w:val="00CD262B"/>
    <w:rsid w:val="00CD30F1"/>
    <w:rsid w:val="00CE1388"/>
    <w:rsid w:val="00CE6699"/>
    <w:rsid w:val="00D1498D"/>
    <w:rsid w:val="00D20A88"/>
    <w:rsid w:val="00D41CBC"/>
    <w:rsid w:val="00D42C06"/>
    <w:rsid w:val="00D50B6B"/>
    <w:rsid w:val="00D552C8"/>
    <w:rsid w:val="00D55D20"/>
    <w:rsid w:val="00D63C6C"/>
    <w:rsid w:val="00D64559"/>
    <w:rsid w:val="00D64FDE"/>
    <w:rsid w:val="00D72930"/>
    <w:rsid w:val="00D84E24"/>
    <w:rsid w:val="00DA53DB"/>
    <w:rsid w:val="00DA7D08"/>
    <w:rsid w:val="00DB37C7"/>
    <w:rsid w:val="00DB7FE7"/>
    <w:rsid w:val="00DC3E33"/>
    <w:rsid w:val="00DE6A86"/>
    <w:rsid w:val="00DF27C6"/>
    <w:rsid w:val="00DF3FFC"/>
    <w:rsid w:val="00DF58CB"/>
    <w:rsid w:val="00E06E0D"/>
    <w:rsid w:val="00E07CAF"/>
    <w:rsid w:val="00E545A1"/>
    <w:rsid w:val="00E63712"/>
    <w:rsid w:val="00E834F6"/>
    <w:rsid w:val="00E84BCB"/>
    <w:rsid w:val="00E961F6"/>
    <w:rsid w:val="00EB561E"/>
    <w:rsid w:val="00EB6086"/>
    <w:rsid w:val="00EC39A8"/>
    <w:rsid w:val="00EC7C85"/>
    <w:rsid w:val="00EE5693"/>
    <w:rsid w:val="00EE5DFF"/>
    <w:rsid w:val="00EF3F7E"/>
    <w:rsid w:val="00F007FA"/>
    <w:rsid w:val="00F17B23"/>
    <w:rsid w:val="00F20783"/>
    <w:rsid w:val="00F32114"/>
    <w:rsid w:val="00F6093F"/>
    <w:rsid w:val="00F63753"/>
    <w:rsid w:val="00F63D08"/>
    <w:rsid w:val="00F965C6"/>
    <w:rsid w:val="00F979CA"/>
    <w:rsid w:val="00FB0BE4"/>
    <w:rsid w:val="00FB0D50"/>
    <w:rsid w:val="00FD153B"/>
    <w:rsid w:val="00FD54E7"/>
    <w:rsid w:val="00FE46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style>
  <w:style w:type="character" w:styleId="CommentReference">
    <w:name w:val="annotation reference"/>
    <w:basedOn w:val="DefaultParagraphFont"/>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character" w:customStyle="1" w:styleId="CommentTextChar">
    <w:name w:val="Comment Text Char"/>
    <w:basedOn w:val="DefaultParagraphFont"/>
    <w:link w:val="CommentText"/>
    <w:semiHidden/>
    <w:rsid w:val="00026A1E"/>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paragraph" w:styleId="ListParagraph">
    <w:name w:val="List Paragraph"/>
    <w:basedOn w:val="Normal"/>
    <w:uiPriority w:val="34"/>
    <w:qFormat/>
    <w:rsid w:val="00E06E0D"/>
    <w:pPr>
      <w:ind w:left="720"/>
      <w:contextualSpacing/>
    </w:pPr>
  </w:style>
  <w:style w:type="character" w:styleId="Hyperlink">
    <w:name w:val="Hyperlink"/>
    <w:basedOn w:val="DefaultParagraphFont"/>
    <w:uiPriority w:val="99"/>
    <w:unhideWhenUsed/>
    <w:rsid w:val="00550A97"/>
    <w:rPr>
      <w:color w:val="0000FF"/>
      <w:u w:val="single"/>
    </w:rPr>
  </w:style>
  <w:style w:type="character" w:styleId="FollowedHyperlink">
    <w:name w:val="FollowedHyperlink"/>
    <w:basedOn w:val="DefaultParagraphFont"/>
    <w:uiPriority w:val="99"/>
    <w:unhideWhenUsed/>
    <w:rsid w:val="00550A97"/>
    <w:rPr>
      <w:color w:val="800080"/>
      <w:u w:val="single"/>
    </w:rPr>
  </w:style>
  <w:style w:type="paragraph" w:customStyle="1" w:styleId="font5">
    <w:name w:val="font5"/>
    <w:basedOn w:val="Normal"/>
    <w:rsid w:val="00550A97"/>
    <w:pP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6">
    <w:name w:val="xl6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67">
    <w:name w:val="xl6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style>
  <w:style w:type="paragraph" w:customStyle="1" w:styleId="xl68">
    <w:name w:val="xl6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69">
    <w:name w:val="xl6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0">
    <w:name w:val="xl7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1">
    <w:name w:val="xl7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2">
    <w:name w:val="xl72"/>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3">
    <w:name w:val="xl73"/>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4">
    <w:name w:val="xl74"/>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5">
    <w:name w:val="xl7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6">
    <w:name w:val="xl7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rPr>
  </w:style>
  <w:style w:type="paragraph" w:customStyle="1" w:styleId="xl77">
    <w:name w:val="xl7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rPr>
  </w:style>
  <w:style w:type="paragraph" w:customStyle="1" w:styleId="xl79">
    <w:name w:val="xl7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80">
    <w:name w:val="xl8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63">
    <w:name w:val="xl63"/>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4">
    <w:name w:val="xl64"/>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24">
    <w:name w:val="xl2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25">
    <w:name w:val="xl2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6">
    <w:name w:val="xl26"/>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b/>
      <w:bCs/>
      <w:sz w:val="20"/>
      <w:szCs w:val="20"/>
    </w:rPr>
  </w:style>
  <w:style w:type="paragraph" w:customStyle="1" w:styleId="xl27">
    <w:name w:val="xl27"/>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8">
    <w:name w:val="xl2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9">
    <w:name w:val="xl2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0">
    <w:name w:val="xl30"/>
    <w:basedOn w:val="Normal"/>
    <w:rsid w:val="003B6259"/>
    <w:pPr>
      <w:pBdr>
        <w:top w:val="single" w:sz="4" w:space="0" w:color="auto"/>
        <w:left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1">
    <w:name w:val="xl31"/>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2">
    <w:name w:val="xl32"/>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3">
    <w:name w:val="xl33"/>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4">
    <w:name w:val="xl34"/>
    <w:basedOn w:val="Normal"/>
    <w:rsid w:val="003B6259"/>
    <w:pPr>
      <w:pBdr>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5">
    <w:name w:val="xl35"/>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6">
    <w:name w:val="xl36"/>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7">
    <w:name w:val="xl37"/>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8">
    <w:name w:val="xl3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39">
    <w:name w:val="xl3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0">
    <w:name w:val="xl40"/>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1">
    <w:name w:val="xl41"/>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2">
    <w:name w:val="xl42"/>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3">
    <w:name w:val="xl43"/>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right"/>
      <w:textAlignment w:val="center"/>
    </w:pPr>
    <w:rPr>
      <w:b/>
      <w:bCs/>
      <w:sz w:val="20"/>
      <w:szCs w:val="20"/>
    </w:rPr>
  </w:style>
  <w:style w:type="paragraph" w:customStyle="1" w:styleId="xl44">
    <w:name w:val="xl4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5">
    <w:name w:val="xl4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style>
  <w:style w:type="character" w:styleId="CommentReference">
    <w:name w:val="annotation reference"/>
    <w:basedOn w:val="DefaultParagraphFont"/>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character" w:customStyle="1" w:styleId="CommentTextChar">
    <w:name w:val="Comment Text Char"/>
    <w:basedOn w:val="DefaultParagraphFont"/>
    <w:link w:val="CommentText"/>
    <w:semiHidden/>
    <w:rsid w:val="00026A1E"/>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paragraph" w:styleId="ListParagraph">
    <w:name w:val="List Paragraph"/>
    <w:basedOn w:val="Normal"/>
    <w:uiPriority w:val="34"/>
    <w:qFormat/>
    <w:rsid w:val="00E06E0D"/>
    <w:pPr>
      <w:ind w:left="720"/>
      <w:contextualSpacing/>
    </w:pPr>
  </w:style>
  <w:style w:type="character" w:styleId="Hyperlink">
    <w:name w:val="Hyperlink"/>
    <w:basedOn w:val="DefaultParagraphFont"/>
    <w:uiPriority w:val="99"/>
    <w:unhideWhenUsed/>
    <w:rsid w:val="00550A97"/>
    <w:rPr>
      <w:color w:val="0000FF"/>
      <w:u w:val="single"/>
    </w:rPr>
  </w:style>
  <w:style w:type="character" w:styleId="FollowedHyperlink">
    <w:name w:val="FollowedHyperlink"/>
    <w:basedOn w:val="DefaultParagraphFont"/>
    <w:uiPriority w:val="99"/>
    <w:unhideWhenUsed/>
    <w:rsid w:val="00550A97"/>
    <w:rPr>
      <w:color w:val="800080"/>
      <w:u w:val="single"/>
    </w:rPr>
  </w:style>
  <w:style w:type="paragraph" w:customStyle="1" w:styleId="font5">
    <w:name w:val="font5"/>
    <w:basedOn w:val="Normal"/>
    <w:rsid w:val="00550A97"/>
    <w:pP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6">
    <w:name w:val="xl6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67">
    <w:name w:val="xl6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style>
  <w:style w:type="paragraph" w:customStyle="1" w:styleId="xl68">
    <w:name w:val="xl6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69">
    <w:name w:val="xl6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0">
    <w:name w:val="xl7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1">
    <w:name w:val="xl7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2">
    <w:name w:val="xl72"/>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3">
    <w:name w:val="xl73"/>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4">
    <w:name w:val="xl74"/>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5">
    <w:name w:val="xl7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6">
    <w:name w:val="xl7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rPr>
  </w:style>
  <w:style w:type="paragraph" w:customStyle="1" w:styleId="xl77">
    <w:name w:val="xl7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rPr>
  </w:style>
  <w:style w:type="paragraph" w:customStyle="1" w:styleId="xl79">
    <w:name w:val="xl7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80">
    <w:name w:val="xl8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63">
    <w:name w:val="xl63"/>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4">
    <w:name w:val="xl64"/>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24">
    <w:name w:val="xl2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25">
    <w:name w:val="xl2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6">
    <w:name w:val="xl26"/>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b/>
      <w:bCs/>
      <w:sz w:val="20"/>
      <w:szCs w:val="20"/>
    </w:rPr>
  </w:style>
  <w:style w:type="paragraph" w:customStyle="1" w:styleId="xl27">
    <w:name w:val="xl27"/>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8">
    <w:name w:val="xl2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9">
    <w:name w:val="xl2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0">
    <w:name w:val="xl30"/>
    <w:basedOn w:val="Normal"/>
    <w:rsid w:val="003B6259"/>
    <w:pPr>
      <w:pBdr>
        <w:top w:val="single" w:sz="4" w:space="0" w:color="auto"/>
        <w:left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1">
    <w:name w:val="xl31"/>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2">
    <w:name w:val="xl32"/>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3">
    <w:name w:val="xl33"/>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4">
    <w:name w:val="xl34"/>
    <w:basedOn w:val="Normal"/>
    <w:rsid w:val="003B6259"/>
    <w:pPr>
      <w:pBdr>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5">
    <w:name w:val="xl35"/>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6">
    <w:name w:val="xl36"/>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7">
    <w:name w:val="xl37"/>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8">
    <w:name w:val="xl3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39">
    <w:name w:val="xl3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0">
    <w:name w:val="xl40"/>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1">
    <w:name w:val="xl41"/>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2">
    <w:name w:val="xl42"/>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3">
    <w:name w:val="xl43"/>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right"/>
      <w:textAlignment w:val="center"/>
    </w:pPr>
    <w:rPr>
      <w:b/>
      <w:bCs/>
      <w:sz w:val="20"/>
      <w:szCs w:val="20"/>
    </w:rPr>
  </w:style>
  <w:style w:type="paragraph" w:customStyle="1" w:styleId="xl44">
    <w:name w:val="xl4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5">
    <w:name w:val="xl4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154491311">
      <w:bodyDiv w:val="1"/>
      <w:marLeft w:val="0"/>
      <w:marRight w:val="0"/>
      <w:marTop w:val="0"/>
      <w:marBottom w:val="0"/>
      <w:divBdr>
        <w:top w:val="none" w:sz="0" w:space="0" w:color="auto"/>
        <w:left w:val="none" w:sz="0" w:space="0" w:color="auto"/>
        <w:bottom w:val="none" w:sz="0" w:space="0" w:color="auto"/>
        <w:right w:val="none" w:sz="0" w:space="0" w:color="auto"/>
      </w:divBdr>
    </w:div>
    <w:div w:id="244416484">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712114770">
      <w:bodyDiv w:val="1"/>
      <w:marLeft w:val="0"/>
      <w:marRight w:val="0"/>
      <w:marTop w:val="0"/>
      <w:marBottom w:val="0"/>
      <w:divBdr>
        <w:top w:val="none" w:sz="0" w:space="0" w:color="auto"/>
        <w:left w:val="none" w:sz="0" w:space="0" w:color="auto"/>
        <w:bottom w:val="none" w:sz="0" w:space="0" w:color="auto"/>
        <w:right w:val="none" w:sz="0" w:space="0" w:color="auto"/>
      </w:divBdr>
    </w:div>
    <w:div w:id="718826953">
      <w:bodyDiv w:val="1"/>
      <w:marLeft w:val="0"/>
      <w:marRight w:val="0"/>
      <w:marTop w:val="0"/>
      <w:marBottom w:val="0"/>
      <w:divBdr>
        <w:top w:val="none" w:sz="0" w:space="0" w:color="auto"/>
        <w:left w:val="none" w:sz="0" w:space="0" w:color="auto"/>
        <w:bottom w:val="none" w:sz="0" w:space="0" w:color="auto"/>
        <w:right w:val="none" w:sz="0" w:space="0" w:color="auto"/>
      </w:divBdr>
    </w:div>
    <w:div w:id="776489858">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572931127">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855922881">
      <w:bodyDiv w:val="1"/>
      <w:marLeft w:val="0"/>
      <w:marRight w:val="0"/>
      <w:marTop w:val="0"/>
      <w:marBottom w:val="0"/>
      <w:divBdr>
        <w:top w:val="none" w:sz="0" w:space="0" w:color="auto"/>
        <w:left w:val="none" w:sz="0" w:space="0" w:color="auto"/>
        <w:bottom w:val="none" w:sz="0" w:space="0" w:color="auto"/>
        <w:right w:val="none" w:sz="0" w:space="0" w:color="auto"/>
      </w:divBdr>
    </w:div>
    <w:div w:id="1885944645">
      <w:bodyDiv w:val="1"/>
      <w:marLeft w:val="0"/>
      <w:marRight w:val="0"/>
      <w:marTop w:val="0"/>
      <w:marBottom w:val="0"/>
      <w:divBdr>
        <w:top w:val="none" w:sz="0" w:space="0" w:color="auto"/>
        <w:left w:val="none" w:sz="0" w:space="0" w:color="auto"/>
        <w:bottom w:val="none" w:sz="0" w:space="0" w:color="auto"/>
        <w:right w:val="none" w:sz="0" w:space="0" w:color="auto"/>
      </w:divBdr>
    </w:div>
    <w:div w:id="1899708047">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E20D-8EC9-4A20-A05C-FC05FB3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SYSTEM</cp:lastModifiedBy>
  <cp:revision>2</cp:revision>
  <cp:lastPrinted>2018-04-26T15:41:00Z</cp:lastPrinted>
  <dcterms:created xsi:type="dcterms:W3CDTF">2018-04-30T12:04:00Z</dcterms:created>
  <dcterms:modified xsi:type="dcterms:W3CDTF">2018-04-30T12:04:00Z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