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198" w:rsidRDefault="009C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Pr>
          <w:rFonts w:ascii="Helvetica" w:hAnsi="Helvetica"/>
          <w:b/>
          <w:sz w:val="28"/>
        </w:rPr>
        <w:t>Supporting Statement for Paperwork Reduction Act Submissions</w:t>
      </w:r>
    </w:p>
    <w:p w:rsidR="00F67A4F" w:rsidRPr="00C879B4" w:rsidRDefault="00F67A4F" w:rsidP="00F67A4F">
      <w:pPr>
        <w:pStyle w:val="Heading1"/>
        <w:jc w:val="center"/>
        <w:rPr>
          <w:color w:val="000000"/>
        </w:rPr>
      </w:pPr>
      <w:r>
        <w:rPr>
          <w:color w:val="000000"/>
        </w:rPr>
        <w:t>Energy Efficient Mortgage (EEM) Program</w:t>
      </w:r>
    </w:p>
    <w:p w:rsidR="00F67A4F" w:rsidRPr="00C879B4" w:rsidRDefault="00F67A4F" w:rsidP="00F67A4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4"/>
        </w:rPr>
      </w:pPr>
      <w:r w:rsidRPr="00C879B4">
        <w:rPr>
          <w:rFonts w:ascii="Helvetica" w:hAnsi="Helvetica"/>
          <w:b/>
          <w:color w:val="000000"/>
          <w:sz w:val="24"/>
        </w:rPr>
        <w:t>OMB Control Number 2502-</w:t>
      </w:r>
      <w:r>
        <w:rPr>
          <w:rFonts w:ascii="Helvetica" w:hAnsi="Helvetica"/>
          <w:b/>
          <w:color w:val="000000"/>
          <w:sz w:val="24"/>
        </w:rPr>
        <w:t>0561</w:t>
      </w:r>
    </w:p>
    <w:p w:rsidR="00F67A4F" w:rsidRPr="00C879B4" w:rsidRDefault="00F67A4F" w:rsidP="00F67A4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4"/>
        </w:rPr>
      </w:pPr>
      <w:r>
        <w:rPr>
          <w:rFonts w:ascii="Helvetica" w:hAnsi="Helvetica"/>
          <w:b/>
          <w:color w:val="000000"/>
          <w:sz w:val="24"/>
        </w:rPr>
        <w:t>Forms:  None</w:t>
      </w:r>
    </w:p>
    <w:p w:rsidR="005434BF" w:rsidRDefault="00543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5434BF" w:rsidRDefault="00543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9C5198" w:rsidRDefault="009C519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9C5198" w:rsidRDefault="009C5198">
      <w:pPr>
        <w:pStyle w:val="Heading1"/>
        <w:rPr>
          <w:rFonts w:ascii="Courier" w:hAnsi="Courier"/>
        </w:rPr>
      </w:pPr>
      <w:r>
        <w:t xml:space="preserve">A. </w:t>
      </w:r>
      <w:r>
        <w:tab/>
        <w:t>Justification</w:t>
      </w:r>
    </w:p>
    <w:p w:rsidR="009C5198" w:rsidRDefault="009C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976417" w:rsidRPr="00976417" w:rsidRDefault="009C5198" w:rsidP="005863E5">
      <w:pPr>
        <w:pStyle w:val="NormalWeb"/>
        <w:numPr>
          <w:ilvl w:val="0"/>
          <w:numId w:val="28"/>
        </w:numPr>
        <w:rPr>
          <w:rFonts w:ascii="Times New Roman" w:hAnsi="Times New Roman"/>
          <w:color w:val="000000"/>
          <w:sz w:val="24"/>
          <w:szCs w:val="24"/>
        </w:rPr>
      </w:pPr>
      <w:r w:rsidRPr="00D42816">
        <w:rPr>
          <w:rFonts w:ascii="Times New Roman" w:hAnsi="Times New Roman"/>
          <w:sz w:val="24"/>
        </w:rPr>
        <w:t>Section 106</w:t>
      </w:r>
      <w:r w:rsidR="00976417">
        <w:rPr>
          <w:rFonts w:ascii="Times New Roman" w:hAnsi="Times New Roman"/>
          <w:sz w:val="24"/>
        </w:rPr>
        <w:t xml:space="preserve"> of the </w:t>
      </w:r>
      <w:r w:rsidRPr="00D42816">
        <w:rPr>
          <w:rFonts w:ascii="Times New Roman" w:hAnsi="Times New Roman"/>
          <w:sz w:val="24"/>
        </w:rPr>
        <w:t xml:space="preserve">Energy Policy Act of 1992 </w:t>
      </w:r>
      <w:r w:rsidRPr="00D42816">
        <w:rPr>
          <w:rFonts w:ascii="Times New Roman" w:hAnsi="Times New Roman"/>
          <w:color w:val="000000"/>
          <w:sz w:val="24"/>
        </w:rPr>
        <w:t xml:space="preserve">(42 U.S.C 12712) </w:t>
      </w:r>
      <w:r w:rsidRPr="00D42816">
        <w:rPr>
          <w:rFonts w:ascii="Times New Roman" w:hAnsi="Times New Roman"/>
          <w:sz w:val="24"/>
        </w:rPr>
        <w:t xml:space="preserve">provides </w:t>
      </w:r>
      <w:r w:rsidR="00BB30D4" w:rsidRPr="00D42816">
        <w:rPr>
          <w:rFonts w:ascii="Times New Roman" w:hAnsi="Times New Roman"/>
          <w:sz w:val="24"/>
        </w:rPr>
        <w:t xml:space="preserve">the Department of Housing and Urban Development, </w:t>
      </w:r>
      <w:r w:rsidRPr="00D42816">
        <w:rPr>
          <w:rFonts w:ascii="Times New Roman" w:hAnsi="Times New Roman"/>
          <w:sz w:val="24"/>
        </w:rPr>
        <w:t>F</w:t>
      </w:r>
      <w:r w:rsidR="00BB30D4" w:rsidRPr="00D42816">
        <w:rPr>
          <w:rFonts w:ascii="Times New Roman" w:hAnsi="Times New Roman"/>
          <w:sz w:val="24"/>
        </w:rPr>
        <w:t xml:space="preserve">ederal </w:t>
      </w:r>
      <w:r w:rsidRPr="00D42816">
        <w:rPr>
          <w:rFonts w:ascii="Times New Roman" w:hAnsi="Times New Roman"/>
          <w:sz w:val="24"/>
        </w:rPr>
        <w:t>H</w:t>
      </w:r>
      <w:r w:rsidR="00BB30D4" w:rsidRPr="00D42816">
        <w:rPr>
          <w:rFonts w:ascii="Times New Roman" w:hAnsi="Times New Roman"/>
          <w:sz w:val="24"/>
        </w:rPr>
        <w:t xml:space="preserve">ousing </w:t>
      </w:r>
      <w:r w:rsidRPr="00D42816">
        <w:rPr>
          <w:rFonts w:ascii="Times New Roman" w:hAnsi="Times New Roman"/>
          <w:sz w:val="24"/>
        </w:rPr>
        <w:t>A</w:t>
      </w:r>
      <w:r w:rsidR="00BB30D4" w:rsidRPr="00D42816">
        <w:rPr>
          <w:rFonts w:ascii="Times New Roman" w:hAnsi="Times New Roman"/>
          <w:sz w:val="24"/>
        </w:rPr>
        <w:t>dministration (FHA)</w:t>
      </w:r>
      <w:r w:rsidR="00D42816" w:rsidRPr="00D42816">
        <w:rPr>
          <w:rFonts w:ascii="Times New Roman" w:hAnsi="Times New Roman"/>
          <w:sz w:val="24"/>
        </w:rPr>
        <w:t>,</w:t>
      </w:r>
      <w:r w:rsidRPr="00D42816">
        <w:rPr>
          <w:rFonts w:ascii="Times New Roman" w:hAnsi="Times New Roman"/>
          <w:sz w:val="24"/>
        </w:rPr>
        <w:t xml:space="preserve"> with the authority to insure mortgages where the costs of energy efficient improvements are incorporated into the mortgage.  To be eligible, the statute requires that the improvements be cost effective, which </w:t>
      </w:r>
      <w:r w:rsidR="008F07F8" w:rsidRPr="00D42816">
        <w:rPr>
          <w:rFonts w:ascii="Times New Roman" w:hAnsi="Times New Roman"/>
          <w:sz w:val="24"/>
        </w:rPr>
        <w:t>are</w:t>
      </w:r>
      <w:r w:rsidRPr="00D42816">
        <w:rPr>
          <w:rFonts w:ascii="Times New Roman" w:hAnsi="Times New Roman"/>
          <w:sz w:val="24"/>
        </w:rPr>
        <w:t xml:space="preserve"> determined pursuant to a</w:t>
      </w:r>
      <w:r w:rsidR="00B20B2C">
        <w:rPr>
          <w:rFonts w:ascii="Times New Roman" w:hAnsi="Times New Roman"/>
          <w:sz w:val="24"/>
        </w:rPr>
        <w:t xml:space="preserve"> Home</w:t>
      </w:r>
      <w:r w:rsidRPr="00D42816">
        <w:rPr>
          <w:rFonts w:ascii="Times New Roman" w:hAnsi="Times New Roman"/>
          <w:sz w:val="24"/>
        </w:rPr>
        <w:t xml:space="preserve"> </w:t>
      </w:r>
      <w:r w:rsidR="007A1A4D" w:rsidRPr="00D42816">
        <w:rPr>
          <w:rFonts w:ascii="Times New Roman" w:hAnsi="Times New Roman"/>
          <w:sz w:val="24"/>
        </w:rPr>
        <w:t>E</w:t>
      </w:r>
      <w:r w:rsidR="00E34D58">
        <w:rPr>
          <w:rFonts w:ascii="Times New Roman" w:hAnsi="Times New Roman"/>
          <w:sz w:val="24"/>
        </w:rPr>
        <w:t>nergy</w:t>
      </w:r>
      <w:r w:rsidR="007C0930">
        <w:rPr>
          <w:rFonts w:ascii="Times New Roman" w:hAnsi="Times New Roman"/>
          <w:sz w:val="24"/>
        </w:rPr>
        <w:t xml:space="preserve"> Report</w:t>
      </w:r>
      <w:r w:rsidR="00E34D58">
        <w:rPr>
          <w:rFonts w:ascii="Times New Roman" w:hAnsi="Times New Roman"/>
          <w:sz w:val="24"/>
        </w:rPr>
        <w:t>/Assessment</w:t>
      </w:r>
      <w:r w:rsidRPr="00D42816">
        <w:rPr>
          <w:rFonts w:ascii="Times New Roman" w:hAnsi="Times New Roman"/>
          <w:sz w:val="24"/>
        </w:rPr>
        <w:t xml:space="preserve">.  The statute also defines cost effective </w:t>
      </w:r>
      <w:r w:rsidR="008F07F8" w:rsidRPr="00D42816">
        <w:rPr>
          <w:rFonts w:ascii="Times New Roman" w:hAnsi="Times New Roman"/>
          <w:sz w:val="24"/>
        </w:rPr>
        <w:t>as</w:t>
      </w:r>
      <w:r w:rsidRPr="00D42816">
        <w:rPr>
          <w:rFonts w:ascii="Times New Roman" w:hAnsi="Times New Roman"/>
          <w:sz w:val="24"/>
        </w:rPr>
        <w:t xml:space="preserve"> the total cost of the improvements (including </w:t>
      </w:r>
      <w:r w:rsidR="00501D21">
        <w:rPr>
          <w:rFonts w:ascii="Times New Roman" w:hAnsi="Times New Roman"/>
          <w:sz w:val="24"/>
        </w:rPr>
        <w:t>the cost of maintenance and repair of a component that would make a home’s operation more energy-efficient</w:t>
      </w:r>
      <w:r w:rsidRPr="00D42816">
        <w:rPr>
          <w:rFonts w:ascii="Times New Roman" w:hAnsi="Times New Roman"/>
          <w:sz w:val="24"/>
        </w:rPr>
        <w:t xml:space="preserve">) </w:t>
      </w:r>
      <w:r w:rsidR="00F935B6" w:rsidRPr="00D42816">
        <w:rPr>
          <w:rFonts w:ascii="Times New Roman" w:hAnsi="Times New Roman"/>
          <w:sz w:val="24"/>
        </w:rPr>
        <w:t xml:space="preserve">that is </w:t>
      </w:r>
      <w:r w:rsidRPr="00D42816">
        <w:rPr>
          <w:rFonts w:ascii="Times New Roman" w:hAnsi="Times New Roman"/>
          <w:sz w:val="24"/>
        </w:rPr>
        <w:t>less than the total present value of the energy saved over the useful life of the improvement.</w:t>
      </w:r>
      <w:r w:rsidR="00D42816" w:rsidRPr="00D42816">
        <w:rPr>
          <w:rFonts w:ascii="Times New Roman" w:hAnsi="Times New Roman"/>
          <w:sz w:val="24"/>
        </w:rPr>
        <w:t xml:space="preserve">  </w:t>
      </w:r>
      <w:r w:rsidR="00CC48F9" w:rsidRPr="005863E5">
        <w:rPr>
          <w:rFonts w:ascii="Times New Roman" w:hAnsi="Times New Roman"/>
          <w:sz w:val="24"/>
          <w:szCs w:val="24"/>
        </w:rPr>
        <w:t>Section 2123 of the Housing Economic Recovery Act of 2008 (HERA) (Public Law 110-289, approved July 30, 2008</w:t>
      </w:r>
      <w:r w:rsidR="00B34BB3">
        <w:rPr>
          <w:rFonts w:ascii="Times New Roman" w:hAnsi="Times New Roman"/>
          <w:sz w:val="24"/>
          <w:szCs w:val="24"/>
        </w:rPr>
        <w:t>)</w:t>
      </w:r>
      <w:r w:rsidR="00CC48F9" w:rsidRPr="005863E5">
        <w:rPr>
          <w:rFonts w:ascii="Times New Roman" w:hAnsi="Times New Roman"/>
          <w:sz w:val="24"/>
          <w:szCs w:val="24"/>
        </w:rPr>
        <w:t xml:space="preserve"> amend</w:t>
      </w:r>
      <w:r w:rsidR="00CC48F9" w:rsidRPr="005863E5" w:rsidDel="0054614A">
        <w:rPr>
          <w:rFonts w:ascii="Times New Roman" w:hAnsi="Times New Roman"/>
          <w:sz w:val="24"/>
          <w:szCs w:val="24"/>
        </w:rPr>
        <w:t>ed</w:t>
      </w:r>
      <w:r w:rsidR="00CC48F9" w:rsidRPr="005863E5">
        <w:rPr>
          <w:rFonts w:ascii="Times New Roman" w:hAnsi="Times New Roman"/>
          <w:sz w:val="24"/>
          <w:szCs w:val="24"/>
        </w:rPr>
        <w:t xml:space="preserve"> Section 106 of the Energy Policy Act of 1992 </w:t>
      </w:r>
      <w:r w:rsidR="00F41616">
        <w:rPr>
          <w:rFonts w:ascii="Times New Roman" w:hAnsi="Times New Roman"/>
          <w:sz w:val="24"/>
          <w:szCs w:val="24"/>
        </w:rPr>
        <w:t>by</w:t>
      </w:r>
      <w:r w:rsidR="008F07F8" w:rsidRPr="005863E5">
        <w:rPr>
          <w:rFonts w:ascii="Times New Roman" w:hAnsi="Times New Roman"/>
          <w:sz w:val="24"/>
          <w:szCs w:val="24"/>
        </w:rPr>
        <w:t xml:space="preserve"> revis</w:t>
      </w:r>
      <w:r w:rsidR="00F41616">
        <w:rPr>
          <w:rFonts w:ascii="Times New Roman" w:hAnsi="Times New Roman"/>
          <w:sz w:val="24"/>
          <w:szCs w:val="24"/>
        </w:rPr>
        <w:t>ing</w:t>
      </w:r>
      <w:r w:rsidR="008F07F8" w:rsidRPr="005863E5">
        <w:rPr>
          <w:rFonts w:ascii="Times New Roman" w:hAnsi="Times New Roman"/>
          <w:sz w:val="24"/>
          <w:szCs w:val="24"/>
        </w:rPr>
        <w:t xml:space="preserve"> </w:t>
      </w:r>
      <w:r w:rsidR="00CC48F9" w:rsidRPr="005863E5">
        <w:rPr>
          <w:rFonts w:ascii="Times New Roman" w:hAnsi="Times New Roman"/>
          <w:sz w:val="24"/>
          <w:szCs w:val="24"/>
        </w:rPr>
        <w:t xml:space="preserve">the maximum additional </w:t>
      </w:r>
      <w:r w:rsidR="00F66BF9" w:rsidRPr="005863E5">
        <w:rPr>
          <w:rFonts w:ascii="Times New Roman" w:hAnsi="Times New Roman"/>
          <w:sz w:val="24"/>
          <w:szCs w:val="24"/>
        </w:rPr>
        <w:t xml:space="preserve">dollar </w:t>
      </w:r>
      <w:r w:rsidR="00CC48F9" w:rsidRPr="005863E5">
        <w:rPr>
          <w:rFonts w:ascii="Times New Roman" w:hAnsi="Times New Roman"/>
          <w:sz w:val="24"/>
          <w:szCs w:val="24"/>
        </w:rPr>
        <w:t xml:space="preserve">amount that can be added to an FHA insured mortgage for energy efficient improvements.  </w:t>
      </w:r>
    </w:p>
    <w:p w:rsidR="00976417" w:rsidRPr="00B34BB3" w:rsidRDefault="003C67BC" w:rsidP="00B34BB3">
      <w:pPr>
        <w:pStyle w:val="NoSpacing"/>
        <w:ind w:left="720"/>
        <w:rPr>
          <w:color w:val="000000"/>
          <w:sz w:val="24"/>
          <w:szCs w:val="24"/>
        </w:rPr>
      </w:pPr>
      <w:r w:rsidRPr="00B34BB3">
        <w:rPr>
          <w:sz w:val="24"/>
          <w:szCs w:val="24"/>
        </w:rPr>
        <w:t>HERA chang</w:t>
      </w:r>
      <w:r w:rsidR="00D42816" w:rsidRPr="00B34BB3">
        <w:rPr>
          <w:sz w:val="24"/>
          <w:szCs w:val="24"/>
        </w:rPr>
        <w:t>ed the maximum amount that home</w:t>
      </w:r>
      <w:r w:rsidRPr="00B34BB3">
        <w:rPr>
          <w:sz w:val="24"/>
          <w:szCs w:val="24"/>
        </w:rPr>
        <w:t xml:space="preserve">owners could borrow for energy upgrades, according to the lesser of </w:t>
      </w:r>
      <w:r w:rsidRPr="00B34BB3">
        <w:rPr>
          <w:color w:val="000000"/>
          <w:sz w:val="24"/>
          <w:szCs w:val="24"/>
        </w:rPr>
        <w:t>A or B as follows:</w:t>
      </w:r>
    </w:p>
    <w:p w:rsidR="00976417" w:rsidRPr="00B34BB3" w:rsidRDefault="003C67BC" w:rsidP="00B34BB3">
      <w:pPr>
        <w:pStyle w:val="NoSpacing"/>
        <w:numPr>
          <w:ilvl w:val="1"/>
          <w:numId w:val="1"/>
        </w:numPr>
        <w:rPr>
          <w:sz w:val="24"/>
          <w:szCs w:val="24"/>
        </w:rPr>
      </w:pPr>
      <w:r w:rsidRPr="00B34BB3">
        <w:rPr>
          <w:sz w:val="24"/>
          <w:szCs w:val="24"/>
        </w:rPr>
        <w:t>The dollar amount of cost-effective energy improvements, plus cost of report and inspections,</w:t>
      </w:r>
      <w:r w:rsidR="00976417" w:rsidRPr="00B34BB3">
        <w:rPr>
          <w:sz w:val="24"/>
          <w:szCs w:val="24"/>
        </w:rPr>
        <w:t xml:space="preserve"> or</w:t>
      </w:r>
    </w:p>
    <w:p w:rsidR="00976417" w:rsidRPr="00B34BB3" w:rsidRDefault="003C67BC" w:rsidP="00B34BB3">
      <w:pPr>
        <w:pStyle w:val="NoSpacing"/>
        <w:numPr>
          <w:ilvl w:val="1"/>
          <w:numId w:val="1"/>
        </w:numPr>
        <w:rPr>
          <w:sz w:val="24"/>
          <w:szCs w:val="24"/>
        </w:rPr>
      </w:pPr>
      <w:r w:rsidRPr="00B34BB3">
        <w:rPr>
          <w:sz w:val="24"/>
          <w:szCs w:val="24"/>
        </w:rPr>
        <w:t>The lesser of 5% of:</w:t>
      </w:r>
    </w:p>
    <w:p w:rsidR="00976417" w:rsidRPr="00C62391" w:rsidRDefault="003C67BC" w:rsidP="00B34BB3">
      <w:pPr>
        <w:pStyle w:val="NoSpacing"/>
        <w:ind w:left="1440"/>
        <w:rPr>
          <w:sz w:val="24"/>
          <w:szCs w:val="24"/>
        </w:rPr>
      </w:pPr>
      <w:r w:rsidRPr="00B34BB3">
        <w:rPr>
          <w:sz w:val="24"/>
          <w:szCs w:val="24"/>
        </w:rPr>
        <w:t xml:space="preserve">The value of the </w:t>
      </w:r>
      <w:r w:rsidRPr="00C62391">
        <w:rPr>
          <w:sz w:val="24"/>
          <w:szCs w:val="24"/>
        </w:rPr>
        <w:t xml:space="preserve">property, or </w:t>
      </w:r>
    </w:p>
    <w:p w:rsidR="00976417" w:rsidRPr="00C62391" w:rsidRDefault="003C67BC" w:rsidP="00B34BB3">
      <w:pPr>
        <w:pStyle w:val="NoSpacing"/>
        <w:ind w:left="1440"/>
        <w:rPr>
          <w:sz w:val="24"/>
          <w:szCs w:val="24"/>
        </w:rPr>
      </w:pPr>
      <w:r w:rsidRPr="00C62391">
        <w:rPr>
          <w:sz w:val="24"/>
          <w:szCs w:val="24"/>
        </w:rPr>
        <w:t>115% of the</w:t>
      </w:r>
      <w:r w:rsidR="00C62391">
        <w:rPr>
          <w:sz w:val="24"/>
          <w:szCs w:val="24"/>
        </w:rPr>
        <w:t xml:space="preserve"> median area price of</w:t>
      </w:r>
      <w:r w:rsidRPr="00C62391">
        <w:rPr>
          <w:sz w:val="24"/>
          <w:szCs w:val="24"/>
        </w:rPr>
        <w:t xml:space="preserve"> </w:t>
      </w:r>
      <w:r w:rsidR="00C62391">
        <w:rPr>
          <w:sz w:val="24"/>
          <w:szCs w:val="24"/>
        </w:rPr>
        <w:t xml:space="preserve">a </w:t>
      </w:r>
      <w:r w:rsidR="009F4C0F" w:rsidRPr="00C62391">
        <w:rPr>
          <w:sz w:val="24"/>
          <w:szCs w:val="24"/>
        </w:rPr>
        <w:t>single-family</w:t>
      </w:r>
      <w:r w:rsidRPr="00C62391">
        <w:rPr>
          <w:sz w:val="24"/>
          <w:szCs w:val="24"/>
        </w:rPr>
        <w:t xml:space="preserve"> dwelling, or </w:t>
      </w:r>
    </w:p>
    <w:p w:rsidR="003C67BC" w:rsidRDefault="00976417" w:rsidP="00B34BB3">
      <w:pPr>
        <w:pStyle w:val="NoSpacing"/>
        <w:ind w:left="1440"/>
        <w:rPr>
          <w:sz w:val="24"/>
          <w:szCs w:val="24"/>
        </w:rPr>
      </w:pPr>
      <w:r w:rsidRPr="00C62391">
        <w:rPr>
          <w:sz w:val="24"/>
          <w:szCs w:val="24"/>
        </w:rPr>
        <w:t>1</w:t>
      </w:r>
      <w:r w:rsidR="003C67BC" w:rsidRPr="00C62391">
        <w:rPr>
          <w:sz w:val="24"/>
          <w:szCs w:val="24"/>
        </w:rPr>
        <w:t>50% of the conforming Freddie Mac</w:t>
      </w:r>
      <w:r w:rsidR="003C67BC" w:rsidRPr="00B34BB3">
        <w:rPr>
          <w:sz w:val="24"/>
          <w:szCs w:val="24"/>
        </w:rPr>
        <w:t xml:space="preserve"> limit.</w:t>
      </w:r>
    </w:p>
    <w:p w:rsidR="00B34BB3" w:rsidRPr="00B34BB3" w:rsidRDefault="00B34BB3" w:rsidP="00B34BB3">
      <w:pPr>
        <w:pStyle w:val="NoSpacing"/>
        <w:ind w:left="1440"/>
        <w:rPr>
          <w:sz w:val="24"/>
          <w:szCs w:val="24"/>
        </w:rPr>
      </w:pPr>
    </w:p>
    <w:p w:rsidR="00BB30D4" w:rsidRDefault="00D42816" w:rsidP="007A757A">
      <w:pPr>
        <w:pStyle w:val="NoSpacing"/>
        <w:numPr>
          <w:ilvl w:val="0"/>
          <w:numId w:val="28"/>
        </w:numPr>
        <w:rPr>
          <w:sz w:val="24"/>
          <w:szCs w:val="24"/>
        </w:rPr>
      </w:pPr>
      <w:r w:rsidRPr="00DC0021">
        <w:rPr>
          <w:sz w:val="24"/>
          <w:szCs w:val="24"/>
        </w:rPr>
        <w:t xml:space="preserve">Lenders are responsible for </w:t>
      </w:r>
      <w:r w:rsidR="007A757A" w:rsidRPr="00DC0021">
        <w:rPr>
          <w:sz w:val="24"/>
          <w:szCs w:val="24"/>
        </w:rPr>
        <w:t xml:space="preserve">collecting and </w:t>
      </w:r>
      <w:r w:rsidRPr="00DC0021">
        <w:rPr>
          <w:sz w:val="24"/>
          <w:szCs w:val="24"/>
        </w:rPr>
        <w:t>reviewing the documents submitted and determining the cost effectiveness of the improvements so the</w:t>
      </w:r>
      <w:r w:rsidR="00B34BB3" w:rsidRPr="00DC0021">
        <w:rPr>
          <w:sz w:val="24"/>
          <w:szCs w:val="24"/>
        </w:rPr>
        <w:t>se costs</w:t>
      </w:r>
      <w:r w:rsidRPr="00DC0021">
        <w:rPr>
          <w:sz w:val="24"/>
          <w:szCs w:val="24"/>
        </w:rPr>
        <w:t xml:space="preserve"> can be added to the base loan amount.  </w:t>
      </w:r>
      <w:r w:rsidR="004504AE">
        <w:rPr>
          <w:sz w:val="24"/>
          <w:szCs w:val="24"/>
        </w:rPr>
        <w:t>Specific information is required to</w:t>
      </w:r>
      <w:r w:rsidR="000D7C26">
        <w:rPr>
          <w:sz w:val="24"/>
          <w:szCs w:val="24"/>
        </w:rPr>
        <w:t xml:space="preserve"> originate an EEM, including:</w:t>
      </w:r>
      <w:r w:rsidR="00BB30D4" w:rsidRPr="00DC0021">
        <w:rPr>
          <w:sz w:val="24"/>
          <w:szCs w:val="24"/>
        </w:rPr>
        <w:t xml:space="preserve">  </w:t>
      </w:r>
    </w:p>
    <w:p w:rsidR="00C62391" w:rsidRPr="00DC0021" w:rsidRDefault="00C62391" w:rsidP="00C62391">
      <w:pPr>
        <w:pStyle w:val="NoSpacing"/>
        <w:ind w:left="720"/>
        <w:rPr>
          <w:sz w:val="24"/>
          <w:szCs w:val="24"/>
        </w:rPr>
      </w:pPr>
    </w:p>
    <w:p w:rsidR="008F07F8" w:rsidRPr="00DC0021" w:rsidRDefault="008F07F8" w:rsidP="005863E5">
      <w:pPr>
        <w:pStyle w:val="ListParagraph"/>
        <w:keepLines/>
        <w:numPr>
          <w:ilvl w:val="0"/>
          <w:numId w:val="22"/>
        </w:numPr>
        <w:spacing w:after="80"/>
        <w:rPr>
          <w:color w:val="000000"/>
          <w:sz w:val="24"/>
          <w:szCs w:val="24"/>
        </w:rPr>
      </w:pPr>
      <w:r w:rsidRPr="00DC0021">
        <w:rPr>
          <w:sz w:val="24"/>
          <w:szCs w:val="24"/>
        </w:rPr>
        <w:t>T</w:t>
      </w:r>
      <w:r w:rsidR="00D42816" w:rsidRPr="00DC0021">
        <w:rPr>
          <w:sz w:val="24"/>
          <w:szCs w:val="24"/>
        </w:rPr>
        <w:t xml:space="preserve">he Home Energy </w:t>
      </w:r>
      <w:r w:rsidR="00C62391">
        <w:rPr>
          <w:sz w:val="24"/>
          <w:szCs w:val="24"/>
        </w:rPr>
        <w:t>Report/Assessment</w:t>
      </w:r>
      <w:r w:rsidR="00DF694A" w:rsidRPr="00DC0021">
        <w:rPr>
          <w:sz w:val="24"/>
          <w:szCs w:val="24"/>
        </w:rPr>
        <w:t xml:space="preserve"> </w:t>
      </w:r>
      <w:r w:rsidR="009C5198" w:rsidRPr="00DC0021">
        <w:rPr>
          <w:sz w:val="24"/>
          <w:szCs w:val="24"/>
        </w:rPr>
        <w:t>completed by the energy rater or consultant</w:t>
      </w:r>
      <w:r w:rsidR="00C62391">
        <w:rPr>
          <w:sz w:val="24"/>
          <w:szCs w:val="24"/>
        </w:rPr>
        <w:t xml:space="preserve">.  </w:t>
      </w:r>
      <w:r w:rsidRPr="00DC0021">
        <w:rPr>
          <w:color w:val="000000"/>
          <w:sz w:val="24"/>
          <w:szCs w:val="24"/>
        </w:rPr>
        <w:t>The lender must review and assess information</w:t>
      </w:r>
      <w:r w:rsidR="00CB3763">
        <w:rPr>
          <w:color w:val="000000"/>
          <w:sz w:val="24"/>
          <w:szCs w:val="24"/>
        </w:rPr>
        <w:t xml:space="preserve"> on the report</w:t>
      </w:r>
      <w:r w:rsidRPr="00DC0021">
        <w:rPr>
          <w:color w:val="000000"/>
          <w:sz w:val="24"/>
          <w:szCs w:val="24"/>
        </w:rPr>
        <w:t xml:space="preserve">, including: </w:t>
      </w:r>
    </w:p>
    <w:p w:rsidR="008F07F8" w:rsidRPr="00DC0021" w:rsidRDefault="008F07F8" w:rsidP="007C0130">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t>Address of the Property</w:t>
      </w:r>
    </w:p>
    <w:p w:rsidR="008F07F8" w:rsidRPr="00DC0021" w:rsidRDefault="008F07F8" w:rsidP="006E76A2">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t>Name of client</w:t>
      </w:r>
      <w:r w:rsidR="004F24CC" w:rsidRPr="00DC0021">
        <w:rPr>
          <w:rFonts w:ascii="Times New Roman" w:hAnsi="Times New Roman"/>
          <w:sz w:val="24"/>
          <w:szCs w:val="24"/>
        </w:rPr>
        <w:t xml:space="preserve"> (homeowner and/or borrower)</w:t>
      </w:r>
    </w:p>
    <w:p w:rsidR="008F07F8" w:rsidRPr="00DC0021" w:rsidRDefault="008F07F8" w:rsidP="006E76A2">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t>FHA Case number (if applicable)</w:t>
      </w:r>
    </w:p>
    <w:p w:rsidR="008F07F8" w:rsidRPr="00DC0021" w:rsidRDefault="008F07F8" w:rsidP="006E76A2">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t>Name of Lender (if applicable)</w:t>
      </w:r>
    </w:p>
    <w:p w:rsidR="008F07F8" w:rsidRPr="00DC0021" w:rsidRDefault="008F07F8" w:rsidP="006E76A2">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t>Type of Property</w:t>
      </w:r>
      <w:r w:rsidR="004F24CC" w:rsidRPr="00DC0021">
        <w:rPr>
          <w:rFonts w:ascii="Times New Roman" w:hAnsi="Times New Roman"/>
          <w:sz w:val="24"/>
          <w:szCs w:val="24"/>
        </w:rPr>
        <w:t xml:space="preserve"> (or property description)</w:t>
      </w:r>
    </w:p>
    <w:p w:rsidR="008F07F8" w:rsidRPr="00DC0021" w:rsidRDefault="008F07F8" w:rsidP="006E76A2">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t>Whether the property is new construction or existing</w:t>
      </w:r>
    </w:p>
    <w:p w:rsidR="008F07F8" w:rsidRPr="00DC0021" w:rsidRDefault="008F07F8" w:rsidP="006E76A2">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t xml:space="preserve">Date of the physical </w:t>
      </w:r>
      <w:r w:rsidR="00DF694A" w:rsidRPr="00DC0021">
        <w:rPr>
          <w:rFonts w:ascii="Times New Roman" w:hAnsi="Times New Roman"/>
          <w:sz w:val="24"/>
          <w:szCs w:val="24"/>
        </w:rPr>
        <w:t xml:space="preserve">energy assessment </w:t>
      </w:r>
      <w:r w:rsidRPr="00DC0021">
        <w:rPr>
          <w:rFonts w:ascii="Times New Roman" w:hAnsi="Times New Roman"/>
          <w:sz w:val="24"/>
          <w:szCs w:val="24"/>
        </w:rPr>
        <w:t>of the existing property or, for new construction, the date of the plan review.</w:t>
      </w:r>
    </w:p>
    <w:p w:rsidR="008F07F8" w:rsidRPr="00DC0021" w:rsidRDefault="008F07F8" w:rsidP="00A25905">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t xml:space="preserve">Description of the </w:t>
      </w:r>
      <w:r w:rsidR="00A25905" w:rsidRPr="00DC0021">
        <w:rPr>
          <w:rFonts w:ascii="Times New Roman" w:hAnsi="Times New Roman"/>
          <w:sz w:val="24"/>
          <w:szCs w:val="24"/>
        </w:rPr>
        <w:t>recommended or suggested</w:t>
      </w:r>
      <w:r w:rsidRPr="00DC0021">
        <w:rPr>
          <w:rFonts w:ascii="Times New Roman" w:hAnsi="Times New Roman"/>
          <w:sz w:val="24"/>
          <w:szCs w:val="24"/>
        </w:rPr>
        <w:t xml:space="preserve"> energy </w:t>
      </w:r>
      <w:r w:rsidR="00A25905" w:rsidRPr="00DC0021">
        <w:rPr>
          <w:rFonts w:ascii="Times New Roman" w:hAnsi="Times New Roman"/>
          <w:sz w:val="24"/>
          <w:szCs w:val="24"/>
        </w:rPr>
        <w:t>improvements for the property, along with an estimate of cost for each improvement.</w:t>
      </w:r>
    </w:p>
    <w:p w:rsidR="008F07F8" w:rsidRPr="00DC0021" w:rsidRDefault="008F07F8" w:rsidP="005863E5">
      <w:pPr>
        <w:pStyle w:val="HTMLPreformatted"/>
        <w:numPr>
          <w:ilvl w:val="1"/>
          <w:numId w:val="22"/>
        </w:numPr>
        <w:tabs>
          <w:tab w:val="left" w:pos="960"/>
        </w:tabs>
        <w:ind w:left="1832"/>
        <w:rPr>
          <w:rFonts w:ascii="Times New Roman" w:hAnsi="Times New Roman"/>
          <w:sz w:val="24"/>
          <w:szCs w:val="24"/>
        </w:rPr>
      </w:pPr>
      <w:r w:rsidRPr="00DC0021">
        <w:rPr>
          <w:rFonts w:ascii="Times New Roman" w:hAnsi="Times New Roman"/>
          <w:sz w:val="24"/>
          <w:szCs w:val="24"/>
        </w:rPr>
        <w:t xml:space="preserve">For each </w:t>
      </w:r>
      <w:r w:rsidR="00A25905" w:rsidRPr="00DC0021">
        <w:rPr>
          <w:rFonts w:ascii="Times New Roman" w:hAnsi="Times New Roman"/>
          <w:sz w:val="24"/>
          <w:szCs w:val="24"/>
        </w:rPr>
        <w:t>recommended/</w:t>
      </w:r>
      <w:r w:rsidRPr="00DC0021">
        <w:rPr>
          <w:rFonts w:ascii="Times New Roman" w:hAnsi="Times New Roman"/>
          <w:sz w:val="24"/>
          <w:szCs w:val="24"/>
        </w:rPr>
        <w:t>suggested improvement, the report must show the</w:t>
      </w:r>
      <w:r w:rsidR="00D67594" w:rsidRPr="00DC0021">
        <w:rPr>
          <w:rFonts w:ascii="Times New Roman" w:hAnsi="Times New Roman"/>
          <w:sz w:val="24"/>
          <w:szCs w:val="24"/>
        </w:rPr>
        <w:t xml:space="preserve"> estimated</w:t>
      </w:r>
      <w:r w:rsidRPr="00DC0021">
        <w:rPr>
          <w:rFonts w:ascii="Times New Roman" w:hAnsi="Times New Roman"/>
          <w:sz w:val="24"/>
          <w:szCs w:val="24"/>
        </w:rPr>
        <w:t xml:space="preserve"> calculated energ</w:t>
      </w:r>
      <w:r w:rsidR="006E76A2" w:rsidRPr="00DC0021">
        <w:rPr>
          <w:rFonts w:ascii="Times New Roman" w:hAnsi="Times New Roman"/>
          <w:sz w:val="24"/>
          <w:szCs w:val="24"/>
        </w:rPr>
        <w:t>y savings in</w:t>
      </w:r>
      <w:r w:rsidR="00A25905" w:rsidRPr="00DC0021">
        <w:rPr>
          <w:rFonts w:ascii="Times New Roman" w:hAnsi="Times New Roman"/>
          <w:sz w:val="24"/>
          <w:szCs w:val="24"/>
        </w:rPr>
        <w:t xml:space="preserve"> </w:t>
      </w:r>
      <w:r w:rsidRPr="00DC0021">
        <w:rPr>
          <w:rFonts w:ascii="Times New Roman" w:hAnsi="Times New Roman"/>
          <w:sz w:val="24"/>
          <w:szCs w:val="24"/>
        </w:rPr>
        <w:t xml:space="preserve">dollars, </w:t>
      </w:r>
      <w:r w:rsidR="00D67594" w:rsidRPr="00DC0021">
        <w:rPr>
          <w:rFonts w:ascii="Times New Roman" w:hAnsi="Times New Roman"/>
          <w:sz w:val="24"/>
          <w:szCs w:val="24"/>
        </w:rPr>
        <w:t xml:space="preserve">which </w:t>
      </w:r>
      <w:r w:rsidRPr="00DC0021">
        <w:rPr>
          <w:rFonts w:ascii="Times New Roman" w:hAnsi="Times New Roman"/>
          <w:sz w:val="24"/>
          <w:szCs w:val="24"/>
        </w:rPr>
        <w:t>each upgrade improvement would provide over its useful life, as compared with the home’s current condition (for existing construction) or standard condition (</w:t>
      </w:r>
      <w:r w:rsidR="00D67594" w:rsidRPr="00DC0021">
        <w:rPr>
          <w:rFonts w:ascii="Times New Roman" w:hAnsi="Times New Roman"/>
          <w:sz w:val="24"/>
          <w:szCs w:val="24"/>
        </w:rPr>
        <w:t>for new construction).  The</w:t>
      </w:r>
      <w:r w:rsidRPr="00DC0021">
        <w:rPr>
          <w:rFonts w:ascii="Times New Roman" w:hAnsi="Times New Roman"/>
          <w:sz w:val="24"/>
          <w:szCs w:val="24"/>
        </w:rPr>
        <w:t xml:space="preserve"> energy calculation is based on present value, rather than reflective of future value (or future rise in energy costs). </w:t>
      </w:r>
    </w:p>
    <w:p w:rsidR="00CB6B24" w:rsidRPr="00DC0021" w:rsidRDefault="008F07F8" w:rsidP="00CB6B24">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lastRenderedPageBreak/>
        <w:t xml:space="preserve">If applicable, information showing the home’s compliance with </w:t>
      </w:r>
      <w:r w:rsidR="006E76A2" w:rsidRPr="00DC0021">
        <w:rPr>
          <w:rFonts w:ascii="Times New Roman" w:hAnsi="Times New Roman"/>
          <w:sz w:val="24"/>
          <w:szCs w:val="24"/>
        </w:rPr>
        <w:t>standards for the International</w:t>
      </w:r>
    </w:p>
    <w:p w:rsidR="008F07F8" w:rsidRPr="00DC0021" w:rsidRDefault="00CB6B24" w:rsidP="005863E5">
      <w:pPr>
        <w:pStyle w:val="HTMLPreformatted"/>
        <w:tabs>
          <w:tab w:val="left" w:pos="960"/>
        </w:tabs>
        <w:ind w:left="1440"/>
        <w:rPr>
          <w:rFonts w:ascii="Times New Roman" w:hAnsi="Times New Roman"/>
          <w:sz w:val="24"/>
          <w:szCs w:val="24"/>
        </w:rPr>
      </w:pPr>
      <w:r w:rsidRPr="00DC0021">
        <w:rPr>
          <w:rFonts w:ascii="Times New Roman" w:hAnsi="Times New Roman"/>
          <w:sz w:val="24"/>
          <w:szCs w:val="24"/>
        </w:rPr>
        <w:t xml:space="preserve">     </w:t>
      </w:r>
      <w:r w:rsidR="003C67BC" w:rsidRPr="00DC0021">
        <w:rPr>
          <w:rFonts w:ascii="Times New Roman" w:hAnsi="Times New Roman"/>
          <w:sz w:val="24"/>
          <w:szCs w:val="24"/>
        </w:rPr>
        <w:t xml:space="preserve"> </w:t>
      </w:r>
      <w:r w:rsidRPr="00DC0021">
        <w:rPr>
          <w:rFonts w:ascii="Times New Roman" w:hAnsi="Times New Roman"/>
          <w:sz w:val="24"/>
          <w:szCs w:val="24"/>
        </w:rPr>
        <w:t xml:space="preserve"> </w:t>
      </w:r>
      <w:r w:rsidR="008F07F8" w:rsidRPr="00DC0021">
        <w:rPr>
          <w:rFonts w:ascii="Times New Roman" w:hAnsi="Times New Roman"/>
          <w:sz w:val="24"/>
          <w:szCs w:val="24"/>
        </w:rPr>
        <w:t>Energy Conservation Code</w:t>
      </w:r>
      <w:r w:rsidR="00A25905" w:rsidRPr="00DC0021">
        <w:rPr>
          <w:rFonts w:ascii="Times New Roman" w:hAnsi="Times New Roman"/>
          <w:sz w:val="24"/>
          <w:szCs w:val="24"/>
        </w:rPr>
        <w:t xml:space="preserve"> (IECC) and year of IECC standard</w:t>
      </w:r>
      <w:r w:rsidR="008F07F8" w:rsidRPr="00DC0021">
        <w:rPr>
          <w:rFonts w:ascii="Times New Roman" w:hAnsi="Times New Roman"/>
          <w:sz w:val="24"/>
          <w:szCs w:val="24"/>
        </w:rPr>
        <w:t xml:space="preserve">. </w:t>
      </w:r>
    </w:p>
    <w:p w:rsidR="008F07F8" w:rsidRPr="00DC0021" w:rsidRDefault="008F07F8" w:rsidP="00CB6B24">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t>Names and signatures of the person(s) who inspected the property and of the person(s) who prepared</w:t>
      </w:r>
      <w:r w:rsidR="00CB6B24" w:rsidRPr="00DC0021">
        <w:rPr>
          <w:rFonts w:ascii="Times New Roman" w:hAnsi="Times New Roman"/>
          <w:sz w:val="24"/>
          <w:szCs w:val="24"/>
        </w:rPr>
        <w:t xml:space="preserve"> </w:t>
      </w:r>
      <w:r w:rsidRPr="00DC0021">
        <w:rPr>
          <w:rFonts w:ascii="Times New Roman" w:hAnsi="Times New Roman"/>
          <w:sz w:val="24"/>
          <w:szCs w:val="24"/>
        </w:rPr>
        <w:t>the report, and the date the report as prepared.</w:t>
      </w:r>
    </w:p>
    <w:p w:rsidR="00BA3E92" w:rsidRPr="00DC0021" w:rsidRDefault="00BA3E92" w:rsidP="00CB6B24">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t xml:space="preserve">That the Home Energy Report/Assessment provides information to show that the energy inspector is trained and qualified to assess home energy usage and savings. </w:t>
      </w:r>
    </w:p>
    <w:p w:rsidR="00CB6B24" w:rsidRPr="00DC0021" w:rsidRDefault="008F07F8" w:rsidP="005863E5">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t>The following Certification, signed by the person(s) who inspected the property and the person(s</w:t>
      </w:r>
      <w:r w:rsidR="005863E5" w:rsidRPr="00DC0021">
        <w:rPr>
          <w:rFonts w:ascii="Times New Roman" w:hAnsi="Times New Roman"/>
          <w:sz w:val="24"/>
          <w:szCs w:val="24"/>
        </w:rPr>
        <w:t>) who prepared the report:  “</w:t>
      </w:r>
      <w:r w:rsidRPr="00DC0021">
        <w:rPr>
          <w:rFonts w:ascii="Times New Roman" w:hAnsi="Times New Roman"/>
          <w:sz w:val="24"/>
          <w:szCs w:val="24"/>
        </w:rPr>
        <w:t>I certify to the best of my knowledge and belief, the information contained in this report is true and accurate and I understand that the information in this report may be used in connection with an application for an Energy Efficient Mortgage to be insured by the Federal Housing Administration of the U.S. Department of Housing and Urban Development."</w:t>
      </w:r>
    </w:p>
    <w:p w:rsidR="003C67BC" w:rsidRPr="00DC0021" w:rsidRDefault="003C67BC" w:rsidP="003C67BC">
      <w:pPr>
        <w:pStyle w:val="HTMLPreformatted"/>
        <w:tabs>
          <w:tab w:val="left" w:pos="960"/>
        </w:tabs>
        <w:ind w:left="1832"/>
        <w:rPr>
          <w:rFonts w:ascii="Times New Roman" w:hAnsi="Times New Roman"/>
          <w:sz w:val="24"/>
          <w:szCs w:val="24"/>
        </w:rPr>
      </w:pPr>
    </w:p>
    <w:p w:rsidR="00BB30D4" w:rsidRPr="00265304" w:rsidRDefault="0006379E" w:rsidP="005863E5">
      <w:pPr>
        <w:pStyle w:val="ListParagraph"/>
        <w:keepLines/>
        <w:numPr>
          <w:ilvl w:val="0"/>
          <w:numId w:val="22"/>
        </w:numPr>
        <w:spacing w:after="80"/>
        <w:rPr>
          <w:sz w:val="24"/>
          <w:szCs w:val="24"/>
        </w:rPr>
      </w:pPr>
      <w:r>
        <w:rPr>
          <w:sz w:val="24"/>
          <w:szCs w:val="24"/>
        </w:rPr>
        <w:t xml:space="preserve">Lender’s </w:t>
      </w:r>
      <w:r w:rsidR="002C21AB">
        <w:rPr>
          <w:sz w:val="24"/>
          <w:szCs w:val="24"/>
        </w:rPr>
        <w:t xml:space="preserve">review of the </w:t>
      </w:r>
      <w:r w:rsidR="00201F96">
        <w:rPr>
          <w:sz w:val="24"/>
          <w:szCs w:val="24"/>
        </w:rPr>
        <w:t>Home E</w:t>
      </w:r>
      <w:r w:rsidR="002C21AB">
        <w:rPr>
          <w:sz w:val="24"/>
          <w:szCs w:val="24"/>
        </w:rPr>
        <w:t xml:space="preserve">nergy </w:t>
      </w:r>
      <w:r w:rsidR="00201F96">
        <w:rPr>
          <w:sz w:val="24"/>
          <w:szCs w:val="24"/>
        </w:rPr>
        <w:t>R</w:t>
      </w:r>
      <w:r w:rsidR="002C21AB">
        <w:rPr>
          <w:sz w:val="24"/>
          <w:szCs w:val="24"/>
        </w:rPr>
        <w:t>eport and assess</w:t>
      </w:r>
      <w:r w:rsidR="00201F96">
        <w:rPr>
          <w:sz w:val="24"/>
          <w:szCs w:val="24"/>
        </w:rPr>
        <w:t>ment of</w:t>
      </w:r>
      <w:r w:rsidR="002C21AB">
        <w:rPr>
          <w:sz w:val="24"/>
          <w:szCs w:val="24"/>
        </w:rPr>
        <w:t xml:space="preserve"> whether improvements to be made (energy package) are </w:t>
      </w:r>
      <w:r w:rsidR="009C5198" w:rsidRPr="00265304">
        <w:rPr>
          <w:sz w:val="24"/>
          <w:szCs w:val="24"/>
        </w:rPr>
        <w:t>cost effec</w:t>
      </w:r>
      <w:r w:rsidR="00CB6B24" w:rsidRPr="00265304">
        <w:rPr>
          <w:sz w:val="24"/>
          <w:szCs w:val="24"/>
        </w:rPr>
        <w:t>tive.</w:t>
      </w:r>
    </w:p>
    <w:p w:rsidR="007C0130" w:rsidRPr="00265304" w:rsidRDefault="007C0130" w:rsidP="007C0130">
      <w:pPr>
        <w:pStyle w:val="ListParagraph"/>
        <w:keepLines/>
        <w:spacing w:after="80"/>
        <w:ind w:left="1080"/>
        <w:rPr>
          <w:sz w:val="24"/>
          <w:szCs w:val="24"/>
        </w:rPr>
      </w:pPr>
    </w:p>
    <w:p w:rsidR="00470F5B" w:rsidRPr="00265304" w:rsidRDefault="00F257C9" w:rsidP="005863E5">
      <w:pPr>
        <w:pStyle w:val="ListParagraph"/>
        <w:keepLines/>
        <w:numPr>
          <w:ilvl w:val="0"/>
          <w:numId w:val="22"/>
        </w:numPr>
        <w:spacing w:after="80"/>
        <w:rPr>
          <w:sz w:val="24"/>
          <w:szCs w:val="24"/>
        </w:rPr>
      </w:pPr>
      <w:r w:rsidRPr="00265304">
        <w:rPr>
          <w:sz w:val="24"/>
          <w:szCs w:val="24"/>
        </w:rPr>
        <w:t>Since borrowers are not required to qualify on the mortgage with</w:t>
      </w:r>
      <w:r w:rsidR="00D60FC8" w:rsidRPr="00265304">
        <w:rPr>
          <w:sz w:val="24"/>
          <w:szCs w:val="24"/>
        </w:rPr>
        <w:t xml:space="preserve"> the cost of</w:t>
      </w:r>
      <w:r w:rsidRPr="00265304">
        <w:rPr>
          <w:sz w:val="24"/>
          <w:szCs w:val="24"/>
        </w:rPr>
        <w:t xml:space="preserve"> energy improvements </w:t>
      </w:r>
      <w:r w:rsidR="00D60FC8" w:rsidRPr="00265304">
        <w:rPr>
          <w:sz w:val="24"/>
          <w:szCs w:val="24"/>
        </w:rPr>
        <w:t>financed in, an a</w:t>
      </w:r>
      <w:r w:rsidR="000C4ED6" w:rsidRPr="00265304">
        <w:rPr>
          <w:sz w:val="24"/>
          <w:szCs w:val="24"/>
        </w:rPr>
        <w:t>dditional review by</w:t>
      </w:r>
      <w:r w:rsidR="007C0130" w:rsidRPr="00265304">
        <w:rPr>
          <w:sz w:val="24"/>
          <w:szCs w:val="24"/>
        </w:rPr>
        <w:t xml:space="preserve"> the Direct Endorsement Underwriter for </w:t>
      </w:r>
    </w:p>
    <w:p w:rsidR="00470F5B" w:rsidRPr="00265304" w:rsidRDefault="007C0130" w:rsidP="00470F5B">
      <w:pPr>
        <w:pStyle w:val="ListParagraph"/>
        <w:keepLines/>
        <w:numPr>
          <w:ilvl w:val="0"/>
          <w:numId w:val="30"/>
        </w:numPr>
        <w:spacing w:after="80"/>
        <w:ind w:left="1440"/>
        <w:rPr>
          <w:sz w:val="24"/>
          <w:szCs w:val="24"/>
        </w:rPr>
      </w:pPr>
      <w:r w:rsidRPr="00265304">
        <w:rPr>
          <w:sz w:val="24"/>
          <w:szCs w:val="24"/>
        </w:rPr>
        <w:t xml:space="preserve">TOTAL Scorecard, </w:t>
      </w:r>
      <w:r w:rsidR="00680B64" w:rsidRPr="00265304">
        <w:rPr>
          <w:sz w:val="24"/>
          <w:szCs w:val="24"/>
        </w:rPr>
        <w:t>which</w:t>
      </w:r>
      <w:r w:rsidR="00252059" w:rsidRPr="00265304">
        <w:rPr>
          <w:sz w:val="24"/>
          <w:szCs w:val="24"/>
        </w:rPr>
        <w:t xml:space="preserve"> </w:t>
      </w:r>
      <w:r w:rsidR="00680B64" w:rsidRPr="00265304">
        <w:rPr>
          <w:sz w:val="24"/>
          <w:szCs w:val="24"/>
        </w:rPr>
        <w:t xml:space="preserve">assesses acceptability of </w:t>
      </w:r>
      <w:r w:rsidR="00470F5B" w:rsidRPr="00265304">
        <w:rPr>
          <w:sz w:val="24"/>
          <w:szCs w:val="24"/>
        </w:rPr>
        <w:t>an EEM mortgage</w:t>
      </w:r>
      <w:r w:rsidR="00680B64" w:rsidRPr="00265304">
        <w:rPr>
          <w:sz w:val="24"/>
          <w:szCs w:val="24"/>
        </w:rPr>
        <w:t xml:space="preserve"> amount and </w:t>
      </w:r>
      <w:r w:rsidR="008F508B" w:rsidRPr="00265304">
        <w:rPr>
          <w:sz w:val="24"/>
          <w:szCs w:val="24"/>
        </w:rPr>
        <w:t>qualifying ratios</w:t>
      </w:r>
      <w:r w:rsidR="00470F5B" w:rsidRPr="00265304">
        <w:rPr>
          <w:sz w:val="24"/>
          <w:szCs w:val="24"/>
        </w:rPr>
        <w:t xml:space="preserve"> using only the base mortgage and</w:t>
      </w:r>
      <w:r w:rsidR="00680B64" w:rsidRPr="00265304">
        <w:rPr>
          <w:sz w:val="24"/>
          <w:szCs w:val="24"/>
        </w:rPr>
        <w:t xml:space="preserve"> without the energy package financed in. </w:t>
      </w:r>
    </w:p>
    <w:p w:rsidR="00470F5B" w:rsidRPr="00265304" w:rsidRDefault="00470F5B" w:rsidP="00470F5B">
      <w:pPr>
        <w:pStyle w:val="ListParagraph"/>
        <w:keepLines/>
        <w:numPr>
          <w:ilvl w:val="0"/>
          <w:numId w:val="31"/>
        </w:numPr>
        <w:spacing w:after="80"/>
        <w:ind w:left="1440"/>
        <w:rPr>
          <w:color w:val="000000"/>
          <w:sz w:val="24"/>
          <w:szCs w:val="24"/>
        </w:rPr>
      </w:pPr>
      <w:r w:rsidRPr="00265304">
        <w:rPr>
          <w:sz w:val="24"/>
          <w:szCs w:val="24"/>
        </w:rPr>
        <w:t xml:space="preserve">The 92900-LT, </w:t>
      </w:r>
      <w:r w:rsidRPr="00265304">
        <w:rPr>
          <w:i/>
          <w:sz w:val="24"/>
          <w:szCs w:val="24"/>
        </w:rPr>
        <w:t>FHA Loan Underwriting and Transmittal</w:t>
      </w:r>
      <w:r w:rsidRPr="00265304">
        <w:rPr>
          <w:sz w:val="24"/>
          <w:szCs w:val="24"/>
        </w:rPr>
        <w:t xml:space="preserve"> Summary [OBM Approval No. 2502 – 0059]</w:t>
      </w:r>
      <w:r w:rsidR="00680B64" w:rsidRPr="00265304">
        <w:rPr>
          <w:sz w:val="24"/>
          <w:szCs w:val="24"/>
        </w:rPr>
        <w:t xml:space="preserve">, </w:t>
      </w:r>
      <w:r w:rsidR="007500A5" w:rsidRPr="00265304">
        <w:rPr>
          <w:sz w:val="24"/>
          <w:szCs w:val="24"/>
        </w:rPr>
        <w:t xml:space="preserve">showing the borrower qualifications </w:t>
      </w:r>
      <w:r w:rsidR="00680B64" w:rsidRPr="00265304">
        <w:rPr>
          <w:sz w:val="24"/>
          <w:szCs w:val="24"/>
        </w:rPr>
        <w:t xml:space="preserve">without the financeable </w:t>
      </w:r>
      <w:r w:rsidR="007500A5" w:rsidRPr="00265304">
        <w:rPr>
          <w:sz w:val="24"/>
          <w:szCs w:val="24"/>
        </w:rPr>
        <w:t>energy package</w:t>
      </w:r>
      <w:r w:rsidR="00680B64" w:rsidRPr="00265304">
        <w:rPr>
          <w:sz w:val="24"/>
          <w:szCs w:val="24"/>
        </w:rPr>
        <w:t xml:space="preserve">. </w:t>
      </w:r>
    </w:p>
    <w:p w:rsidR="009E2AC4" w:rsidRPr="00265304" w:rsidRDefault="009E2AC4" w:rsidP="009E2AC4">
      <w:pPr>
        <w:pStyle w:val="ListParagraph"/>
        <w:keepLines/>
        <w:spacing w:after="80"/>
        <w:ind w:left="1440"/>
        <w:rPr>
          <w:color w:val="000000"/>
          <w:sz w:val="24"/>
          <w:szCs w:val="24"/>
        </w:rPr>
      </w:pPr>
    </w:p>
    <w:p w:rsidR="009A5AA1" w:rsidRPr="00265304" w:rsidRDefault="00545D60" w:rsidP="00E30F58">
      <w:pPr>
        <w:pStyle w:val="ListParagraph"/>
        <w:keepLines/>
        <w:numPr>
          <w:ilvl w:val="0"/>
          <w:numId w:val="22"/>
        </w:numPr>
        <w:spacing w:after="80"/>
        <w:rPr>
          <w:color w:val="000000"/>
          <w:sz w:val="24"/>
          <w:szCs w:val="24"/>
        </w:rPr>
      </w:pPr>
      <w:r w:rsidRPr="00265304">
        <w:rPr>
          <w:color w:val="000000"/>
          <w:sz w:val="24"/>
          <w:szCs w:val="24"/>
        </w:rPr>
        <w:t>Lenders enter i</w:t>
      </w:r>
      <w:r w:rsidR="007C0130" w:rsidRPr="00265304">
        <w:rPr>
          <w:color w:val="000000"/>
          <w:sz w:val="24"/>
          <w:szCs w:val="24"/>
        </w:rPr>
        <w:t xml:space="preserve">nformation </w:t>
      </w:r>
      <w:r w:rsidRPr="00265304">
        <w:rPr>
          <w:color w:val="000000"/>
          <w:sz w:val="24"/>
          <w:szCs w:val="24"/>
        </w:rPr>
        <w:t>in FHA Connection to indicate th</w:t>
      </w:r>
      <w:r w:rsidR="007C0130" w:rsidRPr="00265304">
        <w:rPr>
          <w:color w:val="000000"/>
          <w:sz w:val="24"/>
          <w:szCs w:val="24"/>
        </w:rPr>
        <w:t xml:space="preserve">at the </w:t>
      </w:r>
      <w:r w:rsidRPr="00265304">
        <w:rPr>
          <w:color w:val="000000"/>
          <w:sz w:val="24"/>
          <w:szCs w:val="24"/>
        </w:rPr>
        <w:t xml:space="preserve">improvement </w:t>
      </w:r>
      <w:r w:rsidR="007C0130" w:rsidRPr="00265304">
        <w:rPr>
          <w:color w:val="000000"/>
          <w:sz w:val="24"/>
          <w:szCs w:val="24"/>
        </w:rPr>
        <w:t xml:space="preserve">work has been completed and the escrow account has been </w:t>
      </w:r>
      <w:r w:rsidRPr="00265304">
        <w:rPr>
          <w:color w:val="000000"/>
          <w:sz w:val="24"/>
          <w:szCs w:val="24"/>
        </w:rPr>
        <w:t>disbursed to the borrower and contractor</w:t>
      </w:r>
      <w:r w:rsidR="007C0130" w:rsidRPr="00265304">
        <w:rPr>
          <w:color w:val="000000"/>
          <w:sz w:val="24"/>
          <w:szCs w:val="24"/>
        </w:rPr>
        <w:t xml:space="preserve">.  </w:t>
      </w:r>
    </w:p>
    <w:p w:rsidR="00545D60" w:rsidRDefault="00545D60" w:rsidP="005863E5">
      <w:pPr>
        <w:pStyle w:val="ListParagraph"/>
        <w:ind w:left="1440"/>
        <w:rPr>
          <w:color w:val="000000"/>
          <w:u w:val="single"/>
        </w:rPr>
      </w:pPr>
    </w:p>
    <w:p w:rsidR="00545D60" w:rsidRPr="00545D60" w:rsidRDefault="00545D60" w:rsidP="00545D60">
      <w:pPr>
        <w:pStyle w:val="ListParagraph"/>
        <w:numPr>
          <w:ilvl w:val="0"/>
          <w:numId w:val="22"/>
        </w:numPr>
        <w:rPr>
          <w:color w:val="000000"/>
          <w:sz w:val="22"/>
        </w:rPr>
      </w:pPr>
      <w:r>
        <w:rPr>
          <w:color w:val="000000"/>
          <w:sz w:val="24"/>
        </w:rPr>
        <w:t>Lenders click to c</w:t>
      </w:r>
      <w:r w:rsidRPr="00545D60">
        <w:rPr>
          <w:color w:val="000000"/>
          <w:sz w:val="24"/>
        </w:rPr>
        <w:t xml:space="preserve">heck </w:t>
      </w:r>
      <w:r>
        <w:rPr>
          <w:color w:val="000000"/>
          <w:sz w:val="24"/>
        </w:rPr>
        <w:t xml:space="preserve">an indicator box </w:t>
      </w:r>
      <w:r w:rsidRPr="00545D60">
        <w:rPr>
          <w:color w:val="000000"/>
          <w:sz w:val="24"/>
        </w:rPr>
        <w:t>next to the type of improvement chosen by the borrower.</w:t>
      </w:r>
      <w:r>
        <w:rPr>
          <w:color w:val="000000"/>
          <w:sz w:val="24"/>
        </w:rPr>
        <w:t xml:space="preserve"> Lenders can check from a list of energy saving improvements (e.g. new windows, replacement HVAC, install solar panels, add insulation in attic or walls, etc.)</w:t>
      </w:r>
    </w:p>
    <w:p w:rsidR="005863E5" w:rsidRDefault="005863E5" w:rsidP="005863E5">
      <w:pPr>
        <w:pStyle w:val="ListParagraph"/>
        <w:ind w:left="1440"/>
        <w:rPr>
          <w:color w:val="000000"/>
        </w:rPr>
      </w:pPr>
    </w:p>
    <w:p w:rsidR="0021342B" w:rsidRPr="00FF5970" w:rsidRDefault="00293795" w:rsidP="008F2BDD">
      <w:pPr>
        <w:pStyle w:val="ListParagraph"/>
        <w:keepLines/>
        <w:numPr>
          <w:ilvl w:val="0"/>
          <w:numId w:val="28"/>
        </w:numPr>
        <w:spacing w:after="80"/>
        <w:rPr>
          <w:sz w:val="24"/>
        </w:rPr>
      </w:pPr>
      <w:r w:rsidRPr="009C13E8">
        <w:rPr>
          <w:color w:val="000000"/>
          <w:sz w:val="24"/>
          <w:szCs w:val="24"/>
        </w:rPr>
        <w:t xml:space="preserve">Currently, there are no HUD forms used for the EEM program.  The maximum loan amount calculation is performed by FHA Connection, the computer system used by lenders to register and record information about their FHA-insured mortgages.  </w:t>
      </w:r>
    </w:p>
    <w:p w:rsidR="00FF5970" w:rsidRPr="009C13E8" w:rsidRDefault="00FF5970" w:rsidP="00FF5970">
      <w:pPr>
        <w:pStyle w:val="ListParagraph"/>
        <w:keepLines/>
        <w:spacing w:after="80"/>
        <w:rPr>
          <w:sz w:val="24"/>
        </w:rPr>
      </w:pPr>
    </w:p>
    <w:p w:rsidR="00293795" w:rsidRPr="00265304" w:rsidRDefault="00293795" w:rsidP="00FF5970">
      <w:pPr>
        <w:pStyle w:val="ListParagraph"/>
        <w:rPr>
          <w:sz w:val="24"/>
        </w:rPr>
      </w:pPr>
      <w:r w:rsidRPr="00265304">
        <w:rPr>
          <w:sz w:val="24"/>
        </w:rPr>
        <w:t>Escrow close-outs are submitted electronically through the Department’s internet-based</w:t>
      </w:r>
      <w:r w:rsidR="009D02E6" w:rsidRPr="00265304">
        <w:rPr>
          <w:sz w:val="24"/>
        </w:rPr>
        <w:t xml:space="preserve"> system called</w:t>
      </w:r>
      <w:r w:rsidRPr="00265304">
        <w:rPr>
          <w:sz w:val="24"/>
        </w:rPr>
        <w:t xml:space="preserve"> FHA Connection.  </w:t>
      </w:r>
      <w:r w:rsidR="001B7CC2" w:rsidRPr="00265304">
        <w:rPr>
          <w:sz w:val="24"/>
        </w:rPr>
        <w:t xml:space="preserve">Lenders also click on applicable check boxes to indicate the types of improvements made (e.g. new windows, added insulation, replacement HVAC, installation of solar panels, etc.)  </w:t>
      </w:r>
      <w:r w:rsidRPr="00265304">
        <w:rPr>
          <w:sz w:val="24"/>
        </w:rPr>
        <w:t xml:space="preserve">All other documentation is included in the standard case binder which the lender can submit electronically once approved under the basic FHA mortgage management process.   </w:t>
      </w:r>
    </w:p>
    <w:p w:rsidR="00293795" w:rsidRPr="00265304" w:rsidRDefault="00293795" w:rsidP="00293795">
      <w:pPr>
        <w:pStyle w:val="ListParagraph"/>
        <w:keepLines/>
        <w:tabs>
          <w:tab w:val="left" w:pos="360"/>
        </w:tabs>
        <w:spacing w:after="80"/>
        <w:rPr>
          <w:sz w:val="24"/>
        </w:rPr>
      </w:pPr>
    </w:p>
    <w:p w:rsidR="00293795" w:rsidRPr="00265304" w:rsidRDefault="00293795" w:rsidP="003E08E3">
      <w:pPr>
        <w:pStyle w:val="ListParagraph"/>
        <w:keepLines/>
        <w:numPr>
          <w:ilvl w:val="0"/>
          <w:numId w:val="28"/>
        </w:numPr>
        <w:tabs>
          <w:tab w:val="left" w:pos="360"/>
        </w:tabs>
        <w:spacing w:after="80"/>
        <w:rPr>
          <w:sz w:val="24"/>
        </w:rPr>
      </w:pPr>
      <w:r w:rsidRPr="00265304">
        <w:rPr>
          <w:sz w:val="24"/>
        </w:rPr>
        <w:t>No duplication exists.  The information collected is unique to energy efficient mortgages.</w:t>
      </w:r>
    </w:p>
    <w:p w:rsidR="00B34BB3" w:rsidRPr="00265304" w:rsidRDefault="00B34BB3" w:rsidP="00B34BB3">
      <w:pPr>
        <w:pStyle w:val="NoSpacing"/>
        <w:rPr>
          <w:sz w:val="24"/>
          <w:szCs w:val="24"/>
        </w:rPr>
      </w:pPr>
    </w:p>
    <w:p w:rsidR="00160D38" w:rsidRPr="00265304" w:rsidRDefault="00293795" w:rsidP="00830011">
      <w:pPr>
        <w:pStyle w:val="NoSpacing"/>
        <w:numPr>
          <w:ilvl w:val="0"/>
          <w:numId w:val="28"/>
        </w:numPr>
        <w:rPr>
          <w:sz w:val="24"/>
          <w:szCs w:val="24"/>
        </w:rPr>
      </w:pPr>
      <w:r w:rsidRPr="00265304">
        <w:rPr>
          <w:sz w:val="24"/>
          <w:szCs w:val="24"/>
        </w:rPr>
        <w:t xml:space="preserve">This information collection does not impact small </w:t>
      </w:r>
      <w:r w:rsidR="00160D38" w:rsidRPr="00265304">
        <w:rPr>
          <w:sz w:val="24"/>
          <w:szCs w:val="24"/>
        </w:rPr>
        <w:t xml:space="preserve">business or other small entities.  </w:t>
      </w:r>
    </w:p>
    <w:p w:rsidR="00160D38" w:rsidRPr="00265304" w:rsidRDefault="00160D38" w:rsidP="00B34BB3">
      <w:pPr>
        <w:pStyle w:val="NoSpacing"/>
        <w:rPr>
          <w:sz w:val="24"/>
          <w:szCs w:val="24"/>
        </w:rPr>
      </w:pPr>
    </w:p>
    <w:p w:rsidR="003C67BC" w:rsidRPr="00265304" w:rsidRDefault="009C5198" w:rsidP="00C6242C">
      <w:pPr>
        <w:pStyle w:val="NoSpacing"/>
        <w:numPr>
          <w:ilvl w:val="0"/>
          <w:numId w:val="28"/>
        </w:numPr>
        <w:rPr>
          <w:sz w:val="24"/>
          <w:szCs w:val="24"/>
        </w:rPr>
      </w:pPr>
      <w:r w:rsidRPr="00265304">
        <w:rPr>
          <w:sz w:val="24"/>
          <w:szCs w:val="24"/>
        </w:rPr>
        <w:t xml:space="preserve">The information collected does not have a significant economic impact </w:t>
      </w:r>
      <w:r w:rsidR="00CD78E3" w:rsidRPr="00265304">
        <w:rPr>
          <w:sz w:val="24"/>
          <w:szCs w:val="24"/>
        </w:rPr>
        <w:t>becaus</w:t>
      </w:r>
      <w:r w:rsidR="007557E9" w:rsidRPr="00265304">
        <w:rPr>
          <w:sz w:val="24"/>
          <w:szCs w:val="24"/>
        </w:rPr>
        <w:t xml:space="preserve">e the estimated burden time is </w:t>
      </w:r>
      <w:r w:rsidR="00FF5970">
        <w:rPr>
          <w:sz w:val="24"/>
          <w:szCs w:val="24"/>
        </w:rPr>
        <w:t>0</w:t>
      </w:r>
      <w:r w:rsidR="00CD78E3" w:rsidRPr="00265304">
        <w:rPr>
          <w:sz w:val="24"/>
          <w:szCs w:val="24"/>
        </w:rPr>
        <w:t xml:space="preserve">.1 hours and the information is provided by the </w:t>
      </w:r>
      <w:r w:rsidR="00F85555" w:rsidRPr="00265304">
        <w:rPr>
          <w:sz w:val="24"/>
          <w:szCs w:val="24"/>
        </w:rPr>
        <w:t>Home Energy</w:t>
      </w:r>
      <w:r w:rsidR="00CD78E3" w:rsidRPr="00265304">
        <w:rPr>
          <w:sz w:val="24"/>
          <w:szCs w:val="24"/>
        </w:rPr>
        <w:t xml:space="preserve"> Report.</w:t>
      </w:r>
      <w:r w:rsidR="000B5262" w:rsidRPr="00265304">
        <w:rPr>
          <w:sz w:val="24"/>
          <w:szCs w:val="24"/>
        </w:rPr>
        <w:t xml:space="preserve"> </w:t>
      </w:r>
      <w:r w:rsidRPr="00265304">
        <w:rPr>
          <w:sz w:val="24"/>
          <w:szCs w:val="24"/>
        </w:rPr>
        <w:t>The reporting burden is loan specific and, thus, cannot be conducted less frequently than on</w:t>
      </w:r>
      <w:r w:rsidR="00B34BB3" w:rsidRPr="00265304">
        <w:rPr>
          <w:sz w:val="24"/>
          <w:szCs w:val="24"/>
        </w:rPr>
        <w:t>ce</w:t>
      </w:r>
      <w:r w:rsidRPr="00265304">
        <w:rPr>
          <w:sz w:val="24"/>
          <w:szCs w:val="24"/>
        </w:rPr>
        <w:t xml:space="preserve"> every EEM loan submitted to FHA for insurance.</w:t>
      </w:r>
    </w:p>
    <w:p w:rsidR="00160D38" w:rsidRDefault="00160D38" w:rsidP="00B34BB3">
      <w:pPr>
        <w:pStyle w:val="NoSpacing"/>
        <w:rPr>
          <w:sz w:val="24"/>
          <w:szCs w:val="24"/>
        </w:rPr>
      </w:pPr>
    </w:p>
    <w:p w:rsidR="005434BF" w:rsidRDefault="005434BF" w:rsidP="00B34BB3">
      <w:pPr>
        <w:pStyle w:val="NoSpacing"/>
        <w:rPr>
          <w:sz w:val="24"/>
          <w:szCs w:val="24"/>
        </w:rPr>
      </w:pPr>
    </w:p>
    <w:p w:rsidR="005434BF" w:rsidRDefault="005434BF" w:rsidP="00B34BB3">
      <w:pPr>
        <w:pStyle w:val="NoSpacing"/>
        <w:rPr>
          <w:sz w:val="24"/>
          <w:szCs w:val="24"/>
        </w:rPr>
      </w:pPr>
    </w:p>
    <w:p w:rsidR="005434BF" w:rsidRDefault="005434BF" w:rsidP="00B34BB3">
      <w:pPr>
        <w:pStyle w:val="NoSpacing"/>
        <w:rPr>
          <w:sz w:val="24"/>
          <w:szCs w:val="24"/>
        </w:rPr>
      </w:pPr>
    </w:p>
    <w:p w:rsidR="005434BF" w:rsidRDefault="005434BF" w:rsidP="00B34BB3">
      <w:pPr>
        <w:pStyle w:val="NoSpacing"/>
        <w:rPr>
          <w:sz w:val="24"/>
          <w:szCs w:val="24"/>
        </w:rPr>
      </w:pPr>
    </w:p>
    <w:p w:rsidR="005434BF" w:rsidRPr="00265304" w:rsidRDefault="005434BF" w:rsidP="00B34BB3">
      <w:pPr>
        <w:pStyle w:val="NoSpacing"/>
        <w:rPr>
          <w:sz w:val="24"/>
          <w:szCs w:val="24"/>
        </w:rPr>
      </w:pPr>
    </w:p>
    <w:p w:rsidR="00160D38" w:rsidRPr="00265304" w:rsidRDefault="009C5198" w:rsidP="00C6242C">
      <w:pPr>
        <w:pStyle w:val="NoSpacing"/>
        <w:numPr>
          <w:ilvl w:val="0"/>
          <w:numId w:val="28"/>
        </w:numPr>
        <w:rPr>
          <w:sz w:val="24"/>
          <w:szCs w:val="24"/>
        </w:rPr>
      </w:pPr>
      <w:r w:rsidRPr="00265304">
        <w:rPr>
          <w:sz w:val="24"/>
          <w:szCs w:val="24"/>
        </w:rPr>
        <w:t>There are no special circumstances involved in this collection.</w:t>
      </w:r>
    </w:p>
    <w:p w:rsidR="00F02AF1" w:rsidRPr="00265304" w:rsidRDefault="00F02AF1" w:rsidP="00F02AF1">
      <w:pPr>
        <w:pStyle w:val="ListParagraph"/>
        <w:rPr>
          <w:sz w:val="24"/>
          <w:szCs w:val="24"/>
        </w:rPr>
      </w:pPr>
    </w:p>
    <w:p w:rsidR="00DA6A57" w:rsidRPr="00DA6A57" w:rsidRDefault="00DA6A57" w:rsidP="00DA6A57">
      <w:pPr>
        <w:numPr>
          <w:ilvl w:val="0"/>
          <w:numId w:val="33"/>
        </w:numPr>
        <w:overflowPunct/>
        <w:autoSpaceDE/>
        <w:autoSpaceDN/>
        <w:adjustRightInd/>
        <w:contextualSpacing/>
        <w:textAlignment w:val="auto"/>
        <w:rPr>
          <w:sz w:val="24"/>
          <w:szCs w:val="24"/>
        </w:rPr>
      </w:pPr>
      <w:r w:rsidRPr="00DA6A57">
        <w:rPr>
          <w:sz w:val="24"/>
          <w:szCs w:val="24"/>
        </w:rPr>
        <w:t>respondents are not required to report information more than quarter;</w:t>
      </w:r>
    </w:p>
    <w:p w:rsidR="00DA6A57" w:rsidRPr="00DA6A57" w:rsidRDefault="00DA6A57" w:rsidP="00DA6A57">
      <w:pPr>
        <w:numPr>
          <w:ilvl w:val="0"/>
          <w:numId w:val="33"/>
        </w:numPr>
        <w:overflowPunct/>
        <w:autoSpaceDE/>
        <w:autoSpaceDN/>
        <w:adjustRightInd/>
        <w:contextualSpacing/>
        <w:textAlignment w:val="auto"/>
        <w:rPr>
          <w:sz w:val="24"/>
          <w:szCs w:val="24"/>
        </w:rPr>
      </w:pPr>
      <w:r w:rsidRPr="00DA6A57">
        <w:rPr>
          <w:sz w:val="24"/>
          <w:szCs w:val="24"/>
        </w:rPr>
        <w:t>respondents are not required to prepare a written response in less than 30 days;</w:t>
      </w:r>
    </w:p>
    <w:p w:rsidR="00DA6A57" w:rsidRPr="00DA6A57" w:rsidRDefault="00DA6A57" w:rsidP="00DA6A57">
      <w:pPr>
        <w:numPr>
          <w:ilvl w:val="0"/>
          <w:numId w:val="33"/>
        </w:numPr>
        <w:overflowPunct/>
        <w:autoSpaceDE/>
        <w:autoSpaceDN/>
        <w:adjustRightInd/>
        <w:contextualSpacing/>
        <w:textAlignment w:val="auto"/>
        <w:rPr>
          <w:sz w:val="24"/>
          <w:szCs w:val="24"/>
        </w:rPr>
      </w:pPr>
      <w:r w:rsidRPr="00DA6A57">
        <w:rPr>
          <w:sz w:val="24"/>
          <w:szCs w:val="24"/>
        </w:rPr>
        <w:t>respondents are not required to submit more than an original and two copies of any document and are not required to retain records more than three years;</w:t>
      </w:r>
    </w:p>
    <w:p w:rsidR="00DA6A57" w:rsidRPr="00BE573D" w:rsidRDefault="00DA6A57" w:rsidP="00DA6A57">
      <w:pPr>
        <w:numPr>
          <w:ilvl w:val="0"/>
          <w:numId w:val="33"/>
        </w:numPr>
        <w:overflowPunct/>
        <w:autoSpaceDE/>
        <w:autoSpaceDN/>
        <w:adjustRightInd/>
        <w:contextualSpacing/>
        <w:textAlignment w:val="auto"/>
        <w:rPr>
          <w:sz w:val="24"/>
          <w:szCs w:val="24"/>
        </w:rPr>
      </w:pPr>
      <w:r w:rsidRPr="00BE573D">
        <w:rPr>
          <w:sz w:val="24"/>
          <w:szCs w:val="24"/>
        </w:rPr>
        <w:t>respondents are not required to provide a statistical survey;</w:t>
      </w:r>
    </w:p>
    <w:p w:rsidR="00DA6A57" w:rsidRPr="00BE573D" w:rsidRDefault="00DA6A57" w:rsidP="00DA6A57">
      <w:pPr>
        <w:numPr>
          <w:ilvl w:val="0"/>
          <w:numId w:val="33"/>
        </w:numPr>
        <w:overflowPunct/>
        <w:autoSpaceDE/>
        <w:autoSpaceDN/>
        <w:adjustRightInd/>
        <w:contextualSpacing/>
        <w:textAlignment w:val="auto"/>
        <w:rPr>
          <w:sz w:val="24"/>
          <w:szCs w:val="24"/>
        </w:rPr>
      </w:pPr>
      <w:r w:rsidRPr="00BE573D">
        <w:rPr>
          <w:sz w:val="24"/>
          <w:szCs w:val="24"/>
        </w:rPr>
        <w:t>respondents are not required to use statistical data not approved by OMB;</w:t>
      </w:r>
    </w:p>
    <w:p w:rsidR="00DA6A57" w:rsidRDefault="00DA6A57" w:rsidP="00DA6A57">
      <w:pPr>
        <w:numPr>
          <w:ilvl w:val="0"/>
          <w:numId w:val="33"/>
        </w:numPr>
        <w:overflowPunct/>
        <w:autoSpaceDE/>
        <w:autoSpaceDN/>
        <w:adjustRightInd/>
        <w:contextualSpacing/>
        <w:textAlignment w:val="auto"/>
        <w:rPr>
          <w:sz w:val="24"/>
          <w:szCs w:val="24"/>
        </w:rPr>
      </w:pPr>
      <w:r w:rsidRPr="00BE573D">
        <w:rPr>
          <w:sz w:val="24"/>
          <w:szCs w:val="24"/>
        </w:rPr>
        <w:t>respondents are not required to submit proprietary trade secrets or other confidential information.</w:t>
      </w:r>
    </w:p>
    <w:p w:rsidR="00E35FA8" w:rsidRDefault="00E35FA8" w:rsidP="00E35FA8">
      <w:pPr>
        <w:numPr>
          <w:ilvl w:val="0"/>
          <w:numId w:val="33"/>
        </w:numPr>
        <w:overflowPunct/>
        <w:autoSpaceDE/>
        <w:autoSpaceDN/>
        <w:adjustRightInd/>
        <w:contextualSpacing/>
        <w:textAlignment w:val="auto"/>
        <w:rPr>
          <w:color w:val="000000"/>
          <w:sz w:val="24"/>
          <w:szCs w:val="24"/>
        </w:rPr>
      </w:pPr>
      <w:r>
        <w:rPr>
          <w:color w:val="000000"/>
          <w:sz w:val="24"/>
          <w:szCs w:val="24"/>
        </w:rPr>
        <w:t>respondents are not required to submit information that includes a pledge of confidentially that is not supported by authority established in a statue or regulation, that is not supported by disclosure and data security policies that are consistent with the pledge, or which unnecessarily impedes sharing of data with other agencies for compatible confidential use; or</w:t>
      </w:r>
    </w:p>
    <w:p w:rsidR="00E35FA8" w:rsidRDefault="00E35FA8" w:rsidP="00E35FA8">
      <w:pPr>
        <w:numPr>
          <w:ilvl w:val="0"/>
          <w:numId w:val="33"/>
        </w:numPr>
        <w:overflowPunct/>
        <w:autoSpaceDE/>
        <w:autoSpaceDN/>
        <w:adjustRightInd/>
        <w:textAlignment w:val="auto"/>
        <w:rPr>
          <w:rFonts w:ascii="Calibri" w:hAnsi="Calibri" w:cs="Calibri"/>
          <w:sz w:val="22"/>
          <w:szCs w:val="22"/>
        </w:rPr>
      </w:pPr>
      <w:bookmarkStart w:id="1" w:name="_Hlk503969280"/>
      <w:r>
        <w:rPr>
          <w:color w:val="000000"/>
          <w:sz w:val="24"/>
          <w:szCs w:val="24"/>
        </w:rPr>
        <w:t xml:space="preserve">respondents are not required </w:t>
      </w:r>
      <w:bookmarkEnd w:id="1"/>
      <w:r>
        <w:rPr>
          <w:color w:val="000000"/>
          <w:sz w:val="24"/>
          <w:szCs w:val="24"/>
        </w:rPr>
        <w:t>to submit proprietary trade secrets or other confidential information unless the agency can demonstrate that it has instituted procedures to protect the information’s confidentiality to the extent permitted by law.</w:t>
      </w:r>
    </w:p>
    <w:p w:rsidR="00160D38" w:rsidRPr="00BE573D" w:rsidRDefault="00160D38">
      <w:pPr>
        <w:tabs>
          <w:tab w:val="left" w:pos="360"/>
        </w:tabs>
        <w:ind w:left="360" w:hanging="360"/>
        <w:rPr>
          <w:sz w:val="24"/>
          <w:szCs w:val="24"/>
        </w:rPr>
      </w:pPr>
    </w:p>
    <w:p w:rsidR="00613071" w:rsidRPr="00BE573D" w:rsidRDefault="00613071" w:rsidP="00830011">
      <w:pPr>
        <w:pStyle w:val="ListParagraph"/>
        <w:numPr>
          <w:ilvl w:val="0"/>
          <w:numId w:val="28"/>
        </w:numPr>
        <w:tabs>
          <w:tab w:val="left" w:pos="360"/>
        </w:tabs>
        <w:overflowPunct/>
        <w:textAlignment w:val="auto"/>
        <w:rPr>
          <w:sz w:val="24"/>
          <w:szCs w:val="24"/>
        </w:rPr>
      </w:pPr>
      <w:r w:rsidRPr="00BE573D">
        <w:rPr>
          <w:sz w:val="24"/>
          <w:szCs w:val="24"/>
        </w:rPr>
        <w:t xml:space="preserve">The agency’s notice announcing this collection of information </w:t>
      </w:r>
      <w:r w:rsidR="003C67BC" w:rsidRPr="00BE573D">
        <w:rPr>
          <w:sz w:val="24"/>
          <w:szCs w:val="24"/>
        </w:rPr>
        <w:t xml:space="preserve">previously </w:t>
      </w:r>
      <w:r w:rsidRPr="00BE573D">
        <w:rPr>
          <w:sz w:val="24"/>
          <w:szCs w:val="24"/>
        </w:rPr>
        <w:t xml:space="preserve">appeared in the </w:t>
      </w:r>
      <w:r w:rsidRPr="00BE573D">
        <w:rPr>
          <w:i/>
          <w:iCs/>
          <w:sz w:val="24"/>
          <w:szCs w:val="24"/>
        </w:rPr>
        <w:t>Federal Register</w:t>
      </w:r>
      <w:r w:rsidR="003C67BC" w:rsidRPr="00BE573D">
        <w:rPr>
          <w:sz w:val="24"/>
          <w:szCs w:val="24"/>
        </w:rPr>
        <w:t xml:space="preserve"> on </w:t>
      </w:r>
      <w:r w:rsidR="008A74BB">
        <w:rPr>
          <w:sz w:val="24"/>
          <w:szCs w:val="24"/>
        </w:rPr>
        <w:t>February 7</w:t>
      </w:r>
      <w:r w:rsidR="00062EE4" w:rsidRPr="00BE573D">
        <w:rPr>
          <w:sz w:val="24"/>
          <w:szCs w:val="24"/>
        </w:rPr>
        <w:t>, 201</w:t>
      </w:r>
      <w:r w:rsidR="008A74BB">
        <w:rPr>
          <w:sz w:val="24"/>
          <w:szCs w:val="24"/>
        </w:rPr>
        <w:t>8</w:t>
      </w:r>
      <w:r w:rsidRPr="00BE573D">
        <w:rPr>
          <w:sz w:val="24"/>
          <w:szCs w:val="24"/>
        </w:rPr>
        <w:t xml:space="preserve"> (Vol. </w:t>
      </w:r>
      <w:r w:rsidR="008A74BB">
        <w:rPr>
          <w:sz w:val="24"/>
          <w:szCs w:val="24"/>
        </w:rPr>
        <w:t>83</w:t>
      </w:r>
      <w:r w:rsidRPr="00BE573D">
        <w:rPr>
          <w:sz w:val="24"/>
          <w:szCs w:val="24"/>
        </w:rPr>
        <w:t xml:space="preserve">, No. </w:t>
      </w:r>
      <w:r w:rsidR="008A74BB">
        <w:rPr>
          <w:sz w:val="24"/>
          <w:szCs w:val="24"/>
        </w:rPr>
        <w:t>26</w:t>
      </w:r>
      <w:r w:rsidR="006D1803" w:rsidRPr="00BE573D">
        <w:rPr>
          <w:sz w:val="24"/>
          <w:szCs w:val="24"/>
        </w:rPr>
        <w:t xml:space="preserve">, pages </w:t>
      </w:r>
      <w:r w:rsidR="008A74BB">
        <w:rPr>
          <w:sz w:val="24"/>
          <w:szCs w:val="24"/>
        </w:rPr>
        <w:t>5455</w:t>
      </w:r>
      <w:r w:rsidRPr="00BE573D">
        <w:rPr>
          <w:sz w:val="24"/>
          <w:szCs w:val="24"/>
        </w:rPr>
        <w:t xml:space="preserve">). </w:t>
      </w:r>
      <w:r w:rsidR="002E432E" w:rsidRPr="00BE573D">
        <w:rPr>
          <w:sz w:val="24"/>
          <w:szCs w:val="24"/>
        </w:rPr>
        <w:t xml:space="preserve"> No comments were received</w:t>
      </w:r>
      <w:r w:rsidRPr="00BE573D">
        <w:rPr>
          <w:i/>
          <w:sz w:val="24"/>
          <w:szCs w:val="24"/>
        </w:rPr>
        <w:t>.</w:t>
      </w:r>
      <w:r w:rsidRPr="00BE573D">
        <w:rPr>
          <w:sz w:val="24"/>
          <w:szCs w:val="24"/>
        </w:rPr>
        <w:t xml:space="preserve">  </w:t>
      </w:r>
    </w:p>
    <w:p w:rsidR="003B3BCE" w:rsidRPr="00BE573D" w:rsidRDefault="003B3BCE" w:rsidP="00516B94">
      <w:pPr>
        <w:rPr>
          <w:sz w:val="24"/>
          <w:szCs w:val="24"/>
        </w:rPr>
      </w:pPr>
    </w:p>
    <w:p w:rsidR="007D381A" w:rsidRPr="00BE573D" w:rsidRDefault="00001526" w:rsidP="007D381A">
      <w:pPr>
        <w:pStyle w:val="Default"/>
        <w:spacing w:after="44"/>
        <w:ind w:left="720"/>
        <w:rPr>
          <w:rFonts w:ascii="Times New Roman" w:hAnsi="Times New Roman" w:cs="Times New Roman"/>
        </w:rPr>
      </w:pPr>
      <w:r w:rsidRPr="00BE573D">
        <w:rPr>
          <w:rFonts w:ascii="Times New Roman" w:hAnsi="Times New Roman" w:cs="Times New Roman"/>
        </w:rPr>
        <w:t>The agency asked for c</w:t>
      </w:r>
      <w:r w:rsidR="003B3BCE" w:rsidRPr="00BE573D">
        <w:rPr>
          <w:rFonts w:ascii="Times New Roman" w:hAnsi="Times New Roman" w:cs="Times New Roman"/>
        </w:rPr>
        <w:t xml:space="preserve">omments </w:t>
      </w:r>
      <w:r w:rsidRPr="00BE573D">
        <w:rPr>
          <w:rFonts w:ascii="Times New Roman" w:hAnsi="Times New Roman" w:cs="Times New Roman"/>
        </w:rPr>
        <w:t xml:space="preserve">in the </w:t>
      </w:r>
      <w:r w:rsidRPr="00BE573D">
        <w:rPr>
          <w:rFonts w:ascii="Times New Roman" w:hAnsi="Times New Roman" w:cs="Times New Roman"/>
          <w:i/>
        </w:rPr>
        <w:t>Federal Register</w:t>
      </w:r>
      <w:r w:rsidRPr="00BE573D">
        <w:rPr>
          <w:rFonts w:ascii="Times New Roman" w:hAnsi="Times New Roman" w:cs="Times New Roman"/>
        </w:rPr>
        <w:t xml:space="preserve">, titled </w:t>
      </w:r>
      <w:r w:rsidRPr="00BE573D">
        <w:rPr>
          <w:rFonts w:ascii="Times New Roman" w:eastAsia="Arial Unicode MS" w:hAnsi="Times New Roman" w:cs="Times New Roman"/>
          <w:i/>
        </w:rPr>
        <w:t>FHA Stakeholder Feedback for the New FHA Single Family Policy Handbook</w:t>
      </w:r>
      <w:r w:rsidRPr="00BE573D">
        <w:rPr>
          <w:rFonts w:ascii="Times New Roman" w:eastAsia="Arial Unicode MS" w:hAnsi="Times New Roman" w:cs="Times New Roman"/>
        </w:rPr>
        <w:t xml:space="preserve">, on November 22, 2013 (Federal Register number 2013-28066). </w:t>
      </w:r>
      <w:r w:rsidRPr="00BE573D">
        <w:rPr>
          <w:rFonts w:ascii="Times New Roman" w:hAnsi="Times New Roman" w:cs="Times New Roman"/>
        </w:rPr>
        <w:t xml:space="preserve"> </w:t>
      </w:r>
      <w:r w:rsidR="008E6E22" w:rsidRPr="00BE573D">
        <w:rPr>
          <w:rFonts w:ascii="Times New Roman" w:hAnsi="Times New Roman" w:cs="Times New Roman"/>
        </w:rPr>
        <w:t xml:space="preserve">This </w:t>
      </w:r>
      <w:r w:rsidR="005E6628" w:rsidRPr="00BE573D">
        <w:rPr>
          <w:rFonts w:ascii="Times New Roman" w:hAnsi="Times New Roman" w:cs="Times New Roman"/>
        </w:rPr>
        <w:t>request</w:t>
      </w:r>
      <w:r w:rsidR="008E6E22" w:rsidRPr="00BE573D">
        <w:rPr>
          <w:rFonts w:ascii="Times New Roman" w:hAnsi="Times New Roman" w:cs="Times New Roman"/>
        </w:rPr>
        <w:t xml:space="preserve"> sought comments </w:t>
      </w:r>
      <w:r w:rsidR="005E6628" w:rsidRPr="00BE573D">
        <w:rPr>
          <w:rFonts w:ascii="Times New Roman" w:hAnsi="Times New Roman" w:cs="Times New Roman"/>
        </w:rPr>
        <w:t>on all of FHA policies and programs, including the EEM program.</w:t>
      </w:r>
      <w:r w:rsidR="00425E9C" w:rsidRPr="00BE573D">
        <w:rPr>
          <w:rFonts w:ascii="Times New Roman" w:hAnsi="Times New Roman" w:cs="Times New Roman"/>
        </w:rPr>
        <w:t xml:space="preserve">  Based on public comments, HUD expanded the businesses that could conduct a home energy assessment, broadening business opportunities and consumer choice. </w:t>
      </w:r>
      <w:r w:rsidR="007D381A" w:rsidRPr="00BE573D">
        <w:rPr>
          <w:rFonts w:ascii="Times New Roman" w:hAnsi="Times New Roman" w:cs="Times New Roman"/>
        </w:rPr>
        <w:t xml:space="preserve"> In addition to a Residential Energy Services Network Home Energy Rater, FHA added a variety of eligible assessors, including any individuals or businesses that comply with local jurisdictional requirements or were trained by a national energy training provider. </w:t>
      </w:r>
    </w:p>
    <w:p w:rsidR="00685A70" w:rsidRPr="00BE573D" w:rsidRDefault="00685A70">
      <w:pPr>
        <w:tabs>
          <w:tab w:val="left" w:pos="360"/>
        </w:tabs>
        <w:overflowPunct/>
        <w:ind w:left="360" w:hanging="360"/>
        <w:textAlignment w:val="auto"/>
        <w:rPr>
          <w:sz w:val="24"/>
          <w:szCs w:val="24"/>
        </w:rPr>
      </w:pPr>
    </w:p>
    <w:p w:rsidR="009C5198" w:rsidRPr="00BE573D" w:rsidRDefault="00685A70" w:rsidP="009A5AA1">
      <w:pPr>
        <w:tabs>
          <w:tab w:val="left" w:pos="360"/>
        </w:tabs>
        <w:overflowPunct/>
        <w:ind w:left="720" w:hanging="360"/>
        <w:textAlignment w:val="auto"/>
        <w:rPr>
          <w:sz w:val="24"/>
          <w:szCs w:val="24"/>
        </w:rPr>
      </w:pPr>
      <w:r w:rsidRPr="00BE573D">
        <w:rPr>
          <w:sz w:val="24"/>
          <w:szCs w:val="24"/>
        </w:rPr>
        <w:tab/>
      </w:r>
      <w:r w:rsidR="009C6C78" w:rsidRPr="00BE573D">
        <w:rPr>
          <w:sz w:val="24"/>
          <w:szCs w:val="24"/>
        </w:rPr>
        <w:t>The Department consulted with e</w:t>
      </w:r>
      <w:r w:rsidRPr="00BE573D">
        <w:rPr>
          <w:sz w:val="24"/>
          <w:szCs w:val="24"/>
        </w:rPr>
        <w:t xml:space="preserve">xternal and internal </w:t>
      </w:r>
      <w:r w:rsidR="009C6C78" w:rsidRPr="00BE573D">
        <w:rPr>
          <w:sz w:val="24"/>
          <w:szCs w:val="24"/>
        </w:rPr>
        <w:t>program participants, or users with knowledge of the program. A r</w:t>
      </w:r>
      <w:r w:rsidR="00BB30D4" w:rsidRPr="00BE573D">
        <w:rPr>
          <w:sz w:val="24"/>
          <w:szCs w:val="24"/>
        </w:rPr>
        <w:t xml:space="preserve">epresentative from </w:t>
      </w:r>
      <w:r w:rsidR="009C6C78" w:rsidRPr="00BE573D">
        <w:rPr>
          <w:sz w:val="24"/>
          <w:szCs w:val="24"/>
        </w:rPr>
        <w:t>EEMeasy.com</w:t>
      </w:r>
      <w:r w:rsidR="001E0408" w:rsidRPr="00BE573D">
        <w:rPr>
          <w:sz w:val="24"/>
          <w:szCs w:val="24"/>
        </w:rPr>
        <w:t xml:space="preserve"> commented that the </w:t>
      </w:r>
      <w:r w:rsidR="00B34BB3" w:rsidRPr="00BE573D">
        <w:rPr>
          <w:sz w:val="24"/>
          <w:szCs w:val="24"/>
        </w:rPr>
        <w:t>c</w:t>
      </w:r>
      <w:r w:rsidR="009F31D6" w:rsidRPr="00BE573D">
        <w:rPr>
          <w:sz w:val="24"/>
          <w:szCs w:val="24"/>
        </w:rPr>
        <w:t xml:space="preserve">ost </w:t>
      </w:r>
      <w:r w:rsidR="00B34BB3" w:rsidRPr="00BE573D">
        <w:rPr>
          <w:sz w:val="24"/>
          <w:szCs w:val="24"/>
        </w:rPr>
        <w:t>e</w:t>
      </w:r>
      <w:r w:rsidR="009F31D6" w:rsidRPr="00BE573D">
        <w:rPr>
          <w:sz w:val="24"/>
          <w:szCs w:val="24"/>
        </w:rPr>
        <w:t xml:space="preserve">ffectiveness </w:t>
      </w:r>
      <w:r w:rsidR="00B34BB3" w:rsidRPr="00BE573D">
        <w:rPr>
          <w:sz w:val="24"/>
          <w:szCs w:val="24"/>
        </w:rPr>
        <w:t>c</w:t>
      </w:r>
      <w:r w:rsidR="009F31D6" w:rsidRPr="00BE573D">
        <w:rPr>
          <w:sz w:val="24"/>
          <w:szCs w:val="24"/>
        </w:rPr>
        <w:t>alculation</w:t>
      </w:r>
      <w:r w:rsidR="001E0408" w:rsidRPr="00BE573D">
        <w:rPr>
          <w:sz w:val="24"/>
          <w:szCs w:val="24"/>
        </w:rPr>
        <w:t xml:space="preserve"> is </w:t>
      </w:r>
      <w:r w:rsidR="009F31D6" w:rsidRPr="00BE573D">
        <w:rPr>
          <w:sz w:val="24"/>
          <w:szCs w:val="24"/>
        </w:rPr>
        <w:t>not burdensome</w:t>
      </w:r>
      <w:r w:rsidR="009C6C78" w:rsidRPr="00BE573D">
        <w:rPr>
          <w:sz w:val="24"/>
          <w:szCs w:val="24"/>
        </w:rPr>
        <w:t xml:space="preserve"> and useful for homeowners</w:t>
      </w:r>
      <w:r w:rsidR="009F31D6" w:rsidRPr="00BE573D">
        <w:rPr>
          <w:sz w:val="24"/>
          <w:szCs w:val="24"/>
        </w:rPr>
        <w:t xml:space="preserve">.  </w:t>
      </w:r>
      <w:r w:rsidR="009C6C78" w:rsidRPr="00BE573D">
        <w:rPr>
          <w:sz w:val="24"/>
          <w:szCs w:val="24"/>
        </w:rPr>
        <w:t xml:space="preserve">A HUD staff member commented that lenders have stated that </w:t>
      </w:r>
      <w:r w:rsidR="00946D86" w:rsidRPr="00BE573D">
        <w:rPr>
          <w:sz w:val="24"/>
          <w:szCs w:val="24"/>
        </w:rPr>
        <w:t>the home energy assessment is burdensome.  However, this requirement is statutorily required.</w:t>
      </w:r>
    </w:p>
    <w:p w:rsidR="009C5198" w:rsidRDefault="009C5198">
      <w:pPr>
        <w:tabs>
          <w:tab w:val="left" w:pos="360"/>
        </w:tabs>
        <w:ind w:left="360" w:hanging="360"/>
        <w:rPr>
          <w:sz w:val="24"/>
        </w:rPr>
      </w:pPr>
    </w:p>
    <w:p w:rsidR="009C5198" w:rsidRPr="009A5AA1" w:rsidRDefault="009C5198" w:rsidP="00830011">
      <w:pPr>
        <w:pStyle w:val="ListParagraph"/>
        <w:keepLines/>
        <w:numPr>
          <w:ilvl w:val="0"/>
          <w:numId w:val="28"/>
        </w:numPr>
        <w:tabs>
          <w:tab w:val="left" w:pos="360"/>
        </w:tabs>
        <w:spacing w:after="80"/>
        <w:rPr>
          <w:sz w:val="24"/>
        </w:rPr>
      </w:pPr>
      <w:r w:rsidRPr="009A5AA1">
        <w:rPr>
          <w:sz w:val="24"/>
        </w:rPr>
        <w:t>There are no payments or gifts to respondents involved.</w:t>
      </w:r>
    </w:p>
    <w:p w:rsidR="009C5198" w:rsidRDefault="009C5198">
      <w:pPr>
        <w:tabs>
          <w:tab w:val="left" w:pos="360"/>
        </w:tabs>
        <w:ind w:left="360" w:hanging="360"/>
        <w:rPr>
          <w:sz w:val="24"/>
        </w:rPr>
      </w:pPr>
    </w:p>
    <w:p w:rsidR="009C5198" w:rsidRPr="00EC21ED" w:rsidRDefault="009C5198" w:rsidP="00830011">
      <w:pPr>
        <w:pStyle w:val="ListParagraph"/>
        <w:keepLines/>
        <w:numPr>
          <w:ilvl w:val="0"/>
          <w:numId w:val="28"/>
        </w:numPr>
        <w:tabs>
          <w:tab w:val="left" w:pos="360"/>
        </w:tabs>
        <w:spacing w:after="80"/>
        <w:rPr>
          <w:sz w:val="24"/>
        </w:rPr>
      </w:pPr>
      <w:r w:rsidRPr="00EC21ED">
        <w:rPr>
          <w:sz w:val="24"/>
        </w:rPr>
        <w:t>There are no assurances of confidentiality provided.</w:t>
      </w:r>
    </w:p>
    <w:p w:rsidR="009C5198" w:rsidRDefault="009C5198">
      <w:pPr>
        <w:tabs>
          <w:tab w:val="left" w:pos="360"/>
        </w:tabs>
        <w:ind w:left="360" w:hanging="360"/>
        <w:rPr>
          <w:sz w:val="24"/>
        </w:rPr>
      </w:pPr>
    </w:p>
    <w:p w:rsidR="007C4168" w:rsidRDefault="009C5198" w:rsidP="007C4168">
      <w:pPr>
        <w:pStyle w:val="ListParagraph"/>
        <w:keepLines/>
        <w:numPr>
          <w:ilvl w:val="0"/>
          <w:numId w:val="28"/>
        </w:numPr>
        <w:tabs>
          <w:tab w:val="left" w:pos="360"/>
          <w:tab w:val="left" w:pos="720"/>
        </w:tabs>
        <w:rPr>
          <w:sz w:val="24"/>
        </w:rPr>
      </w:pPr>
      <w:r w:rsidRPr="00EC21ED">
        <w:rPr>
          <w:sz w:val="24"/>
        </w:rPr>
        <w:t>There are no questions of a sensitive nature.</w:t>
      </w:r>
    </w:p>
    <w:p w:rsidR="005434BF" w:rsidRPr="003A5F11" w:rsidRDefault="005434BF" w:rsidP="003A5F11">
      <w:pPr>
        <w:keepLines/>
        <w:tabs>
          <w:tab w:val="left" w:pos="360"/>
          <w:tab w:val="left" w:pos="720"/>
        </w:tabs>
        <w:rPr>
          <w:sz w:val="24"/>
        </w:rPr>
      </w:pPr>
    </w:p>
    <w:p w:rsidR="007C4168" w:rsidRPr="007C4168" w:rsidRDefault="007C4168" w:rsidP="007C4168">
      <w:pPr>
        <w:pStyle w:val="ListParagraph"/>
        <w:rPr>
          <w:sz w:val="24"/>
        </w:rPr>
      </w:pPr>
    </w:p>
    <w:p w:rsidR="00E701B3" w:rsidRDefault="00EC21ED" w:rsidP="007C4168">
      <w:pPr>
        <w:pStyle w:val="ListParagraph"/>
        <w:keepLines/>
        <w:numPr>
          <w:ilvl w:val="0"/>
          <w:numId w:val="28"/>
        </w:numPr>
        <w:tabs>
          <w:tab w:val="left" w:pos="360"/>
          <w:tab w:val="left" w:pos="720"/>
        </w:tabs>
        <w:rPr>
          <w:sz w:val="24"/>
        </w:rPr>
      </w:pPr>
      <w:r w:rsidRPr="007C4168">
        <w:rPr>
          <w:sz w:val="24"/>
        </w:rPr>
        <w:t>The e</w:t>
      </w:r>
      <w:r w:rsidR="00BF263B" w:rsidRPr="007C4168">
        <w:rPr>
          <w:sz w:val="24"/>
        </w:rPr>
        <w:t>stimated public burden</w:t>
      </w:r>
      <w:r w:rsidRPr="007C4168">
        <w:rPr>
          <w:sz w:val="24"/>
        </w:rPr>
        <w:t xml:space="preserve"> is </w:t>
      </w:r>
      <w:r w:rsidR="005863E5" w:rsidRPr="007C4168">
        <w:rPr>
          <w:sz w:val="24"/>
        </w:rPr>
        <w:t xml:space="preserve">calculated </w:t>
      </w:r>
      <w:r w:rsidR="005D3E2B" w:rsidRPr="007C4168">
        <w:rPr>
          <w:sz w:val="24"/>
        </w:rPr>
        <w:t>below.  FHA’s system records show</w:t>
      </w:r>
      <w:r w:rsidR="00725950" w:rsidRPr="007C4168">
        <w:rPr>
          <w:sz w:val="24"/>
        </w:rPr>
        <w:t xml:space="preserve"> that there are </w:t>
      </w:r>
      <w:r w:rsidR="00725950" w:rsidRPr="007C4168">
        <w:rPr>
          <w:b/>
          <w:sz w:val="24"/>
        </w:rPr>
        <w:t>50</w:t>
      </w:r>
      <w:r w:rsidR="005863E5" w:rsidRPr="007C4168">
        <w:rPr>
          <w:sz w:val="24"/>
        </w:rPr>
        <w:t xml:space="preserve"> approved FHA len</w:t>
      </w:r>
      <w:r w:rsidR="00E701B3" w:rsidRPr="007C4168">
        <w:rPr>
          <w:sz w:val="24"/>
        </w:rPr>
        <w:t xml:space="preserve">ders </w:t>
      </w:r>
      <w:r w:rsidR="005D3E2B" w:rsidRPr="007C4168">
        <w:rPr>
          <w:sz w:val="24"/>
        </w:rPr>
        <w:t>who currently originate</w:t>
      </w:r>
      <w:r w:rsidR="00E701B3" w:rsidRPr="007C4168">
        <w:rPr>
          <w:sz w:val="24"/>
        </w:rPr>
        <w:t xml:space="preserve"> EEMs.  </w:t>
      </w:r>
      <w:r w:rsidR="00B34BB3" w:rsidRPr="007C4168">
        <w:rPr>
          <w:sz w:val="24"/>
        </w:rPr>
        <w:t xml:space="preserve">The number of FHA endorsed </w:t>
      </w:r>
      <w:r w:rsidR="00E30F58" w:rsidRPr="007C4168">
        <w:rPr>
          <w:sz w:val="24"/>
        </w:rPr>
        <w:t>EEMs</w:t>
      </w:r>
      <w:r w:rsidR="00B34BB3" w:rsidRPr="007C4168">
        <w:rPr>
          <w:sz w:val="24"/>
        </w:rPr>
        <w:t xml:space="preserve"> </w:t>
      </w:r>
      <w:r w:rsidR="00725950" w:rsidRPr="007C4168">
        <w:rPr>
          <w:sz w:val="24"/>
        </w:rPr>
        <w:t>(420 average</w:t>
      </w:r>
      <w:r w:rsidR="00E30F58" w:rsidRPr="007C4168">
        <w:rPr>
          <w:sz w:val="24"/>
        </w:rPr>
        <w:t xml:space="preserve"> per year</w:t>
      </w:r>
      <w:r w:rsidR="005D3E2B" w:rsidRPr="007C4168">
        <w:rPr>
          <w:sz w:val="24"/>
        </w:rPr>
        <w:t xml:space="preserve">) </w:t>
      </w:r>
      <w:r w:rsidR="00B34BB3" w:rsidRPr="007C4168">
        <w:rPr>
          <w:sz w:val="24"/>
        </w:rPr>
        <w:t xml:space="preserve">was used to reflect a more accurate picture of the collection activity.  </w:t>
      </w:r>
    </w:p>
    <w:p w:rsidR="00037E88" w:rsidRDefault="00037E88" w:rsidP="003A5F11">
      <w:pPr>
        <w:keepNext/>
        <w:keepLines/>
        <w:tabs>
          <w:tab w:val="left" w:pos="480"/>
        </w:tabs>
        <w:spacing w:after="80"/>
        <w:rPr>
          <w:sz w:val="24"/>
        </w:rPr>
      </w:pPr>
    </w:p>
    <w:p w:rsidR="0021648A" w:rsidRDefault="0021648A" w:rsidP="001710AB">
      <w:pPr>
        <w:keepNext/>
        <w:keepLines/>
        <w:tabs>
          <w:tab w:val="left" w:pos="480"/>
        </w:tabs>
        <w:spacing w:after="80"/>
        <w:ind w:left="720"/>
        <w:rPr>
          <w:sz w:val="24"/>
        </w:rPr>
      </w:pPr>
    </w:p>
    <w:p w:rsidR="009C5198" w:rsidRDefault="00A57C5B" w:rsidP="001710AB">
      <w:pPr>
        <w:keepNext/>
        <w:keepLines/>
        <w:tabs>
          <w:tab w:val="left" w:pos="480"/>
        </w:tabs>
        <w:spacing w:after="80"/>
        <w:ind w:left="720"/>
        <w:rPr>
          <w:sz w:val="24"/>
        </w:rPr>
      </w:pPr>
      <w:r w:rsidRPr="00265304">
        <w:rPr>
          <w:sz w:val="24"/>
        </w:rPr>
        <w:t>For the</w:t>
      </w:r>
      <w:r w:rsidR="005F7E3F" w:rsidRPr="00265304">
        <w:rPr>
          <w:sz w:val="24"/>
        </w:rPr>
        <w:t xml:space="preserve"> 5-</w:t>
      </w:r>
      <w:r w:rsidR="00063DAC" w:rsidRPr="00265304">
        <w:rPr>
          <w:sz w:val="24"/>
        </w:rPr>
        <w:t>year period ending in</w:t>
      </w:r>
      <w:r w:rsidR="005F7E3F" w:rsidRPr="00265304">
        <w:rPr>
          <w:sz w:val="24"/>
        </w:rPr>
        <w:t xml:space="preserve"> FY </w:t>
      </w:r>
      <w:r w:rsidR="00063DAC" w:rsidRPr="00265304">
        <w:rPr>
          <w:sz w:val="24"/>
        </w:rPr>
        <w:t>2016</w:t>
      </w:r>
      <w:r w:rsidR="001710AB" w:rsidRPr="00265304">
        <w:rPr>
          <w:sz w:val="24"/>
        </w:rPr>
        <w:t xml:space="preserve">, FHA endorsed </w:t>
      </w:r>
      <w:r w:rsidR="00063DAC" w:rsidRPr="00265304">
        <w:rPr>
          <w:sz w:val="24"/>
        </w:rPr>
        <w:t>2,101</w:t>
      </w:r>
      <w:r w:rsidRPr="00265304">
        <w:rPr>
          <w:sz w:val="24"/>
        </w:rPr>
        <w:t xml:space="preserve"> EEM</w:t>
      </w:r>
      <w:r w:rsidR="00063DAC" w:rsidRPr="00265304">
        <w:rPr>
          <w:sz w:val="24"/>
        </w:rPr>
        <w:t>s</w:t>
      </w:r>
      <w:r w:rsidR="005F7E3F" w:rsidRPr="00265304">
        <w:rPr>
          <w:sz w:val="24"/>
        </w:rPr>
        <w:t>, or an annual average of 420 mortgages</w:t>
      </w:r>
      <w:r w:rsidR="001710AB" w:rsidRPr="00265304">
        <w:rPr>
          <w:sz w:val="24"/>
        </w:rPr>
        <w:t xml:space="preserve">.  </w:t>
      </w:r>
      <w:r w:rsidR="00EC21ED" w:rsidRPr="00265304">
        <w:rPr>
          <w:sz w:val="24"/>
        </w:rPr>
        <w:t>T</w:t>
      </w:r>
      <w:r w:rsidR="00BF263B" w:rsidRPr="00265304">
        <w:rPr>
          <w:sz w:val="24"/>
        </w:rPr>
        <w:t>he Department expects th</w:t>
      </w:r>
      <w:r w:rsidR="00FC5394" w:rsidRPr="00265304">
        <w:rPr>
          <w:sz w:val="24"/>
        </w:rPr>
        <w:t>at</w:t>
      </w:r>
      <w:r w:rsidR="00BF263B" w:rsidRPr="00265304">
        <w:rPr>
          <w:sz w:val="24"/>
        </w:rPr>
        <w:t xml:space="preserve"> </w:t>
      </w:r>
      <w:r w:rsidR="00DA5C51" w:rsidRPr="00265304">
        <w:rPr>
          <w:sz w:val="24"/>
        </w:rPr>
        <w:t>the</w:t>
      </w:r>
      <w:r w:rsidR="00FC5394" w:rsidRPr="00265304">
        <w:rPr>
          <w:sz w:val="24"/>
        </w:rPr>
        <w:t xml:space="preserve"> </w:t>
      </w:r>
      <w:r w:rsidR="00BF263B" w:rsidRPr="00265304">
        <w:rPr>
          <w:sz w:val="24"/>
        </w:rPr>
        <w:t>time</w:t>
      </w:r>
      <w:r w:rsidR="00A02DE4" w:rsidRPr="00265304">
        <w:rPr>
          <w:sz w:val="24"/>
        </w:rPr>
        <w:t xml:space="preserve"> for respondents</w:t>
      </w:r>
      <w:r w:rsidR="00BF263B" w:rsidRPr="00265304">
        <w:rPr>
          <w:sz w:val="24"/>
        </w:rPr>
        <w:t xml:space="preserve"> to co</w:t>
      </w:r>
      <w:r w:rsidR="00A02DE4" w:rsidRPr="00265304">
        <w:rPr>
          <w:sz w:val="24"/>
        </w:rPr>
        <w:t xml:space="preserve">llect </w:t>
      </w:r>
      <w:r w:rsidR="00BF263B" w:rsidRPr="00265304">
        <w:rPr>
          <w:sz w:val="24"/>
        </w:rPr>
        <w:t>re</w:t>
      </w:r>
      <w:r w:rsidR="00A02DE4" w:rsidRPr="00265304">
        <w:rPr>
          <w:sz w:val="24"/>
        </w:rPr>
        <w:t xml:space="preserve">quired information on </w:t>
      </w:r>
      <w:r w:rsidR="00C87C34" w:rsidRPr="00265304">
        <w:rPr>
          <w:sz w:val="24"/>
        </w:rPr>
        <w:t>EEM</w:t>
      </w:r>
      <w:r w:rsidR="00FC5394" w:rsidRPr="00265304">
        <w:rPr>
          <w:sz w:val="24"/>
        </w:rPr>
        <w:t>s</w:t>
      </w:r>
      <w:r w:rsidR="00C87C34" w:rsidRPr="00265304">
        <w:rPr>
          <w:sz w:val="24"/>
        </w:rPr>
        <w:t xml:space="preserve"> are </w:t>
      </w:r>
      <w:r w:rsidR="00EC21ED" w:rsidRPr="00265304">
        <w:rPr>
          <w:sz w:val="24"/>
        </w:rPr>
        <w:t>as follows:</w:t>
      </w:r>
    </w:p>
    <w:p w:rsidR="002E6ED3" w:rsidRDefault="002E6ED3" w:rsidP="001710AB">
      <w:pPr>
        <w:keepNext/>
        <w:keepLines/>
        <w:tabs>
          <w:tab w:val="left" w:pos="480"/>
        </w:tabs>
        <w:spacing w:after="80"/>
        <w:ind w:left="720"/>
        <w:rPr>
          <w:sz w:val="24"/>
        </w:rPr>
      </w:pPr>
    </w:p>
    <w:p w:rsidR="00BC0DCE" w:rsidRDefault="00BC0DCE" w:rsidP="001710AB">
      <w:pPr>
        <w:keepNext/>
        <w:keepLines/>
        <w:tabs>
          <w:tab w:val="left" w:pos="480"/>
        </w:tabs>
        <w:spacing w:after="80"/>
        <w:ind w:left="720"/>
        <w:rPr>
          <w:sz w:val="24"/>
        </w:rPr>
      </w:pPr>
    </w:p>
    <w:tbl>
      <w:tblPr>
        <w:tblpPr w:leftFromText="180" w:rightFromText="180" w:vertAnchor="text" w:horzAnchor="margin" w:tblpXSpec="center" w:tblpY="205"/>
        <w:tblW w:w="8400" w:type="dxa"/>
        <w:tblLook w:val="04A0" w:firstRow="1" w:lastRow="0" w:firstColumn="1" w:lastColumn="0" w:noHBand="0" w:noVBand="1"/>
      </w:tblPr>
      <w:tblGrid>
        <w:gridCol w:w="1372"/>
        <w:gridCol w:w="1239"/>
        <w:gridCol w:w="1061"/>
        <w:gridCol w:w="1094"/>
        <w:gridCol w:w="1094"/>
        <w:gridCol w:w="866"/>
        <w:gridCol w:w="766"/>
        <w:gridCol w:w="1116"/>
      </w:tblGrid>
      <w:tr w:rsidR="00BC0DCE" w:rsidRPr="00BC0DCE" w:rsidTr="00BC0DCE">
        <w:trPr>
          <w:trHeight w:val="315"/>
        </w:trPr>
        <w:tc>
          <w:tcPr>
            <w:tcW w:w="8400"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rsidR="00BC0DCE" w:rsidRPr="00BC0DCE" w:rsidRDefault="00BC0DCE" w:rsidP="00BC0DCE">
            <w:pPr>
              <w:overflowPunct/>
              <w:autoSpaceDE/>
              <w:autoSpaceDN/>
              <w:adjustRightInd/>
              <w:jc w:val="center"/>
              <w:textAlignment w:val="auto"/>
              <w:rPr>
                <w:rFonts w:ascii="Calibri" w:hAnsi="Calibri" w:cs="Calibri"/>
                <w:b/>
                <w:bCs/>
                <w:color w:val="000000"/>
              </w:rPr>
            </w:pPr>
            <w:r w:rsidRPr="00BC0DCE">
              <w:rPr>
                <w:rFonts w:ascii="Calibri" w:hAnsi="Calibri" w:cs="Calibri"/>
                <w:b/>
                <w:bCs/>
                <w:color w:val="000000"/>
              </w:rPr>
              <w:t xml:space="preserve">Estimated Number of Respondents, Responses, and Burden Hours Per Annum </w:t>
            </w:r>
          </w:p>
        </w:tc>
      </w:tr>
      <w:tr w:rsidR="00BC0DCE" w:rsidRPr="00BC0DCE" w:rsidTr="00BC0DCE">
        <w:trPr>
          <w:trHeight w:val="1035"/>
        </w:trPr>
        <w:tc>
          <w:tcPr>
            <w:tcW w:w="1575" w:type="dxa"/>
            <w:tcBorders>
              <w:top w:val="nil"/>
              <w:left w:val="single" w:sz="8" w:space="0" w:color="auto"/>
              <w:bottom w:val="single" w:sz="8" w:space="0" w:color="auto"/>
              <w:right w:val="nil"/>
            </w:tcBorders>
            <w:shd w:val="clear" w:color="auto" w:fill="auto"/>
            <w:vAlign w:val="center"/>
            <w:hideMark/>
          </w:tcPr>
          <w:p w:rsidR="00BC0DCE" w:rsidRPr="00BC0DCE" w:rsidRDefault="00BC0DCE" w:rsidP="00BC0DCE">
            <w:pPr>
              <w:overflowPunct/>
              <w:autoSpaceDE/>
              <w:autoSpaceDN/>
              <w:adjustRightInd/>
              <w:jc w:val="center"/>
              <w:textAlignment w:val="auto"/>
              <w:rPr>
                <w:color w:val="000000"/>
              </w:rPr>
            </w:pPr>
            <w:r w:rsidRPr="00BC0DCE">
              <w:rPr>
                <w:color w:val="000000"/>
              </w:rPr>
              <w:t> </w:t>
            </w:r>
          </w:p>
        </w:tc>
        <w:tc>
          <w:tcPr>
            <w:tcW w:w="1239" w:type="dxa"/>
            <w:tcBorders>
              <w:top w:val="nil"/>
              <w:left w:val="single" w:sz="8" w:space="0" w:color="auto"/>
              <w:bottom w:val="single" w:sz="8" w:space="0" w:color="auto"/>
              <w:right w:val="nil"/>
            </w:tcBorders>
            <w:shd w:val="clear" w:color="auto" w:fill="auto"/>
            <w:vAlign w:val="center"/>
            <w:hideMark/>
          </w:tcPr>
          <w:p w:rsidR="00BC0DCE" w:rsidRPr="00BC0DCE" w:rsidRDefault="00BC0DCE" w:rsidP="00BC0DCE">
            <w:pPr>
              <w:overflowPunct/>
              <w:autoSpaceDE/>
              <w:autoSpaceDN/>
              <w:adjustRightInd/>
              <w:jc w:val="center"/>
              <w:textAlignment w:val="auto"/>
              <w:rPr>
                <w:color w:val="000000"/>
              </w:rPr>
            </w:pPr>
            <w:r w:rsidRPr="00BC0DCE">
              <w:rPr>
                <w:color w:val="000000"/>
              </w:rPr>
              <w:t>No of Respondents</w:t>
            </w:r>
          </w:p>
        </w:tc>
        <w:tc>
          <w:tcPr>
            <w:tcW w:w="1061" w:type="dxa"/>
            <w:tcBorders>
              <w:top w:val="nil"/>
              <w:left w:val="single" w:sz="8" w:space="0" w:color="auto"/>
              <w:bottom w:val="single" w:sz="8" w:space="0" w:color="auto"/>
              <w:right w:val="nil"/>
            </w:tcBorders>
            <w:shd w:val="clear" w:color="auto" w:fill="auto"/>
            <w:vAlign w:val="center"/>
            <w:hideMark/>
          </w:tcPr>
          <w:p w:rsidR="00BC0DCE" w:rsidRPr="00BC0DCE" w:rsidRDefault="00BC0DCE" w:rsidP="00BC0DCE">
            <w:pPr>
              <w:overflowPunct/>
              <w:autoSpaceDE/>
              <w:autoSpaceDN/>
              <w:adjustRightInd/>
              <w:jc w:val="center"/>
              <w:textAlignment w:val="auto"/>
              <w:rPr>
                <w:color w:val="000000"/>
              </w:rPr>
            </w:pPr>
            <w:r w:rsidRPr="00BC0DCE">
              <w:rPr>
                <w:color w:val="000000"/>
              </w:rPr>
              <w:t>Frequency of Response</w:t>
            </w:r>
          </w:p>
        </w:tc>
        <w:tc>
          <w:tcPr>
            <w:tcW w:w="1094" w:type="dxa"/>
            <w:tcBorders>
              <w:top w:val="nil"/>
              <w:left w:val="single" w:sz="8" w:space="0" w:color="auto"/>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textAlignment w:val="auto"/>
              <w:rPr>
                <w:b/>
                <w:bCs/>
                <w:color w:val="000000"/>
              </w:rPr>
            </w:pPr>
            <w:r w:rsidRPr="00BC0DCE">
              <w:rPr>
                <w:b/>
                <w:bCs/>
                <w:color w:val="000000"/>
              </w:rPr>
              <w:t>Total Responses (No. of Loans)</w:t>
            </w:r>
          </w:p>
        </w:tc>
        <w:tc>
          <w:tcPr>
            <w:tcW w:w="1094"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center"/>
              <w:textAlignment w:val="auto"/>
              <w:rPr>
                <w:b/>
                <w:bCs/>
                <w:color w:val="000000"/>
              </w:rPr>
            </w:pPr>
            <w:r w:rsidRPr="00BC0DCE">
              <w:rPr>
                <w:b/>
                <w:bCs/>
                <w:color w:val="000000"/>
              </w:rPr>
              <w:t xml:space="preserve">Hrs Per Responses </w:t>
            </w:r>
          </w:p>
        </w:tc>
        <w:tc>
          <w:tcPr>
            <w:tcW w:w="751"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center"/>
              <w:textAlignment w:val="auto"/>
              <w:rPr>
                <w:b/>
                <w:bCs/>
                <w:color w:val="000000"/>
              </w:rPr>
            </w:pPr>
            <w:r w:rsidRPr="00BC0DCE">
              <w:rPr>
                <w:b/>
                <w:bCs/>
                <w:color w:val="000000"/>
              </w:rPr>
              <w:t>Total Hrs</w:t>
            </w:r>
          </w:p>
        </w:tc>
        <w:tc>
          <w:tcPr>
            <w:tcW w:w="705"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center"/>
              <w:textAlignment w:val="auto"/>
              <w:rPr>
                <w:b/>
                <w:bCs/>
                <w:color w:val="000000"/>
              </w:rPr>
            </w:pPr>
            <w:r w:rsidRPr="00BC0DCE">
              <w:rPr>
                <w:b/>
                <w:bCs/>
                <w:color w:val="000000"/>
              </w:rPr>
              <w:t>*Cost Per Hr</w:t>
            </w:r>
          </w:p>
        </w:tc>
        <w:tc>
          <w:tcPr>
            <w:tcW w:w="881"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center"/>
              <w:textAlignment w:val="auto"/>
              <w:rPr>
                <w:b/>
                <w:bCs/>
                <w:color w:val="000000"/>
              </w:rPr>
            </w:pPr>
            <w:r w:rsidRPr="00BC0DCE">
              <w:rPr>
                <w:b/>
                <w:bCs/>
                <w:color w:val="000000"/>
              </w:rPr>
              <w:t>Total Annual Cost</w:t>
            </w:r>
          </w:p>
        </w:tc>
      </w:tr>
      <w:tr w:rsidR="00BC0DCE" w:rsidRPr="00BC0DCE" w:rsidTr="00BC0DCE">
        <w:trPr>
          <w:trHeight w:val="525"/>
        </w:trPr>
        <w:tc>
          <w:tcPr>
            <w:tcW w:w="1575" w:type="dxa"/>
            <w:tcBorders>
              <w:top w:val="nil"/>
              <w:left w:val="single" w:sz="8" w:space="0" w:color="auto"/>
              <w:bottom w:val="single" w:sz="8" w:space="0" w:color="auto"/>
              <w:right w:val="nil"/>
            </w:tcBorders>
            <w:shd w:val="clear" w:color="auto" w:fill="auto"/>
            <w:vAlign w:val="center"/>
            <w:hideMark/>
          </w:tcPr>
          <w:p w:rsidR="00BC0DCE" w:rsidRPr="00BC0DCE" w:rsidRDefault="00BC0DCE" w:rsidP="00BC0DCE">
            <w:pPr>
              <w:overflowPunct/>
              <w:autoSpaceDE/>
              <w:autoSpaceDN/>
              <w:adjustRightInd/>
              <w:textAlignment w:val="auto"/>
              <w:rPr>
                <w:color w:val="000000"/>
              </w:rPr>
            </w:pPr>
            <w:r w:rsidRPr="00BC0DCE">
              <w:rPr>
                <w:color w:val="000000"/>
              </w:rPr>
              <w:t>Review Home Energy Rating Report</w:t>
            </w:r>
          </w:p>
        </w:tc>
        <w:tc>
          <w:tcPr>
            <w:tcW w:w="1239" w:type="dxa"/>
            <w:tcBorders>
              <w:top w:val="nil"/>
              <w:left w:val="single" w:sz="8" w:space="0" w:color="auto"/>
              <w:bottom w:val="single" w:sz="8" w:space="0" w:color="auto"/>
              <w:right w:val="nil"/>
            </w:tcBorders>
            <w:shd w:val="clear" w:color="auto" w:fill="auto"/>
            <w:vAlign w:val="center"/>
            <w:hideMark/>
          </w:tcPr>
          <w:p w:rsidR="00BC0DCE" w:rsidRPr="00BC0DCE" w:rsidRDefault="00BC0DCE" w:rsidP="00BC0DCE">
            <w:pPr>
              <w:overflowPunct/>
              <w:autoSpaceDE/>
              <w:autoSpaceDN/>
              <w:adjustRightInd/>
              <w:jc w:val="center"/>
              <w:textAlignment w:val="auto"/>
              <w:rPr>
                <w:color w:val="000000"/>
              </w:rPr>
            </w:pPr>
            <w:r w:rsidRPr="00BC0DCE">
              <w:rPr>
                <w:color w:val="000000"/>
              </w:rPr>
              <w:t>50</w:t>
            </w:r>
          </w:p>
        </w:tc>
        <w:tc>
          <w:tcPr>
            <w:tcW w:w="1061" w:type="dxa"/>
            <w:tcBorders>
              <w:top w:val="nil"/>
              <w:left w:val="single" w:sz="8" w:space="0" w:color="auto"/>
              <w:bottom w:val="single" w:sz="8" w:space="0" w:color="auto"/>
              <w:right w:val="nil"/>
            </w:tcBorders>
            <w:shd w:val="clear" w:color="auto" w:fill="auto"/>
            <w:vAlign w:val="center"/>
            <w:hideMark/>
          </w:tcPr>
          <w:p w:rsidR="00BC0DCE" w:rsidRPr="00BC0DCE" w:rsidRDefault="00D86CAE" w:rsidP="00BC0DCE">
            <w:pPr>
              <w:overflowPunct/>
              <w:autoSpaceDE/>
              <w:autoSpaceDN/>
              <w:adjustRightInd/>
              <w:jc w:val="center"/>
              <w:textAlignment w:val="auto"/>
              <w:rPr>
                <w:color w:val="000000"/>
              </w:rPr>
            </w:pPr>
            <w:r>
              <w:rPr>
                <w:color w:val="000000"/>
              </w:rPr>
              <w:t>8.40</w:t>
            </w:r>
          </w:p>
        </w:tc>
        <w:tc>
          <w:tcPr>
            <w:tcW w:w="1094" w:type="dxa"/>
            <w:tcBorders>
              <w:top w:val="nil"/>
              <w:left w:val="single" w:sz="8" w:space="0" w:color="auto"/>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b/>
                <w:bCs/>
                <w:color w:val="000000"/>
              </w:rPr>
            </w:pPr>
            <w:r w:rsidRPr="00BC0DCE">
              <w:rPr>
                <w:b/>
                <w:bCs/>
                <w:color w:val="000000"/>
              </w:rPr>
              <w:t>420</w:t>
            </w:r>
            <w:r w:rsidR="00D86CAE">
              <w:rPr>
                <w:b/>
                <w:bCs/>
                <w:color w:val="000000"/>
              </w:rPr>
              <w:t>.00</w:t>
            </w:r>
          </w:p>
        </w:tc>
        <w:tc>
          <w:tcPr>
            <w:tcW w:w="1094" w:type="dxa"/>
            <w:tcBorders>
              <w:top w:val="nil"/>
              <w:left w:val="nil"/>
              <w:bottom w:val="single" w:sz="8" w:space="0" w:color="auto"/>
              <w:right w:val="single" w:sz="8" w:space="0" w:color="auto"/>
            </w:tcBorders>
            <w:shd w:val="clear" w:color="auto" w:fill="auto"/>
            <w:vAlign w:val="center"/>
            <w:hideMark/>
          </w:tcPr>
          <w:p w:rsidR="00BC0DCE" w:rsidRPr="00BC0DCE" w:rsidRDefault="00583234" w:rsidP="00BC0DCE">
            <w:pPr>
              <w:overflowPunct/>
              <w:autoSpaceDE/>
              <w:autoSpaceDN/>
              <w:adjustRightInd/>
              <w:jc w:val="right"/>
              <w:textAlignment w:val="auto"/>
              <w:rPr>
                <w:color w:val="000000"/>
              </w:rPr>
            </w:pPr>
            <w:r>
              <w:rPr>
                <w:color w:val="000000"/>
              </w:rPr>
              <w:t>3.05</w:t>
            </w:r>
          </w:p>
        </w:tc>
        <w:tc>
          <w:tcPr>
            <w:tcW w:w="751" w:type="dxa"/>
            <w:tcBorders>
              <w:top w:val="nil"/>
              <w:left w:val="nil"/>
              <w:bottom w:val="single" w:sz="8" w:space="0" w:color="auto"/>
              <w:right w:val="single" w:sz="8" w:space="0" w:color="auto"/>
            </w:tcBorders>
            <w:shd w:val="clear" w:color="auto" w:fill="auto"/>
            <w:vAlign w:val="center"/>
            <w:hideMark/>
          </w:tcPr>
          <w:p w:rsidR="00BC0DCE" w:rsidRPr="00BC0DCE" w:rsidRDefault="00583234" w:rsidP="00BC0DCE">
            <w:pPr>
              <w:overflowPunct/>
              <w:autoSpaceDE/>
              <w:autoSpaceDN/>
              <w:adjustRightInd/>
              <w:jc w:val="right"/>
              <w:textAlignment w:val="auto"/>
              <w:rPr>
                <w:color w:val="000000"/>
              </w:rPr>
            </w:pPr>
            <w:r>
              <w:rPr>
                <w:color w:val="000000"/>
              </w:rPr>
              <w:t>1281.00</w:t>
            </w:r>
          </w:p>
        </w:tc>
        <w:tc>
          <w:tcPr>
            <w:tcW w:w="705"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$43</w:t>
            </w:r>
            <w:r w:rsidR="00D86CAE">
              <w:rPr>
                <w:color w:val="000000"/>
              </w:rPr>
              <w:t>.00</w:t>
            </w:r>
          </w:p>
        </w:tc>
        <w:tc>
          <w:tcPr>
            <w:tcW w:w="881"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w:t>
            </w:r>
            <w:r w:rsidR="00583234">
              <w:rPr>
                <w:color w:val="000000"/>
              </w:rPr>
              <w:t>55,428.87</w:t>
            </w:r>
          </w:p>
        </w:tc>
      </w:tr>
      <w:tr w:rsidR="00BC0DCE" w:rsidRPr="00BC0DCE" w:rsidTr="00BC0DCE">
        <w:trPr>
          <w:trHeight w:val="525"/>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textAlignment w:val="auto"/>
              <w:rPr>
                <w:color w:val="000000"/>
              </w:rPr>
            </w:pPr>
            <w:r w:rsidRPr="00BC0DCE">
              <w:rPr>
                <w:color w:val="000000"/>
              </w:rPr>
              <w:t xml:space="preserve">Cost Effectiveness Determination </w:t>
            </w:r>
          </w:p>
        </w:tc>
        <w:tc>
          <w:tcPr>
            <w:tcW w:w="1239"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center"/>
              <w:textAlignment w:val="auto"/>
              <w:rPr>
                <w:color w:val="000000"/>
              </w:rPr>
            </w:pPr>
            <w:r w:rsidRPr="00BC0DCE">
              <w:rPr>
                <w:color w:val="000000"/>
              </w:rPr>
              <w:t>50</w:t>
            </w:r>
          </w:p>
        </w:tc>
        <w:tc>
          <w:tcPr>
            <w:tcW w:w="1061" w:type="dxa"/>
            <w:tcBorders>
              <w:top w:val="nil"/>
              <w:left w:val="nil"/>
              <w:bottom w:val="single" w:sz="8" w:space="0" w:color="auto"/>
              <w:right w:val="single" w:sz="8" w:space="0" w:color="auto"/>
            </w:tcBorders>
            <w:shd w:val="clear" w:color="auto" w:fill="auto"/>
            <w:vAlign w:val="center"/>
            <w:hideMark/>
          </w:tcPr>
          <w:p w:rsidR="00BC0DCE" w:rsidRPr="00BC0DCE" w:rsidRDefault="00D86CAE" w:rsidP="00BC0DCE">
            <w:pPr>
              <w:overflowPunct/>
              <w:autoSpaceDE/>
              <w:autoSpaceDN/>
              <w:adjustRightInd/>
              <w:jc w:val="center"/>
              <w:textAlignment w:val="auto"/>
              <w:rPr>
                <w:color w:val="000000"/>
              </w:rPr>
            </w:pPr>
            <w:r>
              <w:rPr>
                <w:color w:val="000000"/>
              </w:rPr>
              <w:t>8.40</w:t>
            </w:r>
          </w:p>
        </w:tc>
        <w:tc>
          <w:tcPr>
            <w:tcW w:w="1094"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420</w:t>
            </w:r>
            <w:r w:rsidR="00D86CAE">
              <w:rPr>
                <w:color w:val="000000"/>
              </w:rPr>
              <w:t>.00</w:t>
            </w:r>
          </w:p>
        </w:tc>
        <w:tc>
          <w:tcPr>
            <w:tcW w:w="1094"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0.25</w:t>
            </w:r>
          </w:p>
        </w:tc>
        <w:tc>
          <w:tcPr>
            <w:tcW w:w="751"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10</w:t>
            </w:r>
            <w:r w:rsidR="00D86CAE">
              <w:rPr>
                <w:color w:val="000000"/>
              </w:rPr>
              <w:t>5.00</w:t>
            </w:r>
          </w:p>
        </w:tc>
        <w:tc>
          <w:tcPr>
            <w:tcW w:w="705"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$43</w:t>
            </w:r>
            <w:r w:rsidR="00D86CAE">
              <w:rPr>
                <w:color w:val="000000"/>
              </w:rPr>
              <w:t>.00</w:t>
            </w:r>
          </w:p>
        </w:tc>
        <w:tc>
          <w:tcPr>
            <w:tcW w:w="881"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$4,515</w:t>
            </w:r>
            <w:r w:rsidR="00D86CAE">
              <w:rPr>
                <w:color w:val="000000"/>
              </w:rPr>
              <w:t>.00</w:t>
            </w:r>
          </w:p>
        </w:tc>
      </w:tr>
      <w:tr w:rsidR="00BC0DCE" w:rsidRPr="00BC0DCE" w:rsidTr="00BC0DCE">
        <w:trPr>
          <w:trHeight w:val="1035"/>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textAlignment w:val="auto"/>
              <w:rPr>
                <w:color w:val="000000"/>
              </w:rPr>
            </w:pPr>
            <w:r w:rsidRPr="00BC0DCE">
              <w:rPr>
                <w:color w:val="000000"/>
              </w:rPr>
              <w:t>Review DE Underwriter's Evaluation for TOTAL</w:t>
            </w:r>
          </w:p>
        </w:tc>
        <w:tc>
          <w:tcPr>
            <w:tcW w:w="1239"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center"/>
              <w:textAlignment w:val="auto"/>
              <w:rPr>
                <w:color w:val="000000"/>
              </w:rPr>
            </w:pPr>
            <w:r w:rsidRPr="00BC0DCE">
              <w:rPr>
                <w:color w:val="000000"/>
              </w:rPr>
              <w:t>50</w:t>
            </w:r>
          </w:p>
        </w:tc>
        <w:tc>
          <w:tcPr>
            <w:tcW w:w="1061" w:type="dxa"/>
            <w:tcBorders>
              <w:top w:val="nil"/>
              <w:left w:val="nil"/>
              <w:bottom w:val="single" w:sz="8" w:space="0" w:color="auto"/>
              <w:right w:val="single" w:sz="8" w:space="0" w:color="auto"/>
            </w:tcBorders>
            <w:shd w:val="clear" w:color="auto" w:fill="auto"/>
            <w:vAlign w:val="center"/>
            <w:hideMark/>
          </w:tcPr>
          <w:p w:rsidR="00BC0DCE" w:rsidRPr="00BC0DCE" w:rsidRDefault="00D86CAE" w:rsidP="00BC0DCE">
            <w:pPr>
              <w:overflowPunct/>
              <w:autoSpaceDE/>
              <w:autoSpaceDN/>
              <w:adjustRightInd/>
              <w:jc w:val="center"/>
              <w:textAlignment w:val="auto"/>
              <w:rPr>
                <w:color w:val="000000"/>
              </w:rPr>
            </w:pPr>
            <w:r>
              <w:rPr>
                <w:color w:val="000000"/>
              </w:rPr>
              <w:t>8.40</w:t>
            </w:r>
          </w:p>
        </w:tc>
        <w:tc>
          <w:tcPr>
            <w:tcW w:w="1094"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420</w:t>
            </w:r>
            <w:r w:rsidR="00D86CAE">
              <w:rPr>
                <w:color w:val="000000"/>
              </w:rPr>
              <w:t>.00</w:t>
            </w:r>
          </w:p>
        </w:tc>
        <w:tc>
          <w:tcPr>
            <w:tcW w:w="1094"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0.25</w:t>
            </w:r>
          </w:p>
        </w:tc>
        <w:tc>
          <w:tcPr>
            <w:tcW w:w="751"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105</w:t>
            </w:r>
            <w:r w:rsidR="00D86CAE">
              <w:rPr>
                <w:color w:val="000000"/>
              </w:rPr>
              <w:t>.00</w:t>
            </w:r>
          </w:p>
        </w:tc>
        <w:tc>
          <w:tcPr>
            <w:tcW w:w="705"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$43</w:t>
            </w:r>
            <w:r w:rsidR="00D86CAE">
              <w:rPr>
                <w:color w:val="000000"/>
              </w:rPr>
              <w:t>.00</w:t>
            </w:r>
          </w:p>
        </w:tc>
        <w:tc>
          <w:tcPr>
            <w:tcW w:w="881"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$4,515</w:t>
            </w:r>
            <w:r w:rsidR="00D86CAE">
              <w:rPr>
                <w:color w:val="000000"/>
              </w:rPr>
              <w:t>.00</w:t>
            </w:r>
          </w:p>
        </w:tc>
      </w:tr>
      <w:tr w:rsidR="00BC0DCE" w:rsidRPr="00BC0DCE" w:rsidTr="00BC0DCE">
        <w:trPr>
          <w:trHeight w:val="1035"/>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textAlignment w:val="auto"/>
              <w:rPr>
                <w:color w:val="000000"/>
              </w:rPr>
            </w:pPr>
            <w:r w:rsidRPr="00BC0DCE">
              <w:rPr>
                <w:color w:val="000000"/>
              </w:rPr>
              <w:t>EEM Closeout</w:t>
            </w:r>
          </w:p>
        </w:tc>
        <w:tc>
          <w:tcPr>
            <w:tcW w:w="1239"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center"/>
              <w:textAlignment w:val="auto"/>
              <w:rPr>
                <w:color w:val="000000"/>
              </w:rPr>
            </w:pPr>
            <w:r w:rsidRPr="00BC0DCE">
              <w:rPr>
                <w:color w:val="000000"/>
              </w:rPr>
              <w:t>50</w:t>
            </w:r>
          </w:p>
        </w:tc>
        <w:tc>
          <w:tcPr>
            <w:tcW w:w="1061" w:type="dxa"/>
            <w:tcBorders>
              <w:top w:val="nil"/>
              <w:left w:val="nil"/>
              <w:bottom w:val="single" w:sz="8" w:space="0" w:color="auto"/>
              <w:right w:val="single" w:sz="8" w:space="0" w:color="auto"/>
            </w:tcBorders>
            <w:shd w:val="clear" w:color="auto" w:fill="auto"/>
            <w:vAlign w:val="center"/>
            <w:hideMark/>
          </w:tcPr>
          <w:p w:rsidR="00BC0DCE" w:rsidRPr="00BC0DCE" w:rsidRDefault="00D86CAE" w:rsidP="00BC0DCE">
            <w:pPr>
              <w:overflowPunct/>
              <w:autoSpaceDE/>
              <w:autoSpaceDN/>
              <w:adjustRightInd/>
              <w:jc w:val="center"/>
              <w:textAlignment w:val="auto"/>
              <w:rPr>
                <w:color w:val="000000"/>
              </w:rPr>
            </w:pPr>
            <w:r>
              <w:rPr>
                <w:color w:val="000000"/>
              </w:rPr>
              <w:t>8.40</w:t>
            </w:r>
          </w:p>
        </w:tc>
        <w:tc>
          <w:tcPr>
            <w:tcW w:w="1094"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42</w:t>
            </w:r>
            <w:r w:rsidR="00D86CAE">
              <w:rPr>
                <w:color w:val="000000"/>
              </w:rPr>
              <w:t>.00</w:t>
            </w:r>
          </w:p>
        </w:tc>
        <w:tc>
          <w:tcPr>
            <w:tcW w:w="1094"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0.25</w:t>
            </w:r>
          </w:p>
        </w:tc>
        <w:tc>
          <w:tcPr>
            <w:tcW w:w="751"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105</w:t>
            </w:r>
            <w:r w:rsidR="00D86CAE">
              <w:rPr>
                <w:color w:val="000000"/>
              </w:rPr>
              <w:t>.00</w:t>
            </w:r>
          </w:p>
        </w:tc>
        <w:tc>
          <w:tcPr>
            <w:tcW w:w="705"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$43</w:t>
            </w:r>
            <w:r w:rsidR="00D86CAE">
              <w:rPr>
                <w:color w:val="000000"/>
              </w:rPr>
              <w:t>.00</w:t>
            </w:r>
          </w:p>
        </w:tc>
        <w:tc>
          <w:tcPr>
            <w:tcW w:w="881"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color w:val="000000"/>
              </w:rPr>
            </w:pPr>
            <w:r w:rsidRPr="00BC0DCE">
              <w:rPr>
                <w:color w:val="000000"/>
              </w:rPr>
              <w:t>$4,515</w:t>
            </w:r>
            <w:r w:rsidR="00D86CAE">
              <w:rPr>
                <w:color w:val="000000"/>
              </w:rPr>
              <w:t>.00</w:t>
            </w:r>
          </w:p>
        </w:tc>
      </w:tr>
      <w:tr w:rsidR="00BC0DCE" w:rsidRPr="00BC0DCE" w:rsidTr="00BC0DCE">
        <w:trPr>
          <w:trHeight w:val="270"/>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textAlignment w:val="auto"/>
              <w:rPr>
                <w:b/>
                <w:bCs/>
                <w:color w:val="000000"/>
              </w:rPr>
            </w:pPr>
            <w:r w:rsidRPr="00BC0DCE">
              <w:rPr>
                <w:b/>
                <w:bCs/>
                <w:color w:val="000000"/>
              </w:rPr>
              <w:t>Totals</w:t>
            </w:r>
          </w:p>
        </w:tc>
        <w:tc>
          <w:tcPr>
            <w:tcW w:w="1239"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center"/>
              <w:textAlignment w:val="auto"/>
              <w:rPr>
                <w:b/>
                <w:bCs/>
                <w:color w:val="000000"/>
              </w:rPr>
            </w:pPr>
            <w:r w:rsidRPr="00BC0DCE">
              <w:rPr>
                <w:b/>
                <w:bCs/>
                <w:color w:val="000000"/>
              </w:rPr>
              <w:t>50</w:t>
            </w:r>
          </w:p>
        </w:tc>
        <w:tc>
          <w:tcPr>
            <w:tcW w:w="1061"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center"/>
              <w:textAlignment w:val="auto"/>
              <w:rPr>
                <w:b/>
                <w:bCs/>
                <w:color w:val="000000"/>
              </w:rPr>
            </w:pPr>
            <w:r w:rsidRPr="00BC0DCE">
              <w:rPr>
                <w:b/>
                <w:bCs/>
                <w:color w:val="000000"/>
              </w:rPr>
              <w:t> </w:t>
            </w:r>
          </w:p>
        </w:tc>
        <w:tc>
          <w:tcPr>
            <w:tcW w:w="1094"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b/>
                <w:bCs/>
                <w:color w:val="000000"/>
              </w:rPr>
            </w:pPr>
            <w:r w:rsidRPr="00BC0DCE">
              <w:rPr>
                <w:b/>
                <w:bCs/>
                <w:color w:val="000000"/>
              </w:rPr>
              <w:t>1680</w:t>
            </w:r>
          </w:p>
        </w:tc>
        <w:tc>
          <w:tcPr>
            <w:tcW w:w="1094"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b/>
                <w:bCs/>
                <w:color w:val="000000"/>
              </w:rPr>
            </w:pPr>
            <w:r w:rsidRPr="00BC0DCE">
              <w:rPr>
                <w:b/>
                <w:bCs/>
                <w:color w:val="000000"/>
              </w:rPr>
              <w:t>4.25</w:t>
            </w:r>
          </w:p>
        </w:tc>
        <w:tc>
          <w:tcPr>
            <w:tcW w:w="751"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b/>
                <w:bCs/>
                <w:color w:val="000000"/>
              </w:rPr>
            </w:pPr>
            <w:r w:rsidRPr="00BC0DCE">
              <w:rPr>
                <w:b/>
                <w:bCs/>
                <w:color w:val="000000"/>
              </w:rPr>
              <w:t>1785</w:t>
            </w:r>
          </w:p>
        </w:tc>
        <w:tc>
          <w:tcPr>
            <w:tcW w:w="705"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b/>
                <w:bCs/>
                <w:color w:val="000000"/>
              </w:rPr>
            </w:pPr>
            <w:r w:rsidRPr="00BC0DCE">
              <w:rPr>
                <w:b/>
                <w:bCs/>
                <w:color w:val="000000"/>
              </w:rPr>
              <w:t> </w:t>
            </w:r>
          </w:p>
        </w:tc>
        <w:tc>
          <w:tcPr>
            <w:tcW w:w="881" w:type="dxa"/>
            <w:tcBorders>
              <w:top w:val="nil"/>
              <w:left w:val="nil"/>
              <w:bottom w:val="single" w:sz="8" w:space="0" w:color="auto"/>
              <w:right w:val="single" w:sz="8" w:space="0" w:color="auto"/>
            </w:tcBorders>
            <w:shd w:val="clear" w:color="auto" w:fill="auto"/>
            <w:vAlign w:val="center"/>
            <w:hideMark/>
          </w:tcPr>
          <w:p w:rsidR="00BC0DCE" w:rsidRPr="00BC0DCE" w:rsidRDefault="00BC0DCE" w:rsidP="00BC0DCE">
            <w:pPr>
              <w:overflowPunct/>
              <w:autoSpaceDE/>
              <w:autoSpaceDN/>
              <w:adjustRightInd/>
              <w:jc w:val="right"/>
              <w:textAlignment w:val="auto"/>
              <w:rPr>
                <w:b/>
                <w:bCs/>
                <w:color w:val="000000"/>
              </w:rPr>
            </w:pPr>
            <w:r w:rsidRPr="00BC0DCE">
              <w:rPr>
                <w:b/>
                <w:bCs/>
                <w:color w:val="000000"/>
              </w:rPr>
              <w:t>$</w:t>
            </w:r>
            <w:r w:rsidR="00583234">
              <w:rPr>
                <w:b/>
                <w:bCs/>
                <w:color w:val="000000"/>
              </w:rPr>
              <w:t>69,058.92</w:t>
            </w:r>
          </w:p>
        </w:tc>
      </w:tr>
    </w:tbl>
    <w:p w:rsidR="00BC0DCE" w:rsidRDefault="00BC0DCE" w:rsidP="001710AB">
      <w:pPr>
        <w:keepNext/>
        <w:keepLines/>
        <w:tabs>
          <w:tab w:val="left" w:pos="480"/>
        </w:tabs>
        <w:spacing w:after="80"/>
        <w:ind w:left="720"/>
      </w:pPr>
      <w:r>
        <w:fldChar w:fldCharType="begin"/>
      </w:r>
      <w:r>
        <w:instrText xml:space="preserve"> LINK Excel.Sheet.12 "\\\\HLANNFP019\\users1\\H0\\H45362\\PRA\\EEM.PRA\\EEM.PRA.. 8.2017\\EEM Volume 7.25.2017.xlsx" "Cost to Govt!R10C1:R16C8" \a \f 4 \h </w:instrText>
      </w:r>
      <w:r>
        <w:fldChar w:fldCharType="separate"/>
      </w:r>
    </w:p>
    <w:p w:rsidR="00BC0DCE" w:rsidRDefault="00BC0DCE" w:rsidP="001710AB">
      <w:pPr>
        <w:keepNext/>
        <w:keepLines/>
        <w:tabs>
          <w:tab w:val="left" w:pos="480"/>
        </w:tabs>
        <w:spacing w:after="80"/>
        <w:ind w:left="720"/>
        <w:rPr>
          <w:sz w:val="24"/>
        </w:rPr>
      </w:pPr>
      <w:r>
        <w:rPr>
          <w:sz w:val="24"/>
        </w:rPr>
        <w:fldChar w:fldCharType="end"/>
      </w:r>
    </w:p>
    <w:p w:rsidR="00C05967" w:rsidRDefault="00C05967" w:rsidP="001710AB">
      <w:pPr>
        <w:keepNext/>
        <w:keepLines/>
        <w:tabs>
          <w:tab w:val="left" w:pos="480"/>
        </w:tabs>
        <w:spacing w:after="80"/>
        <w:ind w:left="720"/>
        <w:rPr>
          <w:sz w:val="24"/>
        </w:rPr>
      </w:pPr>
    </w:p>
    <w:p w:rsidR="00C05967" w:rsidRDefault="00C05967" w:rsidP="001710AB">
      <w:pPr>
        <w:keepNext/>
        <w:keepLines/>
        <w:tabs>
          <w:tab w:val="left" w:pos="480"/>
        </w:tabs>
        <w:spacing w:after="80"/>
        <w:ind w:left="720"/>
        <w:rPr>
          <w:sz w:val="24"/>
        </w:rPr>
      </w:pPr>
    </w:p>
    <w:p w:rsidR="00C05967" w:rsidRDefault="00C05967" w:rsidP="001710AB">
      <w:pPr>
        <w:keepNext/>
        <w:keepLines/>
        <w:tabs>
          <w:tab w:val="left" w:pos="480"/>
        </w:tabs>
        <w:spacing w:after="80"/>
        <w:ind w:left="720"/>
        <w:rPr>
          <w:sz w:val="24"/>
        </w:rPr>
      </w:pPr>
    </w:p>
    <w:p w:rsidR="0021648A" w:rsidRDefault="0021648A" w:rsidP="00887996">
      <w:pPr>
        <w:keepNext/>
        <w:keepLines/>
        <w:tabs>
          <w:tab w:val="left" w:pos="480"/>
        </w:tabs>
        <w:spacing w:after="80"/>
        <w:ind w:left="1152"/>
      </w:pPr>
    </w:p>
    <w:p w:rsidR="0021648A" w:rsidRDefault="0021648A" w:rsidP="00887996">
      <w:pPr>
        <w:keepNext/>
        <w:keepLines/>
        <w:tabs>
          <w:tab w:val="left" w:pos="480"/>
        </w:tabs>
        <w:spacing w:after="80"/>
        <w:ind w:left="1152"/>
      </w:pPr>
    </w:p>
    <w:p w:rsidR="0021648A" w:rsidRDefault="0021648A" w:rsidP="00887996">
      <w:pPr>
        <w:keepNext/>
        <w:keepLines/>
        <w:tabs>
          <w:tab w:val="left" w:pos="480"/>
        </w:tabs>
        <w:spacing w:after="80"/>
        <w:ind w:left="1152"/>
      </w:pPr>
    </w:p>
    <w:p w:rsidR="0021648A" w:rsidRDefault="0021648A" w:rsidP="00887996">
      <w:pPr>
        <w:keepNext/>
        <w:keepLines/>
        <w:tabs>
          <w:tab w:val="left" w:pos="480"/>
        </w:tabs>
        <w:spacing w:after="80"/>
        <w:ind w:left="1152"/>
      </w:pPr>
    </w:p>
    <w:p w:rsidR="0021648A" w:rsidRDefault="0021648A" w:rsidP="00887996">
      <w:pPr>
        <w:keepNext/>
        <w:keepLines/>
        <w:tabs>
          <w:tab w:val="left" w:pos="480"/>
        </w:tabs>
        <w:spacing w:after="80"/>
        <w:ind w:left="1152"/>
      </w:pPr>
    </w:p>
    <w:p w:rsidR="0021648A" w:rsidRDefault="0021648A" w:rsidP="00887996">
      <w:pPr>
        <w:keepNext/>
        <w:keepLines/>
        <w:tabs>
          <w:tab w:val="left" w:pos="480"/>
        </w:tabs>
        <w:spacing w:after="80"/>
        <w:ind w:left="1152"/>
      </w:pPr>
    </w:p>
    <w:p w:rsidR="0021648A" w:rsidRDefault="0021648A" w:rsidP="00887996">
      <w:pPr>
        <w:keepNext/>
        <w:keepLines/>
        <w:tabs>
          <w:tab w:val="left" w:pos="480"/>
        </w:tabs>
        <w:spacing w:after="80"/>
        <w:ind w:left="1152"/>
      </w:pPr>
    </w:p>
    <w:p w:rsidR="0021648A" w:rsidRDefault="0021648A" w:rsidP="00887996">
      <w:pPr>
        <w:keepNext/>
        <w:keepLines/>
        <w:tabs>
          <w:tab w:val="left" w:pos="480"/>
        </w:tabs>
        <w:spacing w:after="80"/>
        <w:ind w:left="1152"/>
      </w:pPr>
    </w:p>
    <w:p w:rsidR="0021648A" w:rsidRDefault="0021648A" w:rsidP="00887996">
      <w:pPr>
        <w:keepNext/>
        <w:keepLines/>
        <w:tabs>
          <w:tab w:val="left" w:pos="480"/>
        </w:tabs>
        <w:spacing w:after="80"/>
        <w:ind w:left="1152"/>
      </w:pPr>
    </w:p>
    <w:p w:rsidR="0021648A" w:rsidRDefault="0021648A" w:rsidP="00887996">
      <w:pPr>
        <w:keepNext/>
        <w:keepLines/>
        <w:tabs>
          <w:tab w:val="left" w:pos="480"/>
        </w:tabs>
        <w:spacing w:after="80"/>
        <w:ind w:left="1152"/>
      </w:pPr>
    </w:p>
    <w:p w:rsidR="0021648A" w:rsidRDefault="0021648A" w:rsidP="00887996">
      <w:pPr>
        <w:keepNext/>
        <w:keepLines/>
        <w:tabs>
          <w:tab w:val="left" w:pos="480"/>
        </w:tabs>
        <w:spacing w:after="80"/>
        <w:ind w:left="1152"/>
      </w:pPr>
    </w:p>
    <w:p w:rsidR="0021648A" w:rsidRDefault="0021648A" w:rsidP="00887996">
      <w:pPr>
        <w:keepNext/>
        <w:keepLines/>
        <w:tabs>
          <w:tab w:val="left" w:pos="480"/>
        </w:tabs>
        <w:spacing w:after="80"/>
        <w:ind w:left="1152"/>
      </w:pPr>
    </w:p>
    <w:p w:rsidR="0021648A" w:rsidRDefault="0021648A" w:rsidP="00887996">
      <w:pPr>
        <w:keepNext/>
        <w:keepLines/>
        <w:tabs>
          <w:tab w:val="left" w:pos="480"/>
        </w:tabs>
        <w:spacing w:after="80"/>
        <w:ind w:left="1152"/>
      </w:pPr>
    </w:p>
    <w:p w:rsidR="0021648A" w:rsidRDefault="0021648A" w:rsidP="00887996">
      <w:pPr>
        <w:keepNext/>
        <w:keepLines/>
        <w:tabs>
          <w:tab w:val="left" w:pos="480"/>
        </w:tabs>
        <w:spacing w:after="80"/>
        <w:ind w:left="1152"/>
      </w:pPr>
    </w:p>
    <w:p w:rsidR="002831B0" w:rsidRDefault="00087803" w:rsidP="00887996">
      <w:pPr>
        <w:keepNext/>
        <w:keepLines/>
        <w:tabs>
          <w:tab w:val="left" w:pos="480"/>
        </w:tabs>
        <w:spacing w:after="80"/>
        <w:ind w:left="1152"/>
      </w:pPr>
      <w:r>
        <w:t xml:space="preserve">* </w:t>
      </w:r>
      <w:r w:rsidR="002831B0">
        <w:t>The number of EEMs represents an annual average of EEMs that were insured by FHA over the most recent 5-year fiscal period ending September 30, 2016.</w:t>
      </w:r>
    </w:p>
    <w:p w:rsidR="00087803" w:rsidRDefault="002831B0" w:rsidP="00887996">
      <w:pPr>
        <w:keepNext/>
        <w:keepLines/>
        <w:tabs>
          <w:tab w:val="left" w:pos="480"/>
        </w:tabs>
        <w:spacing w:after="80"/>
        <w:ind w:left="1152"/>
        <w:rPr>
          <w:sz w:val="24"/>
        </w:rPr>
      </w:pPr>
      <w:r>
        <w:t xml:space="preserve">**  </w:t>
      </w:r>
      <w:r w:rsidR="00087803">
        <w:t>Hourly rate is based on an average annual salary of $</w:t>
      </w:r>
      <w:r w:rsidR="00F374E0">
        <w:t>90</w:t>
      </w:r>
      <w:r w:rsidR="00087803">
        <w:t>,</w:t>
      </w:r>
      <w:r w:rsidR="00F374E0">
        <w:t>350</w:t>
      </w:r>
      <w:r w:rsidR="00087803">
        <w:t xml:space="preserve"> for </w:t>
      </w:r>
      <w:r w:rsidR="00816AF5">
        <w:t>mortgage</w:t>
      </w:r>
      <w:r w:rsidR="00087803">
        <w:t xml:space="preserve"> personnel</w:t>
      </w:r>
      <w:r w:rsidR="00951934">
        <w:t xml:space="preserve">.  </w:t>
      </w:r>
      <w:r w:rsidR="00087803">
        <w:t>The annual salary is divided by 2,088 (the total number of hours worked on an annual basis for a full time permanent position), then rounded, which equals to $</w:t>
      </w:r>
      <w:r w:rsidR="00C70557">
        <w:t>43</w:t>
      </w:r>
      <w:r w:rsidR="00087803">
        <w:t>.00 per hour</w:t>
      </w:r>
    </w:p>
    <w:p w:rsidR="00C87C34" w:rsidRDefault="00C87C34" w:rsidP="002831B0">
      <w:pPr>
        <w:tabs>
          <w:tab w:val="left" w:pos="360"/>
        </w:tabs>
        <w:rPr>
          <w:sz w:val="24"/>
        </w:rPr>
      </w:pPr>
    </w:p>
    <w:p w:rsidR="0021648A" w:rsidRDefault="0021648A" w:rsidP="002831B0">
      <w:pPr>
        <w:tabs>
          <w:tab w:val="left" w:pos="360"/>
        </w:tabs>
        <w:rPr>
          <w:sz w:val="24"/>
        </w:rPr>
      </w:pPr>
    </w:p>
    <w:p w:rsidR="00160D38" w:rsidRDefault="0021648A" w:rsidP="00830011">
      <w:pPr>
        <w:pStyle w:val="ListParagraph"/>
        <w:numPr>
          <w:ilvl w:val="0"/>
          <w:numId w:val="28"/>
        </w:numPr>
        <w:tabs>
          <w:tab w:val="left" w:pos="360"/>
        </w:tabs>
        <w:ind w:left="792"/>
        <w:rPr>
          <w:sz w:val="24"/>
        </w:rPr>
      </w:pPr>
      <w:r>
        <w:rPr>
          <w:sz w:val="24"/>
        </w:rPr>
        <w:t>T</w:t>
      </w:r>
      <w:r w:rsidR="009C5198" w:rsidRPr="00B34BB3">
        <w:rPr>
          <w:sz w:val="24"/>
        </w:rPr>
        <w:t>here are no ad</w:t>
      </w:r>
      <w:r w:rsidR="00C87C34" w:rsidRPr="00B34BB3">
        <w:rPr>
          <w:sz w:val="24"/>
        </w:rPr>
        <w:t>ditional costs to respondents</w:t>
      </w:r>
      <w:r w:rsidR="00160D38" w:rsidRPr="00B34BB3">
        <w:rPr>
          <w:sz w:val="24"/>
        </w:rPr>
        <w:t xml:space="preserve">.  </w:t>
      </w:r>
    </w:p>
    <w:p w:rsidR="0021648A" w:rsidRDefault="0021648A" w:rsidP="0021648A">
      <w:pPr>
        <w:tabs>
          <w:tab w:val="left" w:pos="360"/>
        </w:tabs>
        <w:rPr>
          <w:sz w:val="24"/>
        </w:rPr>
      </w:pPr>
    </w:p>
    <w:p w:rsidR="0021648A" w:rsidRDefault="0021648A" w:rsidP="0021648A">
      <w:pPr>
        <w:tabs>
          <w:tab w:val="left" w:pos="360"/>
        </w:tabs>
        <w:rPr>
          <w:sz w:val="24"/>
        </w:rPr>
      </w:pPr>
    </w:p>
    <w:p w:rsidR="0021648A" w:rsidRDefault="0021648A" w:rsidP="0021648A">
      <w:pPr>
        <w:tabs>
          <w:tab w:val="left" w:pos="360"/>
        </w:tabs>
        <w:rPr>
          <w:sz w:val="24"/>
        </w:rPr>
      </w:pPr>
    </w:p>
    <w:p w:rsidR="0021648A" w:rsidRDefault="0021648A" w:rsidP="0021648A">
      <w:pPr>
        <w:tabs>
          <w:tab w:val="left" w:pos="360"/>
        </w:tabs>
        <w:rPr>
          <w:sz w:val="24"/>
        </w:rPr>
      </w:pPr>
    </w:p>
    <w:p w:rsidR="00E468AB" w:rsidRDefault="00E468AB" w:rsidP="0021648A">
      <w:pPr>
        <w:tabs>
          <w:tab w:val="left" w:pos="360"/>
        </w:tabs>
        <w:rPr>
          <w:sz w:val="24"/>
        </w:rPr>
      </w:pPr>
    </w:p>
    <w:p w:rsidR="00E468AB" w:rsidRDefault="00E468AB" w:rsidP="0021648A">
      <w:pPr>
        <w:tabs>
          <w:tab w:val="left" w:pos="360"/>
        </w:tabs>
        <w:rPr>
          <w:sz w:val="24"/>
        </w:rPr>
      </w:pPr>
    </w:p>
    <w:p w:rsidR="00E468AB" w:rsidRDefault="00E468AB" w:rsidP="0021648A">
      <w:pPr>
        <w:tabs>
          <w:tab w:val="left" w:pos="360"/>
        </w:tabs>
        <w:rPr>
          <w:sz w:val="24"/>
        </w:rPr>
      </w:pPr>
    </w:p>
    <w:p w:rsidR="00E468AB" w:rsidRDefault="00E468AB" w:rsidP="0021648A">
      <w:pPr>
        <w:tabs>
          <w:tab w:val="left" w:pos="360"/>
        </w:tabs>
        <w:rPr>
          <w:sz w:val="24"/>
        </w:rPr>
      </w:pPr>
    </w:p>
    <w:p w:rsidR="00E468AB" w:rsidRDefault="00E468AB" w:rsidP="0021648A">
      <w:pPr>
        <w:tabs>
          <w:tab w:val="left" w:pos="360"/>
        </w:tabs>
        <w:rPr>
          <w:sz w:val="24"/>
        </w:rPr>
      </w:pPr>
    </w:p>
    <w:p w:rsidR="00E468AB" w:rsidRDefault="00E468AB" w:rsidP="0021648A">
      <w:pPr>
        <w:tabs>
          <w:tab w:val="left" w:pos="360"/>
        </w:tabs>
        <w:rPr>
          <w:sz w:val="24"/>
        </w:rPr>
      </w:pPr>
    </w:p>
    <w:p w:rsidR="00E468AB" w:rsidRDefault="00E468AB" w:rsidP="0021648A">
      <w:pPr>
        <w:tabs>
          <w:tab w:val="left" w:pos="360"/>
        </w:tabs>
        <w:rPr>
          <w:sz w:val="24"/>
        </w:rPr>
      </w:pPr>
    </w:p>
    <w:p w:rsidR="00E468AB" w:rsidRDefault="00E468AB" w:rsidP="0021648A">
      <w:pPr>
        <w:tabs>
          <w:tab w:val="left" w:pos="360"/>
        </w:tabs>
        <w:rPr>
          <w:sz w:val="24"/>
        </w:rPr>
      </w:pPr>
    </w:p>
    <w:p w:rsidR="00E468AB" w:rsidRDefault="00E468AB" w:rsidP="0021648A">
      <w:pPr>
        <w:tabs>
          <w:tab w:val="left" w:pos="360"/>
        </w:tabs>
        <w:rPr>
          <w:sz w:val="24"/>
        </w:rPr>
      </w:pPr>
    </w:p>
    <w:p w:rsidR="00E468AB" w:rsidRDefault="00E468AB" w:rsidP="0021648A">
      <w:pPr>
        <w:tabs>
          <w:tab w:val="left" w:pos="360"/>
        </w:tabs>
        <w:rPr>
          <w:sz w:val="24"/>
        </w:rPr>
      </w:pPr>
    </w:p>
    <w:p w:rsidR="00E468AB" w:rsidRDefault="00E468AB" w:rsidP="0021648A">
      <w:pPr>
        <w:tabs>
          <w:tab w:val="left" w:pos="360"/>
        </w:tabs>
        <w:rPr>
          <w:sz w:val="24"/>
        </w:rPr>
      </w:pPr>
    </w:p>
    <w:p w:rsidR="00E468AB" w:rsidRDefault="00E468AB" w:rsidP="0021648A">
      <w:pPr>
        <w:tabs>
          <w:tab w:val="left" w:pos="360"/>
        </w:tabs>
        <w:rPr>
          <w:sz w:val="24"/>
        </w:rPr>
      </w:pPr>
    </w:p>
    <w:p w:rsidR="00E468AB" w:rsidRDefault="00E468AB" w:rsidP="0021648A">
      <w:pPr>
        <w:tabs>
          <w:tab w:val="left" w:pos="360"/>
        </w:tabs>
        <w:rPr>
          <w:sz w:val="24"/>
        </w:rPr>
      </w:pPr>
    </w:p>
    <w:p w:rsidR="00E468AB" w:rsidRDefault="00E468AB" w:rsidP="0021648A">
      <w:pPr>
        <w:tabs>
          <w:tab w:val="left" w:pos="360"/>
        </w:tabs>
        <w:rPr>
          <w:sz w:val="24"/>
        </w:rPr>
      </w:pPr>
    </w:p>
    <w:p w:rsidR="00E468AB" w:rsidRPr="0021648A" w:rsidRDefault="00E468AB" w:rsidP="0021648A">
      <w:pPr>
        <w:tabs>
          <w:tab w:val="left" w:pos="360"/>
        </w:tabs>
        <w:rPr>
          <w:sz w:val="24"/>
        </w:rPr>
      </w:pPr>
    </w:p>
    <w:p w:rsidR="00160D38" w:rsidRDefault="00160D38" w:rsidP="00000AB4">
      <w:pPr>
        <w:tabs>
          <w:tab w:val="left" w:pos="360"/>
        </w:tabs>
        <w:ind w:left="792" w:hanging="360"/>
        <w:rPr>
          <w:sz w:val="24"/>
        </w:rPr>
      </w:pPr>
    </w:p>
    <w:p w:rsidR="004673AB" w:rsidRPr="00F93CA1" w:rsidRDefault="00D218FD" w:rsidP="00F93CA1">
      <w:pPr>
        <w:pStyle w:val="ListParagraph"/>
        <w:keepLines/>
        <w:numPr>
          <w:ilvl w:val="0"/>
          <w:numId w:val="28"/>
        </w:numPr>
        <w:tabs>
          <w:tab w:val="left" w:pos="360"/>
        </w:tabs>
        <w:spacing w:after="80"/>
        <w:rPr>
          <w:sz w:val="24"/>
        </w:rPr>
      </w:pPr>
      <w:r w:rsidRPr="00F93CA1">
        <w:rPr>
          <w:sz w:val="24"/>
        </w:rPr>
        <w:t xml:space="preserve"> </w:t>
      </w:r>
      <w:r w:rsidR="00604DF9" w:rsidRPr="00F93CA1">
        <w:rPr>
          <w:sz w:val="24"/>
        </w:rPr>
        <w:t>The e</w:t>
      </w:r>
      <w:r w:rsidR="009C5198" w:rsidRPr="00F93CA1">
        <w:rPr>
          <w:sz w:val="24"/>
        </w:rPr>
        <w:t>stimated annualized co</w:t>
      </w:r>
      <w:r w:rsidR="00604DF9" w:rsidRPr="00F93CA1">
        <w:rPr>
          <w:sz w:val="24"/>
        </w:rPr>
        <w:t>sts to the Federal government are</w:t>
      </w:r>
      <w:r w:rsidR="008A41B0" w:rsidRPr="00F93CA1">
        <w:rPr>
          <w:sz w:val="24"/>
        </w:rPr>
        <w:t xml:space="preserve"> based on HUD’s review of EEMs</w:t>
      </w:r>
      <w:r w:rsidR="00C55CC2" w:rsidRPr="00F93CA1">
        <w:rPr>
          <w:sz w:val="24"/>
        </w:rPr>
        <w:t>, and shown in the below chart:</w:t>
      </w:r>
    </w:p>
    <w:p w:rsidR="000063EA" w:rsidRDefault="000063EA" w:rsidP="000063EA">
      <w:pPr>
        <w:pStyle w:val="BodyTextIndent"/>
        <w:spacing w:before="60" w:after="0"/>
        <w:ind w:left="1560" w:hanging="120"/>
      </w:pPr>
    </w:p>
    <w:tbl>
      <w:tblPr>
        <w:tblpPr w:leftFromText="180" w:rightFromText="180" w:vertAnchor="page" w:horzAnchor="page" w:tblpX="1729" w:tblpY="2053"/>
        <w:tblW w:w="7640" w:type="dxa"/>
        <w:tblLook w:val="04A0" w:firstRow="1" w:lastRow="0" w:firstColumn="1" w:lastColumn="0" w:noHBand="0" w:noVBand="1"/>
      </w:tblPr>
      <w:tblGrid>
        <w:gridCol w:w="2314"/>
        <w:gridCol w:w="1058"/>
        <w:gridCol w:w="1265"/>
        <w:gridCol w:w="943"/>
        <w:gridCol w:w="944"/>
        <w:gridCol w:w="1116"/>
      </w:tblGrid>
      <w:tr w:rsidR="005434BF" w:rsidRPr="008359BD" w:rsidTr="005434BF">
        <w:trPr>
          <w:trHeight w:val="804"/>
        </w:trPr>
        <w:tc>
          <w:tcPr>
            <w:tcW w:w="2400" w:type="dxa"/>
            <w:tcBorders>
              <w:top w:val="single" w:sz="8" w:space="0" w:color="auto"/>
              <w:left w:val="single" w:sz="8" w:space="0" w:color="auto"/>
              <w:bottom w:val="single" w:sz="8" w:space="0" w:color="auto"/>
              <w:right w:val="nil"/>
            </w:tcBorders>
            <w:shd w:val="clear" w:color="auto" w:fill="auto"/>
            <w:vAlign w:val="center"/>
            <w:hideMark/>
          </w:tcPr>
          <w:p w:rsidR="005434BF" w:rsidRPr="008359BD" w:rsidRDefault="005434BF" w:rsidP="005434BF">
            <w:pPr>
              <w:overflowPunct/>
              <w:autoSpaceDE/>
              <w:autoSpaceDN/>
              <w:adjustRightInd/>
              <w:jc w:val="center"/>
              <w:textAlignment w:val="auto"/>
              <w:rPr>
                <w:color w:val="000000"/>
              </w:rPr>
            </w:pPr>
            <w:r w:rsidRPr="008359BD">
              <w:rPr>
                <w:color w:val="000000"/>
              </w:rPr>
              <w:t> </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textAlignment w:val="auto"/>
              <w:rPr>
                <w:b/>
                <w:bCs/>
                <w:color w:val="000000"/>
              </w:rPr>
            </w:pPr>
            <w:r w:rsidRPr="008359BD">
              <w:rPr>
                <w:b/>
                <w:bCs/>
                <w:color w:val="000000"/>
              </w:rPr>
              <w:t>No. of Loans Reviewed</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center"/>
              <w:textAlignment w:val="auto"/>
              <w:rPr>
                <w:b/>
                <w:bCs/>
                <w:color w:val="000000"/>
              </w:rPr>
            </w:pPr>
            <w:r w:rsidRPr="008359BD">
              <w:rPr>
                <w:b/>
                <w:bCs/>
                <w:color w:val="000000"/>
              </w:rPr>
              <w:t>H</w:t>
            </w:r>
            <w:r w:rsidR="00657C82">
              <w:rPr>
                <w:b/>
                <w:bCs/>
                <w:color w:val="000000"/>
              </w:rPr>
              <w:t>ou</w:t>
            </w:r>
            <w:r w:rsidRPr="008359BD">
              <w:rPr>
                <w:b/>
                <w:bCs/>
                <w:color w:val="000000"/>
              </w:rPr>
              <w:t xml:space="preserve">rs Per Responses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center"/>
              <w:textAlignment w:val="auto"/>
              <w:rPr>
                <w:b/>
                <w:bCs/>
                <w:color w:val="000000"/>
              </w:rPr>
            </w:pPr>
            <w:r w:rsidRPr="008359BD">
              <w:rPr>
                <w:b/>
                <w:bCs/>
                <w:color w:val="000000"/>
              </w:rPr>
              <w:t>Total H</w:t>
            </w:r>
            <w:r w:rsidR="00657C82">
              <w:rPr>
                <w:b/>
                <w:bCs/>
                <w:color w:val="000000"/>
              </w:rPr>
              <w:t>ours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center"/>
              <w:textAlignment w:val="auto"/>
              <w:rPr>
                <w:b/>
                <w:bCs/>
                <w:color w:val="000000"/>
              </w:rPr>
            </w:pPr>
            <w:r w:rsidRPr="008359BD">
              <w:rPr>
                <w:b/>
                <w:bCs/>
                <w:color w:val="000000"/>
              </w:rPr>
              <w:t>*Cost Per Hr</w:t>
            </w:r>
            <w:r w:rsidR="00657C82">
              <w:rPr>
                <w:b/>
                <w:bCs/>
                <w:color w:val="000000"/>
              </w:rPr>
              <w:t>.</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center"/>
              <w:textAlignment w:val="auto"/>
              <w:rPr>
                <w:b/>
                <w:bCs/>
                <w:color w:val="000000"/>
              </w:rPr>
            </w:pPr>
            <w:r w:rsidRPr="008359BD">
              <w:rPr>
                <w:b/>
                <w:bCs/>
                <w:color w:val="000000"/>
              </w:rPr>
              <w:t>Total Annual Cost</w:t>
            </w:r>
          </w:p>
        </w:tc>
      </w:tr>
      <w:tr w:rsidR="005434BF" w:rsidRPr="008359BD" w:rsidTr="005434BF">
        <w:trPr>
          <w:trHeight w:val="540"/>
        </w:trPr>
        <w:tc>
          <w:tcPr>
            <w:tcW w:w="2400" w:type="dxa"/>
            <w:tcBorders>
              <w:top w:val="nil"/>
              <w:left w:val="single" w:sz="8" w:space="0" w:color="auto"/>
              <w:bottom w:val="single" w:sz="8" w:space="0" w:color="auto"/>
              <w:right w:val="nil"/>
            </w:tcBorders>
            <w:shd w:val="clear" w:color="auto" w:fill="auto"/>
            <w:vAlign w:val="center"/>
            <w:hideMark/>
          </w:tcPr>
          <w:p w:rsidR="005434BF" w:rsidRPr="008359BD" w:rsidRDefault="005434BF" w:rsidP="005434BF">
            <w:pPr>
              <w:overflowPunct/>
              <w:autoSpaceDE/>
              <w:autoSpaceDN/>
              <w:adjustRightInd/>
              <w:textAlignment w:val="auto"/>
              <w:rPr>
                <w:color w:val="000000"/>
              </w:rPr>
            </w:pPr>
            <w:r w:rsidRPr="008359BD">
              <w:rPr>
                <w:color w:val="000000"/>
              </w:rPr>
              <w:t>Review Home Energy Rating Report</w:t>
            </w:r>
          </w:p>
        </w:tc>
        <w:tc>
          <w:tcPr>
            <w:tcW w:w="1060" w:type="dxa"/>
            <w:tcBorders>
              <w:top w:val="nil"/>
              <w:left w:val="single" w:sz="8" w:space="0" w:color="auto"/>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bCs/>
                <w:color w:val="000000"/>
              </w:rPr>
            </w:pPr>
            <w:r w:rsidRPr="008359BD">
              <w:rPr>
                <w:bCs/>
                <w:color w:val="000000"/>
              </w:rPr>
              <w:t>420</w:t>
            </w:r>
          </w:p>
        </w:tc>
        <w:tc>
          <w:tcPr>
            <w:tcW w:w="1280" w:type="dxa"/>
            <w:tcBorders>
              <w:top w:val="nil"/>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color w:val="000000"/>
              </w:rPr>
            </w:pPr>
            <w:r w:rsidRPr="008359BD">
              <w:rPr>
                <w:color w:val="000000"/>
              </w:rPr>
              <w:t>0.1</w:t>
            </w:r>
          </w:p>
        </w:tc>
        <w:tc>
          <w:tcPr>
            <w:tcW w:w="960" w:type="dxa"/>
            <w:tcBorders>
              <w:top w:val="nil"/>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color w:val="000000"/>
              </w:rPr>
            </w:pPr>
            <w:r w:rsidRPr="008359BD">
              <w:rPr>
                <w:color w:val="000000"/>
              </w:rPr>
              <w:t>42</w:t>
            </w:r>
          </w:p>
        </w:tc>
        <w:tc>
          <w:tcPr>
            <w:tcW w:w="960" w:type="dxa"/>
            <w:tcBorders>
              <w:top w:val="nil"/>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color w:val="000000"/>
              </w:rPr>
            </w:pPr>
            <w:r w:rsidRPr="008359BD">
              <w:rPr>
                <w:color w:val="000000"/>
              </w:rPr>
              <w:t>$</w:t>
            </w:r>
            <w:r w:rsidR="008A74BB">
              <w:rPr>
                <w:color w:val="000000"/>
              </w:rPr>
              <w:t>44.28</w:t>
            </w:r>
          </w:p>
        </w:tc>
        <w:tc>
          <w:tcPr>
            <w:tcW w:w="980" w:type="dxa"/>
            <w:tcBorders>
              <w:top w:val="nil"/>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color w:val="000000"/>
              </w:rPr>
            </w:pPr>
            <w:r w:rsidRPr="008359BD">
              <w:rPr>
                <w:color w:val="000000"/>
              </w:rPr>
              <w:t>$1,8</w:t>
            </w:r>
            <w:r w:rsidR="008A74BB">
              <w:rPr>
                <w:color w:val="000000"/>
              </w:rPr>
              <w:t>59.76</w:t>
            </w:r>
          </w:p>
        </w:tc>
      </w:tr>
      <w:tr w:rsidR="005434BF" w:rsidRPr="008359BD" w:rsidTr="005434BF">
        <w:trPr>
          <w:trHeight w:val="540"/>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textAlignment w:val="auto"/>
              <w:rPr>
                <w:color w:val="000000"/>
              </w:rPr>
            </w:pPr>
            <w:r w:rsidRPr="008359BD">
              <w:rPr>
                <w:color w:val="000000"/>
              </w:rPr>
              <w:t xml:space="preserve">Cost Effectiveness Determination </w:t>
            </w:r>
          </w:p>
        </w:tc>
        <w:tc>
          <w:tcPr>
            <w:tcW w:w="1060" w:type="dxa"/>
            <w:tcBorders>
              <w:top w:val="nil"/>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color w:val="000000"/>
              </w:rPr>
            </w:pPr>
            <w:r w:rsidRPr="008359BD">
              <w:rPr>
                <w:color w:val="000000"/>
              </w:rPr>
              <w:t>420</w:t>
            </w:r>
          </w:p>
        </w:tc>
        <w:tc>
          <w:tcPr>
            <w:tcW w:w="1280" w:type="dxa"/>
            <w:tcBorders>
              <w:top w:val="nil"/>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color w:val="000000"/>
              </w:rPr>
            </w:pPr>
            <w:r w:rsidRPr="008359BD">
              <w:rPr>
                <w:color w:val="000000"/>
              </w:rPr>
              <w:t>0.1</w:t>
            </w:r>
          </w:p>
        </w:tc>
        <w:tc>
          <w:tcPr>
            <w:tcW w:w="960" w:type="dxa"/>
            <w:tcBorders>
              <w:top w:val="nil"/>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color w:val="000000"/>
              </w:rPr>
            </w:pPr>
            <w:r w:rsidRPr="008359BD">
              <w:rPr>
                <w:color w:val="000000"/>
              </w:rPr>
              <w:t>42</w:t>
            </w:r>
          </w:p>
        </w:tc>
        <w:tc>
          <w:tcPr>
            <w:tcW w:w="960" w:type="dxa"/>
            <w:tcBorders>
              <w:top w:val="nil"/>
              <w:left w:val="nil"/>
              <w:bottom w:val="single" w:sz="8" w:space="0" w:color="auto"/>
              <w:right w:val="single" w:sz="8" w:space="0" w:color="auto"/>
            </w:tcBorders>
            <w:shd w:val="clear" w:color="auto" w:fill="auto"/>
            <w:vAlign w:val="center"/>
            <w:hideMark/>
          </w:tcPr>
          <w:p w:rsidR="005434BF" w:rsidRPr="008359BD" w:rsidRDefault="008A74BB" w:rsidP="005434BF">
            <w:pPr>
              <w:overflowPunct/>
              <w:autoSpaceDE/>
              <w:autoSpaceDN/>
              <w:adjustRightInd/>
              <w:jc w:val="right"/>
              <w:textAlignment w:val="auto"/>
              <w:rPr>
                <w:color w:val="000000"/>
              </w:rPr>
            </w:pPr>
            <w:r w:rsidRPr="008A74BB">
              <w:rPr>
                <w:color w:val="000000"/>
              </w:rPr>
              <w:t>$44.28</w:t>
            </w:r>
          </w:p>
        </w:tc>
        <w:tc>
          <w:tcPr>
            <w:tcW w:w="980" w:type="dxa"/>
            <w:tcBorders>
              <w:top w:val="nil"/>
              <w:left w:val="nil"/>
              <w:bottom w:val="single" w:sz="8" w:space="0" w:color="auto"/>
              <w:right w:val="single" w:sz="8" w:space="0" w:color="auto"/>
            </w:tcBorders>
            <w:shd w:val="clear" w:color="auto" w:fill="auto"/>
            <w:vAlign w:val="center"/>
            <w:hideMark/>
          </w:tcPr>
          <w:p w:rsidR="005434BF" w:rsidRPr="008359BD" w:rsidRDefault="008A74BB" w:rsidP="005434BF">
            <w:pPr>
              <w:overflowPunct/>
              <w:autoSpaceDE/>
              <w:autoSpaceDN/>
              <w:adjustRightInd/>
              <w:jc w:val="right"/>
              <w:textAlignment w:val="auto"/>
              <w:rPr>
                <w:color w:val="000000"/>
              </w:rPr>
            </w:pPr>
            <w:r w:rsidRPr="008A74BB">
              <w:rPr>
                <w:color w:val="000000"/>
              </w:rPr>
              <w:t>$1,859.76</w:t>
            </w:r>
          </w:p>
        </w:tc>
      </w:tr>
      <w:tr w:rsidR="005434BF" w:rsidRPr="008359BD" w:rsidTr="005434BF">
        <w:trPr>
          <w:trHeight w:val="540"/>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textAlignment w:val="auto"/>
              <w:rPr>
                <w:color w:val="000000"/>
              </w:rPr>
            </w:pPr>
            <w:r w:rsidRPr="008359BD">
              <w:rPr>
                <w:color w:val="000000"/>
              </w:rPr>
              <w:t>Review DE Underwriter's Evaluation for TOTAL</w:t>
            </w:r>
          </w:p>
        </w:tc>
        <w:tc>
          <w:tcPr>
            <w:tcW w:w="1060" w:type="dxa"/>
            <w:tcBorders>
              <w:top w:val="nil"/>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color w:val="000000"/>
              </w:rPr>
            </w:pPr>
            <w:r w:rsidRPr="008359BD">
              <w:rPr>
                <w:color w:val="000000"/>
              </w:rPr>
              <w:t>420</w:t>
            </w:r>
          </w:p>
        </w:tc>
        <w:tc>
          <w:tcPr>
            <w:tcW w:w="1280" w:type="dxa"/>
            <w:tcBorders>
              <w:top w:val="nil"/>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color w:val="000000"/>
              </w:rPr>
            </w:pPr>
            <w:r w:rsidRPr="008359BD">
              <w:rPr>
                <w:color w:val="000000"/>
              </w:rPr>
              <w:t>0.1</w:t>
            </w:r>
          </w:p>
        </w:tc>
        <w:tc>
          <w:tcPr>
            <w:tcW w:w="960" w:type="dxa"/>
            <w:tcBorders>
              <w:top w:val="nil"/>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color w:val="000000"/>
              </w:rPr>
            </w:pPr>
            <w:r w:rsidRPr="008359BD">
              <w:rPr>
                <w:color w:val="000000"/>
              </w:rPr>
              <w:t>42</w:t>
            </w:r>
          </w:p>
        </w:tc>
        <w:tc>
          <w:tcPr>
            <w:tcW w:w="960" w:type="dxa"/>
            <w:tcBorders>
              <w:top w:val="nil"/>
              <w:left w:val="nil"/>
              <w:bottom w:val="single" w:sz="8" w:space="0" w:color="auto"/>
              <w:right w:val="single" w:sz="8" w:space="0" w:color="auto"/>
            </w:tcBorders>
            <w:shd w:val="clear" w:color="auto" w:fill="auto"/>
            <w:vAlign w:val="center"/>
            <w:hideMark/>
          </w:tcPr>
          <w:p w:rsidR="005434BF" w:rsidRPr="008359BD" w:rsidRDefault="008A74BB" w:rsidP="005434BF">
            <w:pPr>
              <w:overflowPunct/>
              <w:autoSpaceDE/>
              <w:autoSpaceDN/>
              <w:adjustRightInd/>
              <w:jc w:val="right"/>
              <w:textAlignment w:val="auto"/>
              <w:rPr>
                <w:color w:val="000000"/>
              </w:rPr>
            </w:pPr>
            <w:r w:rsidRPr="008A74BB">
              <w:rPr>
                <w:color w:val="000000"/>
              </w:rPr>
              <w:t>$44.28</w:t>
            </w:r>
          </w:p>
        </w:tc>
        <w:tc>
          <w:tcPr>
            <w:tcW w:w="980" w:type="dxa"/>
            <w:tcBorders>
              <w:top w:val="nil"/>
              <w:left w:val="nil"/>
              <w:bottom w:val="single" w:sz="8" w:space="0" w:color="auto"/>
              <w:right w:val="single" w:sz="8" w:space="0" w:color="auto"/>
            </w:tcBorders>
            <w:shd w:val="clear" w:color="auto" w:fill="auto"/>
            <w:vAlign w:val="center"/>
            <w:hideMark/>
          </w:tcPr>
          <w:p w:rsidR="005434BF" w:rsidRPr="008359BD" w:rsidRDefault="008A74BB" w:rsidP="005434BF">
            <w:pPr>
              <w:overflowPunct/>
              <w:autoSpaceDE/>
              <w:autoSpaceDN/>
              <w:adjustRightInd/>
              <w:jc w:val="right"/>
              <w:textAlignment w:val="auto"/>
              <w:rPr>
                <w:color w:val="000000"/>
              </w:rPr>
            </w:pPr>
            <w:r w:rsidRPr="008A74BB">
              <w:rPr>
                <w:color w:val="000000"/>
              </w:rPr>
              <w:t>$1,859.76</w:t>
            </w:r>
          </w:p>
        </w:tc>
      </w:tr>
      <w:tr w:rsidR="005434BF" w:rsidRPr="008359BD" w:rsidTr="005434BF">
        <w:trPr>
          <w:trHeight w:val="288"/>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textAlignment w:val="auto"/>
              <w:rPr>
                <w:color w:val="000000"/>
              </w:rPr>
            </w:pPr>
            <w:r w:rsidRPr="008359BD">
              <w:rPr>
                <w:color w:val="000000"/>
              </w:rPr>
              <w:t>EEM Closeout</w:t>
            </w:r>
          </w:p>
        </w:tc>
        <w:tc>
          <w:tcPr>
            <w:tcW w:w="1060" w:type="dxa"/>
            <w:tcBorders>
              <w:top w:val="nil"/>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color w:val="000000"/>
              </w:rPr>
            </w:pPr>
            <w:r w:rsidRPr="008359BD">
              <w:rPr>
                <w:color w:val="000000"/>
              </w:rPr>
              <w:t>420</w:t>
            </w:r>
          </w:p>
        </w:tc>
        <w:tc>
          <w:tcPr>
            <w:tcW w:w="1280" w:type="dxa"/>
            <w:tcBorders>
              <w:top w:val="nil"/>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color w:val="000000"/>
              </w:rPr>
            </w:pPr>
            <w:r w:rsidRPr="008359BD">
              <w:rPr>
                <w:color w:val="000000"/>
              </w:rPr>
              <w:t>0.25</w:t>
            </w:r>
          </w:p>
        </w:tc>
        <w:tc>
          <w:tcPr>
            <w:tcW w:w="960" w:type="dxa"/>
            <w:tcBorders>
              <w:top w:val="nil"/>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color w:val="000000"/>
              </w:rPr>
            </w:pPr>
            <w:r w:rsidRPr="008359BD">
              <w:rPr>
                <w:color w:val="000000"/>
              </w:rPr>
              <w:t>105</w:t>
            </w:r>
          </w:p>
        </w:tc>
        <w:tc>
          <w:tcPr>
            <w:tcW w:w="960" w:type="dxa"/>
            <w:tcBorders>
              <w:top w:val="nil"/>
              <w:left w:val="nil"/>
              <w:bottom w:val="single" w:sz="8" w:space="0" w:color="auto"/>
              <w:right w:val="single" w:sz="8" w:space="0" w:color="auto"/>
            </w:tcBorders>
            <w:shd w:val="clear" w:color="auto" w:fill="auto"/>
            <w:vAlign w:val="center"/>
            <w:hideMark/>
          </w:tcPr>
          <w:p w:rsidR="005434BF" w:rsidRPr="008359BD" w:rsidRDefault="008A74BB" w:rsidP="005434BF">
            <w:pPr>
              <w:overflowPunct/>
              <w:autoSpaceDE/>
              <w:autoSpaceDN/>
              <w:adjustRightInd/>
              <w:jc w:val="right"/>
              <w:textAlignment w:val="auto"/>
              <w:rPr>
                <w:color w:val="000000"/>
              </w:rPr>
            </w:pPr>
            <w:r w:rsidRPr="008A74BB">
              <w:rPr>
                <w:color w:val="000000"/>
              </w:rPr>
              <w:t>$44.28</w:t>
            </w:r>
          </w:p>
        </w:tc>
        <w:tc>
          <w:tcPr>
            <w:tcW w:w="980" w:type="dxa"/>
            <w:tcBorders>
              <w:top w:val="nil"/>
              <w:left w:val="nil"/>
              <w:bottom w:val="single" w:sz="8" w:space="0" w:color="auto"/>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color w:val="000000"/>
              </w:rPr>
            </w:pPr>
            <w:r w:rsidRPr="008359BD">
              <w:rPr>
                <w:color w:val="000000"/>
              </w:rPr>
              <w:t>$4,</w:t>
            </w:r>
            <w:r w:rsidR="008A74BB">
              <w:rPr>
                <w:color w:val="000000"/>
              </w:rPr>
              <w:t>649.40</w:t>
            </w:r>
          </w:p>
        </w:tc>
      </w:tr>
      <w:tr w:rsidR="005434BF" w:rsidRPr="008359BD" w:rsidTr="008A74BB">
        <w:trPr>
          <w:trHeight w:val="288"/>
        </w:trPr>
        <w:tc>
          <w:tcPr>
            <w:tcW w:w="2400" w:type="dxa"/>
            <w:tcBorders>
              <w:top w:val="nil"/>
              <w:left w:val="single" w:sz="8" w:space="0" w:color="auto"/>
              <w:bottom w:val="nil"/>
              <w:right w:val="single" w:sz="8" w:space="0" w:color="auto"/>
            </w:tcBorders>
            <w:shd w:val="clear" w:color="auto" w:fill="auto"/>
            <w:vAlign w:val="center"/>
            <w:hideMark/>
          </w:tcPr>
          <w:p w:rsidR="005434BF" w:rsidRPr="008359BD" w:rsidRDefault="005434BF" w:rsidP="005434BF">
            <w:pPr>
              <w:overflowPunct/>
              <w:autoSpaceDE/>
              <w:autoSpaceDN/>
              <w:adjustRightInd/>
              <w:textAlignment w:val="auto"/>
              <w:rPr>
                <w:b/>
                <w:bCs/>
                <w:color w:val="000000"/>
              </w:rPr>
            </w:pPr>
            <w:r w:rsidRPr="008359BD">
              <w:rPr>
                <w:b/>
                <w:bCs/>
                <w:color w:val="000000"/>
              </w:rPr>
              <w:t>Totals</w:t>
            </w:r>
          </w:p>
        </w:tc>
        <w:tc>
          <w:tcPr>
            <w:tcW w:w="1060" w:type="dxa"/>
            <w:tcBorders>
              <w:top w:val="nil"/>
              <w:left w:val="nil"/>
              <w:bottom w:val="nil"/>
              <w:right w:val="single" w:sz="8" w:space="0" w:color="auto"/>
            </w:tcBorders>
            <w:shd w:val="clear" w:color="auto" w:fill="auto"/>
            <w:vAlign w:val="center"/>
            <w:hideMark/>
          </w:tcPr>
          <w:p w:rsidR="005434BF" w:rsidRPr="008359BD" w:rsidRDefault="005434BF" w:rsidP="005434BF">
            <w:pPr>
              <w:overflowPunct/>
              <w:autoSpaceDE/>
              <w:autoSpaceDN/>
              <w:adjustRightInd/>
              <w:textAlignment w:val="auto"/>
              <w:rPr>
                <w:b/>
                <w:bCs/>
                <w:color w:val="000000"/>
              </w:rPr>
            </w:pPr>
            <w:r w:rsidRPr="008359BD">
              <w:rPr>
                <w:b/>
                <w:bCs/>
                <w:color w:val="000000"/>
              </w:rPr>
              <w:t> </w:t>
            </w:r>
          </w:p>
        </w:tc>
        <w:tc>
          <w:tcPr>
            <w:tcW w:w="1280" w:type="dxa"/>
            <w:tcBorders>
              <w:top w:val="nil"/>
              <w:left w:val="nil"/>
              <w:bottom w:val="nil"/>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b/>
                <w:bCs/>
                <w:color w:val="000000"/>
              </w:rPr>
            </w:pPr>
            <w:r w:rsidRPr="008359BD">
              <w:rPr>
                <w:b/>
                <w:bCs/>
                <w:color w:val="000000"/>
              </w:rPr>
              <w:t>0.55</w:t>
            </w:r>
          </w:p>
        </w:tc>
        <w:tc>
          <w:tcPr>
            <w:tcW w:w="960" w:type="dxa"/>
            <w:tcBorders>
              <w:top w:val="nil"/>
              <w:left w:val="nil"/>
              <w:bottom w:val="nil"/>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b/>
                <w:bCs/>
                <w:color w:val="000000"/>
              </w:rPr>
            </w:pPr>
            <w:r w:rsidRPr="008359BD">
              <w:rPr>
                <w:b/>
                <w:bCs/>
                <w:color w:val="000000"/>
              </w:rPr>
              <w:t>231</w:t>
            </w:r>
          </w:p>
        </w:tc>
        <w:tc>
          <w:tcPr>
            <w:tcW w:w="960" w:type="dxa"/>
            <w:tcBorders>
              <w:top w:val="nil"/>
              <w:left w:val="nil"/>
              <w:bottom w:val="nil"/>
              <w:right w:val="single" w:sz="8" w:space="0" w:color="auto"/>
            </w:tcBorders>
            <w:shd w:val="clear" w:color="auto" w:fill="auto"/>
            <w:vAlign w:val="center"/>
            <w:hideMark/>
          </w:tcPr>
          <w:p w:rsidR="005434BF" w:rsidRPr="008359BD" w:rsidRDefault="005434BF" w:rsidP="005434BF">
            <w:pPr>
              <w:overflowPunct/>
              <w:autoSpaceDE/>
              <w:autoSpaceDN/>
              <w:adjustRightInd/>
              <w:jc w:val="right"/>
              <w:textAlignment w:val="auto"/>
              <w:rPr>
                <w:b/>
                <w:bCs/>
                <w:color w:val="000000"/>
              </w:rPr>
            </w:pPr>
            <w:r w:rsidRPr="008359BD">
              <w:rPr>
                <w:b/>
                <w:bCs/>
                <w:color w:val="000000"/>
              </w:rPr>
              <w:t> </w:t>
            </w:r>
          </w:p>
        </w:tc>
        <w:tc>
          <w:tcPr>
            <w:tcW w:w="980" w:type="dxa"/>
            <w:tcBorders>
              <w:top w:val="nil"/>
              <w:left w:val="nil"/>
              <w:bottom w:val="nil"/>
              <w:right w:val="single" w:sz="8" w:space="0" w:color="auto"/>
            </w:tcBorders>
            <w:shd w:val="clear" w:color="auto" w:fill="auto"/>
            <w:vAlign w:val="center"/>
          </w:tcPr>
          <w:p w:rsidR="005434BF" w:rsidRPr="008359BD" w:rsidRDefault="008A74BB" w:rsidP="005434BF">
            <w:pPr>
              <w:overflowPunct/>
              <w:autoSpaceDE/>
              <w:autoSpaceDN/>
              <w:adjustRightInd/>
              <w:jc w:val="right"/>
              <w:textAlignment w:val="auto"/>
              <w:rPr>
                <w:b/>
                <w:bCs/>
                <w:color w:val="000000"/>
              </w:rPr>
            </w:pPr>
            <w:r>
              <w:rPr>
                <w:b/>
                <w:bCs/>
                <w:color w:val="000000"/>
              </w:rPr>
              <w:fldChar w:fldCharType="begin"/>
            </w:r>
            <w:r>
              <w:rPr>
                <w:b/>
                <w:bCs/>
                <w:color w:val="000000"/>
              </w:rPr>
              <w:instrText xml:space="preserve"> =SUM(ABOVE) </w:instrText>
            </w:r>
            <w:r>
              <w:rPr>
                <w:b/>
                <w:bCs/>
                <w:color w:val="000000"/>
              </w:rPr>
              <w:fldChar w:fldCharType="separate"/>
            </w:r>
            <w:r>
              <w:rPr>
                <w:b/>
                <w:bCs/>
                <w:noProof/>
                <w:color w:val="000000"/>
              </w:rPr>
              <w:t>$10,228.68</w:t>
            </w:r>
            <w:r>
              <w:rPr>
                <w:b/>
                <w:bCs/>
                <w:color w:val="000000"/>
              </w:rPr>
              <w:fldChar w:fldCharType="end"/>
            </w:r>
          </w:p>
        </w:tc>
      </w:tr>
      <w:tr w:rsidR="005434BF" w:rsidRPr="008359BD" w:rsidTr="005434BF">
        <w:trPr>
          <w:trHeight w:val="288"/>
        </w:trPr>
        <w:tc>
          <w:tcPr>
            <w:tcW w:w="2400" w:type="dxa"/>
            <w:tcBorders>
              <w:top w:val="nil"/>
              <w:left w:val="single" w:sz="8" w:space="0" w:color="auto"/>
              <w:bottom w:val="single" w:sz="8" w:space="0" w:color="auto"/>
              <w:right w:val="single" w:sz="8" w:space="0" w:color="auto"/>
            </w:tcBorders>
            <w:shd w:val="clear" w:color="auto" w:fill="auto"/>
            <w:vAlign w:val="center"/>
          </w:tcPr>
          <w:p w:rsidR="005434BF" w:rsidRPr="008359BD" w:rsidRDefault="005434BF" w:rsidP="005434BF">
            <w:pPr>
              <w:overflowPunct/>
              <w:autoSpaceDE/>
              <w:autoSpaceDN/>
              <w:adjustRightInd/>
              <w:textAlignment w:val="auto"/>
              <w:rPr>
                <w:b/>
                <w:bCs/>
                <w:color w:val="000000"/>
              </w:rPr>
            </w:pPr>
          </w:p>
        </w:tc>
        <w:tc>
          <w:tcPr>
            <w:tcW w:w="1060" w:type="dxa"/>
            <w:tcBorders>
              <w:top w:val="nil"/>
              <w:left w:val="nil"/>
              <w:bottom w:val="single" w:sz="8" w:space="0" w:color="auto"/>
              <w:right w:val="single" w:sz="8" w:space="0" w:color="auto"/>
            </w:tcBorders>
            <w:shd w:val="clear" w:color="auto" w:fill="auto"/>
            <w:vAlign w:val="center"/>
          </w:tcPr>
          <w:p w:rsidR="005434BF" w:rsidRPr="008359BD" w:rsidRDefault="005434BF" w:rsidP="005434BF">
            <w:pPr>
              <w:overflowPunct/>
              <w:autoSpaceDE/>
              <w:autoSpaceDN/>
              <w:adjustRightInd/>
              <w:textAlignment w:val="auto"/>
              <w:rPr>
                <w:b/>
                <w:bCs/>
                <w:color w:val="000000"/>
              </w:rPr>
            </w:pPr>
          </w:p>
        </w:tc>
        <w:tc>
          <w:tcPr>
            <w:tcW w:w="1280" w:type="dxa"/>
            <w:tcBorders>
              <w:top w:val="nil"/>
              <w:left w:val="nil"/>
              <w:bottom w:val="single" w:sz="8" w:space="0" w:color="auto"/>
              <w:right w:val="single" w:sz="8" w:space="0" w:color="auto"/>
            </w:tcBorders>
            <w:shd w:val="clear" w:color="auto" w:fill="auto"/>
            <w:vAlign w:val="center"/>
          </w:tcPr>
          <w:p w:rsidR="005434BF" w:rsidRPr="008359BD" w:rsidRDefault="005434BF" w:rsidP="005434BF">
            <w:pPr>
              <w:overflowPunct/>
              <w:autoSpaceDE/>
              <w:autoSpaceDN/>
              <w:adjustRightInd/>
              <w:jc w:val="right"/>
              <w:textAlignment w:val="auto"/>
              <w:rPr>
                <w:b/>
                <w:bCs/>
                <w:color w:val="000000"/>
              </w:rPr>
            </w:pPr>
          </w:p>
        </w:tc>
        <w:tc>
          <w:tcPr>
            <w:tcW w:w="960" w:type="dxa"/>
            <w:tcBorders>
              <w:top w:val="nil"/>
              <w:left w:val="nil"/>
              <w:bottom w:val="single" w:sz="8" w:space="0" w:color="auto"/>
              <w:right w:val="single" w:sz="8" w:space="0" w:color="auto"/>
            </w:tcBorders>
            <w:shd w:val="clear" w:color="auto" w:fill="auto"/>
            <w:vAlign w:val="center"/>
          </w:tcPr>
          <w:p w:rsidR="005434BF" w:rsidRPr="008359BD" w:rsidRDefault="005434BF" w:rsidP="005434BF">
            <w:pPr>
              <w:overflowPunct/>
              <w:autoSpaceDE/>
              <w:autoSpaceDN/>
              <w:adjustRightInd/>
              <w:jc w:val="right"/>
              <w:textAlignment w:val="auto"/>
              <w:rPr>
                <w:b/>
                <w:bCs/>
                <w:color w:val="000000"/>
              </w:rPr>
            </w:pPr>
          </w:p>
        </w:tc>
        <w:tc>
          <w:tcPr>
            <w:tcW w:w="960" w:type="dxa"/>
            <w:tcBorders>
              <w:top w:val="nil"/>
              <w:left w:val="nil"/>
              <w:bottom w:val="single" w:sz="8" w:space="0" w:color="auto"/>
              <w:right w:val="single" w:sz="8" w:space="0" w:color="auto"/>
            </w:tcBorders>
            <w:shd w:val="clear" w:color="auto" w:fill="auto"/>
            <w:vAlign w:val="center"/>
          </w:tcPr>
          <w:p w:rsidR="005434BF" w:rsidRPr="008359BD" w:rsidRDefault="005434BF" w:rsidP="005434BF">
            <w:pPr>
              <w:overflowPunct/>
              <w:autoSpaceDE/>
              <w:autoSpaceDN/>
              <w:adjustRightInd/>
              <w:jc w:val="right"/>
              <w:textAlignment w:val="auto"/>
              <w:rPr>
                <w:b/>
                <w:bCs/>
                <w:color w:val="000000"/>
              </w:rPr>
            </w:pPr>
          </w:p>
        </w:tc>
        <w:tc>
          <w:tcPr>
            <w:tcW w:w="980" w:type="dxa"/>
            <w:tcBorders>
              <w:top w:val="nil"/>
              <w:left w:val="nil"/>
              <w:bottom w:val="single" w:sz="8" w:space="0" w:color="auto"/>
              <w:right w:val="single" w:sz="8" w:space="0" w:color="auto"/>
            </w:tcBorders>
            <w:shd w:val="clear" w:color="auto" w:fill="auto"/>
            <w:vAlign w:val="center"/>
          </w:tcPr>
          <w:p w:rsidR="005434BF" w:rsidRPr="008359BD" w:rsidRDefault="005434BF" w:rsidP="005434BF">
            <w:pPr>
              <w:overflowPunct/>
              <w:autoSpaceDE/>
              <w:autoSpaceDN/>
              <w:adjustRightInd/>
              <w:jc w:val="right"/>
              <w:textAlignment w:val="auto"/>
              <w:rPr>
                <w:b/>
                <w:bCs/>
                <w:color w:val="000000"/>
              </w:rPr>
            </w:pPr>
          </w:p>
        </w:tc>
      </w:tr>
    </w:tbl>
    <w:p w:rsidR="0021648A" w:rsidRDefault="0021648A" w:rsidP="000063EA">
      <w:pPr>
        <w:pStyle w:val="BodyTextIndent"/>
        <w:spacing w:before="60" w:after="0"/>
        <w:ind w:left="1560" w:hanging="120"/>
      </w:pPr>
    </w:p>
    <w:p w:rsidR="0021648A" w:rsidRDefault="0021648A" w:rsidP="000063EA">
      <w:pPr>
        <w:pStyle w:val="BodyTextIndent"/>
        <w:spacing w:before="60" w:after="0"/>
        <w:ind w:left="1560" w:hanging="120"/>
      </w:pPr>
    </w:p>
    <w:p w:rsidR="0021648A" w:rsidRDefault="0021648A" w:rsidP="000063EA">
      <w:pPr>
        <w:pStyle w:val="BodyTextIndent"/>
        <w:spacing w:before="60" w:after="0"/>
        <w:ind w:left="1560" w:hanging="120"/>
      </w:pPr>
    </w:p>
    <w:p w:rsidR="000063EA" w:rsidRDefault="000063EA" w:rsidP="000063EA">
      <w:pPr>
        <w:pStyle w:val="BodyTextIndent"/>
        <w:spacing w:before="60" w:after="0"/>
        <w:ind w:left="1560" w:hanging="120"/>
      </w:pPr>
    </w:p>
    <w:p w:rsidR="009C5198" w:rsidRPr="00265304" w:rsidRDefault="009C5198" w:rsidP="000063EA">
      <w:pPr>
        <w:pStyle w:val="BodyTextIndent"/>
        <w:spacing w:before="60" w:after="0"/>
        <w:ind w:left="1272" w:hanging="120"/>
        <w:rPr>
          <w:sz w:val="32"/>
        </w:rPr>
      </w:pPr>
      <w:r w:rsidRPr="00265304">
        <w:rPr>
          <w:sz w:val="24"/>
        </w:rPr>
        <w:t>* Hourly rate is based on an average annual salary of a GS-12</w:t>
      </w:r>
      <w:r w:rsidR="00684A8C" w:rsidRPr="00265304">
        <w:rPr>
          <w:sz w:val="24"/>
        </w:rPr>
        <w:t xml:space="preserve">, step </w:t>
      </w:r>
      <w:r w:rsidR="00410206" w:rsidRPr="00265304">
        <w:rPr>
          <w:sz w:val="24"/>
        </w:rPr>
        <w:t>5</w:t>
      </w:r>
      <w:r w:rsidR="00C163C4" w:rsidRPr="00265304">
        <w:rPr>
          <w:sz w:val="24"/>
        </w:rPr>
        <w:t xml:space="preserve"> ($90</w:t>
      </w:r>
      <w:r w:rsidR="008A41B0" w:rsidRPr="00265304">
        <w:rPr>
          <w:sz w:val="24"/>
        </w:rPr>
        <w:t>,</w:t>
      </w:r>
      <w:r w:rsidR="00C163C4" w:rsidRPr="00265304">
        <w:rPr>
          <w:sz w:val="24"/>
        </w:rPr>
        <w:t>350</w:t>
      </w:r>
      <w:r w:rsidR="008A41B0" w:rsidRPr="00265304">
        <w:rPr>
          <w:sz w:val="24"/>
        </w:rPr>
        <w:t xml:space="preserve">).  Total hours are based on </w:t>
      </w:r>
      <w:r w:rsidR="00F410D2">
        <w:rPr>
          <w:sz w:val="24"/>
        </w:rPr>
        <w:t>m</w:t>
      </w:r>
      <w:r w:rsidR="008A41B0" w:rsidRPr="00265304">
        <w:rPr>
          <w:sz w:val="24"/>
        </w:rPr>
        <w:t>ultiplying the number of total EEM loans by the hours per</w:t>
      </w:r>
      <w:r w:rsidR="00477055" w:rsidRPr="00265304">
        <w:rPr>
          <w:sz w:val="24"/>
        </w:rPr>
        <w:t xml:space="preserve"> annual response (i.e., 0.1 x </w:t>
      </w:r>
      <w:r w:rsidR="00C163C4" w:rsidRPr="00265304">
        <w:rPr>
          <w:sz w:val="24"/>
        </w:rPr>
        <w:t>420</w:t>
      </w:r>
      <w:r w:rsidR="008208C3" w:rsidRPr="00265304">
        <w:rPr>
          <w:sz w:val="24"/>
        </w:rPr>
        <w:t xml:space="preserve"> = 42</w:t>
      </w:r>
      <w:r w:rsidR="007C0F74" w:rsidRPr="00265304">
        <w:rPr>
          <w:sz w:val="24"/>
        </w:rPr>
        <w:t>).  The total annual cost is calculated by multiplying</w:t>
      </w:r>
      <w:r w:rsidRPr="00265304">
        <w:rPr>
          <w:sz w:val="24"/>
        </w:rPr>
        <w:t xml:space="preserve"> total hours by cost per hour (</w:t>
      </w:r>
      <w:r w:rsidR="004609BA" w:rsidRPr="00265304">
        <w:rPr>
          <w:sz w:val="24"/>
        </w:rPr>
        <w:t>42</w:t>
      </w:r>
      <w:r w:rsidR="007C0F74" w:rsidRPr="00265304">
        <w:rPr>
          <w:sz w:val="24"/>
        </w:rPr>
        <w:t xml:space="preserve"> </w:t>
      </w:r>
      <w:r w:rsidRPr="00265304">
        <w:rPr>
          <w:sz w:val="24"/>
        </w:rPr>
        <w:t xml:space="preserve">x </w:t>
      </w:r>
      <w:r w:rsidR="004609BA" w:rsidRPr="00265304">
        <w:rPr>
          <w:sz w:val="24"/>
        </w:rPr>
        <w:t>$</w:t>
      </w:r>
      <w:r w:rsidR="0000613E" w:rsidRPr="00265304">
        <w:rPr>
          <w:sz w:val="24"/>
        </w:rPr>
        <w:t>4</w:t>
      </w:r>
      <w:r w:rsidR="004609BA" w:rsidRPr="00265304">
        <w:rPr>
          <w:sz w:val="24"/>
        </w:rPr>
        <w:t>3</w:t>
      </w:r>
      <w:r w:rsidRPr="00265304">
        <w:rPr>
          <w:sz w:val="24"/>
        </w:rPr>
        <w:t xml:space="preserve"> = </w:t>
      </w:r>
      <w:r w:rsidR="004609BA" w:rsidRPr="00265304">
        <w:rPr>
          <w:sz w:val="24"/>
        </w:rPr>
        <w:t>1</w:t>
      </w:r>
      <w:r w:rsidR="007C0F74" w:rsidRPr="00265304">
        <w:rPr>
          <w:sz w:val="24"/>
        </w:rPr>
        <w:t>,</w:t>
      </w:r>
      <w:r w:rsidR="004609BA" w:rsidRPr="00265304">
        <w:rPr>
          <w:sz w:val="24"/>
        </w:rPr>
        <w:t>806</w:t>
      </w:r>
      <w:r w:rsidRPr="00265304">
        <w:rPr>
          <w:sz w:val="24"/>
        </w:rPr>
        <w:t>).</w:t>
      </w:r>
    </w:p>
    <w:p w:rsidR="00604DF9" w:rsidRDefault="00604DF9" w:rsidP="00604DF9">
      <w:pPr>
        <w:pStyle w:val="HTMLPreformatted"/>
        <w:ind w:left="360"/>
        <w:rPr>
          <w:rFonts w:ascii="Times New Roman" w:hAnsi="Times New Roman"/>
          <w:sz w:val="24"/>
          <w:szCs w:val="24"/>
        </w:rPr>
      </w:pPr>
    </w:p>
    <w:p w:rsidR="00160D38" w:rsidRPr="00FC5F1F" w:rsidRDefault="00160D38" w:rsidP="00F93CA1">
      <w:pPr>
        <w:pStyle w:val="ListParagraph"/>
        <w:numPr>
          <w:ilvl w:val="0"/>
          <w:numId w:val="28"/>
        </w:numPr>
        <w:rPr>
          <w:sz w:val="24"/>
          <w:szCs w:val="24"/>
        </w:rPr>
      </w:pPr>
      <w:r>
        <w:rPr>
          <w:sz w:val="24"/>
          <w:szCs w:val="24"/>
        </w:rPr>
        <w:t xml:space="preserve"> </w:t>
      </w:r>
      <w:r w:rsidRPr="00976417">
        <w:rPr>
          <w:color w:val="000000"/>
          <w:sz w:val="24"/>
          <w:szCs w:val="24"/>
        </w:rPr>
        <w:t xml:space="preserve">Currently, there are no HUD forms used for the EEM program.  The maximum loan amount calculation </w:t>
      </w:r>
      <w:r w:rsidRPr="00FC5F1F">
        <w:rPr>
          <w:color w:val="000000"/>
          <w:sz w:val="24"/>
          <w:szCs w:val="24"/>
        </w:rPr>
        <w:t xml:space="preserve">is performed by FHA Connection, the computer system used by lenders to register and record information about their FHA-insured mortgages.     </w:t>
      </w:r>
    </w:p>
    <w:p w:rsidR="00FC5F1F" w:rsidRPr="00FC5F1F" w:rsidRDefault="00FC5F1F" w:rsidP="00FC5F1F">
      <w:pPr>
        <w:rPr>
          <w:sz w:val="24"/>
          <w:szCs w:val="24"/>
        </w:rPr>
      </w:pPr>
    </w:p>
    <w:p w:rsidR="00FC5F1F" w:rsidRPr="00FC5F1F" w:rsidRDefault="00FC5F1F" w:rsidP="00FC5F1F">
      <w:pPr>
        <w:ind w:left="720"/>
        <w:rPr>
          <w:sz w:val="24"/>
          <w:szCs w:val="24"/>
        </w:rPr>
      </w:pPr>
      <w:r w:rsidRPr="00FC5F1F">
        <w:rPr>
          <w:sz w:val="24"/>
          <w:szCs w:val="24"/>
        </w:rPr>
        <w:t xml:space="preserve">The decrease in burden hours is attributed to fewer EEMs being originated for FHA insurance.  </w:t>
      </w:r>
      <w:r>
        <w:rPr>
          <w:sz w:val="24"/>
          <w:szCs w:val="24"/>
        </w:rPr>
        <w:t xml:space="preserve">The reduced </w:t>
      </w:r>
      <w:r w:rsidR="00936C1E">
        <w:rPr>
          <w:sz w:val="24"/>
          <w:szCs w:val="24"/>
        </w:rPr>
        <w:t>volume of EEM’s i</w:t>
      </w:r>
      <w:r>
        <w:rPr>
          <w:sz w:val="24"/>
          <w:szCs w:val="24"/>
        </w:rPr>
        <w:t>s not caused by program changes</w:t>
      </w:r>
      <w:r w:rsidR="00936C1E">
        <w:rPr>
          <w:sz w:val="24"/>
          <w:szCs w:val="24"/>
        </w:rPr>
        <w:t xml:space="preserve"> since no changes to the program have occurred. The lower volume appears to reflect </w:t>
      </w:r>
      <w:r>
        <w:rPr>
          <w:sz w:val="24"/>
          <w:szCs w:val="24"/>
        </w:rPr>
        <w:t xml:space="preserve">preference for other programs through which </w:t>
      </w:r>
      <w:r w:rsidR="00936C1E">
        <w:rPr>
          <w:sz w:val="24"/>
          <w:szCs w:val="24"/>
        </w:rPr>
        <w:t xml:space="preserve">lenders and borrowers can </w:t>
      </w:r>
      <w:r>
        <w:rPr>
          <w:sz w:val="24"/>
          <w:szCs w:val="24"/>
        </w:rPr>
        <w:t xml:space="preserve">finance energy saving improvements. </w:t>
      </w:r>
    </w:p>
    <w:p w:rsidR="00160D38" w:rsidRPr="00160D38" w:rsidRDefault="00160D38" w:rsidP="00160D38">
      <w:pPr>
        <w:pStyle w:val="ListParagraph"/>
        <w:rPr>
          <w:sz w:val="24"/>
        </w:rPr>
      </w:pPr>
    </w:p>
    <w:p w:rsidR="00D42816" w:rsidRPr="00160D38" w:rsidRDefault="00D42816" w:rsidP="00F93CA1">
      <w:pPr>
        <w:pStyle w:val="ListParagraph"/>
        <w:numPr>
          <w:ilvl w:val="0"/>
          <w:numId w:val="28"/>
        </w:numPr>
        <w:rPr>
          <w:sz w:val="24"/>
        </w:rPr>
      </w:pPr>
      <w:r w:rsidRPr="00160D38">
        <w:rPr>
          <w:sz w:val="24"/>
          <w:szCs w:val="24"/>
        </w:rPr>
        <w:t xml:space="preserve">This is an extension of a currently approved collection OMB approval.  </w:t>
      </w:r>
      <w:r w:rsidRPr="00160D38">
        <w:rPr>
          <w:sz w:val="24"/>
        </w:rPr>
        <w:t xml:space="preserve">The information collected is used to determine eligibility and the maximum loan amount for FHA mortgage insurance under the Energy Efficient Mortgage (EEM) program.  Lenders are responsible for reviewing the documents submitted and determining the cost effectiveness of the improvements so they can be added to the base loan amount.  The borrower cannot obtain an Energy Efficient Mortgage without providing this information.  </w:t>
      </w:r>
    </w:p>
    <w:p w:rsidR="009C5198" w:rsidRDefault="009C5198">
      <w:pPr>
        <w:pStyle w:val="HTMLPreformatted"/>
        <w:rPr>
          <w:rFonts w:ascii="Times New Roman" w:hAnsi="Times New Roman"/>
          <w:sz w:val="24"/>
        </w:rPr>
      </w:pPr>
    </w:p>
    <w:p w:rsidR="009C5198" w:rsidRPr="00160D38" w:rsidRDefault="009C5198" w:rsidP="00F93CA1">
      <w:pPr>
        <w:pStyle w:val="ListParagraph"/>
        <w:keepLines/>
        <w:numPr>
          <w:ilvl w:val="0"/>
          <w:numId w:val="28"/>
        </w:numPr>
        <w:tabs>
          <w:tab w:val="left" w:pos="360"/>
          <w:tab w:val="left" w:pos="720"/>
        </w:tabs>
        <w:rPr>
          <w:sz w:val="24"/>
        </w:rPr>
      </w:pPr>
      <w:r w:rsidRPr="00160D38">
        <w:rPr>
          <w:sz w:val="24"/>
        </w:rPr>
        <w:t xml:space="preserve">This information will not be published. </w:t>
      </w:r>
    </w:p>
    <w:p w:rsidR="009C5198" w:rsidRDefault="009C5198">
      <w:pPr>
        <w:tabs>
          <w:tab w:val="left" w:pos="360"/>
        </w:tabs>
        <w:ind w:left="360" w:hanging="360"/>
        <w:rPr>
          <w:sz w:val="24"/>
        </w:rPr>
      </w:pPr>
    </w:p>
    <w:p w:rsidR="009C5198" w:rsidRPr="00160D38" w:rsidRDefault="009C5198" w:rsidP="00F93CA1">
      <w:pPr>
        <w:pStyle w:val="ListParagraph"/>
        <w:keepLines/>
        <w:numPr>
          <w:ilvl w:val="0"/>
          <w:numId w:val="28"/>
        </w:numPr>
        <w:tabs>
          <w:tab w:val="left" w:pos="360"/>
          <w:tab w:val="left" w:pos="720"/>
        </w:tabs>
        <w:rPr>
          <w:sz w:val="24"/>
        </w:rPr>
      </w:pPr>
      <w:r w:rsidRPr="00160D38">
        <w:rPr>
          <w:sz w:val="24"/>
        </w:rPr>
        <w:t>HUD is not seeking not to display the expiration date.</w:t>
      </w:r>
    </w:p>
    <w:p w:rsidR="009C5198" w:rsidRDefault="009C5198">
      <w:pPr>
        <w:tabs>
          <w:tab w:val="left" w:pos="360"/>
        </w:tabs>
        <w:ind w:left="360" w:hanging="360"/>
        <w:rPr>
          <w:sz w:val="24"/>
        </w:rPr>
      </w:pPr>
    </w:p>
    <w:p w:rsidR="009C5198" w:rsidRPr="00160D38" w:rsidRDefault="009C5198" w:rsidP="00F93CA1">
      <w:pPr>
        <w:pStyle w:val="ListParagraph"/>
        <w:keepLines/>
        <w:numPr>
          <w:ilvl w:val="0"/>
          <w:numId w:val="28"/>
        </w:numPr>
        <w:tabs>
          <w:tab w:val="left" w:pos="360"/>
        </w:tabs>
        <w:spacing w:after="80"/>
        <w:rPr>
          <w:sz w:val="24"/>
        </w:rPr>
      </w:pPr>
      <w:r w:rsidRPr="00160D38">
        <w:rPr>
          <w:sz w:val="24"/>
        </w:rPr>
        <w:t>There are no exceptions to the certification in item 19.</w:t>
      </w:r>
    </w:p>
    <w:p w:rsidR="009C5198" w:rsidRDefault="009C5198">
      <w:pPr>
        <w:tabs>
          <w:tab w:val="left" w:pos="360"/>
          <w:tab w:val="left" w:pos="720"/>
        </w:tabs>
      </w:pPr>
    </w:p>
    <w:p w:rsidR="009C5198" w:rsidRDefault="009C5198">
      <w:pPr>
        <w:tabs>
          <w:tab w:val="left" w:pos="360"/>
          <w:tab w:val="left" w:pos="720"/>
        </w:tabs>
      </w:pPr>
    </w:p>
    <w:p w:rsidR="009C5198" w:rsidRDefault="009C5198">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9C5198" w:rsidRDefault="009C519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9C5198" w:rsidRDefault="00604DF9">
      <w:pPr>
        <w:keepLines/>
        <w:tabs>
          <w:tab w:val="left" w:pos="360"/>
          <w:tab w:val="left" w:pos="720"/>
        </w:tabs>
        <w:ind w:left="360"/>
        <w:rPr>
          <w:sz w:val="18"/>
        </w:rPr>
      </w:pPr>
      <w:r>
        <w:rPr>
          <w:sz w:val="22"/>
        </w:rPr>
        <w:t>None.</w:t>
      </w:r>
    </w:p>
    <w:p w:rsidR="009C5198" w:rsidRDefault="009C5198">
      <w:pPr>
        <w:tabs>
          <w:tab w:val="left" w:pos="240"/>
        </w:tabs>
        <w:rPr>
          <w:rFonts w:ascii="Helvetica" w:hAnsi="Helvetica"/>
          <w:sz w:val="16"/>
        </w:rPr>
      </w:pPr>
    </w:p>
    <w:sectPr w:rsidR="009C5198" w:rsidSect="00495A7E">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44E" w:rsidRDefault="00A5544E">
      <w:r>
        <w:separator/>
      </w:r>
    </w:p>
  </w:endnote>
  <w:endnote w:type="continuationSeparator" w:id="0">
    <w:p w:rsidR="00A5544E" w:rsidRDefault="00A5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594445735"/>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rsidR="00657C82" w:rsidRDefault="00F67A4F">
            <w:pPr>
              <w:pStyle w:val="Footer"/>
              <w:jc w:val="center"/>
              <w:rPr>
                <w:b/>
                <w:bCs/>
                <w:sz w:val="18"/>
                <w:szCs w:val="18"/>
              </w:rPr>
            </w:pPr>
            <w:r w:rsidRPr="00385B39">
              <w:rPr>
                <w:sz w:val="18"/>
                <w:szCs w:val="18"/>
              </w:rPr>
              <w:t xml:space="preserve">Page </w:t>
            </w:r>
            <w:r w:rsidRPr="00385B39">
              <w:rPr>
                <w:b/>
                <w:bCs/>
                <w:sz w:val="18"/>
                <w:szCs w:val="18"/>
              </w:rPr>
              <w:fldChar w:fldCharType="begin"/>
            </w:r>
            <w:r w:rsidRPr="00385B39">
              <w:rPr>
                <w:b/>
                <w:bCs/>
                <w:sz w:val="18"/>
                <w:szCs w:val="18"/>
              </w:rPr>
              <w:instrText xml:space="preserve"> PAGE </w:instrText>
            </w:r>
            <w:r w:rsidRPr="00385B39">
              <w:rPr>
                <w:b/>
                <w:bCs/>
                <w:sz w:val="18"/>
                <w:szCs w:val="18"/>
              </w:rPr>
              <w:fldChar w:fldCharType="separate"/>
            </w:r>
            <w:r w:rsidR="00A82700">
              <w:rPr>
                <w:b/>
                <w:bCs/>
                <w:noProof/>
                <w:sz w:val="18"/>
                <w:szCs w:val="18"/>
              </w:rPr>
              <w:t>2</w:t>
            </w:r>
            <w:r w:rsidRPr="00385B39">
              <w:rPr>
                <w:b/>
                <w:bCs/>
                <w:sz w:val="18"/>
                <w:szCs w:val="18"/>
              </w:rPr>
              <w:fldChar w:fldCharType="end"/>
            </w:r>
            <w:r w:rsidRPr="00385B39">
              <w:rPr>
                <w:sz w:val="18"/>
                <w:szCs w:val="18"/>
              </w:rPr>
              <w:t xml:space="preserve"> of </w:t>
            </w:r>
            <w:r w:rsidRPr="00385B39">
              <w:rPr>
                <w:b/>
                <w:bCs/>
                <w:sz w:val="18"/>
                <w:szCs w:val="18"/>
              </w:rPr>
              <w:fldChar w:fldCharType="begin"/>
            </w:r>
            <w:r w:rsidRPr="00385B39">
              <w:rPr>
                <w:b/>
                <w:bCs/>
                <w:sz w:val="18"/>
                <w:szCs w:val="18"/>
              </w:rPr>
              <w:instrText xml:space="preserve"> NUMPAGES  </w:instrText>
            </w:r>
            <w:r w:rsidRPr="00385B39">
              <w:rPr>
                <w:b/>
                <w:bCs/>
                <w:sz w:val="18"/>
                <w:szCs w:val="18"/>
              </w:rPr>
              <w:fldChar w:fldCharType="separate"/>
            </w:r>
            <w:r w:rsidR="00A82700">
              <w:rPr>
                <w:b/>
                <w:bCs/>
                <w:noProof/>
                <w:sz w:val="18"/>
                <w:szCs w:val="18"/>
              </w:rPr>
              <w:t>2</w:t>
            </w:r>
            <w:r w:rsidRPr="00385B39">
              <w:rPr>
                <w:b/>
                <w:bCs/>
                <w:sz w:val="18"/>
                <w:szCs w:val="18"/>
              </w:rPr>
              <w:fldChar w:fldCharType="end"/>
            </w:r>
          </w:p>
          <w:p w:rsidR="00F67A4F" w:rsidRPr="00385B39" w:rsidRDefault="00A82700">
            <w:pPr>
              <w:pStyle w:val="Footer"/>
              <w:jc w:val="center"/>
              <w:rPr>
                <w:sz w:val="18"/>
                <w:szCs w:val="18"/>
              </w:rP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48572209"/>
      <w:docPartObj>
        <w:docPartGallery w:val="Page Numbers (Top of Page)"/>
        <w:docPartUnique/>
      </w:docPartObj>
    </w:sdtPr>
    <w:sdtEndPr/>
    <w:sdtContent>
      <w:p w:rsidR="00657C82" w:rsidRDefault="00657C82" w:rsidP="00657C82">
        <w:pPr>
          <w:pStyle w:val="Footer"/>
          <w:jc w:val="center"/>
          <w:rPr>
            <w:b/>
            <w:bCs/>
            <w:sz w:val="18"/>
            <w:szCs w:val="18"/>
          </w:rPr>
        </w:pPr>
        <w:r w:rsidRPr="00385B39">
          <w:rPr>
            <w:sz w:val="18"/>
            <w:szCs w:val="18"/>
          </w:rPr>
          <w:t xml:space="preserve">Page </w:t>
        </w:r>
        <w:r w:rsidRPr="00385B39">
          <w:rPr>
            <w:b/>
            <w:bCs/>
            <w:sz w:val="18"/>
            <w:szCs w:val="18"/>
          </w:rPr>
          <w:fldChar w:fldCharType="begin"/>
        </w:r>
        <w:r w:rsidRPr="00385B39">
          <w:rPr>
            <w:b/>
            <w:bCs/>
            <w:sz w:val="18"/>
            <w:szCs w:val="18"/>
          </w:rPr>
          <w:instrText xml:space="preserve"> PAGE </w:instrText>
        </w:r>
        <w:r w:rsidRPr="00385B39">
          <w:rPr>
            <w:b/>
            <w:bCs/>
            <w:sz w:val="18"/>
            <w:szCs w:val="18"/>
          </w:rPr>
          <w:fldChar w:fldCharType="separate"/>
        </w:r>
        <w:r w:rsidR="00A82700">
          <w:rPr>
            <w:b/>
            <w:bCs/>
            <w:noProof/>
            <w:sz w:val="18"/>
            <w:szCs w:val="18"/>
          </w:rPr>
          <w:t>1</w:t>
        </w:r>
        <w:r w:rsidRPr="00385B39">
          <w:rPr>
            <w:b/>
            <w:bCs/>
            <w:sz w:val="18"/>
            <w:szCs w:val="18"/>
          </w:rPr>
          <w:fldChar w:fldCharType="end"/>
        </w:r>
        <w:r w:rsidRPr="00385B39">
          <w:rPr>
            <w:sz w:val="18"/>
            <w:szCs w:val="18"/>
          </w:rPr>
          <w:t xml:space="preserve"> of </w:t>
        </w:r>
        <w:r w:rsidRPr="00385B39">
          <w:rPr>
            <w:b/>
            <w:bCs/>
            <w:sz w:val="18"/>
            <w:szCs w:val="18"/>
          </w:rPr>
          <w:fldChar w:fldCharType="begin"/>
        </w:r>
        <w:r w:rsidRPr="00385B39">
          <w:rPr>
            <w:b/>
            <w:bCs/>
            <w:sz w:val="18"/>
            <w:szCs w:val="18"/>
          </w:rPr>
          <w:instrText xml:space="preserve"> NUMPAGES  </w:instrText>
        </w:r>
        <w:r w:rsidRPr="00385B39">
          <w:rPr>
            <w:b/>
            <w:bCs/>
            <w:sz w:val="18"/>
            <w:szCs w:val="18"/>
          </w:rPr>
          <w:fldChar w:fldCharType="separate"/>
        </w:r>
        <w:r w:rsidR="00A82700">
          <w:rPr>
            <w:b/>
            <w:bCs/>
            <w:noProof/>
            <w:sz w:val="18"/>
            <w:szCs w:val="18"/>
          </w:rPr>
          <w:t>1</w:t>
        </w:r>
        <w:r w:rsidRPr="00385B39">
          <w:rPr>
            <w:b/>
            <w:bCs/>
            <w:sz w:val="18"/>
            <w:szCs w:val="18"/>
          </w:rPr>
          <w:fldChar w:fldCharType="end"/>
        </w:r>
      </w:p>
      <w:p w:rsidR="00657C82" w:rsidRDefault="00A82700" w:rsidP="00657C82">
        <w:pPr>
          <w:pStyle w:val="Footer"/>
          <w:jc w:val="center"/>
          <w:rPr>
            <w:sz w:val="18"/>
            <w:szCs w:val="18"/>
          </w:rPr>
        </w:pPr>
      </w:p>
    </w:sdtContent>
  </w:sdt>
  <w:p w:rsidR="00657C82" w:rsidRDefault="00657C82" w:rsidP="00657C8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44E" w:rsidRDefault="00A5544E">
      <w:r>
        <w:separator/>
      </w:r>
    </w:p>
  </w:footnote>
  <w:footnote w:type="continuationSeparator" w:id="0">
    <w:p w:rsidR="00A5544E" w:rsidRDefault="00A55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3545A18"/>
    <w:multiLevelType w:val="hybridMultilevel"/>
    <w:tmpl w:val="5BCE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95002"/>
    <w:multiLevelType w:val="hybridMultilevel"/>
    <w:tmpl w:val="0CCAE1C0"/>
    <w:lvl w:ilvl="0" w:tplc="EAFC805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EB31ED7"/>
    <w:multiLevelType w:val="hybridMultilevel"/>
    <w:tmpl w:val="7F74156A"/>
    <w:lvl w:ilvl="0" w:tplc="F0F201AC">
      <w:start w:val="1"/>
      <w:numFmt w:val="bullet"/>
      <w:lvlText w:val=""/>
      <w:lvlJc w:val="left"/>
      <w:pPr>
        <w:tabs>
          <w:tab w:val="num" w:pos="360"/>
        </w:tabs>
        <w:ind w:left="-144" w:firstLine="144"/>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FF71CC9"/>
    <w:multiLevelType w:val="hybridMultilevel"/>
    <w:tmpl w:val="4574C6BE"/>
    <w:lvl w:ilvl="0" w:tplc="22B02992">
      <w:start w:val="3"/>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FFC6C43"/>
    <w:multiLevelType w:val="hybridMultilevel"/>
    <w:tmpl w:val="5CCA1408"/>
    <w:lvl w:ilvl="0" w:tplc="E3C0D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002BDB"/>
    <w:multiLevelType w:val="multilevel"/>
    <w:tmpl w:val="12827BC6"/>
    <w:lvl w:ilvl="0">
      <w:start w:val="1"/>
      <w:numFmt w:val="lowerLetter"/>
      <w:lvlText w:val="%1. "/>
      <w:legacy w:legacy="1" w:legacySpace="0" w:legacyIndent="240"/>
      <w:lvlJc w:val="left"/>
      <w:pPr>
        <w:ind w:left="480" w:hanging="240"/>
      </w:pPr>
      <w:rPr>
        <w:rFonts w:ascii="Helvetica" w:hAnsi="Helvetica" w:hint="default"/>
        <w:b w:val="0"/>
        <w:i w:val="0"/>
        <w:sz w:val="1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B20B5"/>
    <w:multiLevelType w:val="hybridMultilevel"/>
    <w:tmpl w:val="34589B20"/>
    <w:lvl w:ilvl="0" w:tplc="BB1A4EB4">
      <w:start w:val="1"/>
      <w:numFmt w:val="lowerLetter"/>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A7109"/>
    <w:multiLevelType w:val="hybridMultilevel"/>
    <w:tmpl w:val="899E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E2014C"/>
    <w:multiLevelType w:val="hybridMultilevel"/>
    <w:tmpl w:val="2D7079C4"/>
    <w:lvl w:ilvl="0" w:tplc="F5B85752">
      <w:start w:val="1"/>
      <w:numFmt w:val="lowerLetter"/>
      <w:lvlText w:val="%1."/>
      <w:lvlJc w:val="left"/>
      <w:pPr>
        <w:ind w:left="1080" w:hanging="360"/>
      </w:pPr>
      <w:rPr>
        <w:rFonts w:ascii="Times New Roman" w:eastAsia="Times New Roman" w:hAnsi="Times New Roman" w:cs="Times New Roman"/>
        <w:sz w:val="24"/>
        <w:szCs w:val="24"/>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9518CA"/>
    <w:multiLevelType w:val="hybridMultilevel"/>
    <w:tmpl w:val="B7DA9636"/>
    <w:lvl w:ilvl="0" w:tplc="04090019">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B50C32"/>
    <w:multiLevelType w:val="hybridMultilevel"/>
    <w:tmpl w:val="169A5A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9066D5"/>
    <w:multiLevelType w:val="hybridMultilevel"/>
    <w:tmpl w:val="7F74156A"/>
    <w:lvl w:ilvl="0" w:tplc="CEE00C72">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DB510E8"/>
    <w:multiLevelType w:val="hybridMultilevel"/>
    <w:tmpl w:val="97B22652"/>
    <w:lvl w:ilvl="0" w:tplc="04090001">
      <w:start w:val="1"/>
      <w:numFmt w:val="bullet"/>
      <w:lvlText w:val=""/>
      <w:lvlJc w:val="left"/>
      <w:pPr>
        <w:ind w:left="1080" w:hanging="360"/>
      </w:pPr>
      <w:rPr>
        <w:rFonts w:ascii="Symbol" w:hAnsi="Symbol"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5A0111"/>
    <w:multiLevelType w:val="hybridMultilevel"/>
    <w:tmpl w:val="15FA8FC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0F0D84"/>
    <w:multiLevelType w:val="hybridMultilevel"/>
    <w:tmpl w:val="09705C30"/>
    <w:lvl w:ilvl="0" w:tplc="04090001">
      <w:start w:val="1"/>
      <w:numFmt w:val="bullet"/>
      <w:lvlText w:val=""/>
      <w:lvlJc w:val="left"/>
      <w:pPr>
        <w:ind w:left="1080" w:hanging="360"/>
      </w:pPr>
      <w:rPr>
        <w:rFonts w:ascii="Symbol" w:hAnsi="Symbol"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2D1850DC">
      <w:numFmt w:val="bullet"/>
      <w:lvlText w:val="-"/>
      <w:lvlJc w:val="left"/>
      <w:pPr>
        <w:ind w:left="3240" w:hanging="360"/>
      </w:pPr>
      <w:rPr>
        <w:rFonts w:ascii="Times New Roman" w:eastAsia="Times New Roman" w:hAnsi="Times New Roman"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392E45"/>
    <w:multiLevelType w:val="hybridMultilevel"/>
    <w:tmpl w:val="899ED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235E40"/>
    <w:multiLevelType w:val="hybridMultilevel"/>
    <w:tmpl w:val="95D6A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8D59A3"/>
    <w:multiLevelType w:val="hybridMultilevel"/>
    <w:tmpl w:val="6324CCD0"/>
    <w:lvl w:ilvl="0" w:tplc="64D4865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393176"/>
    <w:multiLevelType w:val="hybridMultilevel"/>
    <w:tmpl w:val="DB8E8BE2"/>
    <w:lvl w:ilvl="0" w:tplc="02F81C10">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99113E"/>
    <w:multiLevelType w:val="hybridMultilevel"/>
    <w:tmpl w:val="1B586BD4"/>
    <w:lvl w:ilvl="0" w:tplc="0409000F">
      <w:start w:val="2"/>
      <w:numFmt w:val="decimal"/>
      <w:lvlText w:val="%1."/>
      <w:lvlJc w:val="left"/>
      <w:pPr>
        <w:tabs>
          <w:tab w:val="num" w:pos="720"/>
        </w:tabs>
        <w:ind w:left="720" w:hanging="360"/>
      </w:pPr>
      <w:rPr>
        <w:rFonts w:hint="default"/>
      </w:rPr>
    </w:lvl>
    <w:lvl w:ilvl="1" w:tplc="0B94AF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7A1B2E99"/>
    <w:multiLevelType w:val="multilevel"/>
    <w:tmpl w:val="6CA8F380"/>
    <w:lvl w:ilvl="0">
      <w:start w:val="1"/>
      <w:numFmt w:val="lowerLetter"/>
      <w:lvlText w:val="%1. "/>
      <w:legacy w:legacy="1" w:legacySpace="0" w:legacyIndent="240"/>
      <w:lvlJc w:val="left"/>
      <w:pPr>
        <w:ind w:left="492" w:hanging="240"/>
      </w:pPr>
      <w:rPr>
        <w:rFonts w:ascii="Helvetica" w:hAnsi="Helvetica" w:hint="default"/>
        <w:b w:val="0"/>
        <w:i w:val="0"/>
        <w:sz w:val="16"/>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A4872E2"/>
    <w:multiLevelType w:val="hybridMultilevel"/>
    <w:tmpl w:val="DB8E8BE2"/>
    <w:lvl w:ilvl="0" w:tplc="2BDCFC32">
      <w:start w:val="1"/>
      <w:numFmt w:val="bullet"/>
      <w:lvlText w:val=""/>
      <w:lvlJc w:val="left"/>
      <w:pPr>
        <w:tabs>
          <w:tab w:val="num" w:pos="360"/>
        </w:tabs>
        <w:ind w:left="360" w:hanging="360"/>
      </w:pPr>
      <w:rPr>
        <w:rFonts w:ascii="Wingdings" w:hAnsi="Wingdings"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C6C1DB2"/>
    <w:multiLevelType w:val="hybridMultilevel"/>
    <w:tmpl w:val="1B586BD4"/>
    <w:lvl w:ilvl="0" w:tplc="0409000F">
      <w:start w:val="2"/>
      <w:numFmt w:val="decimal"/>
      <w:lvlText w:val="%1."/>
      <w:lvlJc w:val="left"/>
      <w:pPr>
        <w:tabs>
          <w:tab w:val="num" w:pos="720"/>
        </w:tabs>
        <w:ind w:left="720" w:hanging="360"/>
      </w:pPr>
      <w:rPr>
        <w:rFonts w:hint="default"/>
      </w:rPr>
    </w:lvl>
    <w:lvl w:ilvl="1" w:tplc="0B94AF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F75331"/>
    <w:multiLevelType w:val="multilevel"/>
    <w:tmpl w:val="8F2AC1B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0">
    <w:nsid w:val="7D32354B"/>
    <w:multiLevelType w:val="hybridMultilevel"/>
    <w:tmpl w:val="B240BC08"/>
    <w:lvl w:ilvl="0" w:tplc="ADF0490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num>
  <w:num w:numId="3">
    <w:abstractNumId w:val="3"/>
  </w:num>
  <w:num w:numId="4">
    <w:abstractNumId w:val="25"/>
  </w:num>
  <w:num w:numId="5">
    <w:abstractNumId w:val="24"/>
  </w:num>
  <w:num w:numId="6">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7"/>
  </w:num>
  <w:num w:numId="10">
    <w:abstractNumId w:val="5"/>
  </w:num>
  <w:num w:numId="11">
    <w:abstractNumId w:val="22"/>
  </w:num>
  <w:num w:numId="12">
    <w:abstractNumId w:val="27"/>
  </w:num>
  <w:num w:numId="13">
    <w:abstractNumId w:val="13"/>
  </w:num>
  <w:num w:numId="14">
    <w:abstractNumId w:val="4"/>
  </w:num>
  <w:num w:numId="15">
    <w:abstractNumId w:val="23"/>
  </w:num>
  <w:num w:numId="1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9"/>
  </w:num>
  <w:num w:numId="19">
    <w:abstractNumId w:val="30"/>
  </w:num>
  <w:num w:numId="20">
    <w:abstractNumId w:val="20"/>
  </w:num>
  <w:num w:numId="21">
    <w:abstractNumId w:val="6"/>
  </w:num>
  <w:num w:numId="22">
    <w:abstractNumId w:val="10"/>
  </w:num>
  <w:num w:numId="23">
    <w:abstractNumId w:val="21"/>
  </w:num>
  <w:num w:numId="24">
    <w:abstractNumId w:val="11"/>
  </w:num>
  <w:num w:numId="25">
    <w:abstractNumId w:val="15"/>
  </w:num>
  <w:num w:numId="26">
    <w:abstractNumId w:val="28"/>
  </w:num>
  <w:num w:numId="27">
    <w:abstractNumId w:val="2"/>
  </w:num>
  <w:num w:numId="28">
    <w:abstractNumId w:val="19"/>
  </w:num>
  <w:num w:numId="29">
    <w:abstractNumId w:val="8"/>
  </w:num>
  <w:num w:numId="30">
    <w:abstractNumId w:val="14"/>
  </w:num>
  <w:num w:numId="31">
    <w:abstractNumId w:val="18"/>
  </w:num>
  <w:num w:numId="32">
    <w:abstractNumId w:val="9"/>
  </w:num>
  <w:num w:numId="33">
    <w:abstractNumId w:val="12"/>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D11"/>
    <w:rsid w:val="00000642"/>
    <w:rsid w:val="00000AB4"/>
    <w:rsid w:val="00001526"/>
    <w:rsid w:val="0000613E"/>
    <w:rsid w:val="000063EA"/>
    <w:rsid w:val="00024005"/>
    <w:rsid w:val="00037E88"/>
    <w:rsid w:val="00062EE4"/>
    <w:rsid w:val="0006379E"/>
    <w:rsid w:val="00063DAC"/>
    <w:rsid w:val="000652EC"/>
    <w:rsid w:val="00066B38"/>
    <w:rsid w:val="00075A93"/>
    <w:rsid w:val="00087803"/>
    <w:rsid w:val="000A3695"/>
    <w:rsid w:val="000B5262"/>
    <w:rsid w:val="000C4ED6"/>
    <w:rsid w:val="000D7C26"/>
    <w:rsid w:val="000E2457"/>
    <w:rsid w:val="000F76AF"/>
    <w:rsid w:val="00120D20"/>
    <w:rsid w:val="00152D06"/>
    <w:rsid w:val="00160D38"/>
    <w:rsid w:val="0016514A"/>
    <w:rsid w:val="001710AB"/>
    <w:rsid w:val="001710E9"/>
    <w:rsid w:val="001847C9"/>
    <w:rsid w:val="00186AE9"/>
    <w:rsid w:val="00190EE6"/>
    <w:rsid w:val="00194B80"/>
    <w:rsid w:val="001B7CC2"/>
    <w:rsid w:val="001D14B0"/>
    <w:rsid w:val="001E0408"/>
    <w:rsid w:val="001E3BB8"/>
    <w:rsid w:val="001E43AF"/>
    <w:rsid w:val="00201F96"/>
    <w:rsid w:val="00205058"/>
    <w:rsid w:val="00206067"/>
    <w:rsid w:val="0021342B"/>
    <w:rsid w:val="0021389A"/>
    <w:rsid w:val="0021648A"/>
    <w:rsid w:val="00224615"/>
    <w:rsid w:val="002378A3"/>
    <w:rsid w:val="002501A5"/>
    <w:rsid w:val="00251213"/>
    <w:rsid w:val="00252059"/>
    <w:rsid w:val="002579FE"/>
    <w:rsid w:val="00265304"/>
    <w:rsid w:val="002831B0"/>
    <w:rsid w:val="00293795"/>
    <w:rsid w:val="002A4AA9"/>
    <w:rsid w:val="002C21AB"/>
    <w:rsid w:val="002C3B97"/>
    <w:rsid w:val="002E432E"/>
    <w:rsid w:val="002E6ED3"/>
    <w:rsid w:val="003016E3"/>
    <w:rsid w:val="00317942"/>
    <w:rsid w:val="00385B39"/>
    <w:rsid w:val="003A5F11"/>
    <w:rsid w:val="003B3BCE"/>
    <w:rsid w:val="003B77B1"/>
    <w:rsid w:val="003C04DC"/>
    <w:rsid w:val="003C67BC"/>
    <w:rsid w:val="003D59DC"/>
    <w:rsid w:val="003E08E3"/>
    <w:rsid w:val="003E21A5"/>
    <w:rsid w:val="003F3448"/>
    <w:rsid w:val="0040325D"/>
    <w:rsid w:val="004073E0"/>
    <w:rsid w:val="00407D6B"/>
    <w:rsid w:val="00410206"/>
    <w:rsid w:val="00413D48"/>
    <w:rsid w:val="00425E9C"/>
    <w:rsid w:val="004429DB"/>
    <w:rsid w:val="004439CB"/>
    <w:rsid w:val="004504AE"/>
    <w:rsid w:val="004609BA"/>
    <w:rsid w:val="00466665"/>
    <w:rsid w:val="004673AB"/>
    <w:rsid w:val="00470D59"/>
    <w:rsid w:val="00470F5B"/>
    <w:rsid w:val="00477055"/>
    <w:rsid w:val="004824E1"/>
    <w:rsid w:val="00495A7E"/>
    <w:rsid w:val="004A1DAF"/>
    <w:rsid w:val="004C034F"/>
    <w:rsid w:val="004D6BAB"/>
    <w:rsid w:val="004E4143"/>
    <w:rsid w:val="004E50D5"/>
    <w:rsid w:val="004F1F07"/>
    <w:rsid w:val="004F24CC"/>
    <w:rsid w:val="004F3519"/>
    <w:rsid w:val="00501D21"/>
    <w:rsid w:val="00516B94"/>
    <w:rsid w:val="0052151A"/>
    <w:rsid w:val="005275D0"/>
    <w:rsid w:val="005343A0"/>
    <w:rsid w:val="00537AC1"/>
    <w:rsid w:val="005434BF"/>
    <w:rsid w:val="00545D60"/>
    <w:rsid w:val="00571FF2"/>
    <w:rsid w:val="00583234"/>
    <w:rsid w:val="005843C4"/>
    <w:rsid w:val="005863E5"/>
    <w:rsid w:val="00587D87"/>
    <w:rsid w:val="005A1FD1"/>
    <w:rsid w:val="005A6A21"/>
    <w:rsid w:val="005C52A8"/>
    <w:rsid w:val="005D3E2B"/>
    <w:rsid w:val="005E6628"/>
    <w:rsid w:val="005F7E3F"/>
    <w:rsid w:val="00600743"/>
    <w:rsid w:val="006014DF"/>
    <w:rsid w:val="00604DF9"/>
    <w:rsid w:val="00611679"/>
    <w:rsid w:val="00613071"/>
    <w:rsid w:val="00643D4E"/>
    <w:rsid w:val="00651841"/>
    <w:rsid w:val="00651FA9"/>
    <w:rsid w:val="00657103"/>
    <w:rsid w:val="00657C82"/>
    <w:rsid w:val="00680B64"/>
    <w:rsid w:val="00683B36"/>
    <w:rsid w:val="00684A8C"/>
    <w:rsid w:val="00685A70"/>
    <w:rsid w:val="006C7D11"/>
    <w:rsid w:val="006D1803"/>
    <w:rsid w:val="006E76A2"/>
    <w:rsid w:val="006F22FC"/>
    <w:rsid w:val="006F57A4"/>
    <w:rsid w:val="006F7C9D"/>
    <w:rsid w:val="00712612"/>
    <w:rsid w:val="0071409F"/>
    <w:rsid w:val="00725950"/>
    <w:rsid w:val="007362BB"/>
    <w:rsid w:val="007500A5"/>
    <w:rsid w:val="0075104E"/>
    <w:rsid w:val="00751A96"/>
    <w:rsid w:val="007557E9"/>
    <w:rsid w:val="007818B5"/>
    <w:rsid w:val="007A1A4D"/>
    <w:rsid w:val="007A4074"/>
    <w:rsid w:val="007A757A"/>
    <w:rsid w:val="007B441D"/>
    <w:rsid w:val="007C0130"/>
    <w:rsid w:val="007C0930"/>
    <w:rsid w:val="007C0F74"/>
    <w:rsid w:val="007C4168"/>
    <w:rsid w:val="007D1C97"/>
    <w:rsid w:val="007D381A"/>
    <w:rsid w:val="007D549E"/>
    <w:rsid w:val="007E325C"/>
    <w:rsid w:val="00801459"/>
    <w:rsid w:val="0080615F"/>
    <w:rsid w:val="00816AF5"/>
    <w:rsid w:val="008208C3"/>
    <w:rsid w:val="008270B3"/>
    <w:rsid w:val="00830011"/>
    <w:rsid w:val="00830ACB"/>
    <w:rsid w:val="00834715"/>
    <w:rsid w:val="008359BD"/>
    <w:rsid w:val="00835AD1"/>
    <w:rsid w:val="00837783"/>
    <w:rsid w:val="008648CA"/>
    <w:rsid w:val="00887996"/>
    <w:rsid w:val="00887D91"/>
    <w:rsid w:val="008A2D0F"/>
    <w:rsid w:val="008A41B0"/>
    <w:rsid w:val="008A4661"/>
    <w:rsid w:val="008A6BEA"/>
    <w:rsid w:val="008A74BB"/>
    <w:rsid w:val="008C1D6A"/>
    <w:rsid w:val="008D3659"/>
    <w:rsid w:val="008D4281"/>
    <w:rsid w:val="008E6E22"/>
    <w:rsid w:val="008F07F8"/>
    <w:rsid w:val="008F1B76"/>
    <w:rsid w:val="008F508B"/>
    <w:rsid w:val="00900721"/>
    <w:rsid w:val="00932962"/>
    <w:rsid w:val="00936C1E"/>
    <w:rsid w:val="00945533"/>
    <w:rsid w:val="00946D72"/>
    <w:rsid w:val="00946D86"/>
    <w:rsid w:val="00951934"/>
    <w:rsid w:val="00952B81"/>
    <w:rsid w:val="00976417"/>
    <w:rsid w:val="00981FB0"/>
    <w:rsid w:val="009A5AA1"/>
    <w:rsid w:val="009B4213"/>
    <w:rsid w:val="009C07BD"/>
    <w:rsid w:val="009C13E8"/>
    <w:rsid w:val="009C30ED"/>
    <w:rsid w:val="009C5198"/>
    <w:rsid w:val="009C6A5A"/>
    <w:rsid w:val="009C6C78"/>
    <w:rsid w:val="009D02E6"/>
    <w:rsid w:val="009D4AE9"/>
    <w:rsid w:val="009E2AC4"/>
    <w:rsid w:val="009E48C8"/>
    <w:rsid w:val="009F31D6"/>
    <w:rsid w:val="009F4C0F"/>
    <w:rsid w:val="00A02DE4"/>
    <w:rsid w:val="00A16D39"/>
    <w:rsid w:val="00A25905"/>
    <w:rsid w:val="00A418FA"/>
    <w:rsid w:val="00A5544E"/>
    <w:rsid w:val="00A575B4"/>
    <w:rsid w:val="00A57C5B"/>
    <w:rsid w:val="00A609DD"/>
    <w:rsid w:val="00A82700"/>
    <w:rsid w:val="00A95525"/>
    <w:rsid w:val="00AA35D9"/>
    <w:rsid w:val="00AD63CA"/>
    <w:rsid w:val="00AE16F7"/>
    <w:rsid w:val="00AE453B"/>
    <w:rsid w:val="00AF023F"/>
    <w:rsid w:val="00B131B9"/>
    <w:rsid w:val="00B136A4"/>
    <w:rsid w:val="00B14DEA"/>
    <w:rsid w:val="00B20B2C"/>
    <w:rsid w:val="00B222E0"/>
    <w:rsid w:val="00B27014"/>
    <w:rsid w:val="00B3149E"/>
    <w:rsid w:val="00B34BB3"/>
    <w:rsid w:val="00B52720"/>
    <w:rsid w:val="00B611F9"/>
    <w:rsid w:val="00B746C2"/>
    <w:rsid w:val="00B86A60"/>
    <w:rsid w:val="00B877E1"/>
    <w:rsid w:val="00B96076"/>
    <w:rsid w:val="00BA3E92"/>
    <w:rsid w:val="00BB30D4"/>
    <w:rsid w:val="00BC0DCE"/>
    <w:rsid w:val="00BC556A"/>
    <w:rsid w:val="00BE5425"/>
    <w:rsid w:val="00BE573D"/>
    <w:rsid w:val="00BF263B"/>
    <w:rsid w:val="00BF5C6C"/>
    <w:rsid w:val="00C00946"/>
    <w:rsid w:val="00C05967"/>
    <w:rsid w:val="00C163C4"/>
    <w:rsid w:val="00C2339D"/>
    <w:rsid w:val="00C336CF"/>
    <w:rsid w:val="00C37F5B"/>
    <w:rsid w:val="00C53289"/>
    <w:rsid w:val="00C54F77"/>
    <w:rsid w:val="00C55CC2"/>
    <w:rsid w:val="00C57808"/>
    <w:rsid w:val="00C62391"/>
    <w:rsid w:val="00C6242C"/>
    <w:rsid w:val="00C635D9"/>
    <w:rsid w:val="00C63C81"/>
    <w:rsid w:val="00C70557"/>
    <w:rsid w:val="00C7445A"/>
    <w:rsid w:val="00C744A4"/>
    <w:rsid w:val="00C77A86"/>
    <w:rsid w:val="00C87C34"/>
    <w:rsid w:val="00C952B8"/>
    <w:rsid w:val="00C96746"/>
    <w:rsid w:val="00CA6932"/>
    <w:rsid w:val="00CB3763"/>
    <w:rsid w:val="00CB6B24"/>
    <w:rsid w:val="00CC48F9"/>
    <w:rsid w:val="00CD78E3"/>
    <w:rsid w:val="00CE7076"/>
    <w:rsid w:val="00CF0000"/>
    <w:rsid w:val="00D12432"/>
    <w:rsid w:val="00D13F2E"/>
    <w:rsid w:val="00D20617"/>
    <w:rsid w:val="00D218FD"/>
    <w:rsid w:val="00D41CFE"/>
    <w:rsid w:val="00D42816"/>
    <w:rsid w:val="00D44EE2"/>
    <w:rsid w:val="00D555EE"/>
    <w:rsid w:val="00D60FC8"/>
    <w:rsid w:val="00D67113"/>
    <w:rsid w:val="00D67594"/>
    <w:rsid w:val="00D677DE"/>
    <w:rsid w:val="00D7294F"/>
    <w:rsid w:val="00D837D5"/>
    <w:rsid w:val="00D854E9"/>
    <w:rsid w:val="00D86CAE"/>
    <w:rsid w:val="00DA3E3B"/>
    <w:rsid w:val="00DA5C51"/>
    <w:rsid w:val="00DA6A57"/>
    <w:rsid w:val="00DB4D78"/>
    <w:rsid w:val="00DC0021"/>
    <w:rsid w:val="00DC7FDF"/>
    <w:rsid w:val="00DD303A"/>
    <w:rsid w:val="00DE2A06"/>
    <w:rsid w:val="00DE69BC"/>
    <w:rsid w:val="00DF694A"/>
    <w:rsid w:val="00E30F58"/>
    <w:rsid w:val="00E34D58"/>
    <w:rsid w:val="00E35FA8"/>
    <w:rsid w:val="00E45776"/>
    <w:rsid w:val="00E468AB"/>
    <w:rsid w:val="00E538AC"/>
    <w:rsid w:val="00E6139C"/>
    <w:rsid w:val="00E701B3"/>
    <w:rsid w:val="00E732F2"/>
    <w:rsid w:val="00E805A2"/>
    <w:rsid w:val="00EA1CB4"/>
    <w:rsid w:val="00EC21ED"/>
    <w:rsid w:val="00ED4518"/>
    <w:rsid w:val="00EE3434"/>
    <w:rsid w:val="00EE65CC"/>
    <w:rsid w:val="00EF086B"/>
    <w:rsid w:val="00F02AF1"/>
    <w:rsid w:val="00F03BA5"/>
    <w:rsid w:val="00F04750"/>
    <w:rsid w:val="00F0581E"/>
    <w:rsid w:val="00F20412"/>
    <w:rsid w:val="00F257C9"/>
    <w:rsid w:val="00F374E0"/>
    <w:rsid w:val="00F410D2"/>
    <w:rsid w:val="00F41616"/>
    <w:rsid w:val="00F5574E"/>
    <w:rsid w:val="00F66BF9"/>
    <w:rsid w:val="00F67A4F"/>
    <w:rsid w:val="00F70EE2"/>
    <w:rsid w:val="00F77813"/>
    <w:rsid w:val="00F77BEE"/>
    <w:rsid w:val="00F819EE"/>
    <w:rsid w:val="00F85555"/>
    <w:rsid w:val="00F91801"/>
    <w:rsid w:val="00F935B6"/>
    <w:rsid w:val="00F93CA1"/>
    <w:rsid w:val="00FC5394"/>
    <w:rsid w:val="00FC5F1F"/>
    <w:rsid w:val="00FF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A7E"/>
    <w:pPr>
      <w:overflowPunct w:val="0"/>
      <w:autoSpaceDE w:val="0"/>
      <w:autoSpaceDN w:val="0"/>
      <w:adjustRightInd w:val="0"/>
      <w:textAlignment w:val="baseline"/>
    </w:pPr>
  </w:style>
  <w:style w:type="paragraph" w:styleId="Heading1">
    <w:name w:val="heading 1"/>
    <w:basedOn w:val="Normal"/>
    <w:next w:val="Normal"/>
    <w:qFormat/>
    <w:rsid w:val="00495A7E"/>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5A7E"/>
    <w:pPr>
      <w:tabs>
        <w:tab w:val="center" w:pos="4320"/>
        <w:tab w:val="right" w:pos="8640"/>
      </w:tabs>
    </w:pPr>
  </w:style>
  <w:style w:type="paragraph" w:styleId="Footer">
    <w:name w:val="footer"/>
    <w:basedOn w:val="Normal"/>
    <w:link w:val="FooterChar"/>
    <w:uiPriority w:val="99"/>
    <w:rsid w:val="00495A7E"/>
    <w:pPr>
      <w:tabs>
        <w:tab w:val="center" w:pos="4320"/>
        <w:tab w:val="right" w:pos="8640"/>
      </w:tabs>
    </w:pPr>
  </w:style>
  <w:style w:type="character" w:styleId="PageNumber">
    <w:name w:val="page number"/>
    <w:basedOn w:val="DefaultParagraphFont"/>
    <w:rsid w:val="00495A7E"/>
  </w:style>
  <w:style w:type="paragraph" w:styleId="Title">
    <w:name w:val="Title"/>
    <w:basedOn w:val="Normal"/>
    <w:qFormat/>
    <w:rsid w:val="00495A7E"/>
    <w:pPr>
      <w:jc w:val="center"/>
    </w:pPr>
    <w:rPr>
      <w:rFonts w:ascii="Helvetica" w:hAnsi="Helvetica"/>
      <w:b/>
      <w:sz w:val="28"/>
    </w:rPr>
  </w:style>
  <w:style w:type="paragraph" w:styleId="HTMLPreformatted">
    <w:name w:val="HTML Preformatted"/>
    <w:basedOn w:val="Normal"/>
    <w:link w:val="HTMLPreformattedChar"/>
    <w:uiPriority w:val="99"/>
    <w:rsid w:val="0049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odyTextIndent">
    <w:name w:val="Body Text Indent"/>
    <w:basedOn w:val="Normal"/>
    <w:rsid w:val="00495A7E"/>
    <w:pPr>
      <w:keepNext/>
      <w:keepLines/>
      <w:tabs>
        <w:tab w:val="left" w:pos="480"/>
      </w:tabs>
      <w:spacing w:after="80"/>
      <w:ind w:left="360"/>
    </w:pPr>
  </w:style>
  <w:style w:type="paragraph" w:styleId="BodyTextIndent2">
    <w:name w:val="Body Text Indent 2"/>
    <w:basedOn w:val="Normal"/>
    <w:rsid w:val="00495A7E"/>
    <w:pPr>
      <w:keepLines/>
      <w:tabs>
        <w:tab w:val="left" w:pos="360"/>
      </w:tabs>
      <w:ind w:left="360"/>
    </w:pPr>
    <w:rPr>
      <w:color w:val="000000"/>
      <w:sz w:val="24"/>
    </w:rPr>
  </w:style>
  <w:style w:type="paragraph" w:styleId="BalloonText">
    <w:name w:val="Balloon Text"/>
    <w:basedOn w:val="Normal"/>
    <w:semiHidden/>
    <w:rsid w:val="00BE5425"/>
    <w:rPr>
      <w:rFonts w:ascii="Tahoma" w:hAnsi="Tahoma" w:cs="Tahoma"/>
      <w:sz w:val="16"/>
      <w:szCs w:val="16"/>
    </w:rPr>
  </w:style>
  <w:style w:type="paragraph" w:styleId="ListParagraph">
    <w:name w:val="List Paragraph"/>
    <w:basedOn w:val="Normal"/>
    <w:uiPriority w:val="34"/>
    <w:qFormat/>
    <w:rsid w:val="00CC48F9"/>
    <w:pPr>
      <w:ind w:left="720"/>
      <w:contextualSpacing/>
    </w:pPr>
  </w:style>
  <w:style w:type="character" w:styleId="Hyperlink">
    <w:name w:val="Hyperlink"/>
    <w:basedOn w:val="DefaultParagraphFont"/>
    <w:uiPriority w:val="99"/>
    <w:unhideWhenUsed/>
    <w:rsid w:val="00D13F2E"/>
    <w:rPr>
      <w:b/>
      <w:bCs/>
      <w:strike w:val="0"/>
      <w:dstrike w:val="0"/>
      <w:color w:val="00295A"/>
      <w:u w:val="none"/>
      <w:effect w:val="none"/>
    </w:rPr>
  </w:style>
  <w:style w:type="paragraph" w:styleId="NormalWeb">
    <w:name w:val="Normal (Web)"/>
    <w:basedOn w:val="Normal"/>
    <w:uiPriority w:val="99"/>
    <w:unhideWhenUsed/>
    <w:rsid w:val="00D13F2E"/>
    <w:pPr>
      <w:overflowPunct/>
      <w:autoSpaceDE/>
      <w:autoSpaceDN/>
      <w:adjustRightInd/>
      <w:spacing w:before="100" w:beforeAutospacing="1" w:after="100" w:afterAutospacing="1"/>
      <w:textAlignment w:val="auto"/>
    </w:pPr>
    <w:rPr>
      <w:rFonts w:ascii="Verdana" w:hAnsi="Verdana"/>
      <w:sz w:val="18"/>
      <w:szCs w:val="18"/>
    </w:rPr>
  </w:style>
  <w:style w:type="character" w:customStyle="1" w:styleId="HTMLPreformattedChar">
    <w:name w:val="HTML Preformatted Char"/>
    <w:basedOn w:val="DefaultParagraphFont"/>
    <w:link w:val="HTMLPreformatted"/>
    <w:uiPriority w:val="99"/>
    <w:rsid w:val="00AF023F"/>
    <w:rPr>
      <w:rFonts w:ascii="Courier New" w:eastAsia="Courier New" w:hAnsi="Courier New"/>
    </w:rPr>
  </w:style>
  <w:style w:type="paragraph" w:styleId="NoSpacing">
    <w:name w:val="No Spacing"/>
    <w:uiPriority w:val="1"/>
    <w:qFormat/>
    <w:rsid w:val="003C67BC"/>
    <w:pPr>
      <w:overflowPunct w:val="0"/>
      <w:autoSpaceDE w:val="0"/>
      <w:autoSpaceDN w:val="0"/>
      <w:adjustRightInd w:val="0"/>
      <w:textAlignment w:val="baseline"/>
    </w:pPr>
  </w:style>
  <w:style w:type="character" w:customStyle="1" w:styleId="Mention">
    <w:name w:val="Mention"/>
    <w:basedOn w:val="DefaultParagraphFont"/>
    <w:uiPriority w:val="99"/>
    <w:semiHidden/>
    <w:unhideWhenUsed/>
    <w:rsid w:val="00516B94"/>
    <w:rPr>
      <w:color w:val="2B579A"/>
      <w:shd w:val="clear" w:color="auto" w:fill="E6E6E6"/>
    </w:rPr>
  </w:style>
  <w:style w:type="paragraph" w:customStyle="1" w:styleId="Default">
    <w:name w:val="Default"/>
    <w:rsid w:val="007D381A"/>
    <w:pPr>
      <w:autoSpaceDE w:val="0"/>
      <w:autoSpaceDN w:val="0"/>
      <w:adjustRightInd w:val="0"/>
    </w:pPr>
    <w:rPr>
      <w:rFonts w:ascii="Symbol" w:hAnsi="Symbol" w:cs="Symbol"/>
      <w:color w:val="000000"/>
      <w:sz w:val="24"/>
      <w:szCs w:val="24"/>
    </w:rPr>
  </w:style>
  <w:style w:type="character" w:customStyle="1" w:styleId="FooterChar">
    <w:name w:val="Footer Char"/>
    <w:basedOn w:val="DefaultParagraphFont"/>
    <w:link w:val="Footer"/>
    <w:uiPriority w:val="99"/>
    <w:rsid w:val="00F67A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A7E"/>
    <w:pPr>
      <w:overflowPunct w:val="0"/>
      <w:autoSpaceDE w:val="0"/>
      <w:autoSpaceDN w:val="0"/>
      <w:adjustRightInd w:val="0"/>
      <w:textAlignment w:val="baseline"/>
    </w:pPr>
  </w:style>
  <w:style w:type="paragraph" w:styleId="Heading1">
    <w:name w:val="heading 1"/>
    <w:basedOn w:val="Normal"/>
    <w:next w:val="Normal"/>
    <w:qFormat/>
    <w:rsid w:val="00495A7E"/>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5A7E"/>
    <w:pPr>
      <w:tabs>
        <w:tab w:val="center" w:pos="4320"/>
        <w:tab w:val="right" w:pos="8640"/>
      </w:tabs>
    </w:pPr>
  </w:style>
  <w:style w:type="paragraph" w:styleId="Footer">
    <w:name w:val="footer"/>
    <w:basedOn w:val="Normal"/>
    <w:link w:val="FooterChar"/>
    <w:uiPriority w:val="99"/>
    <w:rsid w:val="00495A7E"/>
    <w:pPr>
      <w:tabs>
        <w:tab w:val="center" w:pos="4320"/>
        <w:tab w:val="right" w:pos="8640"/>
      </w:tabs>
    </w:pPr>
  </w:style>
  <w:style w:type="character" w:styleId="PageNumber">
    <w:name w:val="page number"/>
    <w:basedOn w:val="DefaultParagraphFont"/>
    <w:rsid w:val="00495A7E"/>
  </w:style>
  <w:style w:type="paragraph" w:styleId="Title">
    <w:name w:val="Title"/>
    <w:basedOn w:val="Normal"/>
    <w:qFormat/>
    <w:rsid w:val="00495A7E"/>
    <w:pPr>
      <w:jc w:val="center"/>
    </w:pPr>
    <w:rPr>
      <w:rFonts w:ascii="Helvetica" w:hAnsi="Helvetica"/>
      <w:b/>
      <w:sz w:val="28"/>
    </w:rPr>
  </w:style>
  <w:style w:type="paragraph" w:styleId="HTMLPreformatted">
    <w:name w:val="HTML Preformatted"/>
    <w:basedOn w:val="Normal"/>
    <w:link w:val="HTMLPreformattedChar"/>
    <w:uiPriority w:val="99"/>
    <w:rsid w:val="0049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odyTextIndent">
    <w:name w:val="Body Text Indent"/>
    <w:basedOn w:val="Normal"/>
    <w:rsid w:val="00495A7E"/>
    <w:pPr>
      <w:keepNext/>
      <w:keepLines/>
      <w:tabs>
        <w:tab w:val="left" w:pos="480"/>
      </w:tabs>
      <w:spacing w:after="80"/>
      <w:ind w:left="360"/>
    </w:pPr>
  </w:style>
  <w:style w:type="paragraph" w:styleId="BodyTextIndent2">
    <w:name w:val="Body Text Indent 2"/>
    <w:basedOn w:val="Normal"/>
    <w:rsid w:val="00495A7E"/>
    <w:pPr>
      <w:keepLines/>
      <w:tabs>
        <w:tab w:val="left" w:pos="360"/>
      </w:tabs>
      <w:ind w:left="360"/>
    </w:pPr>
    <w:rPr>
      <w:color w:val="000000"/>
      <w:sz w:val="24"/>
    </w:rPr>
  </w:style>
  <w:style w:type="paragraph" w:styleId="BalloonText">
    <w:name w:val="Balloon Text"/>
    <w:basedOn w:val="Normal"/>
    <w:semiHidden/>
    <w:rsid w:val="00BE5425"/>
    <w:rPr>
      <w:rFonts w:ascii="Tahoma" w:hAnsi="Tahoma" w:cs="Tahoma"/>
      <w:sz w:val="16"/>
      <w:szCs w:val="16"/>
    </w:rPr>
  </w:style>
  <w:style w:type="paragraph" w:styleId="ListParagraph">
    <w:name w:val="List Paragraph"/>
    <w:basedOn w:val="Normal"/>
    <w:uiPriority w:val="34"/>
    <w:qFormat/>
    <w:rsid w:val="00CC48F9"/>
    <w:pPr>
      <w:ind w:left="720"/>
      <w:contextualSpacing/>
    </w:pPr>
  </w:style>
  <w:style w:type="character" w:styleId="Hyperlink">
    <w:name w:val="Hyperlink"/>
    <w:basedOn w:val="DefaultParagraphFont"/>
    <w:uiPriority w:val="99"/>
    <w:unhideWhenUsed/>
    <w:rsid w:val="00D13F2E"/>
    <w:rPr>
      <w:b/>
      <w:bCs/>
      <w:strike w:val="0"/>
      <w:dstrike w:val="0"/>
      <w:color w:val="00295A"/>
      <w:u w:val="none"/>
      <w:effect w:val="none"/>
    </w:rPr>
  </w:style>
  <w:style w:type="paragraph" w:styleId="NormalWeb">
    <w:name w:val="Normal (Web)"/>
    <w:basedOn w:val="Normal"/>
    <w:uiPriority w:val="99"/>
    <w:unhideWhenUsed/>
    <w:rsid w:val="00D13F2E"/>
    <w:pPr>
      <w:overflowPunct/>
      <w:autoSpaceDE/>
      <w:autoSpaceDN/>
      <w:adjustRightInd/>
      <w:spacing w:before="100" w:beforeAutospacing="1" w:after="100" w:afterAutospacing="1"/>
      <w:textAlignment w:val="auto"/>
    </w:pPr>
    <w:rPr>
      <w:rFonts w:ascii="Verdana" w:hAnsi="Verdana"/>
      <w:sz w:val="18"/>
      <w:szCs w:val="18"/>
    </w:rPr>
  </w:style>
  <w:style w:type="character" w:customStyle="1" w:styleId="HTMLPreformattedChar">
    <w:name w:val="HTML Preformatted Char"/>
    <w:basedOn w:val="DefaultParagraphFont"/>
    <w:link w:val="HTMLPreformatted"/>
    <w:uiPriority w:val="99"/>
    <w:rsid w:val="00AF023F"/>
    <w:rPr>
      <w:rFonts w:ascii="Courier New" w:eastAsia="Courier New" w:hAnsi="Courier New"/>
    </w:rPr>
  </w:style>
  <w:style w:type="paragraph" w:styleId="NoSpacing">
    <w:name w:val="No Spacing"/>
    <w:uiPriority w:val="1"/>
    <w:qFormat/>
    <w:rsid w:val="003C67BC"/>
    <w:pPr>
      <w:overflowPunct w:val="0"/>
      <w:autoSpaceDE w:val="0"/>
      <w:autoSpaceDN w:val="0"/>
      <w:adjustRightInd w:val="0"/>
      <w:textAlignment w:val="baseline"/>
    </w:pPr>
  </w:style>
  <w:style w:type="character" w:customStyle="1" w:styleId="Mention">
    <w:name w:val="Mention"/>
    <w:basedOn w:val="DefaultParagraphFont"/>
    <w:uiPriority w:val="99"/>
    <w:semiHidden/>
    <w:unhideWhenUsed/>
    <w:rsid w:val="00516B94"/>
    <w:rPr>
      <w:color w:val="2B579A"/>
      <w:shd w:val="clear" w:color="auto" w:fill="E6E6E6"/>
    </w:rPr>
  </w:style>
  <w:style w:type="paragraph" w:customStyle="1" w:styleId="Default">
    <w:name w:val="Default"/>
    <w:rsid w:val="007D381A"/>
    <w:pPr>
      <w:autoSpaceDE w:val="0"/>
      <w:autoSpaceDN w:val="0"/>
      <w:adjustRightInd w:val="0"/>
    </w:pPr>
    <w:rPr>
      <w:rFonts w:ascii="Symbol" w:hAnsi="Symbol" w:cs="Symbol"/>
      <w:color w:val="000000"/>
      <w:sz w:val="24"/>
      <w:szCs w:val="24"/>
    </w:rPr>
  </w:style>
  <w:style w:type="character" w:customStyle="1" w:styleId="FooterChar">
    <w:name w:val="Footer Char"/>
    <w:basedOn w:val="DefaultParagraphFont"/>
    <w:link w:val="Footer"/>
    <w:uiPriority w:val="99"/>
    <w:rsid w:val="00F67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187709">
      <w:bodyDiv w:val="1"/>
      <w:marLeft w:val="0"/>
      <w:marRight w:val="0"/>
      <w:marTop w:val="0"/>
      <w:marBottom w:val="0"/>
      <w:divBdr>
        <w:top w:val="none" w:sz="0" w:space="0" w:color="auto"/>
        <w:left w:val="none" w:sz="0" w:space="0" w:color="auto"/>
        <w:bottom w:val="none" w:sz="0" w:space="0" w:color="auto"/>
        <w:right w:val="none" w:sz="0" w:space="0" w:color="auto"/>
      </w:divBdr>
    </w:div>
    <w:div w:id="557593633">
      <w:bodyDiv w:val="1"/>
      <w:marLeft w:val="0"/>
      <w:marRight w:val="0"/>
      <w:marTop w:val="0"/>
      <w:marBottom w:val="0"/>
      <w:divBdr>
        <w:top w:val="none" w:sz="0" w:space="0" w:color="auto"/>
        <w:left w:val="none" w:sz="0" w:space="0" w:color="auto"/>
        <w:bottom w:val="none" w:sz="0" w:space="0" w:color="auto"/>
        <w:right w:val="none" w:sz="0" w:space="0" w:color="auto"/>
      </w:divBdr>
    </w:div>
    <w:div w:id="696929362">
      <w:bodyDiv w:val="1"/>
      <w:marLeft w:val="0"/>
      <w:marRight w:val="0"/>
      <w:marTop w:val="0"/>
      <w:marBottom w:val="0"/>
      <w:divBdr>
        <w:top w:val="none" w:sz="0" w:space="0" w:color="auto"/>
        <w:left w:val="none" w:sz="0" w:space="0" w:color="auto"/>
        <w:bottom w:val="none" w:sz="0" w:space="0" w:color="auto"/>
        <w:right w:val="none" w:sz="0" w:space="0" w:color="auto"/>
      </w:divBdr>
    </w:div>
    <w:div w:id="893001914">
      <w:bodyDiv w:val="1"/>
      <w:marLeft w:val="0"/>
      <w:marRight w:val="0"/>
      <w:marTop w:val="0"/>
      <w:marBottom w:val="0"/>
      <w:divBdr>
        <w:top w:val="none" w:sz="0" w:space="0" w:color="auto"/>
        <w:left w:val="none" w:sz="0" w:space="0" w:color="auto"/>
        <w:bottom w:val="none" w:sz="0" w:space="0" w:color="auto"/>
        <w:right w:val="none" w:sz="0" w:space="0" w:color="auto"/>
      </w:divBdr>
    </w:div>
    <w:div w:id="897474224">
      <w:bodyDiv w:val="1"/>
      <w:marLeft w:val="0"/>
      <w:marRight w:val="0"/>
      <w:marTop w:val="0"/>
      <w:marBottom w:val="0"/>
      <w:divBdr>
        <w:top w:val="none" w:sz="0" w:space="0" w:color="auto"/>
        <w:left w:val="none" w:sz="0" w:space="0" w:color="auto"/>
        <w:bottom w:val="none" w:sz="0" w:space="0" w:color="auto"/>
        <w:right w:val="none" w:sz="0" w:space="0" w:color="auto"/>
      </w:divBdr>
    </w:div>
    <w:div w:id="940796796">
      <w:bodyDiv w:val="1"/>
      <w:marLeft w:val="0"/>
      <w:marRight w:val="0"/>
      <w:marTop w:val="0"/>
      <w:marBottom w:val="0"/>
      <w:divBdr>
        <w:top w:val="none" w:sz="0" w:space="0" w:color="auto"/>
        <w:left w:val="none" w:sz="0" w:space="0" w:color="auto"/>
        <w:bottom w:val="none" w:sz="0" w:space="0" w:color="auto"/>
        <w:right w:val="none" w:sz="0" w:space="0" w:color="auto"/>
      </w:divBdr>
    </w:div>
    <w:div w:id="1281886272">
      <w:bodyDiv w:val="1"/>
      <w:marLeft w:val="0"/>
      <w:marRight w:val="0"/>
      <w:marTop w:val="0"/>
      <w:marBottom w:val="0"/>
      <w:divBdr>
        <w:top w:val="none" w:sz="0" w:space="0" w:color="auto"/>
        <w:left w:val="none" w:sz="0" w:space="0" w:color="auto"/>
        <w:bottom w:val="none" w:sz="0" w:space="0" w:color="auto"/>
        <w:right w:val="none" w:sz="0" w:space="0" w:color="auto"/>
      </w:divBdr>
    </w:div>
    <w:div w:id="1365597578">
      <w:bodyDiv w:val="1"/>
      <w:marLeft w:val="0"/>
      <w:marRight w:val="0"/>
      <w:marTop w:val="0"/>
      <w:marBottom w:val="0"/>
      <w:divBdr>
        <w:top w:val="none" w:sz="0" w:space="0" w:color="auto"/>
        <w:left w:val="none" w:sz="0" w:space="0" w:color="auto"/>
        <w:bottom w:val="none" w:sz="0" w:space="0" w:color="auto"/>
        <w:right w:val="none" w:sz="0" w:space="0" w:color="auto"/>
      </w:divBdr>
      <w:divsChild>
        <w:div w:id="1914048919">
          <w:marLeft w:val="0"/>
          <w:marRight w:val="0"/>
          <w:marTop w:val="0"/>
          <w:marBottom w:val="0"/>
          <w:divBdr>
            <w:top w:val="none" w:sz="0" w:space="0" w:color="auto"/>
            <w:left w:val="none" w:sz="0" w:space="0" w:color="auto"/>
            <w:bottom w:val="none" w:sz="0" w:space="0" w:color="auto"/>
            <w:right w:val="none" w:sz="0" w:space="0" w:color="auto"/>
          </w:divBdr>
        </w:div>
      </w:divsChild>
    </w:div>
    <w:div w:id="1403016972">
      <w:bodyDiv w:val="1"/>
      <w:marLeft w:val="0"/>
      <w:marRight w:val="0"/>
      <w:marTop w:val="0"/>
      <w:marBottom w:val="0"/>
      <w:divBdr>
        <w:top w:val="none" w:sz="0" w:space="0" w:color="auto"/>
        <w:left w:val="none" w:sz="0" w:space="0" w:color="auto"/>
        <w:bottom w:val="none" w:sz="0" w:space="0" w:color="auto"/>
        <w:right w:val="none" w:sz="0" w:space="0" w:color="auto"/>
      </w:divBdr>
      <w:divsChild>
        <w:div w:id="1349714793">
          <w:marLeft w:val="0"/>
          <w:marRight w:val="0"/>
          <w:marTop w:val="0"/>
          <w:marBottom w:val="0"/>
          <w:divBdr>
            <w:top w:val="none" w:sz="0" w:space="0" w:color="auto"/>
            <w:left w:val="none" w:sz="0" w:space="0" w:color="auto"/>
            <w:bottom w:val="none" w:sz="0" w:space="0" w:color="auto"/>
            <w:right w:val="none" w:sz="0" w:space="0" w:color="auto"/>
          </w:divBdr>
          <w:divsChild>
            <w:div w:id="2100327134">
              <w:marLeft w:val="0"/>
              <w:marRight w:val="0"/>
              <w:marTop w:val="0"/>
              <w:marBottom w:val="0"/>
              <w:divBdr>
                <w:top w:val="none" w:sz="0" w:space="0" w:color="auto"/>
                <w:left w:val="none" w:sz="0" w:space="0" w:color="auto"/>
                <w:bottom w:val="none" w:sz="0" w:space="0" w:color="auto"/>
                <w:right w:val="none" w:sz="0" w:space="0" w:color="auto"/>
              </w:divBdr>
              <w:divsChild>
                <w:div w:id="1513716020">
                  <w:marLeft w:val="0"/>
                  <w:marRight w:val="0"/>
                  <w:marTop w:val="0"/>
                  <w:marBottom w:val="0"/>
                  <w:divBdr>
                    <w:top w:val="none" w:sz="0" w:space="0" w:color="auto"/>
                    <w:left w:val="none" w:sz="0" w:space="0" w:color="auto"/>
                    <w:bottom w:val="none" w:sz="0" w:space="0" w:color="auto"/>
                    <w:right w:val="none" w:sz="0" w:space="0" w:color="auto"/>
                  </w:divBdr>
                  <w:divsChild>
                    <w:div w:id="328559876">
                      <w:marLeft w:val="0"/>
                      <w:marRight w:val="0"/>
                      <w:marTop w:val="0"/>
                      <w:marBottom w:val="0"/>
                      <w:divBdr>
                        <w:top w:val="none" w:sz="0" w:space="0" w:color="auto"/>
                        <w:left w:val="none" w:sz="0" w:space="0" w:color="auto"/>
                        <w:bottom w:val="none" w:sz="0" w:space="0" w:color="auto"/>
                        <w:right w:val="none" w:sz="0" w:space="0" w:color="auto"/>
                      </w:divBdr>
                      <w:divsChild>
                        <w:div w:id="564411343">
                          <w:marLeft w:val="0"/>
                          <w:marRight w:val="0"/>
                          <w:marTop w:val="0"/>
                          <w:marBottom w:val="0"/>
                          <w:divBdr>
                            <w:top w:val="none" w:sz="0" w:space="0" w:color="auto"/>
                            <w:left w:val="none" w:sz="0" w:space="0" w:color="auto"/>
                            <w:bottom w:val="none" w:sz="0" w:space="0" w:color="auto"/>
                            <w:right w:val="none" w:sz="0" w:space="0" w:color="auto"/>
                          </w:divBdr>
                          <w:divsChild>
                            <w:div w:id="2016299167">
                              <w:marLeft w:val="0"/>
                              <w:marRight w:val="0"/>
                              <w:marTop w:val="0"/>
                              <w:marBottom w:val="0"/>
                              <w:divBdr>
                                <w:top w:val="none" w:sz="0" w:space="0" w:color="auto"/>
                                <w:left w:val="none" w:sz="0" w:space="0" w:color="auto"/>
                                <w:bottom w:val="none" w:sz="0" w:space="0" w:color="auto"/>
                                <w:right w:val="none" w:sz="0" w:space="0" w:color="auto"/>
                              </w:divBdr>
                              <w:divsChild>
                                <w:div w:id="1823157197">
                                  <w:marLeft w:val="0"/>
                                  <w:marRight w:val="0"/>
                                  <w:marTop w:val="0"/>
                                  <w:marBottom w:val="0"/>
                                  <w:divBdr>
                                    <w:top w:val="none" w:sz="0" w:space="0" w:color="auto"/>
                                    <w:left w:val="none" w:sz="0" w:space="0" w:color="auto"/>
                                    <w:bottom w:val="none" w:sz="0" w:space="0" w:color="auto"/>
                                    <w:right w:val="none" w:sz="0" w:space="0" w:color="auto"/>
                                  </w:divBdr>
                                  <w:divsChild>
                                    <w:div w:id="2030793976">
                                      <w:marLeft w:val="0"/>
                                      <w:marRight w:val="0"/>
                                      <w:marTop w:val="0"/>
                                      <w:marBottom w:val="0"/>
                                      <w:divBdr>
                                        <w:top w:val="none" w:sz="0" w:space="0" w:color="auto"/>
                                        <w:left w:val="none" w:sz="0" w:space="0" w:color="auto"/>
                                        <w:bottom w:val="none" w:sz="0" w:space="0" w:color="auto"/>
                                        <w:right w:val="none" w:sz="0" w:space="0" w:color="auto"/>
                                      </w:divBdr>
                                      <w:divsChild>
                                        <w:div w:id="637032330">
                                          <w:marLeft w:val="0"/>
                                          <w:marRight w:val="0"/>
                                          <w:marTop w:val="0"/>
                                          <w:marBottom w:val="0"/>
                                          <w:divBdr>
                                            <w:top w:val="none" w:sz="0" w:space="0" w:color="auto"/>
                                            <w:left w:val="none" w:sz="0" w:space="0" w:color="auto"/>
                                            <w:bottom w:val="none" w:sz="0" w:space="0" w:color="auto"/>
                                            <w:right w:val="none" w:sz="0" w:space="0" w:color="auto"/>
                                          </w:divBdr>
                                          <w:divsChild>
                                            <w:div w:id="498691087">
                                              <w:marLeft w:val="0"/>
                                              <w:marRight w:val="0"/>
                                              <w:marTop w:val="0"/>
                                              <w:marBottom w:val="0"/>
                                              <w:divBdr>
                                                <w:top w:val="none" w:sz="0" w:space="0" w:color="auto"/>
                                                <w:left w:val="none" w:sz="0" w:space="0" w:color="auto"/>
                                                <w:bottom w:val="none" w:sz="0" w:space="0" w:color="auto"/>
                                                <w:right w:val="none" w:sz="0" w:space="0" w:color="auto"/>
                                              </w:divBdr>
                                              <w:divsChild>
                                                <w:div w:id="19173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9035205">
      <w:bodyDiv w:val="1"/>
      <w:marLeft w:val="0"/>
      <w:marRight w:val="0"/>
      <w:marTop w:val="0"/>
      <w:marBottom w:val="0"/>
      <w:divBdr>
        <w:top w:val="none" w:sz="0" w:space="0" w:color="auto"/>
        <w:left w:val="none" w:sz="0" w:space="0" w:color="auto"/>
        <w:bottom w:val="none" w:sz="0" w:space="0" w:color="auto"/>
        <w:right w:val="none" w:sz="0" w:space="0" w:color="auto"/>
      </w:divBdr>
    </w:div>
    <w:div w:id="1793479968">
      <w:bodyDiv w:val="1"/>
      <w:marLeft w:val="0"/>
      <w:marRight w:val="0"/>
      <w:marTop w:val="0"/>
      <w:marBottom w:val="0"/>
      <w:divBdr>
        <w:top w:val="none" w:sz="0" w:space="0" w:color="auto"/>
        <w:left w:val="none" w:sz="0" w:space="0" w:color="auto"/>
        <w:bottom w:val="none" w:sz="0" w:space="0" w:color="auto"/>
        <w:right w:val="none" w:sz="0" w:space="0" w:color="auto"/>
      </w:divBdr>
    </w:div>
    <w:div w:id="19313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72377-2255-4FFD-9AC1-CC6EC7A1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SYSTEM</cp:lastModifiedBy>
  <cp:revision>2</cp:revision>
  <cp:lastPrinted>2017-08-28T17:32:00Z</cp:lastPrinted>
  <dcterms:created xsi:type="dcterms:W3CDTF">2018-04-30T11:58:00Z</dcterms:created>
  <dcterms:modified xsi:type="dcterms:W3CDTF">2018-04-30T11:58:00Z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