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D32C8D" w14:textId="77777777" w:rsidR="002B7FAC" w:rsidRPr="00D27CC7" w:rsidRDefault="002B7FAC" w:rsidP="00C2572D">
      <w:pPr>
        <w:tabs>
          <w:tab w:val="left" w:pos="3320"/>
        </w:tabs>
        <w:spacing w:after="0" w:line="240" w:lineRule="auto"/>
        <w:jc w:val="center"/>
        <w:rPr>
          <w:rFonts w:ascii="Times New Roman" w:hAnsi="Times New Roman" w:cs="Times New Roman"/>
          <w:sz w:val="26"/>
          <w:szCs w:val="26"/>
        </w:rPr>
      </w:pPr>
      <w:bookmarkStart w:id="0" w:name="_GoBack"/>
      <w:bookmarkEnd w:id="0"/>
      <w:r w:rsidRPr="00D27CC7">
        <w:rPr>
          <w:rFonts w:ascii="Times New Roman" w:hAnsi="Times New Roman" w:cs="Times New Roman"/>
          <w:sz w:val="26"/>
          <w:szCs w:val="26"/>
        </w:rPr>
        <w:t>Supporting Statement for</w:t>
      </w:r>
    </w:p>
    <w:p w14:paraId="6660F333" w14:textId="77777777" w:rsidR="00396561" w:rsidRDefault="002B7FAC" w:rsidP="00C2572D">
      <w:pPr>
        <w:tabs>
          <w:tab w:val="center" w:pos="4680"/>
        </w:tabs>
        <w:spacing w:after="0" w:line="240" w:lineRule="auto"/>
        <w:jc w:val="center"/>
        <w:rPr>
          <w:rFonts w:ascii="Times New Roman" w:hAnsi="Times New Roman"/>
          <w:b/>
          <w:bCs/>
          <w:sz w:val="26"/>
          <w:szCs w:val="26"/>
        </w:rPr>
      </w:pPr>
      <w:r w:rsidRPr="00D27CC7">
        <w:rPr>
          <w:rFonts w:ascii="Times New Roman" w:hAnsi="Times New Roman"/>
          <w:b/>
          <w:bCs/>
          <w:sz w:val="26"/>
          <w:szCs w:val="26"/>
        </w:rPr>
        <w:t>FERC-598</w:t>
      </w:r>
      <w:r w:rsidR="00937BAB">
        <w:rPr>
          <w:rFonts w:ascii="Times New Roman" w:hAnsi="Times New Roman"/>
          <w:b/>
          <w:bCs/>
          <w:sz w:val="26"/>
          <w:szCs w:val="26"/>
        </w:rPr>
        <w:t>,</w:t>
      </w:r>
      <w:r w:rsidRPr="00D27CC7">
        <w:rPr>
          <w:rFonts w:ascii="Times New Roman" w:hAnsi="Times New Roman"/>
          <w:b/>
          <w:bCs/>
          <w:sz w:val="26"/>
          <w:szCs w:val="26"/>
        </w:rPr>
        <w:t xml:space="preserve"> Self Certification for Entities Seeking Exempt Wholesale </w:t>
      </w:r>
    </w:p>
    <w:p w14:paraId="305EE91C" w14:textId="77777777" w:rsidR="002B7FAC" w:rsidRDefault="002B7FAC" w:rsidP="00C2572D">
      <w:pPr>
        <w:tabs>
          <w:tab w:val="center" w:pos="4680"/>
        </w:tabs>
        <w:spacing w:after="0" w:line="240" w:lineRule="auto"/>
        <w:jc w:val="center"/>
        <w:rPr>
          <w:rFonts w:ascii="Times New Roman" w:hAnsi="Times New Roman"/>
          <w:b/>
          <w:bCs/>
          <w:sz w:val="26"/>
          <w:szCs w:val="26"/>
        </w:rPr>
      </w:pPr>
      <w:r w:rsidRPr="00D27CC7">
        <w:rPr>
          <w:rFonts w:ascii="Times New Roman" w:hAnsi="Times New Roman"/>
          <w:b/>
          <w:bCs/>
          <w:sz w:val="26"/>
          <w:szCs w:val="26"/>
        </w:rPr>
        <w:t>Generator Status or Foreign Utility Company Status</w:t>
      </w:r>
    </w:p>
    <w:p w14:paraId="44219B22" w14:textId="77777777" w:rsidR="00396561" w:rsidRPr="00D27CC7" w:rsidRDefault="00396561" w:rsidP="00C2572D">
      <w:pPr>
        <w:tabs>
          <w:tab w:val="center" w:pos="4680"/>
        </w:tabs>
        <w:spacing w:after="0" w:line="240" w:lineRule="auto"/>
        <w:jc w:val="center"/>
        <w:rPr>
          <w:rFonts w:ascii="Times New Roman" w:hAnsi="Times New Roman"/>
          <w:b/>
          <w:bCs/>
          <w:sz w:val="26"/>
          <w:szCs w:val="26"/>
        </w:rPr>
      </w:pPr>
    </w:p>
    <w:p w14:paraId="58493786" w14:textId="754BC20E" w:rsidR="002B7FAC" w:rsidRPr="004D3EFE" w:rsidRDefault="002B7FAC" w:rsidP="00B87F76">
      <w:pPr>
        <w:spacing w:line="240" w:lineRule="auto"/>
        <w:rPr>
          <w:rFonts w:ascii="Times New Roman" w:hAnsi="Times New Roman"/>
          <w:sz w:val="26"/>
          <w:szCs w:val="26"/>
        </w:rPr>
      </w:pPr>
      <w:r w:rsidRPr="00D27CC7">
        <w:rPr>
          <w:rFonts w:ascii="Times New Roman" w:hAnsi="Times New Roman"/>
          <w:sz w:val="26"/>
          <w:szCs w:val="26"/>
        </w:rPr>
        <w:t xml:space="preserve">The Federal Energy Regulatory Commission (Commission or FERC) requests that the Office of Management and Budget (OMB) review and approve </w:t>
      </w:r>
      <w:r w:rsidRPr="003216C6">
        <w:rPr>
          <w:rFonts w:ascii="Times New Roman" w:hAnsi="Times New Roman"/>
          <w:bCs/>
          <w:sz w:val="26"/>
          <w:szCs w:val="26"/>
        </w:rPr>
        <w:t xml:space="preserve">FERC-598 </w:t>
      </w:r>
      <w:r w:rsidR="004D3EFE" w:rsidRPr="003216C6">
        <w:rPr>
          <w:rFonts w:ascii="Times New Roman" w:hAnsi="Times New Roman"/>
          <w:bCs/>
          <w:sz w:val="26"/>
          <w:szCs w:val="26"/>
        </w:rPr>
        <w:t>(</w:t>
      </w:r>
      <w:r w:rsidRPr="003216C6">
        <w:rPr>
          <w:rFonts w:ascii="Times New Roman" w:hAnsi="Times New Roman"/>
          <w:bCs/>
          <w:sz w:val="26"/>
          <w:szCs w:val="26"/>
        </w:rPr>
        <w:t>Self Certification for Entities Seeking Exempt Wholesale Generator Status or</w:t>
      </w:r>
      <w:r w:rsidR="004D3EFE" w:rsidRPr="003216C6">
        <w:rPr>
          <w:rFonts w:ascii="Times New Roman" w:hAnsi="Times New Roman"/>
          <w:bCs/>
          <w:sz w:val="26"/>
          <w:szCs w:val="26"/>
        </w:rPr>
        <w:t xml:space="preserve"> Foreign Utility Company Status)</w:t>
      </w:r>
      <w:r w:rsidRPr="00D27CC7">
        <w:rPr>
          <w:rFonts w:ascii="Times New Roman" w:hAnsi="Times New Roman"/>
          <w:b/>
          <w:bCs/>
          <w:sz w:val="26"/>
          <w:szCs w:val="26"/>
        </w:rPr>
        <w:t xml:space="preserve"> </w:t>
      </w:r>
      <w:r w:rsidRPr="00D27CC7">
        <w:rPr>
          <w:rFonts w:ascii="Times New Roman" w:hAnsi="Times New Roman"/>
          <w:sz w:val="26"/>
          <w:szCs w:val="26"/>
        </w:rPr>
        <w:t xml:space="preserve">for a three year period.  FERC-598 (OMB Control No. 1902-0166) is an existing Commission data collection </w:t>
      </w:r>
      <w:r w:rsidR="0040689F">
        <w:rPr>
          <w:rFonts w:ascii="Times New Roman" w:hAnsi="Times New Roman"/>
          <w:sz w:val="26"/>
          <w:szCs w:val="26"/>
        </w:rPr>
        <w:t>provided for in</w:t>
      </w:r>
      <w:r w:rsidRPr="00D27CC7">
        <w:rPr>
          <w:rFonts w:ascii="Times New Roman" w:hAnsi="Times New Roman"/>
          <w:sz w:val="26"/>
          <w:szCs w:val="26"/>
        </w:rPr>
        <w:t xml:space="preserve">18 </w:t>
      </w:r>
      <w:r w:rsidR="00391D65">
        <w:rPr>
          <w:rFonts w:ascii="Times New Roman" w:hAnsi="Times New Roman"/>
          <w:sz w:val="26"/>
          <w:szCs w:val="26"/>
        </w:rPr>
        <w:t xml:space="preserve">CFR </w:t>
      </w:r>
      <w:r w:rsidR="004D3EFE">
        <w:rPr>
          <w:rFonts w:ascii="Times New Roman" w:hAnsi="Times New Roman"/>
          <w:sz w:val="26"/>
          <w:szCs w:val="26"/>
        </w:rPr>
        <w:t>366.7.</w:t>
      </w:r>
      <w:r w:rsidR="00073C99">
        <w:rPr>
          <w:rFonts w:ascii="Times New Roman" w:hAnsi="Times New Roman"/>
          <w:sz w:val="26"/>
          <w:szCs w:val="26"/>
        </w:rPr>
        <w:t xml:space="preserve">  Th</w:t>
      </w:r>
      <w:r w:rsidR="0040689F">
        <w:rPr>
          <w:rFonts w:ascii="Times New Roman" w:hAnsi="Times New Roman"/>
          <w:sz w:val="26"/>
          <w:szCs w:val="26"/>
        </w:rPr>
        <w:t>is</w:t>
      </w:r>
      <w:r w:rsidR="00073C99">
        <w:rPr>
          <w:rFonts w:ascii="Times New Roman" w:hAnsi="Times New Roman"/>
          <w:sz w:val="26"/>
          <w:szCs w:val="26"/>
        </w:rPr>
        <w:t xml:space="preserve"> </w:t>
      </w:r>
      <w:r w:rsidR="0040689F">
        <w:rPr>
          <w:rFonts w:ascii="Times New Roman" w:hAnsi="Times New Roman"/>
          <w:sz w:val="26"/>
          <w:szCs w:val="26"/>
        </w:rPr>
        <w:t xml:space="preserve">data </w:t>
      </w:r>
      <w:r w:rsidR="00073C99">
        <w:rPr>
          <w:rFonts w:ascii="Times New Roman" w:hAnsi="Times New Roman"/>
          <w:sz w:val="26"/>
          <w:szCs w:val="26"/>
        </w:rPr>
        <w:t xml:space="preserve">collection </w:t>
      </w:r>
      <w:r w:rsidR="0040689F">
        <w:rPr>
          <w:rFonts w:ascii="Times New Roman" w:hAnsi="Times New Roman"/>
          <w:sz w:val="26"/>
          <w:szCs w:val="26"/>
        </w:rPr>
        <w:t>is</w:t>
      </w:r>
      <w:r w:rsidR="00073C99">
        <w:rPr>
          <w:rFonts w:ascii="Times New Roman" w:hAnsi="Times New Roman"/>
          <w:sz w:val="26"/>
          <w:szCs w:val="26"/>
        </w:rPr>
        <w:t xml:space="preserve"> not changing.</w:t>
      </w:r>
    </w:p>
    <w:p w14:paraId="0BE3F729" w14:textId="77777777" w:rsidR="002B7FAC" w:rsidRPr="00D27CC7" w:rsidRDefault="002B7FAC" w:rsidP="00C2572D">
      <w:pPr>
        <w:widowControl w:val="0"/>
        <w:numPr>
          <w:ilvl w:val="0"/>
          <w:numId w:val="2"/>
        </w:numPr>
        <w:autoSpaceDE w:val="0"/>
        <w:autoSpaceDN w:val="0"/>
        <w:adjustRightInd w:val="0"/>
        <w:spacing w:after="0" w:line="240" w:lineRule="auto"/>
        <w:rPr>
          <w:rFonts w:ascii="Times New Roman" w:hAnsi="Times New Roman" w:cs="Times New Roman"/>
          <w:b/>
          <w:bCs/>
          <w:sz w:val="26"/>
          <w:szCs w:val="26"/>
        </w:rPr>
      </w:pPr>
      <w:r w:rsidRPr="00D27CC7">
        <w:rPr>
          <w:rFonts w:ascii="Times New Roman" w:hAnsi="Times New Roman" w:cs="Times New Roman"/>
          <w:b/>
          <w:bCs/>
          <w:sz w:val="26"/>
          <w:szCs w:val="26"/>
        </w:rPr>
        <w:t>CIRCUMSTANCES THAT MAKE THE COLLECTION OF INFORMATION NECESSARY</w:t>
      </w:r>
    </w:p>
    <w:p w14:paraId="438D8D73" w14:textId="77777777" w:rsidR="002B7FAC" w:rsidRPr="00D27CC7" w:rsidRDefault="002B7FAC" w:rsidP="00C2572D">
      <w:pPr>
        <w:widowControl w:val="0"/>
        <w:autoSpaceDE w:val="0"/>
        <w:autoSpaceDN w:val="0"/>
        <w:adjustRightInd w:val="0"/>
        <w:spacing w:after="0" w:line="240" w:lineRule="auto"/>
        <w:ind w:left="360"/>
        <w:rPr>
          <w:rFonts w:ascii="Times New Roman" w:hAnsi="Times New Roman" w:cs="Times New Roman"/>
          <w:b/>
          <w:bCs/>
          <w:sz w:val="26"/>
          <w:szCs w:val="26"/>
        </w:rPr>
      </w:pPr>
    </w:p>
    <w:p w14:paraId="28785F67" w14:textId="6CB52930" w:rsidR="00256B50" w:rsidRDefault="002B7FAC" w:rsidP="00B87F76">
      <w:pPr>
        <w:spacing w:line="240" w:lineRule="auto"/>
        <w:rPr>
          <w:rFonts w:ascii="Times New Roman" w:hAnsi="Times New Roman"/>
          <w:sz w:val="26"/>
          <w:szCs w:val="26"/>
        </w:rPr>
      </w:pPr>
      <w:r w:rsidRPr="00D27CC7">
        <w:rPr>
          <w:rFonts w:ascii="Times New Roman" w:hAnsi="Times New Roman"/>
          <w:sz w:val="26"/>
          <w:szCs w:val="26"/>
        </w:rPr>
        <w:t>In 1992</w:t>
      </w:r>
      <w:r w:rsidR="00256B50">
        <w:rPr>
          <w:rFonts w:ascii="Times New Roman" w:hAnsi="Times New Roman"/>
          <w:sz w:val="26"/>
          <w:szCs w:val="26"/>
        </w:rPr>
        <w:t>,</w:t>
      </w:r>
      <w:r w:rsidRPr="00D27CC7">
        <w:rPr>
          <w:rFonts w:ascii="Times New Roman" w:hAnsi="Times New Roman"/>
          <w:sz w:val="26"/>
          <w:szCs w:val="26"/>
        </w:rPr>
        <w:t xml:space="preserve"> Congress enacted the Energy Policy Act of 1992</w:t>
      </w:r>
      <w:r w:rsidR="0040689F">
        <w:rPr>
          <w:rFonts w:ascii="Times New Roman" w:hAnsi="Times New Roman"/>
          <w:sz w:val="26"/>
          <w:szCs w:val="26"/>
        </w:rPr>
        <w:t xml:space="preserve"> (EPAct 1992)</w:t>
      </w:r>
      <w:r w:rsidRPr="00D27CC7">
        <w:rPr>
          <w:rFonts w:ascii="Times New Roman" w:hAnsi="Times New Roman"/>
          <w:sz w:val="26"/>
          <w:szCs w:val="26"/>
        </w:rPr>
        <w:t>.</w:t>
      </w:r>
      <w:r w:rsidRPr="00D27CC7">
        <w:rPr>
          <w:rStyle w:val="FootnoteReference"/>
          <w:sz w:val="26"/>
          <w:szCs w:val="26"/>
          <w:vertAlign w:val="superscript"/>
        </w:rPr>
        <w:footnoteReference w:id="1"/>
      </w:r>
      <w:r w:rsidRPr="00D27CC7">
        <w:rPr>
          <w:rFonts w:ascii="Times New Roman" w:hAnsi="Times New Roman"/>
          <w:sz w:val="26"/>
          <w:szCs w:val="26"/>
        </w:rPr>
        <w:t xml:space="preserve">  EPAct</w:t>
      </w:r>
      <w:r w:rsidR="0040689F">
        <w:rPr>
          <w:rFonts w:ascii="Times New Roman" w:hAnsi="Times New Roman"/>
          <w:sz w:val="26"/>
          <w:szCs w:val="26"/>
        </w:rPr>
        <w:t xml:space="preserve"> 1992</w:t>
      </w:r>
      <w:r w:rsidRPr="00D27CC7">
        <w:rPr>
          <w:rFonts w:ascii="Times New Roman" w:hAnsi="Times New Roman"/>
          <w:sz w:val="26"/>
          <w:szCs w:val="26"/>
        </w:rPr>
        <w:t xml:space="preserve"> was </w:t>
      </w:r>
      <w:r w:rsidR="0040689F">
        <w:rPr>
          <w:rFonts w:ascii="Times New Roman" w:hAnsi="Times New Roman"/>
          <w:sz w:val="26"/>
          <w:szCs w:val="26"/>
        </w:rPr>
        <w:t>intended, in relevant part,</w:t>
      </w:r>
      <w:r w:rsidRPr="00D27CC7">
        <w:rPr>
          <w:rFonts w:ascii="Times New Roman" w:hAnsi="Times New Roman"/>
          <w:sz w:val="26"/>
          <w:szCs w:val="26"/>
        </w:rPr>
        <w:t xml:space="preserve"> to </w:t>
      </w:r>
      <w:r w:rsidR="00C236BD">
        <w:rPr>
          <w:rFonts w:ascii="Times New Roman" w:hAnsi="Times New Roman"/>
          <w:sz w:val="26"/>
          <w:szCs w:val="26"/>
        </w:rPr>
        <w:t xml:space="preserve">remove barriers to </w:t>
      </w:r>
      <w:r w:rsidRPr="00D27CC7">
        <w:rPr>
          <w:rFonts w:ascii="Times New Roman" w:hAnsi="Times New Roman"/>
          <w:sz w:val="26"/>
          <w:szCs w:val="26"/>
        </w:rPr>
        <w:t xml:space="preserve">newcomers </w:t>
      </w:r>
      <w:r w:rsidR="00C236BD">
        <w:rPr>
          <w:rFonts w:ascii="Times New Roman" w:hAnsi="Times New Roman"/>
          <w:sz w:val="26"/>
          <w:szCs w:val="26"/>
        </w:rPr>
        <w:t xml:space="preserve">who wished </w:t>
      </w:r>
      <w:r w:rsidRPr="00D27CC7">
        <w:rPr>
          <w:rFonts w:ascii="Times New Roman" w:hAnsi="Times New Roman"/>
          <w:sz w:val="26"/>
          <w:szCs w:val="26"/>
        </w:rPr>
        <w:t xml:space="preserve">to enter the electric supply industry.  Specifically, </w:t>
      </w:r>
      <w:r w:rsidR="0040689F">
        <w:rPr>
          <w:rFonts w:ascii="Times New Roman" w:hAnsi="Times New Roman"/>
          <w:sz w:val="26"/>
          <w:szCs w:val="26"/>
        </w:rPr>
        <w:t>s</w:t>
      </w:r>
      <w:r w:rsidRPr="00D27CC7">
        <w:rPr>
          <w:rFonts w:ascii="Times New Roman" w:hAnsi="Times New Roman"/>
          <w:sz w:val="26"/>
          <w:szCs w:val="26"/>
        </w:rPr>
        <w:t>ection 711 of EPAct amended the Public Utility Holding Company Act of 1935 (PUHCA</w:t>
      </w:r>
      <w:r w:rsidR="00D75834">
        <w:rPr>
          <w:rFonts w:ascii="Times New Roman" w:hAnsi="Times New Roman"/>
          <w:sz w:val="26"/>
          <w:szCs w:val="26"/>
        </w:rPr>
        <w:t xml:space="preserve"> 1935</w:t>
      </w:r>
      <w:r w:rsidRPr="00D27CC7">
        <w:rPr>
          <w:rFonts w:ascii="Times New Roman" w:hAnsi="Times New Roman"/>
          <w:sz w:val="26"/>
          <w:szCs w:val="26"/>
        </w:rPr>
        <w:t>)</w:t>
      </w:r>
      <w:r w:rsidR="00AE7B39">
        <w:rPr>
          <w:rFonts w:ascii="Times New Roman" w:hAnsi="Times New Roman"/>
          <w:sz w:val="26"/>
          <w:szCs w:val="26"/>
        </w:rPr>
        <w:t>, by adding a new S</w:t>
      </w:r>
      <w:r w:rsidR="00D75834">
        <w:rPr>
          <w:rFonts w:ascii="Times New Roman" w:hAnsi="Times New Roman"/>
          <w:sz w:val="26"/>
          <w:szCs w:val="26"/>
        </w:rPr>
        <w:t>ection 32 to PUHCA 1935,</w:t>
      </w:r>
      <w:r w:rsidRPr="00D27CC7">
        <w:rPr>
          <w:rFonts w:ascii="Times New Roman" w:hAnsi="Times New Roman"/>
          <w:sz w:val="26"/>
          <w:szCs w:val="26"/>
        </w:rPr>
        <w:t xml:space="preserve"> to create a category of power producers known as exempt wholesale generators (EWGs) </w:t>
      </w:r>
      <w:r w:rsidR="00D75834">
        <w:rPr>
          <w:rFonts w:ascii="Times New Roman" w:hAnsi="Times New Roman"/>
          <w:sz w:val="26"/>
          <w:szCs w:val="26"/>
        </w:rPr>
        <w:t xml:space="preserve">whose ownership would not trigger </w:t>
      </w:r>
      <w:r w:rsidRPr="00D27CC7">
        <w:rPr>
          <w:rFonts w:ascii="Times New Roman" w:hAnsi="Times New Roman"/>
          <w:sz w:val="26"/>
          <w:szCs w:val="26"/>
        </w:rPr>
        <w:t>PUHCA</w:t>
      </w:r>
      <w:r w:rsidR="0040689F">
        <w:rPr>
          <w:rFonts w:ascii="Times New Roman" w:hAnsi="Times New Roman"/>
          <w:sz w:val="26"/>
          <w:szCs w:val="26"/>
        </w:rPr>
        <w:t xml:space="preserve"> 1932</w:t>
      </w:r>
      <w:r w:rsidR="00D75834">
        <w:rPr>
          <w:rFonts w:ascii="Times New Roman" w:hAnsi="Times New Roman"/>
          <w:sz w:val="26"/>
          <w:szCs w:val="26"/>
        </w:rPr>
        <w:t>’s</w:t>
      </w:r>
      <w:r w:rsidRPr="00D27CC7">
        <w:rPr>
          <w:rFonts w:ascii="Times New Roman" w:hAnsi="Times New Roman"/>
          <w:sz w:val="26"/>
          <w:szCs w:val="26"/>
        </w:rPr>
        <w:t xml:space="preserve"> requirements.</w:t>
      </w:r>
      <w:r w:rsidR="00D75834" w:rsidRPr="00FE648B">
        <w:rPr>
          <w:rStyle w:val="FootnoteReference"/>
          <w:rFonts w:ascii="Times New Roman" w:hAnsi="Times New Roman"/>
          <w:sz w:val="26"/>
          <w:szCs w:val="26"/>
          <w:vertAlign w:val="superscript"/>
        </w:rPr>
        <w:footnoteReference w:id="2"/>
      </w:r>
      <w:r w:rsidRPr="00FE648B">
        <w:rPr>
          <w:rFonts w:ascii="Times New Roman" w:hAnsi="Times New Roman"/>
          <w:sz w:val="26"/>
          <w:szCs w:val="26"/>
          <w:vertAlign w:val="superscript"/>
        </w:rPr>
        <w:t xml:space="preserve"> </w:t>
      </w:r>
      <w:r w:rsidR="00D75834">
        <w:rPr>
          <w:rFonts w:ascii="Times New Roman" w:hAnsi="Times New Roman"/>
          <w:sz w:val="26"/>
          <w:szCs w:val="26"/>
        </w:rPr>
        <w:t xml:space="preserve"> </w:t>
      </w:r>
      <w:r w:rsidRPr="00D27CC7">
        <w:rPr>
          <w:rFonts w:ascii="Times New Roman" w:hAnsi="Times New Roman"/>
          <w:sz w:val="26"/>
          <w:szCs w:val="26"/>
        </w:rPr>
        <w:t xml:space="preserve">The Commission </w:t>
      </w:r>
      <w:r w:rsidR="00D75834">
        <w:rPr>
          <w:rFonts w:ascii="Times New Roman" w:hAnsi="Times New Roman"/>
          <w:sz w:val="26"/>
          <w:szCs w:val="26"/>
        </w:rPr>
        <w:t>subsequently promulgated</w:t>
      </w:r>
      <w:r w:rsidRPr="00D27CC7">
        <w:rPr>
          <w:rFonts w:ascii="Times New Roman" w:hAnsi="Times New Roman"/>
          <w:sz w:val="26"/>
          <w:szCs w:val="26"/>
        </w:rPr>
        <w:t xml:space="preserve"> rules to implement procedures for determining </w:t>
      </w:r>
      <w:r w:rsidR="00D75834">
        <w:rPr>
          <w:rFonts w:ascii="Times New Roman" w:hAnsi="Times New Roman"/>
          <w:sz w:val="26"/>
          <w:szCs w:val="26"/>
        </w:rPr>
        <w:t xml:space="preserve">EWG </w:t>
      </w:r>
      <w:r w:rsidRPr="00D27CC7">
        <w:rPr>
          <w:rFonts w:ascii="Times New Roman" w:hAnsi="Times New Roman"/>
          <w:sz w:val="26"/>
          <w:szCs w:val="26"/>
        </w:rPr>
        <w:t>status</w:t>
      </w:r>
      <w:r w:rsidR="0018468C">
        <w:rPr>
          <w:rFonts w:ascii="Times New Roman" w:hAnsi="Times New Roman"/>
          <w:sz w:val="26"/>
          <w:szCs w:val="26"/>
        </w:rPr>
        <w:t>; t</w:t>
      </w:r>
      <w:r w:rsidRPr="00D27CC7">
        <w:rPr>
          <w:rFonts w:ascii="Times New Roman" w:hAnsi="Times New Roman"/>
          <w:sz w:val="26"/>
          <w:szCs w:val="26"/>
        </w:rPr>
        <w:t>he Commission considered an applicant to be a</w:t>
      </w:r>
      <w:r w:rsidR="00391D65">
        <w:rPr>
          <w:rFonts w:ascii="Times New Roman" w:hAnsi="Times New Roman"/>
          <w:sz w:val="26"/>
          <w:szCs w:val="26"/>
        </w:rPr>
        <w:t>n</w:t>
      </w:r>
      <w:r w:rsidRPr="00D27CC7">
        <w:rPr>
          <w:rFonts w:ascii="Times New Roman" w:hAnsi="Times New Roman"/>
          <w:sz w:val="26"/>
          <w:szCs w:val="26"/>
        </w:rPr>
        <w:t xml:space="preserve"> EWG, if it was a power producer, engaged directly, or indirectly through one or more affiliates, and exclusively in the business of owning and/or operating all or part of one or more eligible facilities, and selling electric energy at wholesale.</w:t>
      </w:r>
      <w:r w:rsidR="0018468C" w:rsidRPr="00414399">
        <w:rPr>
          <w:rStyle w:val="FootnoteReference"/>
          <w:rFonts w:ascii="Times New Roman" w:hAnsi="Times New Roman"/>
          <w:sz w:val="26"/>
          <w:szCs w:val="26"/>
          <w:vertAlign w:val="superscript"/>
        </w:rPr>
        <w:footnoteReference w:id="3"/>
      </w:r>
    </w:p>
    <w:p w14:paraId="2CF0B81A" w14:textId="26338E80" w:rsidR="002B7FAC" w:rsidRPr="00D27CC7" w:rsidRDefault="00A72676" w:rsidP="00B87F76">
      <w:pPr>
        <w:spacing w:line="240" w:lineRule="auto"/>
        <w:rPr>
          <w:rFonts w:ascii="Times New Roman" w:hAnsi="Times New Roman"/>
          <w:sz w:val="26"/>
          <w:szCs w:val="26"/>
        </w:rPr>
      </w:pPr>
      <w:r>
        <w:rPr>
          <w:rFonts w:ascii="Times New Roman" w:hAnsi="Times New Roman"/>
          <w:sz w:val="26"/>
          <w:szCs w:val="26"/>
        </w:rPr>
        <w:t>Under PUHCA</w:t>
      </w:r>
      <w:r w:rsidR="0018468C">
        <w:rPr>
          <w:rFonts w:ascii="Times New Roman" w:hAnsi="Times New Roman"/>
          <w:sz w:val="26"/>
          <w:szCs w:val="26"/>
        </w:rPr>
        <w:t xml:space="preserve"> 1935’s</w:t>
      </w:r>
      <w:r>
        <w:rPr>
          <w:rFonts w:ascii="Times New Roman" w:hAnsi="Times New Roman"/>
          <w:sz w:val="26"/>
          <w:szCs w:val="26"/>
        </w:rPr>
        <w:t xml:space="preserve"> </w:t>
      </w:r>
      <w:r w:rsidR="0018468C">
        <w:rPr>
          <w:rFonts w:ascii="Times New Roman" w:hAnsi="Times New Roman"/>
          <w:sz w:val="26"/>
          <w:szCs w:val="26"/>
        </w:rPr>
        <w:t>s</w:t>
      </w:r>
      <w:r>
        <w:rPr>
          <w:rFonts w:ascii="Times New Roman" w:hAnsi="Times New Roman"/>
          <w:sz w:val="26"/>
          <w:szCs w:val="26"/>
        </w:rPr>
        <w:t xml:space="preserve">ection 32, EWGs could construct, own, and operate generating facilities anywhere, but </w:t>
      </w:r>
      <w:r w:rsidR="0018468C">
        <w:rPr>
          <w:rFonts w:ascii="Times New Roman" w:hAnsi="Times New Roman"/>
          <w:sz w:val="26"/>
          <w:szCs w:val="26"/>
        </w:rPr>
        <w:t xml:space="preserve">could </w:t>
      </w:r>
      <w:r>
        <w:rPr>
          <w:rFonts w:ascii="Times New Roman" w:hAnsi="Times New Roman"/>
          <w:sz w:val="26"/>
          <w:szCs w:val="26"/>
        </w:rPr>
        <w:t xml:space="preserve">sell power only </w:t>
      </w:r>
      <w:r w:rsidR="0018468C">
        <w:rPr>
          <w:rFonts w:ascii="Times New Roman" w:hAnsi="Times New Roman"/>
          <w:sz w:val="26"/>
          <w:szCs w:val="26"/>
        </w:rPr>
        <w:t>at</w:t>
      </w:r>
      <w:r>
        <w:rPr>
          <w:rFonts w:ascii="Times New Roman" w:hAnsi="Times New Roman"/>
          <w:sz w:val="26"/>
          <w:szCs w:val="26"/>
        </w:rPr>
        <w:t xml:space="preserve"> wholesale.  Retail sales directly to domestic end-users were banned.  </w:t>
      </w:r>
      <w:r w:rsidR="002B7FAC" w:rsidRPr="00D27CC7">
        <w:rPr>
          <w:rFonts w:ascii="Times New Roman" w:hAnsi="Times New Roman"/>
          <w:sz w:val="26"/>
          <w:szCs w:val="26"/>
        </w:rPr>
        <w:t xml:space="preserve">In order to obtain EWG status, the Commission required the </w:t>
      </w:r>
      <w:r w:rsidR="00391D65">
        <w:rPr>
          <w:rFonts w:ascii="Times New Roman" w:hAnsi="Times New Roman"/>
          <w:sz w:val="26"/>
          <w:szCs w:val="26"/>
        </w:rPr>
        <w:t>submittal</w:t>
      </w:r>
      <w:r w:rsidR="002B7FAC" w:rsidRPr="00D27CC7">
        <w:rPr>
          <w:rFonts w:ascii="Times New Roman" w:hAnsi="Times New Roman"/>
          <w:sz w:val="26"/>
          <w:szCs w:val="26"/>
        </w:rPr>
        <w:t xml:space="preserve"> of an application </w:t>
      </w:r>
      <w:r w:rsidR="00D75834">
        <w:rPr>
          <w:rFonts w:ascii="Times New Roman" w:hAnsi="Times New Roman"/>
          <w:sz w:val="26"/>
          <w:szCs w:val="26"/>
        </w:rPr>
        <w:t xml:space="preserve">providing information </w:t>
      </w:r>
      <w:r w:rsidR="002B7FAC" w:rsidRPr="00D27CC7">
        <w:rPr>
          <w:rFonts w:ascii="Times New Roman" w:hAnsi="Times New Roman"/>
          <w:sz w:val="26"/>
          <w:szCs w:val="26"/>
        </w:rPr>
        <w:t>consistent with the requirements of Section 32(a).</w:t>
      </w:r>
      <w:r w:rsidR="00551197" w:rsidRPr="00414399">
        <w:rPr>
          <w:rStyle w:val="FootnoteReference"/>
          <w:rFonts w:ascii="Times New Roman" w:hAnsi="Times New Roman"/>
          <w:sz w:val="26"/>
          <w:szCs w:val="26"/>
          <w:vertAlign w:val="superscript"/>
        </w:rPr>
        <w:footnoteReference w:id="4"/>
      </w:r>
      <w:r w:rsidR="002B7FAC" w:rsidRPr="00D27CC7">
        <w:rPr>
          <w:rFonts w:ascii="Times New Roman" w:hAnsi="Times New Roman"/>
          <w:sz w:val="26"/>
          <w:szCs w:val="26"/>
        </w:rPr>
        <w:t xml:space="preserve">  </w:t>
      </w:r>
    </w:p>
    <w:p w14:paraId="29D39470" w14:textId="77777777" w:rsidR="002B7FAC" w:rsidRPr="00D27CC7" w:rsidRDefault="00D75834" w:rsidP="00B87F76">
      <w:pPr>
        <w:spacing w:line="240" w:lineRule="auto"/>
        <w:rPr>
          <w:rFonts w:ascii="Times New Roman" w:hAnsi="Times New Roman"/>
          <w:sz w:val="26"/>
          <w:szCs w:val="26"/>
        </w:rPr>
      </w:pPr>
      <w:r>
        <w:rPr>
          <w:rFonts w:ascii="Times New Roman" w:hAnsi="Times New Roman"/>
          <w:sz w:val="26"/>
          <w:szCs w:val="26"/>
        </w:rPr>
        <w:t xml:space="preserve">Subsequently, the </w:t>
      </w:r>
      <w:r w:rsidR="002B7FAC" w:rsidRPr="00D27CC7">
        <w:rPr>
          <w:rFonts w:ascii="Times New Roman" w:hAnsi="Times New Roman"/>
          <w:sz w:val="26"/>
          <w:szCs w:val="26"/>
        </w:rPr>
        <w:t>Energy Policy Act of 2005</w:t>
      </w:r>
      <w:r w:rsidR="002B7FAC" w:rsidRPr="00D27CC7">
        <w:rPr>
          <w:rStyle w:val="FootnoteReference"/>
          <w:sz w:val="26"/>
          <w:szCs w:val="26"/>
          <w:vertAlign w:val="superscript"/>
        </w:rPr>
        <w:footnoteReference w:id="5"/>
      </w:r>
      <w:r w:rsidR="002B7FAC" w:rsidRPr="00D27CC7">
        <w:rPr>
          <w:rFonts w:ascii="Times New Roman" w:hAnsi="Times New Roman"/>
          <w:sz w:val="26"/>
          <w:szCs w:val="26"/>
        </w:rPr>
        <w:t xml:space="preserve">  repealed PUHCA 1935 and enacted </w:t>
      </w:r>
      <w:r>
        <w:rPr>
          <w:rFonts w:ascii="Times New Roman" w:hAnsi="Times New Roman"/>
          <w:sz w:val="26"/>
          <w:szCs w:val="26"/>
        </w:rPr>
        <w:t>the Public Utility Holding Company Act of 2005 (</w:t>
      </w:r>
      <w:r w:rsidR="002B7FAC" w:rsidRPr="00D27CC7">
        <w:rPr>
          <w:rFonts w:ascii="Times New Roman" w:hAnsi="Times New Roman"/>
          <w:sz w:val="26"/>
          <w:szCs w:val="26"/>
        </w:rPr>
        <w:t>PUHCA 2005</w:t>
      </w:r>
      <w:r w:rsidR="00164CE7">
        <w:rPr>
          <w:rFonts w:ascii="Times New Roman" w:hAnsi="Times New Roman"/>
          <w:sz w:val="26"/>
          <w:szCs w:val="26"/>
        </w:rPr>
        <w:t>)</w:t>
      </w:r>
      <w:r w:rsidR="002B7FAC" w:rsidRPr="00D27CC7">
        <w:rPr>
          <w:rFonts w:ascii="Times New Roman" w:hAnsi="Times New Roman"/>
          <w:sz w:val="26"/>
          <w:szCs w:val="26"/>
        </w:rPr>
        <w:t>.</w:t>
      </w:r>
      <w:r w:rsidR="00551197" w:rsidRPr="00414399">
        <w:rPr>
          <w:rStyle w:val="FootnoteReference"/>
          <w:rFonts w:ascii="Times New Roman" w:hAnsi="Times New Roman"/>
          <w:sz w:val="26"/>
          <w:szCs w:val="26"/>
          <w:vertAlign w:val="superscript"/>
        </w:rPr>
        <w:footnoteReference w:id="6"/>
      </w:r>
      <w:r w:rsidR="002B7FAC" w:rsidRPr="00414399">
        <w:rPr>
          <w:rFonts w:ascii="Times New Roman" w:hAnsi="Times New Roman"/>
          <w:sz w:val="26"/>
          <w:szCs w:val="26"/>
          <w:vertAlign w:val="superscript"/>
        </w:rPr>
        <w:t xml:space="preserve"> </w:t>
      </w:r>
      <w:r w:rsidR="00164CE7" w:rsidRPr="00414399">
        <w:rPr>
          <w:rFonts w:ascii="Times New Roman" w:hAnsi="Times New Roman"/>
          <w:sz w:val="26"/>
          <w:szCs w:val="26"/>
          <w:vertAlign w:val="superscript"/>
        </w:rPr>
        <w:t xml:space="preserve"> </w:t>
      </w:r>
      <w:r w:rsidR="00164CE7">
        <w:rPr>
          <w:rFonts w:ascii="Times New Roman" w:hAnsi="Times New Roman"/>
          <w:sz w:val="26"/>
          <w:szCs w:val="26"/>
        </w:rPr>
        <w:t xml:space="preserve">As a consequence, the Commission now was responsible not only for making determinations as to EWG status, </w:t>
      </w:r>
      <w:r w:rsidR="00164CE7">
        <w:rPr>
          <w:rFonts w:ascii="Times New Roman" w:hAnsi="Times New Roman"/>
          <w:sz w:val="26"/>
          <w:szCs w:val="26"/>
        </w:rPr>
        <w:lastRenderedPageBreak/>
        <w:t>but also Foreign Utility Company (FUCO) status.</w:t>
      </w:r>
      <w:r w:rsidR="004F482D">
        <w:rPr>
          <w:rStyle w:val="FootnoteReference"/>
          <w:rFonts w:ascii="Times New Roman" w:hAnsi="Times New Roman"/>
          <w:sz w:val="26"/>
          <w:szCs w:val="26"/>
        </w:rPr>
        <w:footnoteReference w:id="7"/>
      </w:r>
      <w:r w:rsidR="00164CE7">
        <w:rPr>
          <w:rFonts w:ascii="Times New Roman" w:hAnsi="Times New Roman"/>
          <w:sz w:val="26"/>
          <w:szCs w:val="26"/>
        </w:rPr>
        <w:t xml:space="preserve"> </w:t>
      </w:r>
      <w:r w:rsidR="004F482D">
        <w:rPr>
          <w:rFonts w:ascii="Times New Roman" w:hAnsi="Times New Roman"/>
          <w:sz w:val="26"/>
          <w:szCs w:val="26"/>
        </w:rPr>
        <w:t xml:space="preserve"> </w:t>
      </w:r>
      <w:r w:rsidR="002B7FAC" w:rsidRPr="00D27CC7">
        <w:rPr>
          <w:rFonts w:ascii="Times New Roman" w:hAnsi="Times New Roman"/>
          <w:sz w:val="26"/>
          <w:szCs w:val="26"/>
        </w:rPr>
        <w:t xml:space="preserve">Prior to the repeal of PUHCA 1935, </w:t>
      </w:r>
      <w:r w:rsidR="00164CE7">
        <w:rPr>
          <w:rFonts w:ascii="Times New Roman" w:hAnsi="Times New Roman"/>
          <w:sz w:val="26"/>
          <w:szCs w:val="26"/>
        </w:rPr>
        <w:t>while the Commission was responsible for making determinations as to EWG sta</w:t>
      </w:r>
      <w:r w:rsidR="00FE648B">
        <w:rPr>
          <w:rFonts w:ascii="Times New Roman" w:hAnsi="Times New Roman"/>
          <w:sz w:val="26"/>
          <w:szCs w:val="26"/>
        </w:rPr>
        <w:t>tu</w:t>
      </w:r>
      <w:r w:rsidR="00164CE7">
        <w:rPr>
          <w:rFonts w:ascii="Times New Roman" w:hAnsi="Times New Roman"/>
          <w:sz w:val="26"/>
          <w:szCs w:val="26"/>
        </w:rPr>
        <w:t xml:space="preserve">s, </w:t>
      </w:r>
      <w:r w:rsidR="002B7FAC" w:rsidRPr="00D27CC7">
        <w:rPr>
          <w:rFonts w:ascii="Times New Roman" w:hAnsi="Times New Roman"/>
          <w:sz w:val="26"/>
          <w:szCs w:val="26"/>
        </w:rPr>
        <w:t>the Securities and Exchange Commission (SEC) was responsible for determining whether an entity qualified for FUCO status.  With the repeal of PUHCA 1935</w:t>
      </w:r>
      <w:r w:rsidR="00164CE7">
        <w:rPr>
          <w:rFonts w:ascii="Times New Roman" w:hAnsi="Times New Roman"/>
          <w:sz w:val="26"/>
          <w:szCs w:val="26"/>
        </w:rPr>
        <w:t xml:space="preserve"> and its replacement by PUHCA 2005</w:t>
      </w:r>
      <w:r w:rsidR="002B7FAC" w:rsidRPr="00D27CC7">
        <w:rPr>
          <w:rFonts w:ascii="Times New Roman" w:hAnsi="Times New Roman"/>
          <w:sz w:val="26"/>
          <w:szCs w:val="26"/>
        </w:rPr>
        <w:t xml:space="preserve">, that responsibility now rests with the Commission.  </w:t>
      </w:r>
    </w:p>
    <w:p w14:paraId="34F2621B" w14:textId="0339285E" w:rsidR="002B7FAC" w:rsidRPr="00D27CC7" w:rsidRDefault="002B7FAC" w:rsidP="00B87F76">
      <w:pPr>
        <w:tabs>
          <w:tab w:val="center" w:pos="4680"/>
        </w:tabs>
        <w:spacing w:line="240" w:lineRule="auto"/>
        <w:rPr>
          <w:rFonts w:ascii="Times New Roman" w:hAnsi="Times New Roman"/>
          <w:sz w:val="26"/>
          <w:szCs w:val="26"/>
        </w:rPr>
      </w:pPr>
      <w:r w:rsidRPr="00D27CC7">
        <w:rPr>
          <w:rFonts w:ascii="Times New Roman" w:hAnsi="Times New Roman"/>
          <w:sz w:val="26"/>
          <w:szCs w:val="26"/>
        </w:rPr>
        <w:t>FUCO</w:t>
      </w:r>
      <w:r w:rsidR="00164CE7">
        <w:rPr>
          <w:rFonts w:ascii="Times New Roman" w:hAnsi="Times New Roman"/>
          <w:sz w:val="26"/>
          <w:szCs w:val="26"/>
        </w:rPr>
        <w:t>s</w:t>
      </w:r>
      <w:r w:rsidRPr="00D27CC7">
        <w:rPr>
          <w:rFonts w:ascii="Times New Roman" w:hAnsi="Times New Roman"/>
          <w:sz w:val="26"/>
          <w:szCs w:val="26"/>
        </w:rPr>
        <w:t xml:space="preserve"> are companies that own </w:t>
      </w:r>
      <w:r w:rsidR="00164CE7">
        <w:rPr>
          <w:rFonts w:ascii="Times New Roman" w:hAnsi="Times New Roman"/>
          <w:sz w:val="26"/>
          <w:szCs w:val="26"/>
        </w:rPr>
        <w:t>or</w:t>
      </w:r>
      <w:r w:rsidRPr="00D27CC7">
        <w:rPr>
          <w:rFonts w:ascii="Times New Roman" w:hAnsi="Times New Roman"/>
          <w:sz w:val="26"/>
          <w:szCs w:val="26"/>
        </w:rPr>
        <w:t xml:space="preserve"> operate facilities </w:t>
      </w:r>
      <w:r w:rsidR="00164CE7">
        <w:rPr>
          <w:rFonts w:ascii="Times New Roman" w:hAnsi="Times New Roman"/>
          <w:sz w:val="26"/>
          <w:szCs w:val="26"/>
        </w:rPr>
        <w:t xml:space="preserve">located outside the United States </w:t>
      </w:r>
      <w:r w:rsidRPr="00D27CC7">
        <w:rPr>
          <w:rFonts w:ascii="Times New Roman" w:hAnsi="Times New Roman"/>
          <w:sz w:val="26"/>
          <w:szCs w:val="26"/>
        </w:rPr>
        <w:t xml:space="preserve">used for the generation, transmission, or distribution of electric energy for sale or the distribution at retail of natural or manufactured gas </w:t>
      </w:r>
      <w:r w:rsidR="00164CE7">
        <w:rPr>
          <w:rFonts w:ascii="Times New Roman" w:hAnsi="Times New Roman"/>
          <w:sz w:val="26"/>
          <w:szCs w:val="26"/>
        </w:rPr>
        <w:t>for heat, light or power</w:t>
      </w:r>
      <w:r w:rsidRPr="00D27CC7">
        <w:rPr>
          <w:rFonts w:ascii="Times New Roman" w:hAnsi="Times New Roman"/>
          <w:sz w:val="26"/>
          <w:szCs w:val="26"/>
        </w:rPr>
        <w:t xml:space="preserve">.  FUCOs </w:t>
      </w:r>
      <w:r w:rsidR="00164CE7">
        <w:rPr>
          <w:rFonts w:ascii="Times New Roman" w:hAnsi="Times New Roman"/>
          <w:sz w:val="26"/>
          <w:szCs w:val="26"/>
        </w:rPr>
        <w:t xml:space="preserve">also must </w:t>
      </w:r>
      <w:r w:rsidRPr="00D27CC7">
        <w:rPr>
          <w:rFonts w:ascii="Times New Roman" w:hAnsi="Times New Roman"/>
          <w:sz w:val="26"/>
          <w:szCs w:val="26"/>
        </w:rPr>
        <w:t>derive no part of their income, directly or indirectly, from the United States energy</w:t>
      </w:r>
      <w:r w:rsidR="00EA6370">
        <w:rPr>
          <w:rFonts w:ascii="Times New Roman" w:hAnsi="Times New Roman"/>
          <w:sz w:val="26"/>
          <w:szCs w:val="26"/>
        </w:rPr>
        <w:t xml:space="preserve"> </w:t>
      </w:r>
      <w:r w:rsidR="004F482D">
        <w:rPr>
          <w:rFonts w:ascii="Times New Roman" w:hAnsi="Times New Roman"/>
          <w:sz w:val="26"/>
          <w:szCs w:val="26"/>
        </w:rPr>
        <w:t>transactions</w:t>
      </w:r>
      <w:r w:rsidRPr="00D27CC7">
        <w:rPr>
          <w:rFonts w:ascii="Times New Roman" w:hAnsi="Times New Roman"/>
          <w:sz w:val="26"/>
          <w:szCs w:val="26"/>
        </w:rPr>
        <w:t xml:space="preserve">.  </w:t>
      </w:r>
    </w:p>
    <w:p w14:paraId="51AA8258" w14:textId="77777777" w:rsidR="006A0CCC" w:rsidRDefault="002B7FAC" w:rsidP="00C2572D">
      <w:pPr>
        <w:widowControl w:val="0"/>
        <w:numPr>
          <w:ilvl w:val="0"/>
          <w:numId w:val="2"/>
        </w:numPr>
        <w:autoSpaceDE w:val="0"/>
        <w:autoSpaceDN w:val="0"/>
        <w:adjustRightInd w:val="0"/>
        <w:spacing w:after="0" w:line="240" w:lineRule="auto"/>
        <w:rPr>
          <w:rFonts w:ascii="Times New Roman" w:hAnsi="Times New Roman" w:cs="Times New Roman"/>
          <w:b/>
          <w:bCs/>
          <w:sz w:val="26"/>
          <w:szCs w:val="26"/>
        </w:rPr>
      </w:pPr>
      <w:r w:rsidRPr="00D27CC7">
        <w:rPr>
          <w:rFonts w:ascii="Times New Roman" w:hAnsi="Times New Roman" w:cs="Times New Roman"/>
          <w:b/>
          <w:bCs/>
          <w:sz w:val="26"/>
          <w:szCs w:val="26"/>
        </w:rPr>
        <w:t>HOW, BY WHOM, AND FOR WHAT PURPOSE THE INFORMATION IS TO BE USED AND THE CONSEQUENCES OF NOT COLLECTING THE INFORMATION</w:t>
      </w:r>
    </w:p>
    <w:p w14:paraId="15575053" w14:textId="77777777" w:rsidR="006A0CCC" w:rsidRPr="006A0CCC" w:rsidRDefault="006A0CCC" w:rsidP="00C2572D">
      <w:pPr>
        <w:widowControl w:val="0"/>
        <w:autoSpaceDE w:val="0"/>
        <w:autoSpaceDN w:val="0"/>
        <w:adjustRightInd w:val="0"/>
        <w:spacing w:after="0" w:line="240" w:lineRule="auto"/>
        <w:ind w:left="360"/>
        <w:rPr>
          <w:rFonts w:ascii="Times New Roman" w:hAnsi="Times New Roman" w:cs="Times New Roman"/>
          <w:b/>
          <w:bCs/>
          <w:sz w:val="26"/>
          <w:szCs w:val="26"/>
        </w:rPr>
      </w:pPr>
    </w:p>
    <w:p w14:paraId="51B13846" w14:textId="7A1D8809" w:rsidR="00AE7B39" w:rsidRPr="00AE7B39" w:rsidRDefault="004F482D" w:rsidP="00B87F76">
      <w:pPr>
        <w:spacing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4"/>
        </w:rPr>
        <w:t xml:space="preserve">While providing for the Commission’s regulation of holding companies, PUHCA 2005 also provided an exemption from such regulation for those </w:t>
      </w:r>
      <w:r w:rsidRPr="006A516A">
        <w:rPr>
          <w:rFonts w:ascii="Times New Roman" w:eastAsia="Times New Roman" w:hAnsi="Times New Roman" w:cs="Times New Roman"/>
          <w:sz w:val="26"/>
          <w:szCs w:val="24"/>
        </w:rPr>
        <w:t xml:space="preserve">holding companies that </w:t>
      </w:r>
      <w:r>
        <w:rPr>
          <w:rFonts w:ascii="Times New Roman" w:eastAsia="Times New Roman" w:hAnsi="Times New Roman" w:cs="Times New Roman"/>
          <w:sz w:val="26"/>
          <w:szCs w:val="24"/>
        </w:rPr>
        <w:t xml:space="preserve">are subject to Commission regulation as holding companies solely due to their holding exempt </w:t>
      </w:r>
      <w:r w:rsidRPr="006A516A">
        <w:rPr>
          <w:rFonts w:ascii="Times New Roman" w:eastAsia="Times New Roman" w:hAnsi="Times New Roman" w:cs="Times New Roman"/>
          <w:sz w:val="26"/>
          <w:szCs w:val="24"/>
        </w:rPr>
        <w:t>wholesale generators</w:t>
      </w:r>
      <w:r>
        <w:rPr>
          <w:rFonts w:ascii="Times New Roman" w:eastAsia="Times New Roman" w:hAnsi="Times New Roman" w:cs="Times New Roman"/>
          <w:sz w:val="26"/>
          <w:szCs w:val="24"/>
        </w:rPr>
        <w:t xml:space="preserve"> (EWG) and foreign utility companies (FUCO)</w:t>
      </w:r>
      <w:r w:rsidRPr="006A516A">
        <w:rPr>
          <w:rFonts w:ascii="Times New Roman" w:eastAsia="Times New Roman" w:hAnsi="Times New Roman" w:cs="Times New Roman"/>
          <w:sz w:val="26"/>
          <w:szCs w:val="24"/>
        </w:rPr>
        <w:t>.</w:t>
      </w:r>
      <w:r w:rsidRPr="00414399">
        <w:rPr>
          <w:rStyle w:val="FootnoteReference"/>
          <w:rFonts w:eastAsia="Times New Roman"/>
          <w:vertAlign w:val="superscript"/>
        </w:rPr>
        <w:footnoteReference w:id="8"/>
      </w:r>
      <w:r w:rsidRPr="006A516A">
        <w:rPr>
          <w:rFonts w:ascii="Times New Roman" w:eastAsia="Times New Roman" w:hAnsi="Times New Roman" w:cs="Times New Roman"/>
          <w:sz w:val="26"/>
          <w:szCs w:val="24"/>
        </w:rPr>
        <w:t xml:space="preserve">   </w:t>
      </w:r>
      <w:r>
        <w:rPr>
          <w:rFonts w:ascii="Times New Roman" w:eastAsia="Times New Roman" w:hAnsi="Times New Roman" w:cs="Times New Roman"/>
          <w:sz w:val="26"/>
          <w:szCs w:val="24"/>
        </w:rPr>
        <w:t>In response to Congress’ directive to issue regulations to implement this exemption for companies that would be Commission-regulated holding companies solely due to their ownership of EWGs and FUCOs, the Commission issued Order No. 667.</w:t>
      </w:r>
      <w:r w:rsidRPr="00414399">
        <w:rPr>
          <w:rStyle w:val="FootnoteReference"/>
          <w:rFonts w:ascii="Times New Roman" w:eastAsia="Times New Roman" w:hAnsi="Times New Roman" w:cs="Times New Roman"/>
          <w:sz w:val="26"/>
          <w:szCs w:val="24"/>
          <w:vertAlign w:val="superscript"/>
        </w:rPr>
        <w:footnoteReference w:id="9"/>
      </w:r>
      <w:r>
        <w:rPr>
          <w:rFonts w:ascii="Times New Roman" w:eastAsia="Times New Roman" w:hAnsi="Times New Roman" w:cs="Times New Roman"/>
          <w:sz w:val="26"/>
          <w:szCs w:val="24"/>
        </w:rPr>
        <w:t xml:space="preserve">  </w:t>
      </w:r>
      <w:r w:rsidR="00AE7B39" w:rsidRPr="00AE7B39">
        <w:rPr>
          <w:rFonts w:ascii="Times New Roman" w:eastAsia="Times New Roman" w:hAnsi="Times New Roman" w:cs="Times New Roman"/>
          <w:sz w:val="26"/>
          <w:szCs w:val="26"/>
        </w:rPr>
        <w:t>Order No. 667 replaced the Commission’s existing EWG regulations with new procedures</w:t>
      </w:r>
      <w:r>
        <w:rPr>
          <w:rFonts w:ascii="Times New Roman" w:eastAsia="Times New Roman" w:hAnsi="Times New Roman" w:cs="Times New Roman"/>
          <w:sz w:val="26"/>
          <w:szCs w:val="26"/>
        </w:rPr>
        <w:t>, including allowing the</w:t>
      </w:r>
      <w:r w:rsidR="00AE7B39" w:rsidRPr="00AE7B39">
        <w:rPr>
          <w:rFonts w:ascii="Times New Roman" w:eastAsia="Times New Roman" w:hAnsi="Times New Roman" w:cs="Times New Roman"/>
          <w:sz w:val="26"/>
          <w:szCs w:val="26"/>
        </w:rPr>
        <w:t xml:space="preserve"> filing</w:t>
      </w:r>
      <w:r>
        <w:rPr>
          <w:rFonts w:ascii="Times New Roman" w:eastAsia="Times New Roman" w:hAnsi="Times New Roman" w:cs="Times New Roman"/>
          <w:sz w:val="26"/>
          <w:szCs w:val="26"/>
        </w:rPr>
        <w:t xml:space="preserve"> of</w:t>
      </w:r>
      <w:r w:rsidR="00AE7B39" w:rsidRPr="00AE7B39">
        <w:rPr>
          <w:rFonts w:ascii="Times New Roman" w:eastAsia="Times New Roman" w:hAnsi="Times New Roman" w:cs="Times New Roman"/>
          <w:sz w:val="26"/>
          <w:szCs w:val="26"/>
        </w:rPr>
        <w:t xml:space="preserve"> notices of self-certification of EWG or FUCO status </w:t>
      </w:r>
      <w:r>
        <w:rPr>
          <w:rFonts w:ascii="Times New Roman" w:eastAsia="Times New Roman" w:hAnsi="Times New Roman" w:cs="Times New Roman"/>
          <w:sz w:val="26"/>
          <w:szCs w:val="26"/>
        </w:rPr>
        <w:t>(in addition to continuing to allow the filing of</w:t>
      </w:r>
      <w:r w:rsidR="00AE7B39" w:rsidRPr="00AE7B39">
        <w:rPr>
          <w:rFonts w:ascii="Times New Roman" w:eastAsia="Times New Roman" w:hAnsi="Times New Roman" w:cs="Times New Roman"/>
          <w:sz w:val="26"/>
          <w:szCs w:val="26"/>
        </w:rPr>
        <w:t xml:space="preserve"> requests for Commission determinations of EWG or FUCO status</w:t>
      </w:r>
      <w:r>
        <w:rPr>
          <w:rFonts w:ascii="Times New Roman" w:eastAsia="Times New Roman" w:hAnsi="Times New Roman" w:cs="Times New Roman"/>
          <w:sz w:val="26"/>
          <w:szCs w:val="26"/>
        </w:rPr>
        <w:t>)</w:t>
      </w:r>
      <w:r w:rsidR="00AE7B39" w:rsidRPr="00AE7B39">
        <w:rPr>
          <w:rFonts w:ascii="Times New Roman" w:eastAsia="Times New Roman" w:hAnsi="Times New Roman" w:cs="Times New Roman"/>
          <w:sz w:val="26"/>
          <w:szCs w:val="26"/>
        </w:rPr>
        <w:t>.</w:t>
      </w:r>
      <w:r w:rsidR="00AE7B39" w:rsidRPr="00AE7B39">
        <w:rPr>
          <w:rFonts w:ascii="Times New Roman" w:eastAsia="Times New Roman" w:hAnsi="Times New Roman" w:cs="Times New Roman"/>
          <w:sz w:val="26"/>
          <w:szCs w:val="26"/>
          <w:vertAlign w:val="superscript"/>
        </w:rPr>
        <w:footnoteReference w:id="10"/>
      </w:r>
      <w:r w:rsidR="00AE7B39" w:rsidRPr="00AE7B39">
        <w:rPr>
          <w:rFonts w:ascii="Times New Roman" w:eastAsia="Times New Roman" w:hAnsi="Times New Roman" w:cs="Times New Roman"/>
          <w:sz w:val="26"/>
          <w:szCs w:val="26"/>
          <w:vertAlign w:val="superscript"/>
        </w:rPr>
        <w:t xml:space="preserve"> </w:t>
      </w:r>
      <w:r w:rsidR="00AE7B39" w:rsidRPr="00AE7B39">
        <w:rPr>
          <w:rFonts w:ascii="Times New Roman" w:eastAsia="Times New Roman" w:hAnsi="Times New Roman" w:cs="Times New Roman"/>
          <w:sz w:val="26"/>
          <w:szCs w:val="26"/>
        </w:rPr>
        <w:t xml:space="preserve"> </w:t>
      </w:r>
      <w:r w:rsidR="00FD7527">
        <w:rPr>
          <w:rFonts w:ascii="Times New Roman" w:eastAsia="Times New Roman" w:hAnsi="Times New Roman" w:cs="Times New Roman"/>
          <w:sz w:val="26"/>
          <w:szCs w:val="26"/>
        </w:rPr>
        <w:t xml:space="preserve">As suggested above, </w:t>
      </w:r>
      <w:r w:rsidR="00AE7B39" w:rsidRPr="00AE7B39">
        <w:rPr>
          <w:rFonts w:ascii="Times New Roman" w:eastAsia="Times New Roman" w:hAnsi="Times New Roman" w:cs="Times New Roman"/>
          <w:sz w:val="26"/>
          <w:szCs w:val="26"/>
        </w:rPr>
        <w:t>EWG or FUCO status is important because</w:t>
      </w:r>
      <w:r w:rsidR="00FD7527">
        <w:rPr>
          <w:rFonts w:ascii="Times New Roman" w:eastAsia="Times New Roman" w:hAnsi="Times New Roman" w:cs="Times New Roman"/>
          <w:sz w:val="26"/>
          <w:szCs w:val="26"/>
        </w:rPr>
        <w:t>, at Congress’ direction,</w:t>
      </w:r>
      <w:r w:rsidR="00AE7B39" w:rsidRPr="00AE7B39">
        <w:rPr>
          <w:rFonts w:ascii="Times New Roman" w:eastAsia="Times New Roman" w:hAnsi="Times New Roman" w:cs="Times New Roman"/>
          <w:sz w:val="26"/>
          <w:szCs w:val="26"/>
        </w:rPr>
        <w:t xml:space="preserve"> </w:t>
      </w:r>
      <w:bookmarkStart w:id="1" w:name="OLE_LINK1"/>
      <w:r w:rsidR="00AE7B39" w:rsidRPr="00AE7B39">
        <w:rPr>
          <w:rFonts w:ascii="Times New Roman" w:eastAsia="Times New Roman" w:hAnsi="Times New Roman" w:cs="Times New Roman"/>
          <w:sz w:val="26"/>
          <w:szCs w:val="26"/>
        </w:rPr>
        <w:t xml:space="preserve">the </w:t>
      </w:r>
      <w:bookmarkEnd w:id="1"/>
      <w:r w:rsidR="00AE7B39" w:rsidRPr="00AE7B39">
        <w:rPr>
          <w:rFonts w:ascii="Times New Roman" w:eastAsia="Times New Roman" w:hAnsi="Times New Roman" w:cs="Times New Roman"/>
          <w:sz w:val="26"/>
          <w:szCs w:val="26"/>
        </w:rPr>
        <w:t>Commission granted exemptions from the regulatory accounting, record-retention, reporting and “books and records” access requirements for companies that are “holding companies” solely with respect to EWG</w:t>
      </w:r>
      <w:r w:rsidR="00FD7527">
        <w:rPr>
          <w:rFonts w:ascii="Times New Roman" w:eastAsia="Times New Roman" w:hAnsi="Times New Roman" w:cs="Times New Roman"/>
          <w:sz w:val="26"/>
          <w:szCs w:val="26"/>
        </w:rPr>
        <w:t>s</w:t>
      </w:r>
      <w:r w:rsidR="00AE7B39" w:rsidRPr="00AE7B39">
        <w:rPr>
          <w:rFonts w:ascii="Times New Roman" w:eastAsia="Times New Roman" w:hAnsi="Times New Roman" w:cs="Times New Roman"/>
          <w:sz w:val="26"/>
          <w:szCs w:val="26"/>
        </w:rPr>
        <w:t xml:space="preserve"> or FUCO</w:t>
      </w:r>
      <w:r w:rsidR="00FD7527">
        <w:rPr>
          <w:rFonts w:ascii="Times New Roman" w:eastAsia="Times New Roman" w:hAnsi="Times New Roman" w:cs="Times New Roman"/>
          <w:sz w:val="26"/>
          <w:szCs w:val="26"/>
        </w:rPr>
        <w:t>s</w:t>
      </w:r>
      <w:r w:rsidR="00AE7B39" w:rsidRPr="00AE7B39">
        <w:rPr>
          <w:rFonts w:ascii="Times New Roman" w:eastAsia="Times New Roman" w:hAnsi="Times New Roman" w:cs="Times New Roman"/>
          <w:sz w:val="26"/>
          <w:szCs w:val="26"/>
        </w:rPr>
        <w:t>.</w:t>
      </w:r>
      <w:r w:rsidR="00AE7B39" w:rsidRPr="00AE7B39">
        <w:rPr>
          <w:rFonts w:ascii="Times New Roman" w:eastAsia="Times New Roman" w:hAnsi="Times New Roman" w:cs="Times New Roman"/>
          <w:sz w:val="26"/>
          <w:szCs w:val="26"/>
          <w:vertAlign w:val="superscript"/>
        </w:rPr>
        <w:footnoteReference w:id="11"/>
      </w:r>
      <w:r w:rsidR="00FD7527">
        <w:rPr>
          <w:rFonts w:ascii="Times New Roman" w:eastAsia="Times New Roman" w:hAnsi="Times New Roman" w:cs="Times New Roman"/>
          <w:sz w:val="26"/>
          <w:szCs w:val="26"/>
        </w:rPr>
        <w:t xml:space="preserve">  Accordingly, a process for obtaining EWG or FUCO status is essential in order to, in turn, obtain the Congressionally authorized exemption for their holding companies. </w:t>
      </w:r>
    </w:p>
    <w:p w14:paraId="16C8B125" w14:textId="201C0F3A" w:rsidR="00AE7B39" w:rsidRPr="005E2C45" w:rsidRDefault="00FD7527" w:rsidP="00C2572D">
      <w:pPr>
        <w:widowControl w:val="0"/>
        <w:autoSpaceDE w:val="0"/>
        <w:autoSpaceDN w:val="0"/>
        <w:adjustRightInd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t>Th</w:t>
      </w:r>
      <w:r w:rsidR="002C7E18">
        <w:rPr>
          <w:rFonts w:ascii="Times New Roman" w:eastAsia="Times New Roman" w:hAnsi="Times New Roman" w:cs="Times New Roman"/>
          <w:sz w:val="26"/>
          <w:szCs w:val="26"/>
        </w:rPr>
        <w:t>e</w:t>
      </w:r>
      <w:r>
        <w:rPr>
          <w:rFonts w:ascii="Times New Roman" w:eastAsia="Times New Roman" w:hAnsi="Times New Roman" w:cs="Times New Roman"/>
          <w:sz w:val="26"/>
          <w:szCs w:val="26"/>
        </w:rPr>
        <w:t xml:space="preserve"> process</w:t>
      </w:r>
      <w:r w:rsidR="002C7E18">
        <w:rPr>
          <w:rFonts w:ascii="Times New Roman" w:eastAsia="Times New Roman" w:hAnsi="Times New Roman" w:cs="Times New Roman"/>
          <w:sz w:val="26"/>
          <w:szCs w:val="26"/>
        </w:rPr>
        <w:t xml:space="preserve"> provided for was</w:t>
      </w:r>
      <w:r w:rsidR="00AE7B39" w:rsidRPr="005E2C45">
        <w:rPr>
          <w:rFonts w:ascii="Times New Roman" w:eastAsia="Times New Roman" w:hAnsi="Times New Roman" w:cs="Times New Roman"/>
          <w:sz w:val="26"/>
          <w:szCs w:val="26"/>
        </w:rPr>
        <w:t>:</w:t>
      </w:r>
    </w:p>
    <w:p w14:paraId="2C409882" w14:textId="77777777" w:rsidR="00AE7B39" w:rsidRPr="00AE7B39" w:rsidRDefault="00AE7B39" w:rsidP="00C2572D">
      <w:pPr>
        <w:widowControl w:val="0"/>
        <w:autoSpaceDE w:val="0"/>
        <w:autoSpaceDN w:val="0"/>
        <w:adjustRightInd w:val="0"/>
        <w:spacing w:after="0" w:line="240" w:lineRule="auto"/>
        <w:rPr>
          <w:rFonts w:ascii="Times New Roman" w:eastAsia="Times New Roman" w:hAnsi="Times New Roman" w:cs="Times New Roman"/>
          <w:sz w:val="24"/>
          <w:szCs w:val="24"/>
        </w:rPr>
      </w:pPr>
    </w:p>
    <w:p w14:paraId="45277251" w14:textId="6CC1F0C1" w:rsidR="00AE7B39" w:rsidRPr="00AE7B39" w:rsidRDefault="00AE7B39" w:rsidP="00C2572D">
      <w:pPr>
        <w:widowControl w:val="0"/>
        <w:autoSpaceDE w:val="0"/>
        <w:autoSpaceDN w:val="0"/>
        <w:adjustRightInd w:val="0"/>
        <w:spacing w:after="260" w:line="240" w:lineRule="auto"/>
        <w:ind w:left="1440" w:right="1440"/>
        <w:rPr>
          <w:rFonts w:ascii="Times New Roman" w:eastAsia="Times New Roman" w:hAnsi="Times New Roman" w:cs="Times New Roman"/>
          <w:sz w:val="26"/>
          <w:szCs w:val="26"/>
        </w:rPr>
      </w:pPr>
      <w:r w:rsidRPr="00AE7B39">
        <w:rPr>
          <w:rFonts w:ascii="Times New Roman" w:eastAsia="Times New Roman" w:hAnsi="Times New Roman" w:cs="Times New Roman"/>
          <w:sz w:val="26"/>
          <w:szCs w:val="26"/>
        </w:rPr>
        <w:t>An exempt wholesale generator or a foreign utility company, or their representative, may file with the Commission a notice of self-certification demonstrating that it satisfies the definition of exempt wholesale generator or foreign utility company</w:t>
      </w:r>
      <w:r w:rsidR="002C7E18">
        <w:rPr>
          <w:rFonts w:ascii="Times New Roman" w:eastAsia="Times New Roman" w:hAnsi="Times New Roman" w:cs="Times New Roman"/>
          <w:sz w:val="26"/>
          <w:szCs w:val="26"/>
        </w:rPr>
        <w:t xml:space="preserve">. . . .   </w:t>
      </w:r>
      <w:r w:rsidRPr="00AE7B39">
        <w:rPr>
          <w:rFonts w:ascii="Times New Roman" w:eastAsia="Times New Roman" w:hAnsi="Times New Roman" w:cs="Times New Roman"/>
          <w:sz w:val="26"/>
          <w:szCs w:val="26"/>
        </w:rPr>
        <w:t xml:space="preserve">Notices of self-certification will be published in the Federal Register. </w:t>
      </w:r>
      <w:r w:rsidR="002C7E18">
        <w:rPr>
          <w:rFonts w:ascii="Times New Roman" w:eastAsia="Times New Roman" w:hAnsi="Times New Roman" w:cs="Times New Roman"/>
          <w:sz w:val="26"/>
          <w:szCs w:val="26"/>
        </w:rPr>
        <w:t>. . .</w:t>
      </w:r>
      <w:r w:rsidRPr="00AE7B39">
        <w:rPr>
          <w:rFonts w:ascii="Times New Roman" w:eastAsia="Times New Roman" w:hAnsi="Times New Roman" w:cs="Times New Roman"/>
          <w:sz w:val="26"/>
          <w:szCs w:val="26"/>
        </w:rPr>
        <w:t xml:space="preserve"> A person filing a notice of self-certification in good faith will be deemed to have temporary exempt wholesale generator or foreign utility company status.  If the Commission takes no action within 60 days from the date of filing of the notice of self-certification, the self-certification shall be deemed to have been granted.  The Commission may toll the 60-day period to request additional information, or for further consideration of the request; in such cases, the person’s exempt wholesale generator or foreign utility company status will remain temporary until such time as the Commission has determined whether to grant or deny exempt wholesale generator or foreign utility company status.  Authority to toll the 60-day period is delegated to the Secretary or the Secretary’s designee, and authority to act on uncontested notices of self-certification is delegated to the General Counsel or the General Counsel’s designee.</w:t>
      </w:r>
      <w:bookmarkStart w:id="2" w:name="_Ref319317497"/>
      <w:r w:rsidRPr="00AE7B39">
        <w:rPr>
          <w:rFonts w:ascii="Times New Roman" w:eastAsia="Times New Roman" w:hAnsi="Times New Roman" w:cs="Times New Roman"/>
          <w:sz w:val="26"/>
          <w:szCs w:val="26"/>
          <w:vertAlign w:val="superscript"/>
        </w:rPr>
        <w:footnoteReference w:id="12"/>
      </w:r>
      <w:bookmarkEnd w:id="2"/>
    </w:p>
    <w:p w14:paraId="15596505" w14:textId="0A303297" w:rsidR="00AE7B39" w:rsidRPr="00AE7B39" w:rsidRDefault="00AE7B39">
      <w:pPr>
        <w:widowControl w:val="0"/>
        <w:autoSpaceDE w:val="0"/>
        <w:autoSpaceDN w:val="0"/>
        <w:adjustRightInd w:val="0"/>
        <w:spacing w:after="0" w:line="240" w:lineRule="auto"/>
        <w:rPr>
          <w:rFonts w:ascii="Times New Roman" w:eastAsia="Times New Roman" w:hAnsi="Times New Roman" w:cs="Times New Roman"/>
          <w:sz w:val="26"/>
          <w:szCs w:val="26"/>
        </w:rPr>
      </w:pPr>
      <w:r w:rsidRPr="00AE7B39">
        <w:rPr>
          <w:rFonts w:ascii="Times New Roman" w:eastAsia="Times New Roman" w:hAnsi="Times New Roman" w:cs="Times New Roman"/>
          <w:sz w:val="24"/>
          <w:szCs w:val="24"/>
        </w:rPr>
        <w:t xml:space="preserve">However, </w:t>
      </w:r>
      <w:r w:rsidR="00BE1A6A">
        <w:rPr>
          <w:rFonts w:ascii="Times New Roman" w:eastAsia="Times New Roman" w:hAnsi="Times New Roman" w:cs="Times New Roman"/>
          <w:sz w:val="26"/>
          <w:szCs w:val="26"/>
        </w:rPr>
        <w:t>O</w:t>
      </w:r>
      <w:r w:rsidR="00BE1A6A" w:rsidRPr="00AE7B39">
        <w:rPr>
          <w:rFonts w:ascii="Times New Roman" w:eastAsia="Times New Roman" w:hAnsi="Times New Roman" w:cs="Times New Roman"/>
          <w:sz w:val="26"/>
          <w:szCs w:val="26"/>
        </w:rPr>
        <w:t xml:space="preserve">rder </w:t>
      </w:r>
      <w:r w:rsidRPr="00AE7B39">
        <w:rPr>
          <w:rFonts w:ascii="Times New Roman" w:eastAsia="Times New Roman" w:hAnsi="Times New Roman" w:cs="Times New Roman"/>
          <w:sz w:val="26"/>
          <w:szCs w:val="26"/>
        </w:rPr>
        <w:t xml:space="preserve">No. 667 did not adopt a </w:t>
      </w:r>
      <w:r w:rsidR="002C7E18">
        <w:rPr>
          <w:rFonts w:ascii="Times New Roman" w:eastAsia="Times New Roman" w:hAnsi="Times New Roman" w:cs="Times New Roman"/>
          <w:sz w:val="26"/>
          <w:szCs w:val="26"/>
        </w:rPr>
        <w:t xml:space="preserve">prescribed </w:t>
      </w:r>
      <w:r w:rsidRPr="00AE7B39">
        <w:rPr>
          <w:rFonts w:ascii="Times New Roman" w:eastAsia="Times New Roman" w:hAnsi="Times New Roman" w:cs="Times New Roman"/>
          <w:sz w:val="26"/>
          <w:szCs w:val="26"/>
        </w:rPr>
        <w:t>form or specif</w:t>
      </w:r>
      <w:r w:rsidR="002C7E18">
        <w:rPr>
          <w:rFonts w:ascii="Times New Roman" w:eastAsia="Times New Roman" w:hAnsi="Times New Roman" w:cs="Times New Roman"/>
          <w:sz w:val="26"/>
          <w:szCs w:val="26"/>
        </w:rPr>
        <w:t>y</w:t>
      </w:r>
      <w:r w:rsidRPr="00AE7B39">
        <w:rPr>
          <w:rFonts w:ascii="Times New Roman" w:eastAsia="Times New Roman" w:hAnsi="Times New Roman" w:cs="Times New Roman"/>
          <w:sz w:val="26"/>
          <w:szCs w:val="26"/>
        </w:rPr>
        <w:t xml:space="preserve"> </w:t>
      </w:r>
      <w:r w:rsidR="002C7E18">
        <w:rPr>
          <w:rFonts w:ascii="Times New Roman" w:eastAsia="Times New Roman" w:hAnsi="Times New Roman" w:cs="Times New Roman"/>
          <w:sz w:val="26"/>
          <w:szCs w:val="26"/>
        </w:rPr>
        <w:t>a</w:t>
      </w:r>
      <w:r w:rsidR="00275727">
        <w:rPr>
          <w:rFonts w:ascii="Times New Roman" w:eastAsia="Times New Roman" w:hAnsi="Times New Roman" w:cs="Times New Roman"/>
          <w:sz w:val="26"/>
          <w:szCs w:val="26"/>
        </w:rPr>
        <w:t xml:space="preserve"> particular</w:t>
      </w:r>
      <w:r w:rsidR="002C7E18">
        <w:rPr>
          <w:rFonts w:ascii="Times New Roman" w:eastAsia="Times New Roman" w:hAnsi="Times New Roman" w:cs="Times New Roman"/>
          <w:sz w:val="26"/>
          <w:szCs w:val="26"/>
        </w:rPr>
        <w:t xml:space="preserve"> series of questions</w:t>
      </w:r>
      <w:r w:rsidRPr="00AE7B39">
        <w:rPr>
          <w:rFonts w:ascii="Times New Roman" w:eastAsia="Times New Roman" w:hAnsi="Times New Roman" w:cs="Times New Roman"/>
          <w:sz w:val="26"/>
          <w:szCs w:val="26"/>
        </w:rPr>
        <w:t xml:space="preserve"> that entities must </w:t>
      </w:r>
      <w:r w:rsidR="002C7E18">
        <w:rPr>
          <w:rFonts w:ascii="Times New Roman" w:eastAsia="Times New Roman" w:hAnsi="Times New Roman" w:cs="Times New Roman"/>
          <w:sz w:val="26"/>
          <w:szCs w:val="26"/>
        </w:rPr>
        <w:t xml:space="preserve">complete </w:t>
      </w:r>
      <w:r w:rsidRPr="00AE7B39">
        <w:rPr>
          <w:rFonts w:ascii="Times New Roman" w:eastAsia="Times New Roman" w:hAnsi="Times New Roman" w:cs="Times New Roman"/>
          <w:sz w:val="26"/>
          <w:szCs w:val="26"/>
        </w:rPr>
        <w:t xml:space="preserve">in their notices of self-certification.  </w:t>
      </w:r>
      <w:r w:rsidR="00277B6A">
        <w:rPr>
          <w:rFonts w:ascii="Times New Roman" w:eastAsia="Times New Roman" w:hAnsi="Times New Roman" w:cs="Times New Roman"/>
          <w:sz w:val="26"/>
          <w:szCs w:val="26"/>
        </w:rPr>
        <w:t xml:space="preserve">  Rather, entities were simply directed to demonstrate in their submittals that they satisfied the definitions of an EWG</w:t>
      </w:r>
      <w:r w:rsidRPr="00AE7B39">
        <w:rPr>
          <w:rFonts w:ascii="Times New Roman" w:eastAsia="Times New Roman" w:hAnsi="Times New Roman" w:cs="Times New Roman"/>
          <w:sz w:val="26"/>
          <w:szCs w:val="26"/>
        </w:rPr>
        <w:t xml:space="preserve"> </w:t>
      </w:r>
      <w:r w:rsidR="00277B6A">
        <w:rPr>
          <w:rFonts w:ascii="Times New Roman" w:eastAsia="Times New Roman" w:hAnsi="Times New Roman" w:cs="Times New Roman"/>
          <w:sz w:val="26"/>
          <w:szCs w:val="26"/>
        </w:rPr>
        <w:t>or a FUCO.</w:t>
      </w:r>
      <w:r w:rsidRPr="00AE7B39">
        <w:rPr>
          <w:rFonts w:ascii="Times New Roman" w:eastAsia="Times New Roman" w:hAnsi="Times New Roman" w:cs="Times New Roman"/>
          <w:sz w:val="26"/>
          <w:szCs w:val="26"/>
        </w:rPr>
        <w:t xml:space="preserve"> </w:t>
      </w:r>
    </w:p>
    <w:p w14:paraId="57CDD977" w14:textId="77777777" w:rsidR="00AE7B39" w:rsidRPr="00AE7B39" w:rsidRDefault="00AE7B39">
      <w:pPr>
        <w:widowControl w:val="0"/>
        <w:autoSpaceDE w:val="0"/>
        <w:autoSpaceDN w:val="0"/>
        <w:adjustRightInd w:val="0"/>
        <w:spacing w:after="0" w:line="240" w:lineRule="auto"/>
        <w:ind w:left="720" w:hanging="720"/>
        <w:rPr>
          <w:rFonts w:ascii="Times New Roman" w:eastAsia="Times New Roman" w:hAnsi="Times New Roman" w:cs="Times New Roman"/>
          <w:sz w:val="26"/>
          <w:szCs w:val="26"/>
        </w:rPr>
      </w:pPr>
    </w:p>
    <w:p w14:paraId="0F1C8546" w14:textId="6F80D78B" w:rsidR="00AE7B39" w:rsidRPr="00AE7B39" w:rsidRDefault="00AE7B39">
      <w:pPr>
        <w:widowControl w:val="0"/>
        <w:tabs>
          <w:tab w:val="center" w:pos="0"/>
        </w:tabs>
        <w:autoSpaceDE w:val="0"/>
        <w:autoSpaceDN w:val="0"/>
        <w:adjustRightInd w:val="0"/>
        <w:spacing w:after="0" w:line="240" w:lineRule="auto"/>
        <w:rPr>
          <w:rFonts w:ascii="Times New Roman" w:eastAsia="Times New Roman" w:hAnsi="Times New Roman" w:cs="Times New Roman"/>
          <w:sz w:val="26"/>
          <w:szCs w:val="26"/>
        </w:rPr>
      </w:pPr>
      <w:r w:rsidRPr="00AE7B39">
        <w:rPr>
          <w:rFonts w:ascii="Times New Roman" w:eastAsia="Times New Roman" w:hAnsi="Times New Roman" w:cs="Times New Roman"/>
          <w:sz w:val="26"/>
          <w:szCs w:val="26"/>
        </w:rPr>
        <w:t>Accordingly the information provided in the self</w:t>
      </w:r>
      <w:r w:rsidR="00F426BE">
        <w:rPr>
          <w:rFonts w:ascii="Times New Roman" w:eastAsia="Times New Roman" w:hAnsi="Times New Roman" w:cs="Times New Roman"/>
          <w:sz w:val="26"/>
          <w:szCs w:val="26"/>
        </w:rPr>
        <w:t>-</w:t>
      </w:r>
      <w:r w:rsidRPr="00AE7B39">
        <w:rPr>
          <w:rFonts w:ascii="Times New Roman" w:eastAsia="Times New Roman" w:hAnsi="Times New Roman" w:cs="Times New Roman"/>
          <w:sz w:val="26"/>
          <w:szCs w:val="26"/>
        </w:rPr>
        <w:t>certifications may vary</w:t>
      </w:r>
      <w:r w:rsidR="00B02600">
        <w:rPr>
          <w:rFonts w:ascii="Times New Roman" w:eastAsia="Times New Roman" w:hAnsi="Times New Roman" w:cs="Times New Roman"/>
          <w:sz w:val="26"/>
          <w:szCs w:val="26"/>
        </w:rPr>
        <w:t xml:space="preserve"> slightly from entity to entity, based on variations in their facts</w:t>
      </w:r>
      <w:r w:rsidRPr="00AE7B39">
        <w:rPr>
          <w:rFonts w:ascii="Times New Roman" w:eastAsia="Times New Roman" w:hAnsi="Times New Roman" w:cs="Times New Roman"/>
          <w:sz w:val="26"/>
          <w:szCs w:val="26"/>
        </w:rPr>
        <w:t xml:space="preserve">.  The Commission reviews the applications to determine whether the applicant meets the statutory requirements for EWG or FUCO status and for consistency with PUHCA 2005.  </w:t>
      </w:r>
    </w:p>
    <w:p w14:paraId="54317624" w14:textId="77777777" w:rsidR="00AE7B39" w:rsidRPr="00AE7B39" w:rsidRDefault="00AE7B39">
      <w:pPr>
        <w:widowControl w:val="0"/>
        <w:tabs>
          <w:tab w:val="center" w:pos="4680"/>
        </w:tabs>
        <w:autoSpaceDE w:val="0"/>
        <w:autoSpaceDN w:val="0"/>
        <w:adjustRightInd w:val="0"/>
        <w:spacing w:after="0" w:line="240" w:lineRule="auto"/>
        <w:ind w:left="5040" w:hanging="5040"/>
        <w:rPr>
          <w:rFonts w:ascii="Times New Roman" w:eastAsia="Times New Roman" w:hAnsi="Times New Roman" w:cs="Times New Roman"/>
          <w:sz w:val="26"/>
          <w:szCs w:val="26"/>
        </w:rPr>
      </w:pPr>
    </w:p>
    <w:p w14:paraId="088E2743" w14:textId="5E16FD29" w:rsidR="00AE7B39" w:rsidRPr="00AE7B39" w:rsidRDefault="00AE7B39">
      <w:pPr>
        <w:widowControl w:val="0"/>
        <w:autoSpaceDE w:val="0"/>
        <w:autoSpaceDN w:val="0"/>
        <w:adjustRightInd w:val="0"/>
        <w:spacing w:after="0" w:line="240" w:lineRule="auto"/>
        <w:rPr>
          <w:rFonts w:ascii="Times New Roman" w:eastAsia="Times New Roman" w:hAnsi="Times New Roman" w:cs="Times New Roman"/>
          <w:sz w:val="26"/>
          <w:szCs w:val="26"/>
        </w:rPr>
      </w:pPr>
      <w:r w:rsidRPr="00AE7B39">
        <w:rPr>
          <w:rFonts w:ascii="Times New Roman" w:eastAsia="Times New Roman" w:hAnsi="Times New Roman" w:cs="Times New Roman"/>
          <w:sz w:val="26"/>
          <w:szCs w:val="26"/>
        </w:rPr>
        <w:t xml:space="preserve">If there is any </w:t>
      </w:r>
      <w:r w:rsidR="00B02600">
        <w:rPr>
          <w:rFonts w:ascii="Times New Roman" w:eastAsia="Times New Roman" w:hAnsi="Times New Roman" w:cs="Times New Roman"/>
          <w:sz w:val="26"/>
          <w:szCs w:val="26"/>
        </w:rPr>
        <w:t xml:space="preserve">subsequent </w:t>
      </w:r>
      <w:r w:rsidRPr="00AE7B39">
        <w:rPr>
          <w:rFonts w:ascii="Times New Roman" w:eastAsia="Times New Roman" w:hAnsi="Times New Roman" w:cs="Times New Roman"/>
          <w:sz w:val="26"/>
          <w:szCs w:val="26"/>
        </w:rPr>
        <w:t xml:space="preserve">material change in facts that may affect an </w:t>
      </w:r>
      <w:r w:rsidR="00B02600">
        <w:rPr>
          <w:rFonts w:ascii="Times New Roman" w:eastAsia="Times New Roman" w:hAnsi="Times New Roman" w:cs="Times New Roman"/>
          <w:sz w:val="26"/>
          <w:szCs w:val="26"/>
        </w:rPr>
        <w:t>EWG</w:t>
      </w:r>
      <w:r w:rsidR="003216C6" w:rsidRPr="00AE7B39">
        <w:rPr>
          <w:rFonts w:ascii="Times New Roman" w:eastAsia="Times New Roman" w:hAnsi="Times New Roman" w:cs="Times New Roman"/>
          <w:sz w:val="26"/>
          <w:szCs w:val="26"/>
        </w:rPr>
        <w:t>’s</w:t>
      </w:r>
      <w:r w:rsidR="003216C6">
        <w:rPr>
          <w:rFonts w:ascii="Times New Roman" w:eastAsia="Times New Roman" w:hAnsi="Times New Roman" w:cs="Times New Roman"/>
          <w:sz w:val="26"/>
          <w:szCs w:val="26"/>
        </w:rPr>
        <w:t xml:space="preserve"> </w:t>
      </w:r>
      <w:r w:rsidRPr="00AE7B39">
        <w:rPr>
          <w:rFonts w:ascii="Times New Roman" w:eastAsia="Times New Roman" w:hAnsi="Times New Roman" w:cs="Times New Roman"/>
          <w:sz w:val="26"/>
          <w:szCs w:val="26"/>
        </w:rPr>
        <w:t xml:space="preserve">or </w:t>
      </w:r>
      <w:r w:rsidR="00B02600">
        <w:rPr>
          <w:rFonts w:ascii="Times New Roman" w:eastAsia="Times New Roman" w:hAnsi="Times New Roman" w:cs="Times New Roman"/>
          <w:sz w:val="26"/>
          <w:szCs w:val="26"/>
        </w:rPr>
        <w:t>FUCO</w:t>
      </w:r>
      <w:r w:rsidRPr="00AE7B39">
        <w:rPr>
          <w:rFonts w:ascii="Times New Roman" w:eastAsia="Times New Roman" w:hAnsi="Times New Roman" w:cs="Times New Roman"/>
          <w:sz w:val="26"/>
          <w:szCs w:val="26"/>
        </w:rPr>
        <w:t xml:space="preserve">’s status as an </w:t>
      </w:r>
      <w:r w:rsidR="00B02600">
        <w:rPr>
          <w:rFonts w:ascii="Times New Roman" w:eastAsia="Times New Roman" w:hAnsi="Times New Roman" w:cs="Times New Roman"/>
          <w:sz w:val="26"/>
          <w:szCs w:val="26"/>
        </w:rPr>
        <w:t>EWG</w:t>
      </w:r>
      <w:r w:rsidRPr="00AE7B39">
        <w:rPr>
          <w:rFonts w:ascii="Times New Roman" w:eastAsia="Times New Roman" w:hAnsi="Times New Roman" w:cs="Times New Roman"/>
          <w:sz w:val="26"/>
          <w:szCs w:val="26"/>
        </w:rPr>
        <w:t xml:space="preserve"> or a </w:t>
      </w:r>
      <w:r w:rsidR="00B02600">
        <w:rPr>
          <w:rFonts w:ascii="Times New Roman" w:eastAsia="Times New Roman" w:hAnsi="Times New Roman" w:cs="Times New Roman"/>
          <w:sz w:val="26"/>
          <w:szCs w:val="26"/>
        </w:rPr>
        <w:t>FUCO</w:t>
      </w:r>
      <w:r w:rsidRPr="00AE7B39">
        <w:rPr>
          <w:rFonts w:ascii="Times New Roman" w:eastAsia="Times New Roman" w:hAnsi="Times New Roman" w:cs="Times New Roman"/>
          <w:sz w:val="26"/>
          <w:szCs w:val="26"/>
        </w:rPr>
        <w:t xml:space="preserve">, the </w:t>
      </w:r>
      <w:r w:rsidR="00494F76">
        <w:rPr>
          <w:rFonts w:ascii="Times New Roman" w:eastAsia="Times New Roman" w:hAnsi="Times New Roman" w:cs="Times New Roman"/>
          <w:sz w:val="26"/>
          <w:szCs w:val="26"/>
        </w:rPr>
        <w:t>EWG</w:t>
      </w:r>
      <w:r w:rsidRPr="00AE7B39">
        <w:rPr>
          <w:rFonts w:ascii="Times New Roman" w:eastAsia="Times New Roman" w:hAnsi="Times New Roman" w:cs="Times New Roman"/>
          <w:sz w:val="26"/>
          <w:szCs w:val="26"/>
        </w:rPr>
        <w:t xml:space="preserve"> or </w:t>
      </w:r>
      <w:r w:rsidR="00494F76">
        <w:rPr>
          <w:rFonts w:ascii="Times New Roman" w:eastAsia="Times New Roman" w:hAnsi="Times New Roman" w:cs="Times New Roman"/>
          <w:sz w:val="26"/>
          <w:szCs w:val="26"/>
        </w:rPr>
        <w:t>FUCO is directed to</w:t>
      </w:r>
      <w:r w:rsidR="00035A90">
        <w:rPr>
          <w:rFonts w:ascii="Times New Roman" w:eastAsia="Times New Roman" w:hAnsi="Times New Roman" w:cs="Times New Roman"/>
          <w:sz w:val="26"/>
          <w:szCs w:val="26"/>
        </w:rPr>
        <w:t>,</w:t>
      </w:r>
      <w:r w:rsidRPr="00AE7B39">
        <w:rPr>
          <w:rFonts w:ascii="Times New Roman" w:eastAsia="Times New Roman" w:hAnsi="Times New Roman" w:cs="Times New Roman"/>
          <w:sz w:val="26"/>
          <w:szCs w:val="26"/>
        </w:rPr>
        <w:t xml:space="preserve"> within 30 days of the material change in facts</w:t>
      </w:r>
      <w:r w:rsidR="00035A90">
        <w:rPr>
          <w:rFonts w:ascii="Times New Roman" w:eastAsia="Times New Roman" w:hAnsi="Times New Roman" w:cs="Times New Roman"/>
          <w:sz w:val="26"/>
          <w:szCs w:val="26"/>
        </w:rPr>
        <w:t>:</w:t>
      </w:r>
      <w:r w:rsidRPr="00AE7B39">
        <w:rPr>
          <w:rFonts w:ascii="Times New Roman" w:eastAsia="Times New Roman" w:hAnsi="Times New Roman" w:cs="Times New Roman"/>
          <w:sz w:val="26"/>
          <w:szCs w:val="26"/>
          <w:vertAlign w:val="superscript"/>
        </w:rPr>
        <w:footnoteReference w:id="13"/>
      </w:r>
    </w:p>
    <w:p w14:paraId="5084E332" w14:textId="77777777" w:rsidR="00AE7B39" w:rsidRPr="00AE7B39" w:rsidRDefault="00AE7B39">
      <w:pPr>
        <w:widowControl w:val="0"/>
        <w:tabs>
          <w:tab w:val="center" w:pos="4680"/>
        </w:tabs>
        <w:autoSpaceDE w:val="0"/>
        <w:autoSpaceDN w:val="0"/>
        <w:adjustRightInd w:val="0"/>
        <w:spacing w:after="0" w:line="240" w:lineRule="auto"/>
        <w:ind w:left="720" w:hanging="720"/>
        <w:rPr>
          <w:rFonts w:ascii="Times New Roman" w:eastAsia="Times New Roman" w:hAnsi="Times New Roman" w:cs="Times New Roman"/>
          <w:sz w:val="26"/>
          <w:szCs w:val="26"/>
        </w:rPr>
      </w:pPr>
    </w:p>
    <w:p w14:paraId="150CD54D" w14:textId="5417E9AE" w:rsidR="00AE7B39" w:rsidRPr="00AE7B39" w:rsidRDefault="00AE7B39">
      <w:pPr>
        <w:widowControl w:val="0"/>
        <w:numPr>
          <w:ilvl w:val="0"/>
          <w:numId w:val="10"/>
        </w:numPr>
        <w:tabs>
          <w:tab w:val="center" w:pos="4680"/>
        </w:tabs>
        <w:autoSpaceDE w:val="0"/>
        <w:autoSpaceDN w:val="0"/>
        <w:adjustRightInd w:val="0"/>
        <w:spacing w:after="0" w:line="240" w:lineRule="auto"/>
        <w:rPr>
          <w:rFonts w:ascii="Times New Roman" w:eastAsia="Times New Roman" w:hAnsi="Times New Roman" w:cs="Times New Roman"/>
          <w:sz w:val="26"/>
          <w:szCs w:val="26"/>
        </w:rPr>
      </w:pPr>
      <w:r w:rsidRPr="00AE7B39">
        <w:rPr>
          <w:rFonts w:ascii="Times New Roman" w:eastAsia="Times New Roman" w:hAnsi="Times New Roman" w:cs="Times New Roman"/>
          <w:sz w:val="26"/>
          <w:szCs w:val="26"/>
        </w:rPr>
        <w:t>Submit a new notice of self-certification or a new petition</w:t>
      </w:r>
      <w:r w:rsidR="00494F76">
        <w:rPr>
          <w:rFonts w:ascii="Times New Roman" w:eastAsia="Times New Roman" w:hAnsi="Times New Roman" w:cs="Times New Roman"/>
          <w:sz w:val="26"/>
          <w:szCs w:val="26"/>
        </w:rPr>
        <w:t xml:space="preserve"> seeking Commission certification</w:t>
      </w:r>
      <w:r w:rsidRPr="00AE7B39">
        <w:rPr>
          <w:rFonts w:ascii="Times New Roman" w:eastAsia="Times New Roman" w:hAnsi="Times New Roman" w:cs="Times New Roman"/>
          <w:sz w:val="26"/>
          <w:szCs w:val="26"/>
        </w:rPr>
        <w:t>, ;</w:t>
      </w:r>
    </w:p>
    <w:p w14:paraId="285FA02C" w14:textId="77777777" w:rsidR="00AE7B39" w:rsidRPr="00AE7B39" w:rsidRDefault="00AE7B39">
      <w:pPr>
        <w:widowControl w:val="0"/>
        <w:numPr>
          <w:ilvl w:val="0"/>
          <w:numId w:val="10"/>
        </w:numPr>
        <w:tabs>
          <w:tab w:val="center" w:pos="4680"/>
        </w:tabs>
        <w:autoSpaceDE w:val="0"/>
        <w:autoSpaceDN w:val="0"/>
        <w:adjustRightInd w:val="0"/>
        <w:spacing w:after="0" w:line="240" w:lineRule="auto"/>
        <w:rPr>
          <w:rFonts w:ascii="Times New Roman" w:eastAsia="Times New Roman" w:hAnsi="Times New Roman" w:cs="Times New Roman"/>
          <w:sz w:val="26"/>
          <w:szCs w:val="26"/>
        </w:rPr>
      </w:pPr>
      <w:r w:rsidRPr="00AE7B39">
        <w:rPr>
          <w:rFonts w:ascii="Times New Roman" w:eastAsia="Times New Roman" w:hAnsi="Times New Roman" w:cs="Times New Roman"/>
          <w:sz w:val="26"/>
          <w:szCs w:val="26"/>
        </w:rPr>
        <w:t>File a written explanation why the material change in facts does not affect its status; or</w:t>
      </w:r>
    </w:p>
    <w:p w14:paraId="77909079" w14:textId="346C9220" w:rsidR="00256B50" w:rsidRPr="004E0D51" w:rsidRDefault="00AE7B39">
      <w:pPr>
        <w:widowControl w:val="0"/>
        <w:numPr>
          <w:ilvl w:val="0"/>
          <w:numId w:val="10"/>
        </w:numPr>
        <w:tabs>
          <w:tab w:val="center" w:pos="4680"/>
        </w:tabs>
        <w:autoSpaceDE w:val="0"/>
        <w:autoSpaceDN w:val="0"/>
        <w:adjustRightInd w:val="0"/>
        <w:spacing w:after="0" w:line="240" w:lineRule="auto"/>
        <w:rPr>
          <w:rFonts w:ascii="Times New Roman" w:eastAsia="Times New Roman" w:hAnsi="Times New Roman" w:cs="Times New Roman"/>
          <w:sz w:val="26"/>
          <w:szCs w:val="26"/>
        </w:rPr>
      </w:pPr>
      <w:r w:rsidRPr="00AE7B39">
        <w:rPr>
          <w:rFonts w:ascii="Times New Roman" w:eastAsia="Times New Roman" w:hAnsi="Times New Roman" w:cs="Times New Roman"/>
          <w:sz w:val="26"/>
          <w:szCs w:val="26"/>
        </w:rPr>
        <w:t>Notify the Commission that it no longer seeks to maintain its status</w:t>
      </w:r>
      <w:r w:rsidR="00035A90">
        <w:rPr>
          <w:rFonts w:ascii="Times New Roman" w:eastAsia="Times New Roman" w:hAnsi="Times New Roman" w:cs="Times New Roman"/>
          <w:sz w:val="26"/>
          <w:szCs w:val="26"/>
        </w:rPr>
        <w:t>.</w:t>
      </w:r>
    </w:p>
    <w:p w14:paraId="00035FA8" w14:textId="77777777" w:rsidR="008E5683" w:rsidRPr="008E5683" w:rsidRDefault="008E5683">
      <w:pPr>
        <w:widowControl w:val="0"/>
        <w:tabs>
          <w:tab w:val="center" w:pos="4680"/>
        </w:tabs>
        <w:autoSpaceDE w:val="0"/>
        <w:autoSpaceDN w:val="0"/>
        <w:adjustRightInd w:val="0"/>
        <w:spacing w:after="0" w:line="240" w:lineRule="auto"/>
        <w:ind w:left="720"/>
        <w:rPr>
          <w:rFonts w:ascii="Times New Roman" w:hAnsi="Times New Roman"/>
          <w:sz w:val="26"/>
          <w:szCs w:val="26"/>
        </w:rPr>
      </w:pPr>
    </w:p>
    <w:p w14:paraId="1C796083" w14:textId="77777777" w:rsidR="002B7FAC" w:rsidRPr="00D27CC7" w:rsidRDefault="002B7FAC">
      <w:pPr>
        <w:widowControl w:val="0"/>
        <w:numPr>
          <w:ilvl w:val="0"/>
          <w:numId w:val="2"/>
        </w:numPr>
        <w:autoSpaceDE w:val="0"/>
        <w:autoSpaceDN w:val="0"/>
        <w:adjustRightInd w:val="0"/>
        <w:spacing w:after="0" w:line="240" w:lineRule="auto"/>
        <w:rPr>
          <w:rFonts w:ascii="Times New Roman" w:hAnsi="Times New Roman" w:cs="Times New Roman"/>
          <w:b/>
          <w:bCs/>
          <w:sz w:val="26"/>
          <w:szCs w:val="26"/>
        </w:rPr>
      </w:pPr>
      <w:r w:rsidRPr="00D27CC7">
        <w:rPr>
          <w:rFonts w:ascii="Times New Roman" w:hAnsi="Times New Roman" w:cs="Times New Roman"/>
          <w:b/>
          <w:bCs/>
          <w:sz w:val="26"/>
          <w:szCs w:val="26"/>
        </w:rPr>
        <w:t>DESCRIBE ANY CONSIDERATION OF THE USE OF IMPROVED TECHNOLOGY TO REDUCE BURDEN AND TECHNICAL OR LEGAL OBSTACLES TO REDUCING BURDEN.</w:t>
      </w:r>
    </w:p>
    <w:p w14:paraId="77784912" w14:textId="77777777" w:rsidR="002B7FAC" w:rsidRPr="00D27CC7" w:rsidRDefault="002B7FAC">
      <w:pPr>
        <w:widowControl w:val="0"/>
        <w:autoSpaceDE w:val="0"/>
        <w:autoSpaceDN w:val="0"/>
        <w:adjustRightInd w:val="0"/>
        <w:spacing w:after="0" w:line="240" w:lineRule="auto"/>
        <w:ind w:left="360"/>
        <w:rPr>
          <w:rFonts w:ascii="Times New Roman" w:hAnsi="Times New Roman" w:cs="Times New Roman"/>
          <w:b/>
          <w:bCs/>
          <w:sz w:val="26"/>
          <w:szCs w:val="26"/>
        </w:rPr>
      </w:pPr>
    </w:p>
    <w:p w14:paraId="5C982A24" w14:textId="77777777" w:rsidR="002B7FAC" w:rsidRPr="00D27CC7" w:rsidRDefault="002B7FAC" w:rsidP="00B87F76">
      <w:pPr>
        <w:spacing w:line="240" w:lineRule="auto"/>
        <w:rPr>
          <w:rFonts w:ascii="Times New Roman" w:hAnsi="Times New Roman"/>
          <w:b/>
          <w:bCs/>
          <w:sz w:val="26"/>
          <w:szCs w:val="26"/>
        </w:rPr>
      </w:pPr>
      <w:r w:rsidRPr="00D27CC7">
        <w:rPr>
          <w:rFonts w:ascii="Times New Roman" w:hAnsi="Times New Roman"/>
          <w:sz w:val="26"/>
          <w:szCs w:val="26"/>
        </w:rPr>
        <w:t xml:space="preserve">The Commission </w:t>
      </w:r>
      <w:r w:rsidR="00657DCD">
        <w:rPr>
          <w:rFonts w:ascii="Times New Roman" w:hAnsi="Times New Roman"/>
          <w:sz w:val="26"/>
          <w:szCs w:val="26"/>
        </w:rPr>
        <w:t>encourages electronic</w:t>
      </w:r>
      <w:r w:rsidRPr="00D27CC7">
        <w:rPr>
          <w:rFonts w:ascii="Times New Roman" w:hAnsi="Times New Roman"/>
          <w:sz w:val="26"/>
          <w:szCs w:val="26"/>
        </w:rPr>
        <w:t xml:space="preserve"> filing </w:t>
      </w:r>
      <w:r w:rsidR="00657DCD">
        <w:rPr>
          <w:rFonts w:ascii="Times New Roman" w:hAnsi="Times New Roman"/>
          <w:sz w:val="26"/>
          <w:szCs w:val="26"/>
        </w:rPr>
        <w:t xml:space="preserve">of (a) </w:t>
      </w:r>
      <w:r w:rsidRPr="00D27CC7">
        <w:rPr>
          <w:rFonts w:ascii="Times New Roman" w:hAnsi="Times New Roman"/>
          <w:sz w:val="26"/>
          <w:szCs w:val="26"/>
        </w:rPr>
        <w:t xml:space="preserve">all documents </w:t>
      </w:r>
      <w:r w:rsidR="008B698C">
        <w:rPr>
          <w:rFonts w:ascii="Times New Roman" w:hAnsi="Times New Roman"/>
          <w:sz w:val="26"/>
          <w:szCs w:val="26"/>
        </w:rPr>
        <w:t>(</w:t>
      </w:r>
      <w:r w:rsidRPr="00D27CC7">
        <w:rPr>
          <w:rFonts w:ascii="Times New Roman" w:hAnsi="Times New Roman"/>
          <w:sz w:val="26"/>
          <w:szCs w:val="26"/>
        </w:rPr>
        <w:t>except for specified exceptions</w:t>
      </w:r>
      <w:r w:rsidR="008B698C">
        <w:rPr>
          <w:rFonts w:ascii="Times New Roman" w:hAnsi="Times New Roman"/>
          <w:sz w:val="26"/>
          <w:szCs w:val="26"/>
        </w:rPr>
        <w:t>)</w:t>
      </w:r>
      <w:r w:rsidRPr="00D27CC7">
        <w:rPr>
          <w:rFonts w:ascii="Times New Roman" w:hAnsi="Times New Roman"/>
          <w:sz w:val="26"/>
          <w:szCs w:val="26"/>
        </w:rPr>
        <w:t xml:space="preserve">, and </w:t>
      </w:r>
      <w:r w:rsidR="00657DCD">
        <w:rPr>
          <w:rFonts w:ascii="Times New Roman" w:hAnsi="Times New Roman"/>
          <w:sz w:val="26"/>
          <w:szCs w:val="26"/>
        </w:rPr>
        <w:t xml:space="preserve">(b) </w:t>
      </w:r>
      <w:r w:rsidRPr="00D27CC7">
        <w:rPr>
          <w:rFonts w:ascii="Times New Roman" w:hAnsi="Times New Roman"/>
          <w:sz w:val="26"/>
          <w:szCs w:val="26"/>
        </w:rPr>
        <w:t xml:space="preserve">online forms to allow “documentless” interventions. </w:t>
      </w:r>
    </w:p>
    <w:p w14:paraId="54958D34" w14:textId="77777777" w:rsidR="002B7FAC" w:rsidRPr="00D27CC7" w:rsidRDefault="00D7699B" w:rsidP="00B87F76">
      <w:pPr>
        <w:spacing w:line="240" w:lineRule="auto"/>
        <w:rPr>
          <w:rFonts w:ascii="Times New Roman" w:hAnsi="Times New Roman"/>
          <w:sz w:val="26"/>
          <w:szCs w:val="26"/>
        </w:rPr>
      </w:pPr>
      <w:r>
        <w:rPr>
          <w:rFonts w:ascii="Times New Roman" w:hAnsi="Times New Roman"/>
          <w:sz w:val="26"/>
          <w:szCs w:val="26"/>
        </w:rPr>
        <w:t>Several years ago w</w:t>
      </w:r>
      <w:r w:rsidR="002B7FAC" w:rsidRPr="00D27CC7">
        <w:rPr>
          <w:rFonts w:ascii="Times New Roman" w:hAnsi="Times New Roman"/>
          <w:sz w:val="26"/>
          <w:szCs w:val="26"/>
        </w:rPr>
        <w:t>ith the advent of eFiling 7.0, the Commission expanded its ability to receive electronic filings through its eFiling and eLibrary systems and include</w:t>
      </w:r>
      <w:r>
        <w:rPr>
          <w:rFonts w:ascii="Times New Roman" w:hAnsi="Times New Roman"/>
          <w:sz w:val="26"/>
          <w:szCs w:val="26"/>
        </w:rPr>
        <w:t>d</w:t>
      </w:r>
      <w:r w:rsidR="002B7FAC" w:rsidRPr="00D27CC7">
        <w:rPr>
          <w:rFonts w:ascii="Times New Roman" w:hAnsi="Times New Roman"/>
          <w:sz w:val="26"/>
          <w:szCs w:val="26"/>
        </w:rPr>
        <w:t xml:space="preserve"> these self-certification filings.  As part of the self-certification filing, forms of notice suitable for publication in the Federal Register are submitted via eFiling.  All respondents to the FERC-598 use eFiling to submit their responses to this information collection.</w:t>
      </w:r>
    </w:p>
    <w:p w14:paraId="0856F3D6" w14:textId="77777777" w:rsidR="002B7FAC" w:rsidRPr="00D27CC7" w:rsidRDefault="002B7FAC" w:rsidP="00C2572D">
      <w:pPr>
        <w:widowControl w:val="0"/>
        <w:numPr>
          <w:ilvl w:val="0"/>
          <w:numId w:val="2"/>
        </w:numPr>
        <w:autoSpaceDE w:val="0"/>
        <w:autoSpaceDN w:val="0"/>
        <w:adjustRightInd w:val="0"/>
        <w:spacing w:after="0" w:line="240" w:lineRule="auto"/>
        <w:rPr>
          <w:rFonts w:ascii="Times New Roman" w:hAnsi="Times New Roman" w:cs="Times New Roman"/>
          <w:sz w:val="26"/>
          <w:szCs w:val="26"/>
        </w:rPr>
      </w:pPr>
      <w:r w:rsidRPr="00D27CC7">
        <w:rPr>
          <w:rFonts w:ascii="Times New Roman" w:hAnsi="Times New Roman" w:cs="Times New Roman"/>
          <w:b/>
          <w:bCs/>
          <w:sz w:val="26"/>
          <w:szCs w:val="26"/>
        </w:rPr>
        <w:t>DESCRIBE EFFORTS TO IDENTIFY DUPLICATION AND SHOW SPECIFICALLY WHY ANY SIMILAR INFORMATION ALREADY AVAILABLE CANNOT BE USED OR MODIFIED FOR USE FOR THE PURPOSE(S) DESCRIBED IN INSTRUCTION NO. 2</w:t>
      </w:r>
    </w:p>
    <w:p w14:paraId="0AD51A75" w14:textId="77777777" w:rsidR="00D27CC7" w:rsidRPr="00D27CC7" w:rsidRDefault="00D27CC7" w:rsidP="00C2572D">
      <w:pPr>
        <w:widowControl w:val="0"/>
        <w:autoSpaceDE w:val="0"/>
        <w:autoSpaceDN w:val="0"/>
        <w:adjustRightInd w:val="0"/>
        <w:spacing w:after="0" w:line="240" w:lineRule="auto"/>
        <w:ind w:left="360"/>
        <w:rPr>
          <w:rFonts w:ascii="Times New Roman" w:hAnsi="Times New Roman" w:cs="Times New Roman"/>
          <w:sz w:val="26"/>
          <w:szCs w:val="26"/>
        </w:rPr>
      </w:pPr>
    </w:p>
    <w:p w14:paraId="2C64B972" w14:textId="77777777" w:rsidR="002B7FAC" w:rsidRPr="00D27CC7" w:rsidRDefault="002B7FAC" w:rsidP="00B87F76">
      <w:pPr>
        <w:spacing w:line="240" w:lineRule="auto"/>
        <w:rPr>
          <w:rFonts w:ascii="Times New Roman" w:hAnsi="Times New Roman"/>
          <w:sz w:val="26"/>
          <w:szCs w:val="26"/>
        </w:rPr>
      </w:pPr>
      <w:r w:rsidRPr="00D27CC7">
        <w:rPr>
          <w:rFonts w:ascii="Times New Roman" w:hAnsi="Times New Roman"/>
          <w:sz w:val="26"/>
          <w:szCs w:val="26"/>
        </w:rPr>
        <w:t>Commis</w:t>
      </w:r>
      <w:r w:rsidR="00AE7B39">
        <w:rPr>
          <w:rFonts w:ascii="Times New Roman" w:hAnsi="Times New Roman"/>
          <w:sz w:val="26"/>
          <w:szCs w:val="26"/>
        </w:rPr>
        <w:t>sion</w:t>
      </w:r>
      <w:r w:rsidRPr="00D27CC7">
        <w:rPr>
          <w:rFonts w:ascii="Times New Roman" w:hAnsi="Times New Roman"/>
          <w:sz w:val="26"/>
          <w:szCs w:val="26"/>
        </w:rPr>
        <w:t xml:space="preserve"> staff has determined that there is no duplication of information. The information submitted with each filing </w:t>
      </w:r>
      <w:r w:rsidR="00586545" w:rsidRPr="00D27CC7">
        <w:rPr>
          <w:rFonts w:ascii="Times New Roman" w:hAnsi="Times New Roman"/>
          <w:sz w:val="26"/>
          <w:szCs w:val="26"/>
        </w:rPr>
        <w:t xml:space="preserve">for EWG or FUCO status </w:t>
      </w:r>
      <w:r w:rsidRPr="00D27CC7">
        <w:rPr>
          <w:rFonts w:ascii="Times New Roman" w:hAnsi="Times New Roman"/>
          <w:sz w:val="26"/>
          <w:szCs w:val="26"/>
        </w:rPr>
        <w:t>is specific to</w:t>
      </w:r>
      <w:r w:rsidR="00FD403A">
        <w:rPr>
          <w:rFonts w:ascii="Times New Roman" w:hAnsi="Times New Roman"/>
          <w:sz w:val="26"/>
          <w:szCs w:val="26"/>
        </w:rPr>
        <w:t xml:space="preserve"> this regulatory requirement and specific to</w:t>
      </w:r>
      <w:r w:rsidRPr="00D27CC7">
        <w:rPr>
          <w:rFonts w:ascii="Times New Roman" w:hAnsi="Times New Roman"/>
          <w:sz w:val="26"/>
          <w:szCs w:val="26"/>
        </w:rPr>
        <w:t xml:space="preserve"> each </w:t>
      </w:r>
      <w:r w:rsidR="008B698C">
        <w:rPr>
          <w:rFonts w:ascii="Times New Roman" w:hAnsi="Times New Roman"/>
          <w:sz w:val="26"/>
          <w:szCs w:val="26"/>
        </w:rPr>
        <w:t>filing</w:t>
      </w:r>
      <w:r w:rsidRPr="00D27CC7">
        <w:rPr>
          <w:rFonts w:ascii="Times New Roman" w:hAnsi="Times New Roman"/>
          <w:sz w:val="26"/>
          <w:szCs w:val="26"/>
        </w:rPr>
        <w:t>.</w:t>
      </w:r>
    </w:p>
    <w:p w14:paraId="2F2B1412" w14:textId="77777777" w:rsidR="002B7FAC" w:rsidRPr="00D27CC7" w:rsidRDefault="002B7FAC" w:rsidP="00C2572D">
      <w:pPr>
        <w:widowControl w:val="0"/>
        <w:numPr>
          <w:ilvl w:val="0"/>
          <w:numId w:val="2"/>
        </w:numPr>
        <w:autoSpaceDE w:val="0"/>
        <w:autoSpaceDN w:val="0"/>
        <w:adjustRightInd w:val="0"/>
        <w:spacing w:after="0" w:line="240" w:lineRule="auto"/>
        <w:rPr>
          <w:rFonts w:ascii="Times New Roman" w:hAnsi="Times New Roman" w:cs="Times New Roman"/>
          <w:sz w:val="26"/>
          <w:szCs w:val="26"/>
        </w:rPr>
      </w:pPr>
      <w:r w:rsidRPr="00D27CC7">
        <w:rPr>
          <w:rFonts w:ascii="Times New Roman" w:hAnsi="Times New Roman" w:cs="Times New Roman"/>
          <w:b/>
          <w:bCs/>
          <w:sz w:val="26"/>
          <w:szCs w:val="26"/>
        </w:rPr>
        <w:t>METHODS USED TO MINIMIZE BURDEN IN COLLECTION OF INFORMATION INVOLVING SMALL ENTITIES</w:t>
      </w:r>
    </w:p>
    <w:p w14:paraId="22ADBF39" w14:textId="77777777" w:rsidR="00D27CC7" w:rsidRPr="00D27CC7" w:rsidRDefault="00D27CC7" w:rsidP="00C2572D">
      <w:pPr>
        <w:widowControl w:val="0"/>
        <w:autoSpaceDE w:val="0"/>
        <w:autoSpaceDN w:val="0"/>
        <w:adjustRightInd w:val="0"/>
        <w:spacing w:after="0" w:line="240" w:lineRule="auto"/>
        <w:ind w:left="360"/>
        <w:rPr>
          <w:rFonts w:ascii="Times New Roman" w:hAnsi="Times New Roman" w:cs="Times New Roman"/>
          <w:sz w:val="26"/>
          <w:szCs w:val="26"/>
        </w:rPr>
      </w:pPr>
    </w:p>
    <w:p w14:paraId="7E8DA886" w14:textId="3CD9E788" w:rsidR="002B7FAC" w:rsidRPr="00D27CC7" w:rsidRDefault="002B7FAC" w:rsidP="00B87F76">
      <w:pPr>
        <w:spacing w:line="240" w:lineRule="auto"/>
        <w:rPr>
          <w:rFonts w:ascii="Times New Roman" w:hAnsi="Times New Roman"/>
          <w:b/>
          <w:bCs/>
          <w:sz w:val="26"/>
          <w:szCs w:val="26"/>
        </w:rPr>
      </w:pPr>
      <w:r w:rsidRPr="00D27CC7">
        <w:rPr>
          <w:rFonts w:ascii="Times New Roman" w:hAnsi="Times New Roman"/>
          <w:sz w:val="26"/>
          <w:szCs w:val="26"/>
        </w:rPr>
        <w:t xml:space="preserve">The Commission </w:t>
      </w:r>
      <w:r w:rsidR="00FD403A">
        <w:rPr>
          <w:rFonts w:ascii="Times New Roman" w:hAnsi="Times New Roman"/>
          <w:sz w:val="26"/>
          <w:szCs w:val="26"/>
        </w:rPr>
        <w:t xml:space="preserve">provides </w:t>
      </w:r>
      <w:r w:rsidRPr="00D27CC7">
        <w:rPr>
          <w:rFonts w:ascii="Times New Roman" w:hAnsi="Times New Roman"/>
          <w:sz w:val="26"/>
          <w:szCs w:val="26"/>
        </w:rPr>
        <w:t xml:space="preserve">the option of </w:t>
      </w:r>
      <w:r w:rsidR="00181B91">
        <w:rPr>
          <w:rFonts w:ascii="Times New Roman" w:hAnsi="Times New Roman"/>
          <w:sz w:val="26"/>
          <w:szCs w:val="26"/>
        </w:rPr>
        <w:t xml:space="preserve">electronic </w:t>
      </w:r>
      <w:r w:rsidRPr="00D27CC7">
        <w:rPr>
          <w:rFonts w:ascii="Times New Roman" w:hAnsi="Times New Roman"/>
          <w:sz w:val="26"/>
          <w:szCs w:val="26"/>
        </w:rPr>
        <w:t xml:space="preserve">filing </w:t>
      </w:r>
      <w:r w:rsidR="00FD403A">
        <w:rPr>
          <w:rFonts w:ascii="Times New Roman" w:hAnsi="Times New Roman"/>
          <w:sz w:val="26"/>
          <w:szCs w:val="26"/>
        </w:rPr>
        <w:t xml:space="preserve">– rather than paper submittals hand-delivered to the Commission or mailed – </w:t>
      </w:r>
      <w:r w:rsidRPr="00D27CC7">
        <w:rPr>
          <w:rFonts w:ascii="Times New Roman" w:hAnsi="Times New Roman"/>
          <w:sz w:val="26"/>
          <w:szCs w:val="26"/>
        </w:rPr>
        <w:t xml:space="preserve">as a means of reducing </w:t>
      </w:r>
      <w:r w:rsidR="00960D95">
        <w:rPr>
          <w:rFonts w:ascii="Times New Roman" w:hAnsi="Times New Roman"/>
          <w:sz w:val="26"/>
          <w:szCs w:val="26"/>
        </w:rPr>
        <w:t xml:space="preserve">the </w:t>
      </w:r>
      <w:r w:rsidRPr="00D27CC7">
        <w:rPr>
          <w:rFonts w:ascii="Times New Roman" w:hAnsi="Times New Roman"/>
          <w:sz w:val="26"/>
          <w:szCs w:val="26"/>
        </w:rPr>
        <w:t>burden for respondents</w:t>
      </w:r>
      <w:r w:rsidR="00FD403A">
        <w:rPr>
          <w:rFonts w:ascii="Times New Roman" w:hAnsi="Times New Roman"/>
          <w:sz w:val="26"/>
          <w:szCs w:val="26"/>
        </w:rPr>
        <w:t>,</w:t>
      </w:r>
      <w:r w:rsidRPr="00D27CC7">
        <w:rPr>
          <w:rFonts w:ascii="Times New Roman" w:hAnsi="Times New Roman"/>
          <w:sz w:val="26"/>
          <w:szCs w:val="26"/>
        </w:rPr>
        <w:t xml:space="preserve"> including small entities.</w:t>
      </w:r>
    </w:p>
    <w:p w14:paraId="1B870D13" w14:textId="77777777" w:rsidR="002B7FAC" w:rsidRPr="00D27CC7" w:rsidRDefault="002B7FAC" w:rsidP="00C2572D">
      <w:pPr>
        <w:widowControl w:val="0"/>
        <w:numPr>
          <w:ilvl w:val="0"/>
          <w:numId w:val="2"/>
        </w:numPr>
        <w:autoSpaceDE w:val="0"/>
        <w:autoSpaceDN w:val="0"/>
        <w:adjustRightInd w:val="0"/>
        <w:spacing w:after="0" w:line="240" w:lineRule="auto"/>
        <w:rPr>
          <w:rFonts w:ascii="Times New Roman" w:hAnsi="Times New Roman" w:cs="Times New Roman"/>
          <w:sz w:val="26"/>
          <w:szCs w:val="26"/>
        </w:rPr>
      </w:pPr>
      <w:r w:rsidRPr="00D27CC7">
        <w:rPr>
          <w:rFonts w:ascii="Times New Roman" w:hAnsi="Times New Roman" w:cs="Times New Roman"/>
          <w:b/>
          <w:sz w:val="26"/>
          <w:szCs w:val="26"/>
        </w:rPr>
        <w:t>CONSEQUENCE TO FEDERAL PROGRAM IF COLLECTION WERE CONDUCTED LESS FREQUENTLY</w:t>
      </w:r>
    </w:p>
    <w:p w14:paraId="270D5710" w14:textId="77777777" w:rsidR="002B7FAC" w:rsidRPr="00D27CC7" w:rsidRDefault="002B7FAC" w:rsidP="00C2572D">
      <w:pPr>
        <w:pStyle w:val="FERCparanumber"/>
        <w:widowControl/>
        <w:numPr>
          <w:ilvl w:val="0"/>
          <w:numId w:val="0"/>
        </w:numPr>
        <w:tabs>
          <w:tab w:val="left" w:pos="720"/>
        </w:tabs>
        <w:rPr>
          <w:rFonts w:ascii="Times New Roman" w:hAnsi="Times New Roman" w:cs="Times New Roman"/>
          <w:sz w:val="26"/>
          <w:szCs w:val="26"/>
        </w:rPr>
      </w:pPr>
    </w:p>
    <w:p w14:paraId="45D1CD64" w14:textId="0E9425F3" w:rsidR="002B7FAC" w:rsidRPr="00D27CC7" w:rsidRDefault="002B7FAC" w:rsidP="00B87F76">
      <w:pPr>
        <w:spacing w:line="240" w:lineRule="auto"/>
        <w:rPr>
          <w:rFonts w:ascii="Times New Roman" w:hAnsi="Times New Roman"/>
          <w:sz w:val="26"/>
          <w:szCs w:val="26"/>
        </w:rPr>
      </w:pPr>
      <w:r w:rsidRPr="00D27CC7">
        <w:rPr>
          <w:rFonts w:ascii="Times New Roman" w:hAnsi="Times New Roman"/>
          <w:sz w:val="26"/>
          <w:szCs w:val="26"/>
        </w:rPr>
        <w:t>If the Commission did not collect this information</w:t>
      </w:r>
      <w:r w:rsidR="00FD403A">
        <w:rPr>
          <w:rFonts w:ascii="Times New Roman" w:hAnsi="Times New Roman"/>
          <w:sz w:val="26"/>
          <w:szCs w:val="26"/>
        </w:rPr>
        <w:t xml:space="preserve"> at all</w:t>
      </w:r>
      <w:r w:rsidRPr="00D27CC7">
        <w:rPr>
          <w:rFonts w:ascii="Times New Roman" w:hAnsi="Times New Roman"/>
          <w:sz w:val="26"/>
          <w:szCs w:val="26"/>
        </w:rPr>
        <w:t xml:space="preserve">, it would not be </w:t>
      </w:r>
      <w:r w:rsidR="00FD403A">
        <w:rPr>
          <w:rFonts w:ascii="Times New Roman" w:hAnsi="Times New Roman"/>
          <w:sz w:val="26"/>
          <w:szCs w:val="26"/>
        </w:rPr>
        <w:t xml:space="preserve">able to </w:t>
      </w:r>
      <w:r w:rsidRPr="00D27CC7">
        <w:rPr>
          <w:rFonts w:ascii="Times New Roman" w:hAnsi="Times New Roman"/>
          <w:sz w:val="26"/>
          <w:szCs w:val="26"/>
        </w:rPr>
        <w:t xml:space="preserve">carry out its responsibilities as specified by </w:t>
      </w:r>
      <w:r w:rsidR="00FD403A">
        <w:rPr>
          <w:rFonts w:ascii="Times New Roman" w:hAnsi="Times New Roman"/>
          <w:sz w:val="26"/>
          <w:szCs w:val="26"/>
        </w:rPr>
        <w:t xml:space="preserve">section 1266(a) </w:t>
      </w:r>
      <w:r w:rsidRPr="00D27CC7">
        <w:rPr>
          <w:rFonts w:ascii="Times New Roman" w:hAnsi="Times New Roman"/>
          <w:sz w:val="26"/>
          <w:szCs w:val="26"/>
        </w:rPr>
        <w:t>of PUHCA 2005</w:t>
      </w:r>
      <w:r w:rsidR="00FD403A">
        <w:rPr>
          <w:rFonts w:ascii="Times New Roman" w:hAnsi="Times New Roman"/>
          <w:sz w:val="26"/>
          <w:szCs w:val="26"/>
        </w:rPr>
        <w:t>;</w:t>
      </w:r>
      <w:r w:rsidRPr="00D27CC7">
        <w:rPr>
          <w:rFonts w:ascii="Times New Roman" w:hAnsi="Times New Roman"/>
          <w:sz w:val="26"/>
          <w:szCs w:val="26"/>
        </w:rPr>
        <w:t xml:space="preserve"> </w:t>
      </w:r>
      <w:r w:rsidR="00FD403A">
        <w:rPr>
          <w:rFonts w:ascii="Times New Roman" w:hAnsi="Times New Roman"/>
          <w:sz w:val="26"/>
          <w:szCs w:val="26"/>
        </w:rPr>
        <w:t>it</w:t>
      </w:r>
      <w:r w:rsidRPr="00D27CC7">
        <w:rPr>
          <w:rFonts w:ascii="Times New Roman" w:hAnsi="Times New Roman"/>
          <w:sz w:val="26"/>
          <w:szCs w:val="26"/>
        </w:rPr>
        <w:t xml:space="preserve"> </w:t>
      </w:r>
      <w:r w:rsidR="008B698C">
        <w:rPr>
          <w:rFonts w:ascii="Times New Roman" w:hAnsi="Times New Roman"/>
          <w:sz w:val="26"/>
          <w:szCs w:val="26"/>
        </w:rPr>
        <w:t xml:space="preserve">would not </w:t>
      </w:r>
      <w:r w:rsidRPr="00D27CC7">
        <w:rPr>
          <w:rFonts w:ascii="Times New Roman" w:hAnsi="Times New Roman"/>
          <w:sz w:val="26"/>
          <w:szCs w:val="26"/>
        </w:rPr>
        <w:t xml:space="preserve">be able to  </w:t>
      </w:r>
      <w:r w:rsidR="008B698C">
        <w:rPr>
          <w:rFonts w:ascii="Times New Roman" w:hAnsi="Times New Roman"/>
          <w:sz w:val="26"/>
          <w:szCs w:val="26"/>
        </w:rPr>
        <w:t xml:space="preserve">ensure </w:t>
      </w:r>
      <w:r w:rsidR="00FD403A">
        <w:rPr>
          <w:rFonts w:ascii="Times New Roman" w:hAnsi="Times New Roman"/>
          <w:sz w:val="26"/>
          <w:szCs w:val="26"/>
        </w:rPr>
        <w:t xml:space="preserve">that </w:t>
      </w:r>
      <w:r w:rsidR="008B698C">
        <w:rPr>
          <w:rFonts w:ascii="Times New Roman" w:hAnsi="Times New Roman"/>
          <w:sz w:val="26"/>
          <w:szCs w:val="26"/>
        </w:rPr>
        <w:t>an</w:t>
      </w:r>
      <w:r w:rsidRPr="00D27CC7">
        <w:rPr>
          <w:rFonts w:ascii="Times New Roman" w:hAnsi="Times New Roman"/>
          <w:sz w:val="26"/>
          <w:szCs w:val="26"/>
        </w:rPr>
        <w:t xml:space="preserve"> </w:t>
      </w:r>
      <w:r w:rsidR="00FD403A">
        <w:rPr>
          <w:rFonts w:ascii="Times New Roman" w:hAnsi="Times New Roman"/>
          <w:sz w:val="26"/>
          <w:szCs w:val="26"/>
        </w:rPr>
        <w:t>entity</w:t>
      </w:r>
      <w:r w:rsidRPr="00D27CC7">
        <w:rPr>
          <w:rFonts w:ascii="Times New Roman" w:hAnsi="Times New Roman"/>
          <w:sz w:val="26"/>
          <w:szCs w:val="26"/>
        </w:rPr>
        <w:t xml:space="preserve"> </w:t>
      </w:r>
      <w:r w:rsidR="008B698C">
        <w:rPr>
          <w:rFonts w:ascii="Times New Roman" w:hAnsi="Times New Roman"/>
          <w:sz w:val="26"/>
          <w:szCs w:val="26"/>
        </w:rPr>
        <w:t xml:space="preserve">is an EWG or FUCO and that a holding company </w:t>
      </w:r>
      <w:r w:rsidRPr="00D27CC7">
        <w:rPr>
          <w:rFonts w:ascii="Times New Roman" w:hAnsi="Times New Roman"/>
          <w:sz w:val="26"/>
          <w:szCs w:val="26"/>
        </w:rPr>
        <w:t xml:space="preserve">should </w:t>
      </w:r>
      <w:r w:rsidR="00FD403A">
        <w:rPr>
          <w:rFonts w:ascii="Times New Roman" w:hAnsi="Times New Roman"/>
          <w:sz w:val="26"/>
          <w:szCs w:val="26"/>
        </w:rPr>
        <w:t xml:space="preserve">accordingly </w:t>
      </w:r>
      <w:r w:rsidRPr="00D27CC7">
        <w:rPr>
          <w:rFonts w:ascii="Times New Roman" w:hAnsi="Times New Roman"/>
          <w:sz w:val="26"/>
          <w:szCs w:val="26"/>
        </w:rPr>
        <w:t>be exempt from the provisions of PUHCA 2005.</w:t>
      </w:r>
    </w:p>
    <w:p w14:paraId="1CC1413C" w14:textId="64809113" w:rsidR="002B7FAC" w:rsidRPr="00D27CC7" w:rsidRDefault="00FD403A" w:rsidP="00B87F76">
      <w:pPr>
        <w:spacing w:line="240" w:lineRule="auto"/>
        <w:rPr>
          <w:rFonts w:ascii="Times New Roman" w:hAnsi="Times New Roman"/>
          <w:sz w:val="26"/>
          <w:szCs w:val="26"/>
        </w:rPr>
      </w:pPr>
      <w:r>
        <w:rPr>
          <w:rFonts w:ascii="Times New Roman" w:hAnsi="Times New Roman"/>
          <w:sz w:val="26"/>
          <w:szCs w:val="26"/>
        </w:rPr>
        <w:t xml:space="preserve">For most entities this, filing is a one-time filing. </w:t>
      </w:r>
      <w:r w:rsidR="008B698C">
        <w:rPr>
          <w:rFonts w:ascii="Times New Roman" w:hAnsi="Times New Roman"/>
          <w:sz w:val="26"/>
          <w:szCs w:val="26"/>
        </w:rPr>
        <w:t xml:space="preserve">Unless circumstances </w:t>
      </w:r>
      <w:r w:rsidR="006F15F1">
        <w:rPr>
          <w:rFonts w:ascii="Times New Roman" w:hAnsi="Times New Roman"/>
          <w:sz w:val="26"/>
          <w:szCs w:val="26"/>
        </w:rPr>
        <w:t>related to</w:t>
      </w:r>
      <w:r>
        <w:rPr>
          <w:rFonts w:ascii="Times New Roman" w:hAnsi="Times New Roman"/>
          <w:sz w:val="26"/>
          <w:szCs w:val="26"/>
        </w:rPr>
        <w:t xml:space="preserve"> </w:t>
      </w:r>
      <w:r w:rsidR="008B698C">
        <w:rPr>
          <w:rFonts w:ascii="Times New Roman" w:hAnsi="Times New Roman"/>
          <w:sz w:val="26"/>
          <w:szCs w:val="26"/>
        </w:rPr>
        <w:t>an entity’s statu</w:t>
      </w:r>
      <w:r w:rsidR="00CA1C3D">
        <w:rPr>
          <w:rFonts w:ascii="Times New Roman" w:hAnsi="Times New Roman"/>
          <w:sz w:val="26"/>
          <w:szCs w:val="26"/>
        </w:rPr>
        <w:t>s as an EWG or FUCO change later</w:t>
      </w:r>
      <w:r w:rsidR="008B698C">
        <w:rPr>
          <w:rFonts w:ascii="Times New Roman" w:hAnsi="Times New Roman"/>
          <w:sz w:val="26"/>
          <w:szCs w:val="26"/>
        </w:rPr>
        <w:t xml:space="preserve">, </w:t>
      </w:r>
      <w:r w:rsidR="002B7FAC" w:rsidRPr="00D27CC7">
        <w:rPr>
          <w:rFonts w:ascii="Times New Roman" w:hAnsi="Times New Roman"/>
          <w:sz w:val="26"/>
          <w:szCs w:val="26"/>
        </w:rPr>
        <w:t xml:space="preserve">applicants need </w:t>
      </w:r>
      <w:r w:rsidRPr="00D27CC7">
        <w:rPr>
          <w:rFonts w:ascii="Times New Roman" w:hAnsi="Times New Roman"/>
          <w:sz w:val="26"/>
          <w:szCs w:val="26"/>
        </w:rPr>
        <w:t xml:space="preserve">only </w:t>
      </w:r>
      <w:r w:rsidR="002B7FAC" w:rsidRPr="00D27CC7">
        <w:rPr>
          <w:rFonts w:ascii="Times New Roman" w:hAnsi="Times New Roman"/>
          <w:sz w:val="26"/>
          <w:szCs w:val="26"/>
        </w:rPr>
        <w:t>file once in order to obtain the benefits of EWG and FUCO status.</w:t>
      </w:r>
      <w:r w:rsidR="00960D95" w:rsidRPr="00960D95">
        <w:rPr>
          <w:rFonts w:ascii="Times New Roman" w:hAnsi="Times New Roman"/>
          <w:sz w:val="26"/>
          <w:szCs w:val="26"/>
        </w:rPr>
        <w:t xml:space="preserve"> </w:t>
      </w:r>
      <w:r w:rsidR="00960D95" w:rsidRPr="00D27CC7">
        <w:rPr>
          <w:rFonts w:ascii="Times New Roman" w:hAnsi="Times New Roman"/>
          <w:sz w:val="26"/>
          <w:szCs w:val="26"/>
        </w:rPr>
        <w:t>The Commission's r</w:t>
      </w:r>
      <w:r w:rsidR="00AE7B39">
        <w:rPr>
          <w:rFonts w:ascii="Times New Roman" w:hAnsi="Times New Roman"/>
          <w:sz w:val="26"/>
          <w:szCs w:val="26"/>
        </w:rPr>
        <w:t xml:space="preserve">equirements for </w:t>
      </w:r>
      <w:r w:rsidR="00391D65">
        <w:rPr>
          <w:rFonts w:ascii="Times New Roman" w:hAnsi="Times New Roman"/>
          <w:sz w:val="26"/>
          <w:szCs w:val="26"/>
        </w:rPr>
        <w:t>submittal</w:t>
      </w:r>
      <w:r w:rsidR="00AE7B39">
        <w:rPr>
          <w:rFonts w:ascii="Times New Roman" w:hAnsi="Times New Roman"/>
          <w:sz w:val="26"/>
          <w:szCs w:val="26"/>
        </w:rPr>
        <w:t xml:space="preserve"> are </w:t>
      </w:r>
      <w:r w:rsidR="00960D95">
        <w:rPr>
          <w:rFonts w:ascii="Times New Roman" w:hAnsi="Times New Roman"/>
          <w:sz w:val="26"/>
          <w:szCs w:val="26"/>
        </w:rPr>
        <w:t xml:space="preserve">thus </w:t>
      </w:r>
      <w:r w:rsidR="00CA1C3D">
        <w:rPr>
          <w:rFonts w:ascii="Times New Roman" w:hAnsi="Times New Roman"/>
          <w:sz w:val="26"/>
          <w:szCs w:val="26"/>
        </w:rPr>
        <w:t>t</w:t>
      </w:r>
      <w:r w:rsidR="00960D95" w:rsidRPr="00D27CC7">
        <w:rPr>
          <w:rFonts w:ascii="Times New Roman" w:hAnsi="Times New Roman"/>
          <w:sz w:val="26"/>
          <w:szCs w:val="26"/>
        </w:rPr>
        <w:t xml:space="preserve">he minimum that </w:t>
      </w:r>
      <w:r w:rsidR="006B6F91">
        <w:rPr>
          <w:rFonts w:ascii="Times New Roman" w:hAnsi="Times New Roman"/>
          <w:sz w:val="26"/>
          <w:szCs w:val="26"/>
        </w:rPr>
        <w:t xml:space="preserve">the Commission </w:t>
      </w:r>
      <w:r w:rsidR="00960D95" w:rsidRPr="00D27CC7">
        <w:rPr>
          <w:rFonts w:ascii="Times New Roman" w:hAnsi="Times New Roman"/>
          <w:sz w:val="26"/>
          <w:szCs w:val="26"/>
        </w:rPr>
        <w:t>can impose</w:t>
      </w:r>
      <w:r w:rsidR="006B6F91">
        <w:rPr>
          <w:rFonts w:ascii="Times New Roman" w:hAnsi="Times New Roman"/>
          <w:sz w:val="26"/>
          <w:szCs w:val="26"/>
        </w:rPr>
        <w:t xml:space="preserve"> while still complying with section 1266(a) of PUHCA 2005.</w:t>
      </w:r>
      <w:r w:rsidR="00960D95" w:rsidRPr="00D27CC7">
        <w:rPr>
          <w:rFonts w:ascii="Times New Roman" w:hAnsi="Times New Roman"/>
          <w:sz w:val="26"/>
          <w:szCs w:val="26"/>
        </w:rPr>
        <w:t xml:space="preserve">  </w:t>
      </w:r>
    </w:p>
    <w:p w14:paraId="3CF04E59" w14:textId="77777777" w:rsidR="002B7FAC" w:rsidRPr="00D27CC7" w:rsidRDefault="002B7FAC" w:rsidP="00C2572D">
      <w:pPr>
        <w:widowControl w:val="0"/>
        <w:numPr>
          <w:ilvl w:val="0"/>
          <w:numId w:val="2"/>
        </w:numPr>
        <w:autoSpaceDE w:val="0"/>
        <w:autoSpaceDN w:val="0"/>
        <w:adjustRightInd w:val="0"/>
        <w:spacing w:after="0" w:line="240" w:lineRule="auto"/>
        <w:rPr>
          <w:rFonts w:ascii="Times New Roman" w:hAnsi="Times New Roman" w:cs="Times New Roman"/>
          <w:sz w:val="26"/>
          <w:szCs w:val="26"/>
        </w:rPr>
      </w:pPr>
      <w:r w:rsidRPr="00D27CC7">
        <w:rPr>
          <w:rFonts w:ascii="Times New Roman" w:hAnsi="Times New Roman" w:cs="Times New Roman"/>
          <w:b/>
          <w:bCs/>
          <w:sz w:val="26"/>
          <w:szCs w:val="26"/>
        </w:rPr>
        <w:t>EXPLAIN ANY SPECIAL CIRCUMSTANCES RELATING TO THE INFORMATION COLLECTION</w:t>
      </w:r>
    </w:p>
    <w:p w14:paraId="69FA84F8" w14:textId="77777777" w:rsidR="00D27CC7" w:rsidRPr="00D27CC7" w:rsidRDefault="00D27CC7" w:rsidP="00C2572D">
      <w:pPr>
        <w:widowControl w:val="0"/>
        <w:autoSpaceDE w:val="0"/>
        <w:autoSpaceDN w:val="0"/>
        <w:adjustRightInd w:val="0"/>
        <w:spacing w:after="0" w:line="240" w:lineRule="auto"/>
        <w:ind w:left="360"/>
        <w:rPr>
          <w:rFonts w:ascii="Times New Roman" w:hAnsi="Times New Roman" w:cs="Times New Roman"/>
          <w:sz w:val="26"/>
          <w:szCs w:val="26"/>
        </w:rPr>
      </w:pPr>
    </w:p>
    <w:p w14:paraId="4ACC19BA" w14:textId="77777777" w:rsidR="002B7FAC" w:rsidRPr="00D27CC7" w:rsidRDefault="002B7FAC" w:rsidP="00B87F76">
      <w:pPr>
        <w:spacing w:line="240" w:lineRule="auto"/>
        <w:rPr>
          <w:rFonts w:ascii="Times New Roman" w:hAnsi="Times New Roman"/>
          <w:b/>
          <w:bCs/>
          <w:sz w:val="26"/>
          <w:szCs w:val="26"/>
        </w:rPr>
      </w:pPr>
      <w:r w:rsidRPr="00D27CC7">
        <w:rPr>
          <w:rFonts w:ascii="Times New Roman" w:hAnsi="Times New Roman"/>
          <w:sz w:val="26"/>
          <w:szCs w:val="26"/>
        </w:rPr>
        <w:t xml:space="preserve">The requirements meet all of OMB's section 1320.5 requirements.  However, if an applicant opts to not file electronically, they would have to submit an original and two copies which satisfy the requirements in section 1320.5(d)(2)(iii).  While the Commission encourages applicants to submit their filings electronically, this is the applicant’s option. </w:t>
      </w:r>
    </w:p>
    <w:p w14:paraId="1303C32C" w14:textId="77777777" w:rsidR="002B7FAC" w:rsidRDefault="002B7FAC" w:rsidP="00C2572D">
      <w:pPr>
        <w:widowControl w:val="0"/>
        <w:numPr>
          <w:ilvl w:val="0"/>
          <w:numId w:val="2"/>
        </w:numPr>
        <w:autoSpaceDE w:val="0"/>
        <w:autoSpaceDN w:val="0"/>
        <w:adjustRightInd w:val="0"/>
        <w:spacing w:after="0" w:line="240" w:lineRule="auto"/>
        <w:rPr>
          <w:rFonts w:ascii="Times New Roman" w:hAnsi="Times New Roman" w:cs="Times New Roman"/>
          <w:sz w:val="26"/>
          <w:szCs w:val="26"/>
        </w:rPr>
      </w:pPr>
      <w:r w:rsidRPr="00D27CC7">
        <w:rPr>
          <w:rFonts w:ascii="Times New Roman" w:hAnsi="Times New Roman" w:cs="Times New Roman"/>
          <w:b/>
          <w:bCs/>
          <w:sz w:val="26"/>
          <w:szCs w:val="26"/>
        </w:rPr>
        <w:t>DESCRIBE EFFORTS TO CONSULT OUTSIDE THE AGENCY: SUMMARIZE PUBLIC COMMENTS AND THE AGENCY'S RESPONSE TO THESE COMMENTS</w:t>
      </w:r>
    </w:p>
    <w:p w14:paraId="12633738" w14:textId="77777777" w:rsidR="008E5683" w:rsidRPr="008E5683" w:rsidRDefault="008E5683" w:rsidP="00C2572D">
      <w:pPr>
        <w:widowControl w:val="0"/>
        <w:autoSpaceDE w:val="0"/>
        <w:autoSpaceDN w:val="0"/>
        <w:adjustRightInd w:val="0"/>
        <w:spacing w:after="0" w:line="240" w:lineRule="auto"/>
        <w:ind w:left="360"/>
        <w:rPr>
          <w:rFonts w:ascii="Times New Roman" w:hAnsi="Times New Roman" w:cs="Times New Roman"/>
          <w:sz w:val="26"/>
          <w:szCs w:val="26"/>
        </w:rPr>
      </w:pPr>
    </w:p>
    <w:p w14:paraId="7404A1B8" w14:textId="0EB0378A" w:rsidR="00E07A80" w:rsidRDefault="002B7FAC" w:rsidP="00C2572D">
      <w:pPr>
        <w:widowControl w:val="0"/>
        <w:autoSpaceDE w:val="0"/>
        <w:autoSpaceDN w:val="0"/>
        <w:adjustRightInd w:val="0"/>
        <w:spacing w:after="0" w:line="240" w:lineRule="auto"/>
        <w:rPr>
          <w:rFonts w:ascii="Times New Roman" w:hAnsi="Times New Roman"/>
          <w:sz w:val="26"/>
          <w:szCs w:val="26"/>
        </w:rPr>
      </w:pPr>
      <w:r w:rsidRPr="005D7C1B">
        <w:rPr>
          <w:rFonts w:ascii="Times New Roman" w:hAnsi="Times New Roman"/>
          <w:sz w:val="26"/>
          <w:szCs w:val="26"/>
        </w:rPr>
        <w:t xml:space="preserve">In accordance with OMB </w:t>
      </w:r>
      <w:r w:rsidRPr="00B87F76">
        <w:rPr>
          <w:rFonts w:ascii="Times New Roman" w:hAnsi="Times New Roman"/>
          <w:sz w:val="26"/>
          <w:szCs w:val="26"/>
        </w:rPr>
        <w:t>requirements</w:t>
      </w:r>
      <w:r w:rsidR="002B4E22" w:rsidRPr="00B87F76">
        <w:rPr>
          <w:rFonts w:ascii="Times New Roman" w:hAnsi="Times New Roman"/>
          <w:sz w:val="26"/>
          <w:szCs w:val="26"/>
        </w:rPr>
        <w:t>,</w:t>
      </w:r>
      <w:r w:rsidRPr="00B87F76">
        <w:rPr>
          <w:rStyle w:val="FootnoteReference"/>
          <w:rFonts w:ascii="Times New Roman" w:hAnsi="Times New Roman" w:cs="Times New Roman"/>
          <w:sz w:val="26"/>
          <w:szCs w:val="26"/>
          <w:vertAlign w:val="superscript"/>
        </w:rPr>
        <w:footnoteReference w:id="14"/>
      </w:r>
      <w:r w:rsidRPr="00B87F76">
        <w:rPr>
          <w:rFonts w:ascii="Times New Roman" w:hAnsi="Times New Roman" w:cs="Times New Roman"/>
          <w:sz w:val="26"/>
          <w:szCs w:val="26"/>
        </w:rPr>
        <w:t xml:space="preserve"> </w:t>
      </w:r>
      <w:r w:rsidRPr="00B87F76">
        <w:rPr>
          <w:rFonts w:ascii="Times New Roman" w:hAnsi="Times New Roman"/>
          <w:sz w:val="26"/>
          <w:szCs w:val="26"/>
        </w:rPr>
        <w:t xml:space="preserve">the Commission </w:t>
      </w:r>
      <w:r w:rsidR="00B21311" w:rsidRPr="00B87F76">
        <w:rPr>
          <w:rFonts w:ascii="Times New Roman" w:hAnsi="Times New Roman"/>
          <w:sz w:val="26"/>
          <w:szCs w:val="26"/>
        </w:rPr>
        <w:t xml:space="preserve">published a </w:t>
      </w:r>
      <w:r w:rsidRPr="00B87F76">
        <w:rPr>
          <w:rFonts w:ascii="Times New Roman" w:hAnsi="Times New Roman"/>
          <w:sz w:val="26"/>
          <w:szCs w:val="26"/>
        </w:rPr>
        <w:t>60-day</w:t>
      </w:r>
      <w:r w:rsidR="00B21311" w:rsidRPr="00B87F76">
        <w:rPr>
          <w:rFonts w:ascii="Times New Roman" w:hAnsi="Times New Roman"/>
          <w:sz w:val="26"/>
          <w:szCs w:val="26"/>
        </w:rPr>
        <w:t xml:space="preserve"> Notice</w:t>
      </w:r>
      <w:r w:rsidR="00B21311" w:rsidRPr="00B87F76">
        <w:rPr>
          <w:rStyle w:val="FootnoteReference"/>
          <w:rFonts w:ascii="Times New Roman" w:hAnsi="Times New Roman"/>
          <w:sz w:val="26"/>
          <w:szCs w:val="26"/>
          <w:vertAlign w:val="superscript"/>
        </w:rPr>
        <w:footnoteReference w:id="15"/>
      </w:r>
      <w:r w:rsidRPr="00B87F76">
        <w:rPr>
          <w:rFonts w:ascii="Times New Roman" w:hAnsi="Times New Roman"/>
          <w:sz w:val="26"/>
          <w:szCs w:val="26"/>
          <w:vertAlign w:val="superscript"/>
        </w:rPr>
        <w:t xml:space="preserve"> </w:t>
      </w:r>
      <w:r w:rsidR="0065155D" w:rsidRPr="00B87F76">
        <w:rPr>
          <w:rFonts w:ascii="Times New Roman" w:hAnsi="Times New Roman"/>
          <w:sz w:val="26"/>
          <w:szCs w:val="26"/>
        </w:rPr>
        <w:t>in</w:t>
      </w:r>
      <w:r w:rsidR="00DA7458" w:rsidRPr="00B87F76">
        <w:rPr>
          <w:rFonts w:ascii="Times New Roman" w:hAnsi="Times New Roman"/>
          <w:sz w:val="26"/>
          <w:szCs w:val="26"/>
        </w:rPr>
        <w:t xml:space="preserve"> </w:t>
      </w:r>
      <w:r w:rsidR="000F173C" w:rsidRPr="00B87F76">
        <w:rPr>
          <w:rFonts w:ascii="Times New Roman" w:hAnsi="Times New Roman"/>
          <w:sz w:val="26"/>
          <w:szCs w:val="26"/>
        </w:rPr>
        <w:t>the Federal Register to give the public and other entities an opportunity to comment</w:t>
      </w:r>
      <w:r w:rsidR="00B21311" w:rsidRPr="00B87F76">
        <w:rPr>
          <w:rFonts w:ascii="Times New Roman" w:hAnsi="Times New Roman"/>
          <w:sz w:val="26"/>
          <w:szCs w:val="26"/>
        </w:rPr>
        <w:t>.  The Commission received no comments on the 60-day notice</w:t>
      </w:r>
      <w:r w:rsidR="00B51AC1">
        <w:rPr>
          <w:rFonts w:ascii="Times New Roman" w:hAnsi="Times New Roman"/>
          <w:sz w:val="26"/>
          <w:szCs w:val="26"/>
        </w:rPr>
        <w:t xml:space="preserve"> (for which the public comment period closed on 2/9/2018)</w:t>
      </w:r>
      <w:r w:rsidR="00B21311" w:rsidRPr="00B87F76">
        <w:rPr>
          <w:rFonts w:ascii="Times New Roman" w:hAnsi="Times New Roman"/>
          <w:sz w:val="26"/>
          <w:szCs w:val="26"/>
        </w:rPr>
        <w:t>.</w:t>
      </w:r>
    </w:p>
    <w:p w14:paraId="6832A210" w14:textId="77777777" w:rsidR="00B21311" w:rsidRDefault="00B21311">
      <w:pPr>
        <w:widowControl w:val="0"/>
        <w:autoSpaceDE w:val="0"/>
        <w:autoSpaceDN w:val="0"/>
        <w:adjustRightInd w:val="0"/>
        <w:spacing w:after="0" w:line="240" w:lineRule="auto"/>
        <w:rPr>
          <w:rFonts w:ascii="Times New Roman" w:hAnsi="Times New Roman"/>
          <w:sz w:val="26"/>
          <w:szCs w:val="26"/>
        </w:rPr>
      </w:pPr>
    </w:p>
    <w:p w14:paraId="4EC8CED7" w14:textId="50F89F01" w:rsidR="00B21311" w:rsidRDefault="00B21311">
      <w:pPr>
        <w:widowControl w:val="0"/>
        <w:autoSpaceDE w:val="0"/>
        <w:autoSpaceDN w:val="0"/>
        <w:adjustRightInd w:val="0"/>
        <w:spacing w:after="0" w:line="240" w:lineRule="auto"/>
        <w:rPr>
          <w:rFonts w:ascii="Times New Roman" w:hAnsi="Times New Roman"/>
          <w:sz w:val="26"/>
          <w:szCs w:val="26"/>
        </w:rPr>
      </w:pPr>
      <w:r>
        <w:rPr>
          <w:rFonts w:ascii="Times New Roman" w:hAnsi="Times New Roman"/>
          <w:sz w:val="26"/>
          <w:szCs w:val="26"/>
        </w:rPr>
        <w:t xml:space="preserve">The Commission </w:t>
      </w:r>
      <w:r w:rsidR="006066D9">
        <w:rPr>
          <w:rFonts w:ascii="Times New Roman" w:hAnsi="Times New Roman"/>
          <w:sz w:val="26"/>
          <w:szCs w:val="26"/>
        </w:rPr>
        <w:t>issued</w:t>
      </w:r>
      <w:r>
        <w:rPr>
          <w:rFonts w:ascii="Times New Roman" w:hAnsi="Times New Roman"/>
          <w:sz w:val="26"/>
          <w:szCs w:val="26"/>
        </w:rPr>
        <w:t xml:space="preserve"> a 30-day Notice</w:t>
      </w:r>
      <w:r w:rsidR="00172729" w:rsidRPr="00172729">
        <w:rPr>
          <w:rStyle w:val="FootnoteReference"/>
          <w:rFonts w:ascii="Times New Roman" w:hAnsi="Times New Roman"/>
          <w:sz w:val="26"/>
          <w:szCs w:val="26"/>
          <w:vertAlign w:val="superscript"/>
        </w:rPr>
        <w:footnoteReference w:id="16"/>
      </w:r>
      <w:r>
        <w:rPr>
          <w:rFonts w:ascii="Times New Roman" w:hAnsi="Times New Roman"/>
          <w:sz w:val="26"/>
          <w:szCs w:val="26"/>
        </w:rPr>
        <w:t xml:space="preserve"> </w:t>
      </w:r>
      <w:r w:rsidR="006066D9">
        <w:rPr>
          <w:rFonts w:ascii="Times New Roman" w:hAnsi="Times New Roman"/>
          <w:sz w:val="26"/>
          <w:szCs w:val="26"/>
        </w:rPr>
        <w:t xml:space="preserve">on 2/13/2018, which will be published </w:t>
      </w:r>
      <w:r>
        <w:rPr>
          <w:rFonts w:ascii="Times New Roman" w:hAnsi="Times New Roman"/>
          <w:sz w:val="26"/>
          <w:szCs w:val="26"/>
        </w:rPr>
        <w:t>in the Federal Register</w:t>
      </w:r>
      <w:r w:rsidR="00172729">
        <w:rPr>
          <w:rFonts w:ascii="Times New Roman" w:hAnsi="Times New Roman"/>
          <w:sz w:val="26"/>
          <w:szCs w:val="26"/>
        </w:rPr>
        <w:t xml:space="preserve"> on 2/21/2018</w:t>
      </w:r>
      <w:r w:rsidR="006066D9">
        <w:rPr>
          <w:rFonts w:ascii="Times New Roman" w:hAnsi="Times New Roman"/>
          <w:sz w:val="26"/>
          <w:szCs w:val="26"/>
        </w:rPr>
        <w:t>,</w:t>
      </w:r>
      <w:r>
        <w:rPr>
          <w:rFonts w:ascii="Times New Roman" w:hAnsi="Times New Roman"/>
          <w:sz w:val="26"/>
          <w:szCs w:val="26"/>
        </w:rPr>
        <w:t xml:space="preserve"> requesting public comment.</w:t>
      </w:r>
    </w:p>
    <w:p w14:paraId="41FB6B04" w14:textId="77777777" w:rsidR="00E07A80" w:rsidRDefault="00E07A80">
      <w:pPr>
        <w:widowControl w:val="0"/>
        <w:autoSpaceDE w:val="0"/>
        <w:autoSpaceDN w:val="0"/>
        <w:adjustRightInd w:val="0"/>
        <w:spacing w:after="0" w:line="240" w:lineRule="auto"/>
        <w:rPr>
          <w:rFonts w:ascii="Times New Roman" w:hAnsi="Times New Roman"/>
          <w:sz w:val="26"/>
          <w:szCs w:val="26"/>
        </w:rPr>
      </w:pPr>
    </w:p>
    <w:p w14:paraId="25DDE013" w14:textId="194F63A8" w:rsidR="002B7FAC" w:rsidRPr="00B87F76" w:rsidRDefault="002B7FAC" w:rsidP="00B87F76">
      <w:pPr>
        <w:pStyle w:val="ListParagraph"/>
        <w:widowControl w:val="0"/>
        <w:numPr>
          <w:ilvl w:val="0"/>
          <w:numId w:val="2"/>
        </w:numPr>
        <w:autoSpaceDE w:val="0"/>
        <w:autoSpaceDN w:val="0"/>
        <w:adjustRightInd w:val="0"/>
        <w:spacing w:after="0" w:line="240" w:lineRule="auto"/>
        <w:rPr>
          <w:rFonts w:ascii="Times New Roman" w:hAnsi="Times New Roman" w:cs="Times New Roman"/>
          <w:sz w:val="26"/>
          <w:szCs w:val="26"/>
        </w:rPr>
      </w:pPr>
      <w:r w:rsidRPr="00B87F76">
        <w:rPr>
          <w:rFonts w:ascii="Times New Roman" w:hAnsi="Times New Roman" w:cs="Times New Roman"/>
          <w:b/>
          <w:bCs/>
          <w:sz w:val="26"/>
          <w:szCs w:val="26"/>
        </w:rPr>
        <w:t>EXPLAIN ANY PAYMENT OR GIFTS TO RESPONDENTS</w:t>
      </w:r>
    </w:p>
    <w:p w14:paraId="4BEA0B40" w14:textId="77777777" w:rsidR="005D7C1B" w:rsidRPr="005D7C1B" w:rsidRDefault="005D7C1B" w:rsidP="00C2572D">
      <w:pPr>
        <w:widowControl w:val="0"/>
        <w:autoSpaceDE w:val="0"/>
        <w:autoSpaceDN w:val="0"/>
        <w:adjustRightInd w:val="0"/>
        <w:spacing w:after="0" w:line="240" w:lineRule="auto"/>
        <w:ind w:left="360"/>
        <w:rPr>
          <w:rFonts w:ascii="Times New Roman" w:hAnsi="Times New Roman" w:cs="Times New Roman"/>
          <w:sz w:val="26"/>
          <w:szCs w:val="26"/>
        </w:rPr>
      </w:pPr>
    </w:p>
    <w:p w14:paraId="6CBE61A0" w14:textId="77777777" w:rsidR="002B7FAC" w:rsidRPr="00D27CC7" w:rsidRDefault="002B7FAC" w:rsidP="00B87F76">
      <w:pPr>
        <w:spacing w:line="240" w:lineRule="auto"/>
        <w:rPr>
          <w:rFonts w:ascii="Times New Roman" w:hAnsi="Times New Roman" w:cs="Times New Roman"/>
          <w:sz w:val="26"/>
          <w:szCs w:val="26"/>
        </w:rPr>
      </w:pPr>
      <w:r w:rsidRPr="00D27CC7">
        <w:rPr>
          <w:rFonts w:ascii="Times New Roman" w:hAnsi="Times New Roman" w:cs="Times New Roman"/>
          <w:sz w:val="26"/>
          <w:szCs w:val="26"/>
        </w:rPr>
        <w:t xml:space="preserve">No payments or gifts </w:t>
      </w:r>
      <w:r w:rsidR="00FB407E">
        <w:rPr>
          <w:rFonts w:ascii="Times New Roman" w:hAnsi="Times New Roman" w:cs="Times New Roman"/>
          <w:sz w:val="26"/>
          <w:szCs w:val="26"/>
        </w:rPr>
        <w:t>are</w:t>
      </w:r>
      <w:r w:rsidRPr="00D27CC7">
        <w:rPr>
          <w:rFonts w:ascii="Times New Roman" w:hAnsi="Times New Roman" w:cs="Times New Roman"/>
          <w:sz w:val="26"/>
          <w:szCs w:val="26"/>
        </w:rPr>
        <w:t xml:space="preserve"> made to respondents.</w:t>
      </w:r>
    </w:p>
    <w:p w14:paraId="5EB42CFC" w14:textId="77777777" w:rsidR="002B7FAC" w:rsidRPr="00D27CC7" w:rsidRDefault="002B7FAC" w:rsidP="00C2572D">
      <w:pPr>
        <w:widowControl w:val="0"/>
        <w:numPr>
          <w:ilvl w:val="0"/>
          <w:numId w:val="2"/>
        </w:numPr>
        <w:autoSpaceDE w:val="0"/>
        <w:autoSpaceDN w:val="0"/>
        <w:adjustRightInd w:val="0"/>
        <w:spacing w:after="0" w:line="240" w:lineRule="auto"/>
        <w:rPr>
          <w:rFonts w:ascii="Times New Roman" w:hAnsi="Times New Roman" w:cs="Times New Roman"/>
          <w:sz w:val="26"/>
          <w:szCs w:val="26"/>
        </w:rPr>
      </w:pPr>
      <w:r w:rsidRPr="00D27CC7">
        <w:rPr>
          <w:rFonts w:ascii="Times New Roman" w:hAnsi="Times New Roman" w:cs="Times New Roman"/>
          <w:b/>
          <w:bCs/>
          <w:sz w:val="26"/>
          <w:szCs w:val="26"/>
        </w:rPr>
        <w:t>DESCRIBE ANY ASSURANCE OF CONFIDENTIALITY PROVIDED TO RESPONDENTS</w:t>
      </w:r>
    </w:p>
    <w:p w14:paraId="412EB51C" w14:textId="77777777" w:rsidR="00D27CC7" w:rsidRPr="00D27CC7" w:rsidRDefault="00D27CC7" w:rsidP="00C2572D">
      <w:pPr>
        <w:widowControl w:val="0"/>
        <w:autoSpaceDE w:val="0"/>
        <w:autoSpaceDN w:val="0"/>
        <w:adjustRightInd w:val="0"/>
        <w:spacing w:after="0" w:line="240" w:lineRule="auto"/>
        <w:ind w:left="360"/>
        <w:rPr>
          <w:rFonts w:ascii="Times New Roman" w:hAnsi="Times New Roman" w:cs="Times New Roman"/>
          <w:sz w:val="26"/>
          <w:szCs w:val="26"/>
        </w:rPr>
      </w:pPr>
    </w:p>
    <w:p w14:paraId="37E6CCC9" w14:textId="5EFC5E6A" w:rsidR="002B7FAC" w:rsidRPr="00D27CC7" w:rsidRDefault="002B7FAC" w:rsidP="00B87F76">
      <w:pPr>
        <w:spacing w:line="240" w:lineRule="auto"/>
        <w:rPr>
          <w:rFonts w:ascii="Times New Roman" w:hAnsi="Times New Roman"/>
          <w:sz w:val="26"/>
          <w:szCs w:val="26"/>
        </w:rPr>
      </w:pPr>
      <w:r w:rsidRPr="00D27CC7">
        <w:rPr>
          <w:rFonts w:ascii="Times New Roman" w:hAnsi="Times New Roman"/>
          <w:sz w:val="26"/>
          <w:szCs w:val="26"/>
        </w:rPr>
        <w:t xml:space="preserve">The Commission does not consider the information collected in FERC-598 filings to be confidential.  However, the Commission will consider specific requests for confidential treatment to the extent permitted by law.  The Commission will review each request for confidential treatment </w:t>
      </w:r>
      <w:r w:rsidR="00FB407E">
        <w:rPr>
          <w:rFonts w:ascii="Times New Roman" w:hAnsi="Times New Roman"/>
          <w:sz w:val="26"/>
          <w:szCs w:val="26"/>
        </w:rPr>
        <w:t>(</w:t>
      </w:r>
      <w:r w:rsidR="002B4E22">
        <w:rPr>
          <w:rFonts w:ascii="Times New Roman" w:hAnsi="Times New Roman"/>
          <w:sz w:val="26"/>
          <w:szCs w:val="26"/>
        </w:rPr>
        <w:t xml:space="preserve">which must be </w:t>
      </w:r>
      <w:r w:rsidR="00FB407E">
        <w:rPr>
          <w:rFonts w:ascii="Times New Roman" w:hAnsi="Times New Roman"/>
          <w:sz w:val="26"/>
          <w:szCs w:val="26"/>
        </w:rPr>
        <w:t>made pursuant to 18</w:t>
      </w:r>
      <w:r w:rsidR="00AE2BF0">
        <w:rPr>
          <w:rFonts w:ascii="Times New Roman" w:hAnsi="Times New Roman"/>
          <w:sz w:val="26"/>
          <w:szCs w:val="26"/>
        </w:rPr>
        <w:t xml:space="preserve"> </w:t>
      </w:r>
      <w:r w:rsidR="00FB407E">
        <w:rPr>
          <w:rFonts w:ascii="Times New Roman" w:hAnsi="Times New Roman"/>
          <w:sz w:val="26"/>
          <w:szCs w:val="26"/>
        </w:rPr>
        <w:t>CFR</w:t>
      </w:r>
      <w:r w:rsidR="00AE2BF0">
        <w:rPr>
          <w:rFonts w:ascii="Times New Roman" w:hAnsi="Times New Roman"/>
          <w:sz w:val="26"/>
          <w:szCs w:val="26"/>
        </w:rPr>
        <w:t xml:space="preserve"> 388.112(a)(1)) </w:t>
      </w:r>
      <w:r w:rsidRPr="00D27CC7">
        <w:rPr>
          <w:rFonts w:ascii="Times New Roman" w:hAnsi="Times New Roman"/>
          <w:sz w:val="26"/>
          <w:szCs w:val="26"/>
        </w:rPr>
        <w:t xml:space="preserve">on a case-by-case basis. </w:t>
      </w:r>
    </w:p>
    <w:p w14:paraId="2C4B1E27" w14:textId="77777777" w:rsidR="002B7FAC" w:rsidRDefault="002B7FAC" w:rsidP="00C2572D">
      <w:pPr>
        <w:widowControl w:val="0"/>
        <w:numPr>
          <w:ilvl w:val="0"/>
          <w:numId w:val="2"/>
        </w:numPr>
        <w:autoSpaceDE w:val="0"/>
        <w:autoSpaceDN w:val="0"/>
        <w:adjustRightInd w:val="0"/>
        <w:spacing w:after="0" w:line="240" w:lineRule="auto"/>
        <w:rPr>
          <w:rFonts w:ascii="Times New Roman" w:hAnsi="Times New Roman" w:cs="Times New Roman"/>
          <w:sz w:val="26"/>
          <w:szCs w:val="26"/>
        </w:rPr>
      </w:pPr>
      <w:r w:rsidRPr="00D27CC7">
        <w:rPr>
          <w:rFonts w:ascii="Times New Roman" w:hAnsi="Times New Roman" w:cs="Times New Roman"/>
          <w:b/>
          <w:bCs/>
          <w:sz w:val="26"/>
          <w:szCs w:val="26"/>
        </w:rPr>
        <w:t>PROVIDE ADDITIONAL JUSTIFICATION FOR ANY QUESTIONS OF A SENSITIVE NATURE, SUCH AS SEXUAL BEHAVIOR AND ATTITUDES, RELIGIOUS BELIEFS, AND OTHER MATTERS THAT ARE COMMONLY CONSIDERED PRIVATE</w:t>
      </w:r>
    </w:p>
    <w:p w14:paraId="58D07D8E" w14:textId="77777777" w:rsidR="00544875" w:rsidRPr="00544875" w:rsidRDefault="00544875" w:rsidP="00C2572D">
      <w:pPr>
        <w:widowControl w:val="0"/>
        <w:autoSpaceDE w:val="0"/>
        <w:autoSpaceDN w:val="0"/>
        <w:adjustRightInd w:val="0"/>
        <w:spacing w:after="0" w:line="240" w:lineRule="auto"/>
        <w:ind w:left="360"/>
        <w:rPr>
          <w:rFonts w:ascii="Times New Roman" w:hAnsi="Times New Roman" w:cs="Times New Roman"/>
          <w:sz w:val="26"/>
          <w:szCs w:val="26"/>
        </w:rPr>
      </w:pPr>
    </w:p>
    <w:p w14:paraId="516DA40D" w14:textId="77777777" w:rsidR="002B7FAC" w:rsidRPr="00D27CC7" w:rsidRDefault="002B7FAC" w:rsidP="00B87F76">
      <w:pPr>
        <w:spacing w:line="240" w:lineRule="auto"/>
        <w:rPr>
          <w:rFonts w:ascii="Times New Roman" w:hAnsi="Times New Roman" w:cs="Times New Roman"/>
          <w:sz w:val="26"/>
          <w:szCs w:val="26"/>
        </w:rPr>
      </w:pPr>
      <w:r w:rsidRPr="00D27CC7">
        <w:rPr>
          <w:rFonts w:ascii="Times New Roman" w:hAnsi="Times New Roman" w:cs="Times New Roman"/>
          <w:sz w:val="26"/>
          <w:szCs w:val="26"/>
        </w:rPr>
        <w:t xml:space="preserve">This collection does not contain any questions of a sensitive nature.  </w:t>
      </w:r>
    </w:p>
    <w:p w14:paraId="763B5D09" w14:textId="77777777" w:rsidR="002B7FAC" w:rsidRPr="00D27CC7" w:rsidRDefault="002B7FAC" w:rsidP="00C2572D">
      <w:pPr>
        <w:widowControl w:val="0"/>
        <w:numPr>
          <w:ilvl w:val="0"/>
          <w:numId w:val="2"/>
        </w:numPr>
        <w:autoSpaceDE w:val="0"/>
        <w:autoSpaceDN w:val="0"/>
        <w:adjustRightInd w:val="0"/>
        <w:spacing w:after="0" w:line="240" w:lineRule="auto"/>
        <w:rPr>
          <w:rFonts w:ascii="Times New Roman" w:hAnsi="Times New Roman" w:cs="Times New Roman"/>
          <w:sz w:val="26"/>
          <w:szCs w:val="26"/>
        </w:rPr>
      </w:pPr>
      <w:r w:rsidRPr="00D27CC7">
        <w:rPr>
          <w:rFonts w:ascii="Times New Roman" w:hAnsi="Times New Roman" w:cs="Times New Roman"/>
          <w:b/>
          <w:bCs/>
          <w:sz w:val="26"/>
          <w:szCs w:val="26"/>
        </w:rPr>
        <w:t>ESTIMATED BURDEN OF COLLECTION OF INFORMATION</w:t>
      </w:r>
    </w:p>
    <w:p w14:paraId="5E6D2C10" w14:textId="77777777" w:rsidR="002B7FAC" w:rsidRPr="00D27CC7" w:rsidRDefault="002B7FAC" w:rsidP="00C2572D">
      <w:pPr>
        <w:pStyle w:val="FERCparanumber"/>
        <w:widowControl/>
        <w:numPr>
          <w:ilvl w:val="0"/>
          <w:numId w:val="0"/>
        </w:numPr>
        <w:tabs>
          <w:tab w:val="left" w:pos="720"/>
        </w:tabs>
        <w:rPr>
          <w:rFonts w:ascii="Times New Roman" w:hAnsi="Times New Roman" w:cs="Times New Roman"/>
          <w:sz w:val="26"/>
          <w:szCs w:val="26"/>
        </w:rPr>
      </w:pPr>
    </w:p>
    <w:p w14:paraId="1D403D27" w14:textId="77777777" w:rsidR="0025378B" w:rsidRDefault="0025378B" w:rsidP="00B87F76">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The </w:t>
      </w:r>
      <w:r w:rsidR="001200AD">
        <w:rPr>
          <w:rFonts w:ascii="Times New Roman" w:hAnsi="Times New Roman" w:cs="Times New Roman"/>
          <w:sz w:val="26"/>
          <w:szCs w:val="26"/>
        </w:rPr>
        <w:t>estimated</w:t>
      </w:r>
      <w:r>
        <w:rPr>
          <w:rFonts w:ascii="Times New Roman" w:hAnsi="Times New Roman" w:cs="Times New Roman"/>
          <w:sz w:val="26"/>
          <w:szCs w:val="26"/>
        </w:rPr>
        <w:t xml:space="preserve"> </w:t>
      </w:r>
      <w:r w:rsidR="001200AD">
        <w:rPr>
          <w:rFonts w:ascii="Times New Roman" w:hAnsi="Times New Roman" w:cs="Times New Roman"/>
          <w:sz w:val="26"/>
          <w:szCs w:val="26"/>
        </w:rPr>
        <w:t xml:space="preserve">annual </w:t>
      </w:r>
      <w:r>
        <w:rPr>
          <w:rFonts w:ascii="Times New Roman" w:hAnsi="Times New Roman" w:cs="Times New Roman"/>
          <w:sz w:val="26"/>
          <w:szCs w:val="26"/>
        </w:rPr>
        <w:t xml:space="preserve">burden </w:t>
      </w:r>
      <w:r w:rsidR="001200AD">
        <w:rPr>
          <w:rFonts w:ascii="Times New Roman" w:hAnsi="Times New Roman" w:cs="Times New Roman"/>
          <w:sz w:val="26"/>
          <w:szCs w:val="26"/>
        </w:rPr>
        <w:t>and cost</w:t>
      </w:r>
      <w:r w:rsidR="000411BD" w:rsidRPr="00035A90">
        <w:rPr>
          <w:rStyle w:val="FootnoteReference"/>
          <w:rFonts w:ascii="Times New Roman" w:hAnsi="Times New Roman" w:cs="Times New Roman"/>
          <w:sz w:val="26"/>
          <w:szCs w:val="26"/>
          <w:vertAlign w:val="superscript"/>
        </w:rPr>
        <w:footnoteReference w:id="17"/>
      </w:r>
      <w:r w:rsidR="001200AD" w:rsidRPr="00035A90">
        <w:rPr>
          <w:rFonts w:ascii="Times New Roman" w:hAnsi="Times New Roman" w:cs="Times New Roman"/>
          <w:sz w:val="26"/>
          <w:szCs w:val="26"/>
          <w:vertAlign w:val="superscript"/>
        </w:rPr>
        <w:t xml:space="preserve"> </w:t>
      </w:r>
      <w:r>
        <w:rPr>
          <w:rFonts w:ascii="Times New Roman" w:hAnsi="Times New Roman" w:cs="Times New Roman"/>
          <w:sz w:val="26"/>
          <w:szCs w:val="26"/>
        </w:rPr>
        <w:t xml:space="preserve">for the FERC-598 information collection </w:t>
      </w:r>
      <w:r w:rsidR="000411BD">
        <w:rPr>
          <w:rFonts w:ascii="Times New Roman" w:hAnsi="Times New Roman" w:cs="Times New Roman"/>
          <w:sz w:val="26"/>
          <w:szCs w:val="26"/>
        </w:rPr>
        <w:t>follow</w:t>
      </w:r>
      <w:r>
        <w:rPr>
          <w:rFonts w:ascii="Times New Roman" w:hAnsi="Times New Roman" w:cs="Times New Roman"/>
          <w:sz w:val="26"/>
          <w:szCs w:val="26"/>
        </w:rPr>
        <w:t>s</w:t>
      </w:r>
    </w:p>
    <w:p w14:paraId="4476C4C1" w14:textId="77777777" w:rsidR="0025378B" w:rsidRDefault="0025378B" w:rsidP="00B87F76">
      <w:pPr>
        <w:spacing w:after="0" w:line="240" w:lineRule="auto"/>
        <w:rPr>
          <w:rFonts w:ascii="Times New Roman" w:hAnsi="Times New Roman" w:cs="Times New Roman"/>
          <w:sz w:val="26"/>
          <w:szCs w:val="26"/>
        </w:rPr>
      </w:pPr>
    </w:p>
    <w:tbl>
      <w:tblPr>
        <w:tblpPr w:leftFromText="180" w:rightFromText="180" w:vertAnchor="text" w:horzAnchor="margin" w:tblpX="108" w:tblpY="229"/>
        <w:tblW w:w="10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0"/>
        <w:gridCol w:w="1620"/>
        <w:gridCol w:w="1638"/>
        <w:gridCol w:w="2767"/>
        <w:gridCol w:w="2610"/>
      </w:tblGrid>
      <w:tr w:rsidR="00544875" w:rsidRPr="006A7175" w14:paraId="4EB6066B" w14:textId="77777777" w:rsidTr="00505CA2">
        <w:trPr>
          <w:trHeight w:val="347"/>
        </w:trPr>
        <w:tc>
          <w:tcPr>
            <w:tcW w:w="10345" w:type="dxa"/>
            <w:gridSpan w:val="5"/>
            <w:shd w:val="clear" w:color="auto" w:fill="D9D9D9"/>
            <w:vAlign w:val="center"/>
          </w:tcPr>
          <w:p w14:paraId="1B66F3D0" w14:textId="77777777" w:rsidR="00505CA2" w:rsidRDefault="00993237" w:rsidP="00C2572D">
            <w:pPr>
              <w:spacing w:after="0" w:line="240" w:lineRule="auto"/>
              <w:jc w:val="center"/>
              <w:rPr>
                <w:rFonts w:ascii="Times New Roman" w:hAnsi="Times New Roman"/>
                <w:b/>
                <w:sz w:val="26"/>
                <w:szCs w:val="26"/>
              </w:rPr>
            </w:pPr>
            <w:r>
              <w:rPr>
                <w:rFonts w:ascii="Times New Roman" w:hAnsi="Times New Roman"/>
                <w:b/>
                <w:sz w:val="26"/>
                <w:szCs w:val="26"/>
              </w:rPr>
              <w:t>FERC-598</w:t>
            </w:r>
            <w:r w:rsidR="00544875" w:rsidRPr="006A7175">
              <w:rPr>
                <w:rFonts w:ascii="Times New Roman" w:hAnsi="Times New Roman"/>
                <w:b/>
                <w:sz w:val="26"/>
                <w:szCs w:val="26"/>
              </w:rPr>
              <w:t xml:space="preserve"> </w:t>
            </w:r>
            <w:r w:rsidR="000411BD">
              <w:rPr>
                <w:rFonts w:ascii="Times New Roman" w:hAnsi="Times New Roman"/>
                <w:b/>
                <w:sz w:val="26"/>
                <w:szCs w:val="26"/>
              </w:rPr>
              <w:t>(</w:t>
            </w:r>
            <w:r w:rsidR="00544875" w:rsidRPr="00A03EE0">
              <w:rPr>
                <w:rFonts w:ascii="Times New Roman" w:hAnsi="Times New Roman"/>
                <w:b/>
                <w:sz w:val="26"/>
                <w:szCs w:val="26"/>
              </w:rPr>
              <w:t xml:space="preserve">Self Certification for Entities Seeking </w:t>
            </w:r>
          </w:p>
          <w:p w14:paraId="57A421EB" w14:textId="77777777" w:rsidR="00544875" w:rsidRPr="006A7175" w:rsidRDefault="00544875" w:rsidP="00C2572D">
            <w:pPr>
              <w:spacing w:after="0" w:line="240" w:lineRule="auto"/>
              <w:jc w:val="center"/>
              <w:rPr>
                <w:rFonts w:ascii="Times New Roman" w:hAnsi="Times New Roman"/>
                <w:b/>
                <w:sz w:val="26"/>
                <w:szCs w:val="26"/>
              </w:rPr>
            </w:pPr>
            <w:r w:rsidRPr="00A03EE0">
              <w:rPr>
                <w:rFonts w:ascii="Times New Roman" w:hAnsi="Times New Roman"/>
                <w:b/>
                <w:sz w:val="26"/>
                <w:szCs w:val="26"/>
              </w:rPr>
              <w:t>Exempt Wholesale Generator or Foreign Utility Company Status</w:t>
            </w:r>
            <w:r w:rsidR="000411BD">
              <w:rPr>
                <w:rFonts w:ascii="Times New Roman" w:hAnsi="Times New Roman"/>
                <w:b/>
                <w:sz w:val="26"/>
                <w:szCs w:val="26"/>
              </w:rPr>
              <w:t>)</w:t>
            </w:r>
          </w:p>
        </w:tc>
      </w:tr>
      <w:tr w:rsidR="001200AD" w:rsidRPr="006A7175" w14:paraId="0020B671" w14:textId="77777777" w:rsidTr="0052145A">
        <w:trPr>
          <w:trHeight w:val="1250"/>
        </w:trPr>
        <w:tc>
          <w:tcPr>
            <w:tcW w:w="1710" w:type="dxa"/>
            <w:shd w:val="clear" w:color="auto" w:fill="D9D9D9"/>
            <w:vAlign w:val="bottom"/>
          </w:tcPr>
          <w:p w14:paraId="38210CBD" w14:textId="12BEE413" w:rsidR="001200AD" w:rsidRDefault="001200AD" w:rsidP="00C2572D">
            <w:pPr>
              <w:spacing w:after="0" w:line="240" w:lineRule="auto"/>
              <w:jc w:val="center"/>
              <w:rPr>
                <w:rFonts w:ascii="Times New Roman" w:hAnsi="Times New Roman"/>
                <w:b/>
                <w:sz w:val="26"/>
                <w:szCs w:val="26"/>
              </w:rPr>
            </w:pPr>
            <w:r w:rsidRPr="006A7175">
              <w:rPr>
                <w:rFonts w:ascii="Times New Roman" w:hAnsi="Times New Roman"/>
                <w:b/>
                <w:sz w:val="26"/>
                <w:szCs w:val="26"/>
              </w:rPr>
              <w:t>Number of Respondents</w:t>
            </w:r>
            <w:r>
              <w:rPr>
                <w:rFonts w:ascii="Times New Roman" w:hAnsi="Times New Roman"/>
                <w:b/>
                <w:sz w:val="26"/>
                <w:szCs w:val="26"/>
              </w:rPr>
              <w:t xml:space="preserve"> (</w:t>
            </w:r>
            <w:r w:rsidRPr="009909EE">
              <w:rPr>
                <w:rFonts w:ascii="Times New Roman" w:hAnsi="Times New Roman"/>
                <w:b/>
                <w:sz w:val="26"/>
                <w:szCs w:val="26"/>
              </w:rPr>
              <w:t xml:space="preserve">EWG </w:t>
            </w:r>
            <w:r w:rsidR="00914B52">
              <w:rPr>
                <w:rFonts w:ascii="Times New Roman" w:hAnsi="Times New Roman"/>
                <w:b/>
                <w:sz w:val="26"/>
                <w:szCs w:val="26"/>
              </w:rPr>
              <w:t>and</w:t>
            </w:r>
            <w:r w:rsidR="00914B52" w:rsidRPr="009909EE">
              <w:rPr>
                <w:rFonts w:ascii="Times New Roman" w:hAnsi="Times New Roman"/>
                <w:b/>
                <w:sz w:val="26"/>
                <w:szCs w:val="26"/>
              </w:rPr>
              <w:t xml:space="preserve"> </w:t>
            </w:r>
            <w:r w:rsidRPr="009909EE">
              <w:rPr>
                <w:rFonts w:ascii="Times New Roman" w:hAnsi="Times New Roman"/>
                <w:b/>
                <w:sz w:val="26"/>
                <w:szCs w:val="26"/>
              </w:rPr>
              <w:t>FUCO</w:t>
            </w:r>
            <w:r w:rsidR="00914B52">
              <w:rPr>
                <w:rFonts w:ascii="Times New Roman" w:hAnsi="Times New Roman"/>
                <w:b/>
                <w:sz w:val="26"/>
                <w:szCs w:val="26"/>
              </w:rPr>
              <w:t>s</w:t>
            </w:r>
            <w:r>
              <w:rPr>
                <w:rFonts w:ascii="Times New Roman" w:hAnsi="Times New Roman"/>
                <w:b/>
                <w:sz w:val="26"/>
                <w:szCs w:val="26"/>
              </w:rPr>
              <w:t>)</w:t>
            </w:r>
          </w:p>
          <w:p w14:paraId="66F28EA4" w14:textId="77777777" w:rsidR="001200AD" w:rsidRPr="006A7175" w:rsidRDefault="001200AD" w:rsidP="00C2572D">
            <w:pPr>
              <w:spacing w:after="0" w:line="240" w:lineRule="auto"/>
              <w:jc w:val="center"/>
              <w:rPr>
                <w:rFonts w:ascii="Times New Roman" w:hAnsi="Times New Roman"/>
                <w:b/>
                <w:sz w:val="26"/>
                <w:szCs w:val="26"/>
              </w:rPr>
            </w:pPr>
            <w:r w:rsidRPr="006A7175">
              <w:rPr>
                <w:rFonts w:ascii="Times New Roman" w:hAnsi="Times New Roman"/>
                <w:b/>
                <w:sz w:val="26"/>
                <w:szCs w:val="26"/>
              </w:rPr>
              <w:t>(A)</w:t>
            </w:r>
          </w:p>
        </w:tc>
        <w:tc>
          <w:tcPr>
            <w:tcW w:w="1620" w:type="dxa"/>
            <w:shd w:val="clear" w:color="auto" w:fill="D9D9D9"/>
            <w:vAlign w:val="bottom"/>
          </w:tcPr>
          <w:p w14:paraId="02571D92" w14:textId="77777777" w:rsidR="001200AD" w:rsidRPr="006A7175" w:rsidRDefault="000411BD" w:rsidP="00C2572D">
            <w:pPr>
              <w:spacing w:after="0" w:line="240" w:lineRule="auto"/>
              <w:jc w:val="center"/>
              <w:rPr>
                <w:rFonts w:ascii="Times New Roman" w:hAnsi="Times New Roman"/>
                <w:b/>
                <w:sz w:val="26"/>
                <w:szCs w:val="26"/>
              </w:rPr>
            </w:pPr>
            <w:r>
              <w:rPr>
                <w:rFonts w:ascii="Times New Roman" w:hAnsi="Times New Roman"/>
                <w:b/>
                <w:sz w:val="26"/>
                <w:szCs w:val="26"/>
              </w:rPr>
              <w:t xml:space="preserve">Annual </w:t>
            </w:r>
            <w:r w:rsidR="001200AD" w:rsidRPr="006A7175">
              <w:rPr>
                <w:rFonts w:ascii="Times New Roman" w:hAnsi="Times New Roman"/>
                <w:b/>
                <w:sz w:val="26"/>
                <w:szCs w:val="26"/>
              </w:rPr>
              <w:t>N</w:t>
            </w:r>
            <w:r>
              <w:rPr>
                <w:rFonts w:ascii="Times New Roman" w:hAnsi="Times New Roman"/>
                <w:b/>
                <w:sz w:val="26"/>
                <w:szCs w:val="26"/>
              </w:rPr>
              <w:t>o.</w:t>
            </w:r>
            <w:r w:rsidR="001200AD" w:rsidRPr="006A7175">
              <w:rPr>
                <w:rFonts w:ascii="Times New Roman" w:hAnsi="Times New Roman"/>
                <w:b/>
                <w:sz w:val="26"/>
                <w:szCs w:val="26"/>
              </w:rPr>
              <w:t xml:space="preserve"> of Responses Per Respondent</w:t>
            </w:r>
          </w:p>
          <w:p w14:paraId="63162468" w14:textId="77777777" w:rsidR="001200AD" w:rsidRPr="006A7175" w:rsidRDefault="001200AD" w:rsidP="0031010A">
            <w:pPr>
              <w:spacing w:after="0" w:line="240" w:lineRule="auto"/>
              <w:jc w:val="center"/>
              <w:rPr>
                <w:rFonts w:ascii="Times New Roman" w:hAnsi="Times New Roman"/>
                <w:b/>
                <w:sz w:val="26"/>
                <w:szCs w:val="26"/>
              </w:rPr>
            </w:pPr>
            <w:r w:rsidRPr="006A7175">
              <w:rPr>
                <w:rFonts w:ascii="Times New Roman" w:hAnsi="Times New Roman"/>
                <w:b/>
                <w:sz w:val="26"/>
                <w:szCs w:val="26"/>
              </w:rPr>
              <w:t>(B)</w:t>
            </w:r>
          </w:p>
        </w:tc>
        <w:tc>
          <w:tcPr>
            <w:tcW w:w="1638" w:type="dxa"/>
            <w:shd w:val="clear" w:color="auto" w:fill="D9D9D9"/>
            <w:vAlign w:val="bottom"/>
          </w:tcPr>
          <w:p w14:paraId="637F96BA" w14:textId="77777777" w:rsidR="001200AD" w:rsidRPr="006A7175" w:rsidRDefault="001200AD" w:rsidP="00B51AC1">
            <w:pPr>
              <w:spacing w:after="0" w:line="240" w:lineRule="auto"/>
              <w:jc w:val="center"/>
              <w:rPr>
                <w:rFonts w:ascii="Times New Roman" w:hAnsi="Times New Roman"/>
                <w:b/>
                <w:sz w:val="26"/>
                <w:szCs w:val="26"/>
              </w:rPr>
            </w:pPr>
            <w:r w:rsidRPr="006A7175">
              <w:rPr>
                <w:rFonts w:ascii="Times New Roman" w:hAnsi="Times New Roman"/>
                <w:b/>
                <w:sz w:val="26"/>
                <w:szCs w:val="26"/>
              </w:rPr>
              <w:t>Total Number of Responses</w:t>
            </w:r>
          </w:p>
          <w:p w14:paraId="30C65276" w14:textId="77777777" w:rsidR="001200AD" w:rsidRPr="006A7175" w:rsidRDefault="001200AD" w:rsidP="00B87F76">
            <w:pPr>
              <w:spacing w:after="0" w:line="240" w:lineRule="auto"/>
              <w:jc w:val="center"/>
              <w:rPr>
                <w:rFonts w:ascii="Times New Roman" w:hAnsi="Times New Roman"/>
                <w:b/>
                <w:sz w:val="26"/>
                <w:szCs w:val="26"/>
              </w:rPr>
            </w:pPr>
            <w:r w:rsidRPr="006A7175">
              <w:rPr>
                <w:rFonts w:ascii="Times New Roman" w:hAnsi="Times New Roman"/>
                <w:b/>
                <w:sz w:val="26"/>
                <w:szCs w:val="26"/>
              </w:rPr>
              <w:t>(A)x(B)=(C)</w:t>
            </w:r>
          </w:p>
        </w:tc>
        <w:tc>
          <w:tcPr>
            <w:tcW w:w="2767" w:type="dxa"/>
            <w:shd w:val="clear" w:color="auto" w:fill="D9D9D9"/>
            <w:vAlign w:val="bottom"/>
          </w:tcPr>
          <w:p w14:paraId="43563A21" w14:textId="77777777" w:rsidR="001200AD" w:rsidRPr="006A7175" w:rsidRDefault="001200AD" w:rsidP="00B87F76">
            <w:pPr>
              <w:spacing w:after="0" w:line="240" w:lineRule="auto"/>
              <w:jc w:val="center"/>
              <w:rPr>
                <w:rFonts w:ascii="Times New Roman" w:hAnsi="Times New Roman"/>
                <w:b/>
                <w:sz w:val="26"/>
                <w:szCs w:val="26"/>
              </w:rPr>
            </w:pPr>
            <w:r w:rsidRPr="006A7175">
              <w:rPr>
                <w:rFonts w:ascii="Times New Roman" w:hAnsi="Times New Roman"/>
                <w:b/>
                <w:sz w:val="26"/>
                <w:szCs w:val="26"/>
              </w:rPr>
              <w:t xml:space="preserve">Average Burden Hours </w:t>
            </w:r>
            <w:r>
              <w:rPr>
                <w:rFonts w:ascii="Times New Roman" w:hAnsi="Times New Roman"/>
                <w:b/>
                <w:sz w:val="26"/>
                <w:szCs w:val="26"/>
              </w:rPr>
              <w:t xml:space="preserve">&amp; Cost </w:t>
            </w:r>
            <w:r w:rsidR="00914B52">
              <w:rPr>
                <w:rFonts w:ascii="Times New Roman" w:hAnsi="Times New Roman"/>
                <w:b/>
                <w:sz w:val="26"/>
                <w:szCs w:val="26"/>
              </w:rPr>
              <w:t xml:space="preserve">($) </w:t>
            </w:r>
            <w:r w:rsidRPr="006A7175">
              <w:rPr>
                <w:rFonts w:ascii="Times New Roman" w:hAnsi="Times New Roman"/>
                <w:b/>
                <w:sz w:val="26"/>
                <w:szCs w:val="26"/>
              </w:rPr>
              <w:t>per Response</w:t>
            </w:r>
          </w:p>
          <w:p w14:paraId="5E00E5D8" w14:textId="77777777" w:rsidR="001200AD" w:rsidRPr="006A7175" w:rsidRDefault="001200AD" w:rsidP="00B87F76">
            <w:pPr>
              <w:spacing w:after="0" w:line="240" w:lineRule="auto"/>
              <w:jc w:val="center"/>
              <w:rPr>
                <w:rFonts w:ascii="Times New Roman" w:hAnsi="Times New Roman"/>
                <w:b/>
                <w:sz w:val="26"/>
                <w:szCs w:val="26"/>
              </w:rPr>
            </w:pPr>
            <w:r w:rsidRPr="006A7175">
              <w:rPr>
                <w:rFonts w:ascii="Times New Roman" w:hAnsi="Times New Roman"/>
                <w:b/>
                <w:sz w:val="26"/>
                <w:szCs w:val="26"/>
              </w:rPr>
              <w:t>(D)</w:t>
            </w:r>
          </w:p>
        </w:tc>
        <w:tc>
          <w:tcPr>
            <w:tcW w:w="2610" w:type="dxa"/>
            <w:shd w:val="clear" w:color="auto" w:fill="D9D9D9"/>
            <w:vAlign w:val="bottom"/>
          </w:tcPr>
          <w:p w14:paraId="637E71D9" w14:textId="77777777" w:rsidR="001200AD" w:rsidRPr="006A7175" w:rsidRDefault="001200AD" w:rsidP="00B87F76">
            <w:pPr>
              <w:spacing w:after="0" w:line="240" w:lineRule="auto"/>
              <w:jc w:val="center"/>
              <w:rPr>
                <w:rFonts w:ascii="Times New Roman" w:hAnsi="Times New Roman"/>
                <w:b/>
                <w:sz w:val="26"/>
                <w:szCs w:val="26"/>
              </w:rPr>
            </w:pPr>
            <w:r w:rsidRPr="006A7175">
              <w:rPr>
                <w:rFonts w:ascii="Times New Roman" w:hAnsi="Times New Roman"/>
                <w:b/>
                <w:sz w:val="26"/>
                <w:szCs w:val="26"/>
              </w:rPr>
              <w:t>Estimated Total Annual Burden</w:t>
            </w:r>
            <w:r>
              <w:rPr>
                <w:rFonts w:ascii="Times New Roman" w:hAnsi="Times New Roman"/>
                <w:b/>
                <w:sz w:val="26"/>
                <w:szCs w:val="26"/>
              </w:rPr>
              <w:t xml:space="preserve"> </w:t>
            </w:r>
            <w:r w:rsidR="00914B52">
              <w:rPr>
                <w:rFonts w:ascii="Times New Roman" w:hAnsi="Times New Roman"/>
                <w:b/>
                <w:sz w:val="26"/>
                <w:szCs w:val="26"/>
              </w:rPr>
              <w:t xml:space="preserve">Hrs. </w:t>
            </w:r>
            <w:r>
              <w:rPr>
                <w:rFonts w:ascii="Times New Roman" w:hAnsi="Times New Roman"/>
                <w:b/>
                <w:sz w:val="26"/>
                <w:szCs w:val="26"/>
              </w:rPr>
              <w:t>&amp; Cost</w:t>
            </w:r>
            <w:r w:rsidR="00914B52">
              <w:rPr>
                <w:rFonts w:ascii="Times New Roman" w:hAnsi="Times New Roman"/>
                <w:b/>
                <w:sz w:val="26"/>
                <w:szCs w:val="26"/>
              </w:rPr>
              <w:t xml:space="preserve"> ($)</w:t>
            </w:r>
          </w:p>
          <w:p w14:paraId="04E27EA2" w14:textId="77777777" w:rsidR="001200AD" w:rsidRPr="006A7175" w:rsidRDefault="001200AD" w:rsidP="00B87F76">
            <w:pPr>
              <w:spacing w:after="0" w:line="240" w:lineRule="auto"/>
              <w:jc w:val="center"/>
              <w:rPr>
                <w:rFonts w:ascii="Times New Roman" w:hAnsi="Times New Roman"/>
                <w:b/>
                <w:sz w:val="26"/>
                <w:szCs w:val="26"/>
              </w:rPr>
            </w:pPr>
            <w:r w:rsidRPr="006A7175">
              <w:rPr>
                <w:rFonts w:ascii="Times New Roman" w:hAnsi="Times New Roman"/>
                <w:b/>
                <w:sz w:val="26"/>
                <w:szCs w:val="26"/>
              </w:rPr>
              <w:t>(C)x(D)</w:t>
            </w:r>
            <w:r>
              <w:rPr>
                <w:rFonts w:ascii="Times New Roman" w:hAnsi="Times New Roman"/>
                <w:b/>
                <w:sz w:val="26"/>
                <w:szCs w:val="26"/>
              </w:rPr>
              <w:t>=</w:t>
            </w:r>
            <w:r w:rsidR="00914B52">
              <w:rPr>
                <w:rFonts w:ascii="Times New Roman" w:hAnsi="Times New Roman"/>
                <w:b/>
                <w:sz w:val="26"/>
                <w:szCs w:val="26"/>
              </w:rPr>
              <w:t>E</w:t>
            </w:r>
          </w:p>
        </w:tc>
      </w:tr>
      <w:tr w:rsidR="001200AD" w:rsidRPr="007111E8" w14:paraId="2C7EEAA5" w14:textId="77777777" w:rsidTr="0052145A">
        <w:tc>
          <w:tcPr>
            <w:tcW w:w="1710" w:type="dxa"/>
            <w:vAlign w:val="bottom"/>
          </w:tcPr>
          <w:p w14:paraId="0203B943" w14:textId="056E00C8" w:rsidR="001200AD" w:rsidRPr="00B14A14" w:rsidRDefault="000F173C" w:rsidP="00C2572D">
            <w:pPr>
              <w:spacing w:after="0" w:line="240" w:lineRule="auto"/>
              <w:jc w:val="right"/>
              <w:rPr>
                <w:rFonts w:ascii="Times New Roman" w:hAnsi="Times New Roman"/>
                <w:sz w:val="26"/>
                <w:szCs w:val="26"/>
              </w:rPr>
            </w:pPr>
            <w:r>
              <w:rPr>
                <w:rFonts w:ascii="Times New Roman" w:hAnsi="Times New Roman"/>
                <w:sz w:val="26"/>
                <w:szCs w:val="26"/>
              </w:rPr>
              <w:t>147</w:t>
            </w:r>
          </w:p>
        </w:tc>
        <w:tc>
          <w:tcPr>
            <w:tcW w:w="1620" w:type="dxa"/>
            <w:vAlign w:val="bottom"/>
          </w:tcPr>
          <w:p w14:paraId="63E6F942" w14:textId="77777777" w:rsidR="001200AD" w:rsidRPr="00B14A14" w:rsidRDefault="001200AD" w:rsidP="00C2572D">
            <w:pPr>
              <w:spacing w:after="0" w:line="240" w:lineRule="auto"/>
              <w:jc w:val="right"/>
              <w:rPr>
                <w:rFonts w:ascii="Times New Roman" w:hAnsi="Times New Roman"/>
                <w:sz w:val="26"/>
                <w:szCs w:val="26"/>
              </w:rPr>
            </w:pPr>
            <w:r>
              <w:rPr>
                <w:rFonts w:ascii="Times New Roman" w:hAnsi="Times New Roman"/>
                <w:sz w:val="26"/>
                <w:szCs w:val="26"/>
              </w:rPr>
              <w:t>1</w:t>
            </w:r>
          </w:p>
        </w:tc>
        <w:tc>
          <w:tcPr>
            <w:tcW w:w="1638" w:type="dxa"/>
            <w:vAlign w:val="bottom"/>
          </w:tcPr>
          <w:p w14:paraId="2EF550DA" w14:textId="6820A769" w:rsidR="001200AD" w:rsidRPr="00B14A14" w:rsidRDefault="000F173C" w:rsidP="00C2572D">
            <w:pPr>
              <w:spacing w:after="0" w:line="240" w:lineRule="auto"/>
              <w:jc w:val="right"/>
              <w:rPr>
                <w:rFonts w:ascii="Times New Roman" w:hAnsi="Times New Roman"/>
                <w:sz w:val="26"/>
                <w:szCs w:val="26"/>
              </w:rPr>
            </w:pPr>
            <w:r>
              <w:rPr>
                <w:rFonts w:ascii="Times New Roman" w:hAnsi="Times New Roman"/>
                <w:sz w:val="26"/>
                <w:szCs w:val="26"/>
              </w:rPr>
              <w:t>147</w:t>
            </w:r>
          </w:p>
        </w:tc>
        <w:tc>
          <w:tcPr>
            <w:tcW w:w="2767" w:type="dxa"/>
            <w:vAlign w:val="bottom"/>
          </w:tcPr>
          <w:p w14:paraId="142B86BA" w14:textId="77777777" w:rsidR="000411BD" w:rsidRPr="007111E8" w:rsidRDefault="001200AD" w:rsidP="0031010A">
            <w:pPr>
              <w:spacing w:after="0" w:line="240" w:lineRule="auto"/>
              <w:jc w:val="right"/>
              <w:rPr>
                <w:rFonts w:ascii="Times New Roman" w:hAnsi="Times New Roman"/>
                <w:sz w:val="26"/>
                <w:szCs w:val="26"/>
              </w:rPr>
            </w:pPr>
            <w:r w:rsidRPr="007111E8">
              <w:rPr>
                <w:rFonts w:ascii="Times New Roman" w:hAnsi="Times New Roman"/>
                <w:sz w:val="26"/>
                <w:szCs w:val="26"/>
              </w:rPr>
              <w:t>6</w:t>
            </w:r>
            <w:r w:rsidR="000411BD" w:rsidRPr="007111E8">
              <w:rPr>
                <w:rFonts w:ascii="Times New Roman" w:hAnsi="Times New Roman"/>
                <w:sz w:val="26"/>
                <w:szCs w:val="26"/>
              </w:rPr>
              <w:t xml:space="preserve"> hrs.;</w:t>
            </w:r>
          </w:p>
          <w:p w14:paraId="64DC44A4" w14:textId="77777777" w:rsidR="001200AD" w:rsidRPr="007111E8" w:rsidRDefault="000411BD" w:rsidP="0031010A">
            <w:pPr>
              <w:spacing w:after="0" w:line="240" w:lineRule="auto"/>
              <w:jc w:val="right"/>
              <w:rPr>
                <w:rFonts w:ascii="Times New Roman" w:hAnsi="Times New Roman"/>
                <w:sz w:val="26"/>
                <w:szCs w:val="26"/>
              </w:rPr>
            </w:pPr>
            <w:r w:rsidRPr="00E7496F">
              <w:rPr>
                <w:rFonts w:ascii="Times New Roman" w:hAnsi="Times New Roman"/>
                <w:sz w:val="26"/>
                <w:szCs w:val="26"/>
              </w:rPr>
              <w:t>$</w:t>
            </w:r>
            <w:r w:rsidR="00914B52" w:rsidRPr="00E7496F">
              <w:rPr>
                <w:rFonts w:ascii="Times New Roman" w:hAnsi="Times New Roman"/>
                <w:sz w:val="26"/>
                <w:szCs w:val="26"/>
              </w:rPr>
              <w:t>459</w:t>
            </w:r>
          </w:p>
        </w:tc>
        <w:tc>
          <w:tcPr>
            <w:tcW w:w="2610" w:type="dxa"/>
            <w:vAlign w:val="bottom"/>
          </w:tcPr>
          <w:p w14:paraId="5CB75F07" w14:textId="47C34E2C" w:rsidR="00B33678" w:rsidRPr="007111E8" w:rsidRDefault="000F173C" w:rsidP="00B51AC1">
            <w:pPr>
              <w:spacing w:after="0" w:line="240" w:lineRule="auto"/>
              <w:jc w:val="right"/>
              <w:rPr>
                <w:rFonts w:ascii="Times New Roman" w:hAnsi="Times New Roman"/>
                <w:sz w:val="26"/>
                <w:szCs w:val="26"/>
              </w:rPr>
            </w:pPr>
            <w:r>
              <w:rPr>
                <w:rFonts w:ascii="Times New Roman" w:hAnsi="Times New Roman"/>
                <w:sz w:val="26"/>
                <w:szCs w:val="26"/>
              </w:rPr>
              <w:t>882</w:t>
            </w:r>
            <w:r w:rsidRPr="007111E8">
              <w:rPr>
                <w:rFonts w:ascii="Times New Roman" w:hAnsi="Times New Roman"/>
                <w:sz w:val="26"/>
                <w:szCs w:val="26"/>
              </w:rPr>
              <w:t xml:space="preserve"> </w:t>
            </w:r>
            <w:r w:rsidR="00B33678" w:rsidRPr="007111E8">
              <w:rPr>
                <w:rFonts w:ascii="Times New Roman" w:hAnsi="Times New Roman"/>
                <w:sz w:val="26"/>
                <w:szCs w:val="26"/>
              </w:rPr>
              <w:t xml:space="preserve">hrs.; </w:t>
            </w:r>
          </w:p>
          <w:p w14:paraId="13F1560D" w14:textId="2A9ABE76" w:rsidR="001200AD" w:rsidRPr="007111E8" w:rsidRDefault="00B33678" w:rsidP="00B87F76">
            <w:pPr>
              <w:spacing w:after="0" w:line="240" w:lineRule="auto"/>
              <w:jc w:val="right"/>
              <w:rPr>
                <w:rFonts w:ascii="Times New Roman" w:hAnsi="Times New Roman"/>
                <w:sz w:val="26"/>
                <w:szCs w:val="26"/>
              </w:rPr>
            </w:pPr>
            <w:r w:rsidRPr="007111E8">
              <w:rPr>
                <w:rFonts w:ascii="Times New Roman" w:hAnsi="Times New Roman"/>
                <w:sz w:val="26"/>
                <w:szCs w:val="26"/>
              </w:rPr>
              <w:t>$</w:t>
            </w:r>
            <w:r w:rsidR="000F173C">
              <w:rPr>
                <w:rFonts w:ascii="Times New Roman" w:hAnsi="Times New Roman"/>
                <w:sz w:val="26"/>
                <w:szCs w:val="26"/>
              </w:rPr>
              <w:t>67,473</w:t>
            </w:r>
          </w:p>
        </w:tc>
      </w:tr>
    </w:tbl>
    <w:p w14:paraId="1BFC7F14" w14:textId="77777777" w:rsidR="00544875" w:rsidRDefault="00544875" w:rsidP="00C2572D">
      <w:pPr>
        <w:spacing w:after="0" w:line="240" w:lineRule="auto"/>
        <w:rPr>
          <w:rFonts w:ascii="Times New Roman" w:hAnsi="Times New Roman" w:cs="Times New Roman"/>
          <w:sz w:val="26"/>
          <w:szCs w:val="26"/>
        </w:rPr>
      </w:pPr>
    </w:p>
    <w:p w14:paraId="40A3F284" w14:textId="77777777" w:rsidR="00544875" w:rsidRPr="001668FC" w:rsidRDefault="00544875" w:rsidP="00C2572D">
      <w:pPr>
        <w:widowControl w:val="0"/>
        <w:numPr>
          <w:ilvl w:val="0"/>
          <w:numId w:val="2"/>
        </w:numPr>
        <w:autoSpaceDE w:val="0"/>
        <w:autoSpaceDN w:val="0"/>
        <w:adjustRightInd w:val="0"/>
        <w:spacing w:after="0" w:line="240" w:lineRule="auto"/>
        <w:rPr>
          <w:rFonts w:ascii="Times New Roman" w:hAnsi="Times New Roman" w:cs="Times New Roman"/>
          <w:b/>
          <w:sz w:val="26"/>
          <w:szCs w:val="26"/>
        </w:rPr>
      </w:pPr>
      <w:r w:rsidRPr="001668FC">
        <w:rPr>
          <w:rFonts w:ascii="Times New Roman" w:hAnsi="Times New Roman" w:cs="Times New Roman"/>
          <w:b/>
          <w:sz w:val="26"/>
          <w:szCs w:val="26"/>
        </w:rPr>
        <w:t>ESTIMATE OF THE TOTAL ANNUAL COST BURDEN TO RESPONDENTS</w:t>
      </w:r>
    </w:p>
    <w:p w14:paraId="6C9B7A08" w14:textId="77777777" w:rsidR="00544875" w:rsidRDefault="00544875" w:rsidP="00C2572D">
      <w:pPr>
        <w:widowControl w:val="0"/>
        <w:autoSpaceDE w:val="0"/>
        <w:autoSpaceDN w:val="0"/>
        <w:adjustRightInd w:val="0"/>
        <w:spacing w:after="0" w:line="240" w:lineRule="auto"/>
        <w:rPr>
          <w:rFonts w:ascii="Times New Roman" w:hAnsi="Times New Roman" w:cs="Times New Roman"/>
          <w:sz w:val="26"/>
          <w:szCs w:val="26"/>
        </w:rPr>
      </w:pPr>
    </w:p>
    <w:p w14:paraId="23A57B12" w14:textId="77777777" w:rsidR="00544875" w:rsidRDefault="00544875">
      <w:pPr>
        <w:widowControl w:val="0"/>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There are no non-labor costs current</w:t>
      </w:r>
      <w:r w:rsidR="00993237">
        <w:rPr>
          <w:rFonts w:ascii="Times New Roman" w:hAnsi="Times New Roman" w:cs="Times New Roman"/>
          <w:sz w:val="26"/>
          <w:szCs w:val="26"/>
        </w:rPr>
        <w:t>ly associated with the FERC-598 information collection</w:t>
      </w:r>
      <w:r>
        <w:rPr>
          <w:rFonts w:ascii="Times New Roman" w:hAnsi="Times New Roman" w:cs="Times New Roman"/>
          <w:sz w:val="26"/>
          <w:szCs w:val="26"/>
        </w:rPr>
        <w:t>.</w:t>
      </w:r>
    </w:p>
    <w:p w14:paraId="1E6F2640" w14:textId="77777777" w:rsidR="00544875" w:rsidRDefault="00544875">
      <w:pPr>
        <w:widowControl w:val="0"/>
        <w:autoSpaceDE w:val="0"/>
        <w:autoSpaceDN w:val="0"/>
        <w:adjustRightInd w:val="0"/>
        <w:spacing w:after="0" w:line="240" w:lineRule="auto"/>
        <w:rPr>
          <w:rFonts w:ascii="Times New Roman" w:hAnsi="Times New Roman" w:cs="Times New Roman"/>
          <w:sz w:val="26"/>
          <w:szCs w:val="26"/>
        </w:rPr>
      </w:pPr>
    </w:p>
    <w:p w14:paraId="291B2E62" w14:textId="77777777" w:rsidR="00544875" w:rsidRDefault="00544875">
      <w:pPr>
        <w:widowControl w:val="0"/>
        <w:autoSpaceDE w:val="0"/>
        <w:autoSpaceDN w:val="0"/>
        <w:adjustRightInd w:val="0"/>
        <w:spacing w:after="0" w:line="240" w:lineRule="auto"/>
        <w:rPr>
          <w:rFonts w:ascii="Times New Roman" w:hAnsi="Times New Roman" w:cs="Times New Roman"/>
          <w:sz w:val="26"/>
          <w:szCs w:val="26"/>
        </w:rPr>
      </w:pPr>
      <w:r>
        <w:rPr>
          <w:rFonts w:ascii="Times New Roman" w:hAnsi="Times New Roman" w:cs="Times New Roman"/>
          <w:sz w:val="26"/>
          <w:szCs w:val="26"/>
        </w:rPr>
        <w:t>All of the costs in this collection are associated with burden hours (labor) and described in Question</w:t>
      </w:r>
      <w:r w:rsidR="005E2C45">
        <w:rPr>
          <w:rFonts w:ascii="Times New Roman" w:hAnsi="Times New Roman" w:cs="Times New Roman"/>
          <w:sz w:val="26"/>
          <w:szCs w:val="26"/>
        </w:rPr>
        <w:t>s</w:t>
      </w:r>
      <w:r>
        <w:rPr>
          <w:rFonts w:ascii="Times New Roman" w:hAnsi="Times New Roman" w:cs="Times New Roman"/>
          <w:sz w:val="26"/>
          <w:szCs w:val="26"/>
        </w:rPr>
        <w:t xml:space="preserve"> #12 </w:t>
      </w:r>
      <w:r w:rsidR="005E2C45">
        <w:rPr>
          <w:rFonts w:ascii="Times New Roman" w:hAnsi="Times New Roman" w:cs="Times New Roman"/>
          <w:sz w:val="26"/>
          <w:szCs w:val="26"/>
        </w:rPr>
        <w:t>and</w:t>
      </w:r>
      <w:r w:rsidR="00C4430F">
        <w:rPr>
          <w:rFonts w:ascii="Times New Roman" w:hAnsi="Times New Roman" w:cs="Times New Roman"/>
          <w:sz w:val="26"/>
          <w:szCs w:val="26"/>
        </w:rPr>
        <w:t xml:space="preserve"> </w:t>
      </w:r>
      <w:r>
        <w:rPr>
          <w:rFonts w:ascii="Times New Roman" w:hAnsi="Times New Roman" w:cs="Times New Roman"/>
          <w:sz w:val="26"/>
          <w:szCs w:val="26"/>
        </w:rPr>
        <w:t>#15.</w:t>
      </w:r>
    </w:p>
    <w:p w14:paraId="12CF23DF" w14:textId="77777777" w:rsidR="00544875" w:rsidRPr="001668FC" w:rsidRDefault="00544875">
      <w:pPr>
        <w:widowControl w:val="0"/>
        <w:autoSpaceDE w:val="0"/>
        <w:autoSpaceDN w:val="0"/>
        <w:adjustRightInd w:val="0"/>
        <w:spacing w:after="0" w:line="240" w:lineRule="auto"/>
        <w:rPr>
          <w:rFonts w:ascii="Times New Roman" w:hAnsi="Times New Roman" w:cs="Times New Roman"/>
          <w:sz w:val="26"/>
          <w:szCs w:val="26"/>
        </w:rPr>
      </w:pPr>
    </w:p>
    <w:p w14:paraId="2F9FD351" w14:textId="77777777" w:rsidR="00790FD0" w:rsidRPr="00544875" w:rsidRDefault="002B7FAC">
      <w:pPr>
        <w:widowControl w:val="0"/>
        <w:numPr>
          <w:ilvl w:val="0"/>
          <w:numId w:val="2"/>
        </w:numPr>
        <w:autoSpaceDE w:val="0"/>
        <w:autoSpaceDN w:val="0"/>
        <w:adjustRightInd w:val="0"/>
        <w:spacing w:after="0" w:line="240" w:lineRule="auto"/>
        <w:rPr>
          <w:rFonts w:ascii="Times New Roman" w:hAnsi="Times New Roman" w:cs="Times New Roman"/>
          <w:sz w:val="26"/>
          <w:szCs w:val="26"/>
        </w:rPr>
      </w:pPr>
      <w:r w:rsidRPr="00D27CC7">
        <w:rPr>
          <w:rFonts w:ascii="Times New Roman" w:hAnsi="Times New Roman" w:cs="Times New Roman"/>
          <w:b/>
          <w:bCs/>
          <w:sz w:val="26"/>
          <w:szCs w:val="26"/>
        </w:rPr>
        <w:t>ESTIMATED ANNUALIZED COST TO FEDERAL GOVERNMENT</w:t>
      </w:r>
    </w:p>
    <w:p w14:paraId="217A91D6" w14:textId="77777777" w:rsidR="00544875" w:rsidRDefault="00544875">
      <w:pPr>
        <w:widowControl w:val="0"/>
        <w:autoSpaceDE w:val="0"/>
        <w:autoSpaceDN w:val="0"/>
        <w:adjustRightInd w:val="0"/>
        <w:spacing w:after="0" w:line="240" w:lineRule="auto"/>
        <w:rPr>
          <w:rFonts w:ascii="Times New Roman" w:hAnsi="Times New Roman" w:cs="Times New Roman"/>
          <w:b/>
          <w:bCs/>
          <w:sz w:val="26"/>
          <w:szCs w:val="26"/>
        </w:rPr>
      </w:pPr>
    </w:p>
    <w:p w14:paraId="76397630" w14:textId="77777777" w:rsidR="00B55A32" w:rsidRDefault="00B55A32" w:rsidP="00B87F76">
      <w:pPr>
        <w:spacing w:line="240" w:lineRule="auto"/>
        <w:rPr>
          <w:rFonts w:ascii="Times New Roman" w:hAnsi="Times New Roman" w:cs="Times New Roman"/>
          <w:sz w:val="26"/>
          <w:szCs w:val="26"/>
        </w:rPr>
      </w:pPr>
      <w:r w:rsidRPr="00B55A32">
        <w:rPr>
          <w:rFonts w:ascii="Times New Roman" w:hAnsi="Times New Roman" w:cs="Times New Roman"/>
          <w:sz w:val="26"/>
          <w:szCs w:val="26"/>
        </w:rPr>
        <w:t xml:space="preserve">The estimate of the cost </w:t>
      </w:r>
      <w:r>
        <w:rPr>
          <w:rFonts w:ascii="Times New Roman" w:hAnsi="Times New Roman" w:cs="Times New Roman"/>
          <w:sz w:val="26"/>
          <w:szCs w:val="26"/>
        </w:rPr>
        <w:t>for analysis and processing of filings</w:t>
      </w:r>
      <w:r w:rsidRPr="00B55A32">
        <w:rPr>
          <w:rFonts w:ascii="Times New Roman" w:hAnsi="Times New Roman" w:cs="Times New Roman"/>
          <w:sz w:val="26"/>
          <w:szCs w:val="26"/>
        </w:rPr>
        <w:t xml:space="preserve"> is based on salaries for professional and clerical support.  </w:t>
      </w:r>
    </w:p>
    <w:p w14:paraId="1577F92A" w14:textId="0C5B982C" w:rsidR="00B55A32" w:rsidRDefault="00B55A32" w:rsidP="00B87F76">
      <w:pPr>
        <w:spacing w:line="240" w:lineRule="auto"/>
        <w:rPr>
          <w:rFonts w:ascii="Times New Roman" w:hAnsi="Times New Roman" w:cs="Times New Roman"/>
          <w:sz w:val="26"/>
          <w:szCs w:val="26"/>
        </w:rPr>
      </w:pPr>
      <w:r w:rsidRPr="00B55A32">
        <w:rPr>
          <w:rFonts w:ascii="Times New Roman" w:hAnsi="Times New Roman" w:cs="Times New Roman"/>
          <w:sz w:val="26"/>
          <w:szCs w:val="26"/>
        </w:rPr>
        <w:t xml:space="preserve">The </w:t>
      </w:r>
      <w:r w:rsidR="002B5E51">
        <w:rPr>
          <w:rFonts w:ascii="Times New Roman" w:hAnsi="Times New Roman" w:cs="Times New Roman"/>
          <w:sz w:val="26"/>
          <w:szCs w:val="26"/>
        </w:rPr>
        <w:t>Paperwork Redu</w:t>
      </w:r>
      <w:r w:rsidR="00C4430F">
        <w:rPr>
          <w:rFonts w:ascii="Times New Roman" w:hAnsi="Times New Roman" w:cs="Times New Roman"/>
          <w:sz w:val="26"/>
          <w:szCs w:val="26"/>
        </w:rPr>
        <w:t>c</w:t>
      </w:r>
      <w:r w:rsidR="002B5E51">
        <w:rPr>
          <w:rFonts w:ascii="Times New Roman" w:hAnsi="Times New Roman" w:cs="Times New Roman"/>
          <w:sz w:val="26"/>
          <w:szCs w:val="26"/>
        </w:rPr>
        <w:t>tion Act (</w:t>
      </w:r>
      <w:r w:rsidRPr="00B55A32">
        <w:rPr>
          <w:rFonts w:ascii="Times New Roman" w:hAnsi="Times New Roman" w:cs="Times New Roman"/>
          <w:sz w:val="26"/>
          <w:szCs w:val="26"/>
        </w:rPr>
        <w:t>PRA</w:t>
      </w:r>
      <w:r w:rsidR="002B5E51">
        <w:rPr>
          <w:rFonts w:ascii="Times New Roman" w:hAnsi="Times New Roman" w:cs="Times New Roman"/>
          <w:sz w:val="26"/>
          <w:szCs w:val="26"/>
        </w:rPr>
        <w:t>)</w:t>
      </w:r>
      <w:r w:rsidRPr="00B55A32">
        <w:rPr>
          <w:rFonts w:ascii="Times New Roman" w:hAnsi="Times New Roman" w:cs="Times New Roman"/>
          <w:sz w:val="26"/>
          <w:szCs w:val="26"/>
        </w:rPr>
        <w:t xml:space="preserve"> Administrative Cost is the average annual FERC cost associated with preparing, issuing, and submitting materials necessary to comply with the PRA for rulemakings, orders, or any other vehicle used to create, modify, extend, or discontinue an information collection.  It also includes the cost of publishing the necessary notices in the Federal Register.</w:t>
      </w:r>
    </w:p>
    <w:p w14:paraId="369E7F20" w14:textId="77777777" w:rsidR="00544875" w:rsidRDefault="00B55A32" w:rsidP="00B87F76">
      <w:pPr>
        <w:spacing w:line="240" w:lineRule="auto"/>
        <w:rPr>
          <w:rFonts w:ascii="Times New Roman" w:hAnsi="Times New Roman" w:cs="Times New Roman"/>
          <w:sz w:val="26"/>
          <w:szCs w:val="26"/>
        </w:rPr>
      </w:pPr>
      <w:r>
        <w:rPr>
          <w:rFonts w:ascii="Times New Roman" w:hAnsi="Times New Roman" w:cs="Times New Roman"/>
          <w:sz w:val="26"/>
          <w:szCs w:val="26"/>
        </w:rPr>
        <w:t>The</w:t>
      </w:r>
      <w:r w:rsidRPr="00B55A32">
        <w:rPr>
          <w:rFonts w:ascii="Times New Roman" w:hAnsi="Times New Roman" w:cs="Times New Roman"/>
          <w:sz w:val="26"/>
          <w:szCs w:val="26"/>
        </w:rPr>
        <w:t xml:space="preserve"> estimated average annual cost to FERC follows.  </w:t>
      </w:r>
    </w:p>
    <w:tbl>
      <w:tblPr>
        <w:tblW w:w="937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2"/>
        <w:gridCol w:w="3201"/>
        <w:gridCol w:w="2995"/>
      </w:tblGrid>
      <w:tr w:rsidR="00544875" w:rsidRPr="00630A34" w14:paraId="5D442F24" w14:textId="77777777" w:rsidTr="00035A90">
        <w:trPr>
          <w:jc w:val="right"/>
        </w:trPr>
        <w:tc>
          <w:tcPr>
            <w:tcW w:w="3182" w:type="dxa"/>
            <w:tcBorders>
              <w:top w:val="single" w:sz="4" w:space="0" w:color="auto"/>
              <w:left w:val="single" w:sz="4" w:space="0" w:color="auto"/>
              <w:bottom w:val="single" w:sz="4" w:space="0" w:color="auto"/>
              <w:right w:val="single" w:sz="4" w:space="0" w:color="auto"/>
            </w:tcBorders>
            <w:shd w:val="clear" w:color="auto" w:fill="CCCCCC"/>
          </w:tcPr>
          <w:p w14:paraId="797FB14F" w14:textId="77777777" w:rsidR="00544875" w:rsidRPr="00630A34" w:rsidRDefault="00544875" w:rsidP="00B87F76">
            <w:pPr>
              <w:spacing w:after="0" w:line="240" w:lineRule="auto"/>
              <w:rPr>
                <w:rFonts w:ascii="Times New Roman" w:hAnsi="Times New Roman" w:cs="Times New Roman"/>
                <w:sz w:val="24"/>
                <w:szCs w:val="24"/>
              </w:rPr>
            </w:pPr>
          </w:p>
        </w:tc>
        <w:tc>
          <w:tcPr>
            <w:tcW w:w="3201" w:type="dxa"/>
            <w:tcBorders>
              <w:top w:val="single" w:sz="4" w:space="0" w:color="auto"/>
              <w:left w:val="single" w:sz="4" w:space="0" w:color="auto"/>
              <w:bottom w:val="single" w:sz="4" w:space="0" w:color="auto"/>
              <w:right w:val="single" w:sz="4" w:space="0" w:color="auto"/>
            </w:tcBorders>
            <w:shd w:val="clear" w:color="auto" w:fill="CCCCCC"/>
            <w:hideMark/>
          </w:tcPr>
          <w:p w14:paraId="32C216DD" w14:textId="77777777" w:rsidR="00544875" w:rsidRPr="00630A34" w:rsidRDefault="00544875" w:rsidP="00B87F76">
            <w:pPr>
              <w:spacing w:after="0" w:line="240" w:lineRule="auto"/>
              <w:rPr>
                <w:rFonts w:ascii="Times New Roman" w:hAnsi="Times New Roman" w:cs="Times New Roman"/>
                <w:b/>
                <w:sz w:val="24"/>
                <w:szCs w:val="24"/>
              </w:rPr>
            </w:pPr>
            <w:r w:rsidRPr="00630A34">
              <w:rPr>
                <w:rFonts w:ascii="Times New Roman" w:hAnsi="Times New Roman" w:cs="Times New Roman"/>
                <w:b/>
                <w:sz w:val="24"/>
                <w:szCs w:val="24"/>
              </w:rPr>
              <w:t>Number of Employees (FTE)</w:t>
            </w:r>
          </w:p>
        </w:tc>
        <w:tc>
          <w:tcPr>
            <w:tcW w:w="2995" w:type="dxa"/>
            <w:tcBorders>
              <w:top w:val="single" w:sz="4" w:space="0" w:color="auto"/>
              <w:left w:val="single" w:sz="4" w:space="0" w:color="auto"/>
              <w:bottom w:val="single" w:sz="4" w:space="0" w:color="auto"/>
              <w:right w:val="single" w:sz="4" w:space="0" w:color="auto"/>
            </w:tcBorders>
            <w:shd w:val="clear" w:color="auto" w:fill="CCCCCC"/>
            <w:hideMark/>
          </w:tcPr>
          <w:p w14:paraId="5AF3FD2B" w14:textId="77777777" w:rsidR="00544875" w:rsidRPr="00630A34" w:rsidRDefault="00544875" w:rsidP="00B87F76">
            <w:pPr>
              <w:spacing w:after="0" w:line="240" w:lineRule="auto"/>
              <w:rPr>
                <w:rFonts w:ascii="Times New Roman" w:hAnsi="Times New Roman" w:cs="Times New Roman"/>
                <w:b/>
                <w:sz w:val="24"/>
                <w:szCs w:val="24"/>
              </w:rPr>
            </w:pPr>
            <w:r w:rsidRPr="00630A34">
              <w:rPr>
                <w:rFonts w:ascii="Times New Roman" w:hAnsi="Times New Roman" w:cs="Times New Roman"/>
                <w:b/>
                <w:sz w:val="24"/>
                <w:szCs w:val="24"/>
              </w:rPr>
              <w:t>Estimated Annual Federal Cost</w:t>
            </w:r>
          </w:p>
        </w:tc>
      </w:tr>
      <w:tr w:rsidR="00544875" w:rsidRPr="00630A34" w14:paraId="3942E1D6" w14:textId="77777777" w:rsidTr="00035A90">
        <w:trPr>
          <w:jc w:val="right"/>
        </w:trPr>
        <w:tc>
          <w:tcPr>
            <w:tcW w:w="3182" w:type="dxa"/>
            <w:tcBorders>
              <w:top w:val="single" w:sz="4" w:space="0" w:color="auto"/>
              <w:left w:val="single" w:sz="4" w:space="0" w:color="auto"/>
              <w:bottom w:val="single" w:sz="4" w:space="0" w:color="auto"/>
              <w:right w:val="single" w:sz="4" w:space="0" w:color="auto"/>
            </w:tcBorders>
            <w:hideMark/>
          </w:tcPr>
          <w:p w14:paraId="1BD14DB9" w14:textId="77777777" w:rsidR="00544875" w:rsidRPr="00630A34" w:rsidRDefault="00544875" w:rsidP="00B87F76">
            <w:pPr>
              <w:spacing w:after="0" w:line="240" w:lineRule="auto"/>
              <w:rPr>
                <w:rFonts w:ascii="Times New Roman" w:hAnsi="Times New Roman" w:cs="Times New Roman"/>
                <w:sz w:val="24"/>
                <w:szCs w:val="24"/>
              </w:rPr>
            </w:pPr>
            <w:r>
              <w:rPr>
                <w:rFonts w:ascii="Times New Roman" w:hAnsi="Times New Roman" w:cs="Times New Roman"/>
                <w:sz w:val="24"/>
                <w:szCs w:val="24"/>
              </w:rPr>
              <w:t>FERC-</w:t>
            </w:r>
            <w:r w:rsidR="00834DE8">
              <w:rPr>
                <w:rFonts w:ascii="Times New Roman" w:hAnsi="Times New Roman" w:cs="Times New Roman"/>
                <w:sz w:val="24"/>
                <w:szCs w:val="24"/>
              </w:rPr>
              <w:t>598</w:t>
            </w:r>
            <w:r>
              <w:rPr>
                <w:rFonts w:ascii="Times New Roman" w:hAnsi="Times New Roman" w:cs="Times New Roman"/>
                <w:sz w:val="24"/>
                <w:szCs w:val="24"/>
              </w:rPr>
              <w:t xml:space="preserve"> </w:t>
            </w:r>
            <w:r w:rsidRPr="00630A34">
              <w:rPr>
                <w:rFonts w:ascii="Times New Roman" w:hAnsi="Times New Roman" w:cs="Times New Roman"/>
                <w:sz w:val="24"/>
                <w:szCs w:val="24"/>
              </w:rPr>
              <w:t>Analysis and Processing of filings</w:t>
            </w:r>
            <w:r w:rsidRPr="00630A34">
              <w:rPr>
                <w:rFonts w:ascii="Times New Roman" w:hAnsi="Times New Roman" w:cs="Times New Roman"/>
                <w:sz w:val="24"/>
                <w:szCs w:val="24"/>
                <w:vertAlign w:val="superscript"/>
              </w:rPr>
              <w:footnoteReference w:id="18"/>
            </w:r>
          </w:p>
        </w:tc>
        <w:tc>
          <w:tcPr>
            <w:tcW w:w="3201" w:type="dxa"/>
            <w:tcBorders>
              <w:top w:val="single" w:sz="4" w:space="0" w:color="auto"/>
              <w:left w:val="single" w:sz="4" w:space="0" w:color="auto"/>
              <w:bottom w:val="single" w:sz="4" w:space="0" w:color="auto"/>
              <w:right w:val="single" w:sz="4" w:space="0" w:color="auto"/>
            </w:tcBorders>
            <w:vAlign w:val="bottom"/>
            <w:hideMark/>
          </w:tcPr>
          <w:p w14:paraId="479F7D49" w14:textId="0D896B7E" w:rsidR="00544875" w:rsidRPr="00630A34" w:rsidRDefault="00544875" w:rsidP="00B87F7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0.75</w:t>
            </w:r>
          </w:p>
        </w:tc>
        <w:tc>
          <w:tcPr>
            <w:tcW w:w="2995" w:type="dxa"/>
            <w:tcBorders>
              <w:top w:val="single" w:sz="4" w:space="0" w:color="auto"/>
              <w:left w:val="single" w:sz="4" w:space="0" w:color="auto"/>
              <w:bottom w:val="single" w:sz="4" w:space="0" w:color="auto"/>
              <w:right w:val="single" w:sz="4" w:space="0" w:color="auto"/>
            </w:tcBorders>
            <w:vAlign w:val="bottom"/>
            <w:hideMark/>
          </w:tcPr>
          <w:p w14:paraId="4C963382" w14:textId="77777777" w:rsidR="00544875" w:rsidRPr="00630A34" w:rsidRDefault="00544875" w:rsidP="00B87F76">
            <w:pPr>
              <w:spacing w:after="0" w:line="240" w:lineRule="auto"/>
              <w:jc w:val="right"/>
              <w:rPr>
                <w:rFonts w:ascii="Times New Roman" w:hAnsi="Times New Roman" w:cs="Times New Roman"/>
                <w:sz w:val="24"/>
                <w:szCs w:val="24"/>
              </w:rPr>
            </w:pPr>
            <w:r w:rsidRPr="00630A34">
              <w:rPr>
                <w:rFonts w:ascii="Times New Roman" w:hAnsi="Times New Roman" w:cs="Times New Roman"/>
                <w:sz w:val="24"/>
                <w:szCs w:val="24"/>
              </w:rPr>
              <w:t>$</w:t>
            </w:r>
            <w:r w:rsidR="00D30413">
              <w:rPr>
                <w:rFonts w:ascii="Times New Roman" w:hAnsi="Times New Roman" w:cs="Times New Roman"/>
                <w:sz w:val="24"/>
                <w:szCs w:val="24"/>
              </w:rPr>
              <w:t>119,066 (rounded)</w:t>
            </w:r>
          </w:p>
        </w:tc>
      </w:tr>
      <w:tr w:rsidR="00544875" w:rsidRPr="00630A34" w14:paraId="677596FD" w14:textId="77777777" w:rsidTr="00035A90">
        <w:trPr>
          <w:jc w:val="right"/>
        </w:trPr>
        <w:tc>
          <w:tcPr>
            <w:tcW w:w="3182" w:type="dxa"/>
            <w:tcBorders>
              <w:top w:val="single" w:sz="4" w:space="0" w:color="auto"/>
              <w:left w:val="single" w:sz="4" w:space="0" w:color="auto"/>
              <w:bottom w:val="single" w:sz="4" w:space="0" w:color="auto"/>
              <w:right w:val="single" w:sz="4" w:space="0" w:color="auto"/>
            </w:tcBorders>
          </w:tcPr>
          <w:p w14:paraId="55DE9FE3" w14:textId="77777777" w:rsidR="00544875" w:rsidRDefault="00544875" w:rsidP="00B87F76">
            <w:pPr>
              <w:spacing w:after="0" w:line="240" w:lineRule="auto"/>
              <w:rPr>
                <w:rFonts w:ascii="Times New Roman" w:hAnsi="Times New Roman" w:cs="Times New Roman"/>
                <w:sz w:val="24"/>
                <w:szCs w:val="24"/>
              </w:rPr>
            </w:pPr>
            <w:r w:rsidRPr="00630A34">
              <w:rPr>
                <w:rFonts w:ascii="Times New Roman" w:hAnsi="Times New Roman" w:cs="Times New Roman"/>
                <w:sz w:val="24"/>
                <w:szCs w:val="24"/>
              </w:rPr>
              <w:t>PRA Administrative Cost</w:t>
            </w:r>
          </w:p>
        </w:tc>
        <w:tc>
          <w:tcPr>
            <w:tcW w:w="3201" w:type="dxa"/>
            <w:tcBorders>
              <w:top w:val="single" w:sz="4" w:space="0" w:color="auto"/>
              <w:left w:val="single" w:sz="4" w:space="0" w:color="auto"/>
              <w:bottom w:val="single" w:sz="4" w:space="0" w:color="auto"/>
              <w:right w:val="single" w:sz="4" w:space="0" w:color="auto"/>
            </w:tcBorders>
            <w:shd w:val="clear" w:color="auto" w:fill="D9D9D9"/>
            <w:vAlign w:val="center"/>
          </w:tcPr>
          <w:p w14:paraId="58A8BCCD" w14:textId="77777777" w:rsidR="00544875" w:rsidRPr="00630A34" w:rsidRDefault="00544875" w:rsidP="00B87F76">
            <w:pPr>
              <w:spacing w:after="0" w:line="240" w:lineRule="auto"/>
              <w:jc w:val="right"/>
              <w:rPr>
                <w:rFonts w:ascii="Times New Roman" w:hAnsi="Times New Roman" w:cs="Times New Roman"/>
                <w:sz w:val="24"/>
                <w:szCs w:val="24"/>
              </w:rPr>
            </w:pPr>
          </w:p>
        </w:tc>
        <w:tc>
          <w:tcPr>
            <w:tcW w:w="2995" w:type="dxa"/>
            <w:tcBorders>
              <w:top w:val="single" w:sz="4" w:space="0" w:color="auto"/>
              <w:left w:val="single" w:sz="4" w:space="0" w:color="auto"/>
              <w:bottom w:val="single" w:sz="4" w:space="0" w:color="auto"/>
              <w:right w:val="single" w:sz="4" w:space="0" w:color="auto"/>
            </w:tcBorders>
            <w:vAlign w:val="center"/>
          </w:tcPr>
          <w:p w14:paraId="5C5FEF8B" w14:textId="77777777" w:rsidR="00544875" w:rsidRPr="00630A34" w:rsidRDefault="00544875" w:rsidP="00B87F76">
            <w:pPr>
              <w:spacing w:after="0" w:line="240" w:lineRule="auto"/>
              <w:jc w:val="right"/>
              <w:rPr>
                <w:rFonts w:ascii="Times New Roman" w:hAnsi="Times New Roman" w:cs="Times New Roman"/>
                <w:sz w:val="24"/>
                <w:szCs w:val="24"/>
              </w:rPr>
            </w:pPr>
            <w:r w:rsidRPr="00630A34">
              <w:rPr>
                <w:rFonts w:ascii="Times New Roman" w:hAnsi="Times New Roman" w:cs="Times New Roman"/>
                <w:sz w:val="24"/>
                <w:szCs w:val="24"/>
              </w:rPr>
              <w:t>$</w:t>
            </w:r>
            <w:r w:rsidR="00D30413" w:rsidRPr="00D30413">
              <w:rPr>
                <w:rFonts w:ascii="Times New Roman" w:hAnsi="Times New Roman" w:cs="Times New Roman"/>
                <w:sz w:val="24"/>
                <w:szCs w:val="24"/>
              </w:rPr>
              <w:t>5,723</w:t>
            </w:r>
          </w:p>
        </w:tc>
      </w:tr>
      <w:tr w:rsidR="00544875" w:rsidRPr="00630A34" w14:paraId="3F9FA1A0" w14:textId="77777777" w:rsidTr="00035A90">
        <w:trPr>
          <w:jc w:val="right"/>
        </w:trPr>
        <w:tc>
          <w:tcPr>
            <w:tcW w:w="3182" w:type="dxa"/>
            <w:tcBorders>
              <w:top w:val="single" w:sz="4" w:space="0" w:color="auto"/>
              <w:left w:val="single" w:sz="4" w:space="0" w:color="auto"/>
              <w:bottom w:val="single" w:sz="4" w:space="0" w:color="auto"/>
              <w:right w:val="single" w:sz="4" w:space="0" w:color="auto"/>
            </w:tcBorders>
            <w:hideMark/>
          </w:tcPr>
          <w:p w14:paraId="252E4C8A" w14:textId="77777777" w:rsidR="00544875" w:rsidRPr="00630A34" w:rsidRDefault="00544875" w:rsidP="00B87F76">
            <w:pPr>
              <w:spacing w:after="0" w:line="240" w:lineRule="auto"/>
              <w:rPr>
                <w:rFonts w:ascii="Times New Roman" w:hAnsi="Times New Roman" w:cs="Times New Roman"/>
                <w:sz w:val="24"/>
                <w:szCs w:val="24"/>
              </w:rPr>
            </w:pPr>
            <w:r w:rsidRPr="00630A34">
              <w:rPr>
                <w:rFonts w:ascii="Times New Roman" w:hAnsi="Times New Roman" w:cs="Times New Roman"/>
                <w:b/>
                <w:sz w:val="24"/>
                <w:szCs w:val="24"/>
              </w:rPr>
              <w:t>FERC Total</w:t>
            </w:r>
          </w:p>
        </w:tc>
        <w:tc>
          <w:tcPr>
            <w:tcW w:w="3201" w:type="dxa"/>
            <w:tcBorders>
              <w:top w:val="single" w:sz="4" w:space="0" w:color="auto"/>
              <w:left w:val="single" w:sz="4" w:space="0" w:color="auto"/>
              <w:bottom w:val="single" w:sz="4" w:space="0" w:color="auto"/>
              <w:right w:val="single" w:sz="4" w:space="0" w:color="auto"/>
            </w:tcBorders>
            <w:vAlign w:val="center"/>
          </w:tcPr>
          <w:p w14:paraId="7C3B21CC" w14:textId="77777777" w:rsidR="00544875" w:rsidRPr="00630A34" w:rsidRDefault="00544875" w:rsidP="00B87F76">
            <w:pPr>
              <w:spacing w:after="0" w:line="240" w:lineRule="auto"/>
              <w:jc w:val="right"/>
              <w:rPr>
                <w:rFonts w:ascii="Times New Roman" w:hAnsi="Times New Roman" w:cs="Times New Roman"/>
                <w:sz w:val="24"/>
                <w:szCs w:val="24"/>
              </w:rPr>
            </w:pPr>
          </w:p>
        </w:tc>
        <w:tc>
          <w:tcPr>
            <w:tcW w:w="2995" w:type="dxa"/>
            <w:tcBorders>
              <w:top w:val="single" w:sz="4" w:space="0" w:color="auto"/>
              <w:left w:val="single" w:sz="4" w:space="0" w:color="auto"/>
              <w:bottom w:val="single" w:sz="4" w:space="0" w:color="auto"/>
              <w:right w:val="single" w:sz="4" w:space="0" w:color="auto"/>
            </w:tcBorders>
            <w:vAlign w:val="center"/>
            <w:hideMark/>
          </w:tcPr>
          <w:p w14:paraId="038C7CE2" w14:textId="77777777" w:rsidR="00544875" w:rsidRPr="00630A34" w:rsidRDefault="00544875" w:rsidP="00B87F76">
            <w:pPr>
              <w:spacing w:after="0" w:line="240" w:lineRule="auto"/>
              <w:jc w:val="right"/>
              <w:rPr>
                <w:rFonts w:ascii="Times New Roman" w:hAnsi="Times New Roman" w:cs="Times New Roman"/>
                <w:sz w:val="24"/>
                <w:szCs w:val="24"/>
              </w:rPr>
            </w:pPr>
            <w:r w:rsidRPr="00630A34">
              <w:rPr>
                <w:rFonts w:ascii="Times New Roman" w:hAnsi="Times New Roman" w:cs="Times New Roman"/>
                <w:sz w:val="24"/>
                <w:szCs w:val="24"/>
              </w:rPr>
              <w:t>$</w:t>
            </w:r>
            <w:r w:rsidR="00D30413">
              <w:rPr>
                <w:rFonts w:ascii="Times New Roman" w:hAnsi="Times New Roman" w:cs="Times New Roman"/>
                <w:sz w:val="24"/>
                <w:szCs w:val="24"/>
              </w:rPr>
              <w:t>124,789</w:t>
            </w:r>
          </w:p>
        </w:tc>
      </w:tr>
    </w:tbl>
    <w:p w14:paraId="6A084174" w14:textId="77777777" w:rsidR="00790FD0" w:rsidRPr="00D27CC7" w:rsidRDefault="00790FD0" w:rsidP="00B87F76">
      <w:pPr>
        <w:spacing w:line="240" w:lineRule="auto"/>
        <w:rPr>
          <w:rFonts w:ascii="Times New Roman" w:hAnsi="Times New Roman"/>
          <w:sz w:val="26"/>
          <w:szCs w:val="26"/>
        </w:rPr>
      </w:pPr>
    </w:p>
    <w:p w14:paraId="59C3E02C" w14:textId="77777777" w:rsidR="00834DE8" w:rsidRDefault="002B7FAC" w:rsidP="00C2572D">
      <w:pPr>
        <w:widowControl w:val="0"/>
        <w:numPr>
          <w:ilvl w:val="0"/>
          <w:numId w:val="2"/>
        </w:numPr>
        <w:autoSpaceDE w:val="0"/>
        <w:autoSpaceDN w:val="0"/>
        <w:adjustRightInd w:val="0"/>
        <w:spacing w:after="0" w:line="240" w:lineRule="auto"/>
        <w:rPr>
          <w:rFonts w:ascii="Times New Roman" w:hAnsi="Times New Roman" w:cs="Times New Roman"/>
          <w:sz w:val="26"/>
          <w:szCs w:val="26"/>
        </w:rPr>
      </w:pPr>
      <w:r w:rsidRPr="00D27CC7">
        <w:rPr>
          <w:rFonts w:ascii="Times New Roman" w:hAnsi="Times New Roman" w:cs="Times New Roman"/>
          <w:b/>
          <w:bCs/>
          <w:sz w:val="26"/>
          <w:szCs w:val="26"/>
        </w:rPr>
        <w:t>REASONS FOR CHANGES IN BURDEN INCLUDING THE NEED FOR ANY INCREASE</w:t>
      </w:r>
    </w:p>
    <w:p w14:paraId="4A7BDA71" w14:textId="77777777" w:rsidR="008E5683" w:rsidRPr="008E5683" w:rsidRDefault="008E5683" w:rsidP="00C2572D">
      <w:pPr>
        <w:widowControl w:val="0"/>
        <w:autoSpaceDE w:val="0"/>
        <w:autoSpaceDN w:val="0"/>
        <w:adjustRightInd w:val="0"/>
        <w:spacing w:after="0" w:line="240" w:lineRule="auto"/>
        <w:ind w:left="360"/>
        <w:rPr>
          <w:rFonts w:ascii="Times New Roman" w:hAnsi="Times New Roman" w:cs="Times New Roman"/>
          <w:sz w:val="26"/>
          <w:szCs w:val="26"/>
        </w:rPr>
      </w:pPr>
    </w:p>
    <w:p w14:paraId="21365B0C" w14:textId="7675535E" w:rsidR="007111E8" w:rsidRDefault="00E578C9" w:rsidP="00B87F76">
      <w:pPr>
        <w:pStyle w:val="ListParagraph"/>
        <w:spacing w:after="0" w:line="240" w:lineRule="auto"/>
        <w:ind w:left="0"/>
        <w:rPr>
          <w:rFonts w:ascii="Times New Roman" w:hAnsi="Times New Roman" w:cs="Times New Roman"/>
          <w:sz w:val="26"/>
          <w:szCs w:val="26"/>
        </w:rPr>
      </w:pPr>
      <w:r>
        <w:rPr>
          <w:rFonts w:ascii="Times New Roman" w:hAnsi="Times New Roman" w:cs="Times New Roman"/>
          <w:sz w:val="26"/>
          <w:szCs w:val="26"/>
        </w:rPr>
        <w:t xml:space="preserve">Based on </w:t>
      </w:r>
      <w:r w:rsidR="00F37682">
        <w:rPr>
          <w:rFonts w:ascii="Times New Roman" w:hAnsi="Times New Roman" w:cs="Times New Roman"/>
          <w:sz w:val="26"/>
          <w:szCs w:val="26"/>
        </w:rPr>
        <w:t xml:space="preserve">the average number of </w:t>
      </w:r>
      <w:r>
        <w:rPr>
          <w:rFonts w:ascii="Times New Roman" w:hAnsi="Times New Roman" w:cs="Times New Roman"/>
          <w:sz w:val="26"/>
          <w:szCs w:val="26"/>
        </w:rPr>
        <w:t xml:space="preserve">actual filings received during </w:t>
      </w:r>
      <w:r w:rsidR="000F173C">
        <w:rPr>
          <w:rFonts w:ascii="Times New Roman" w:hAnsi="Times New Roman" w:cs="Times New Roman"/>
          <w:sz w:val="26"/>
          <w:szCs w:val="26"/>
        </w:rPr>
        <w:t>the last two years</w:t>
      </w:r>
      <w:r>
        <w:rPr>
          <w:rFonts w:ascii="Times New Roman" w:hAnsi="Times New Roman" w:cs="Times New Roman"/>
          <w:sz w:val="26"/>
          <w:szCs w:val="26"/>
        </w:rPr>
        <w:t>, t</w:t>
      </w:r>
      <w:r w:rsidR="004E0D51">
        <w:rPr>
          <w:rFonts w:ascii="Times New Roman" w:hAnsi="Times New Roman" w:cs="Times New Roman"/>
          <w:sz w:val="26"/>
          <w:szCs w:val="26"/>
        </w:rPr>
        <w:t xml:space="preserve">he FERC-598 information collection estimate increased by </w:t>
      </w:r>
      <w:r w:rsidR="00F37682">
        <w:rPr>
          <w:rFonts w:ascii="Times New Roman" w:hAnsi="Times New Roman" w:cs="Times New Roman"/>
          <w:sz w:val="26"/>
          <w:szCs w:val="26"/>
        </w:rPr>
        <w:t xml:space="preserve">45 </w:t>
      </w:r>
      <w:r w:rsidR="004E0D51">
        <w:rPr>
          <w:rFonts w:ascii="Times New Roman" w:hAnsi="Times New Roman" w:cs="Times New Roman"/>
          <w:sz w:val="26"/>
          <w:szCs w:val="26"/>
        </w:rPr>
        <w:t xml:space="preserve">responses and </w:t>
      </w:r>
      <w:r w:rsidR="00F37682">
        <w:rPr>
          <w:rFonts w:ascii="Times New Roman" w:hAnsi="Times New Roman" w:cs="Times New Roman"/>
          <w:sz w:val="26"/>
          <w:szCs w:val="26"/>
        </w:rPr>
        <w:t xml:space="preserve">270 </w:t>
      </w:r>
      <w:r>
        <w:rPr>
          <w:rFonts w:ascii="Times New Roman" w:hAnsi="Times New Roman" w:cs="Times New Roman"/>
          <w:sz w:val="26"/>
          <w:szCs w:val="26"/>
        </w:rPr>
        <w:t xml:space="preserve">total </w:t>
      </w:r>
      <w:r w:rsidR="004E0D51">
        <w:rPr>
          <w:rFonts w:ascii="Times New Roman" w:hAnsi="Times New Roman" w:cs="Times New Roman"/>
          <w:sz w:val="26"/>
          <w:szCs w:val="26"/>
        </w:rPr>
        <w:t xml:space="preserve">burden hours (annually) from the previous </w:t>
      </w:r>
      <w:r>
        <w:rPr>
          <w:rFonts w:ascii="Times New Roman" w:hAnsi="Times New Roman" w:cs="Times New Roman"/>
          <w:sz w:val="26"/>
          <w:szCs w:val="26"/>
        </w:rPr>
        <w:t xml:space="preserve">3-year </w:t>
      </w:r>
      <w:r w:rsidR="004E0D51">
        <w:rPr>
          <w:rFonts w:ascii="Times New Roman" w:hAnsi="Times New Roman" w:cs="Times New Roman"/>
          <w:sz w:val="26"/>
          <w:szCs w:val="26"/>
        </w:rPr>
        <w:t>clearance period.  The revised estimate</w:t>
      </w:r>
      <w:r w:rsidR="00F37682">
        <w:rPr>
          <w:rFonts w:ascii="Times New Roman" w:hAnsi="Times New Roman" w:cs="Times New Roman"/>
          <w:sz w:val="26"/>
          <w:szCs w:val="26"/>
        </w:rPr>
        <w:t>s</w:t>
      </w:r>
      <w:r w:rsidR="004E0D51">
        <w:rPr>
          <w:rFonts w:ascii="Times New Roman" w:hAnsi="Times New Roman" w:cs="Times New Roman"/>
          <w:sz w:val="26"/>
          <w:szCs w:val="26"/>
        </w:rPr>
        <w:t xml:space="preserve"> </w:t>
      </w:r>
      <w:r w:rsidR="00F37682">
        <w:rPr>
          <w:rFonts w:ascii="Times New Roman" w:hAnsi="Times New Roman" w:cs="Times New Roman"/>
          <w:sz w:val="26"/>
          <w:szCs w:val="26"/>
        </w:rPr>
        <w:t>are</w:t>
      </w:r>
      <w:r w:rsidR="004E0D51">
        <w:rPr>
          <w:rFonts w:ascii="Times New Roman" w:hAnsi="Times New Roman" w:cs="Times New Roman"/>
          <w:sz w:val="26"/>
          <w:szCs w:val="26"/>
        </w:rPr>
        <w:t xml:space="preserve"> due to</w:t>
      </w:r>
      <w:r w:rsidR="00312620">
        <w:rPr>
          <w:rFonts w:ascii="Times New Roman" w:hAnsi="Times New Roman" w:cs="Times New Roman"/>
          <w:sz w:val="26"/>
          <w:szCs w:val="26"/>
        </w:rPr>
        <w:t xml:space="preserve"> </w:t>
      </w:r>
      <w:r w:rsidR="00F37682">
        <w:rPr>
          <w:rFonts w:ascii="Times New Roman" w:hAnsi="Times New Roman" w:cs="Times New Roman"/>
          <w:sz w:val="26"/>
          <w:szCs w:val="26"/>
        </w:rPr>
        <w:t>normal</w:t>
      </w:r>
      <w:r w:rsidR="007111E8">
        <w:rPr>
          <w:rFonts w:ascii="Times New Roman" w:hAnsi="Times New Roman" w:cs="Times New Roman"/>
          <w:sz w:val="26"/>
          <w:szCs w:val="26"/>
        </w:rPr>
        <w:t xml:space="preserve"> </w:t>
      </w:r>
      <w:r w:rsidR="00F37682">
        <w:rPr>
          <w:rFonts w:ascii="Times New Roman" w:hAnsi="Times New Roman" w:cs="Times New Roman"/>
          <w:sz w:val="26"/>
          <w:szCs w:val="26"/>
        </w:rPr>
        <w:t xml:space="preserve">industry </w:t>
      </w:r>
      <w:r w:rsidR="007111E8">
        <w:rPr>
          <w:rFonts w:ascii="Times New Roman" w:hAnsi="Times New Roman" w:cs="Times New Roman"/>
          <w:sz w:val="26"/>
          <w:szCs w:val="26"/>
        </w:rPr>
        <w:t xml:space="preserve">fluctuations </w:t>
      </w:r>
      <w:r w:rsidR="007179BC">
        <w:rPr>
          <w:rFonts w:ascii="Times New Roman" w:hAnsi="Times New Roman" w:cs="Times New Roman"/>
          <w:sz w:val="26"/>
          <w:szCs w:val="26"/>
        </w:rPr>
        <w:t xml:space="preserve">(e.g., companies entering or leaving the field) </w:t>
      </w:r>
      <w:r w:rsidR="007111E8">
        <w:rPr>
          <w:rFonts w:ascii="Times New Roman" w:hAnsi="Times New Roman" w:cs="Times New Roman"/>
          <w:sz w:val="26"/>
          <w:szCs w:val="26"/>
        </w:rPr>
        <w:t xml:space="preserve">in the average number of annual </w:t>
      </w:r>
      <w:r w:rsidR="00F37682">
        <w:rPr>
          <w:rFonts w:ascii="Times New Roman" w:hAnsi="Times New Roman" w:cs="Times New Roman"/>
          <w:sz w:val="26"/>
          <w:szCs w:val="26"/>
        </w:rPr>
        <w:t xml:space="preserve">EWG and FUCO </w:t>
      </w:r>
      <w:r w:rsidR="007111E8">
        <w:rPr>
          <w:rFonts w:ascii="Times New Roman" w:hAnsi="Times New Roman" w:cs="Times New Roman"/>
          <w:sz w:val="26"/>
          <w:szCs w:val="26"/>
        </w:rPr>
        <w:t xml:space="preserve">filings. </w:t>
      </w:r>
    </w:p>
    <w:p w14:paraId="31A2E858" w14:textId="77777777" w:rsidR="007111E8" w:rsidRDefault="007111E8" w:rsidP="00B87F76">
      <w:pPr>
        <w:pStyle w:val="ListParagraph"/>
        <w:spacing w:after="0" w:line="240" w:lineRule="auto"/>
        <w:ind w:left="0"/>
        <w:rPr>
          <w:rFonts w:ascii="Times New Roman" w:hAnsi="Times New Roman" w:cs="Times New Roman"/>
          <w:sz w:val="26"/>
          <w:szCs w:val="26"/>
        </w:rPr>
      </w:pPr>
    </w:p>
    <w:p w14:paraId="0C77EE75" w14:textId="2E75EC87" w:rsidR="004E0D51" w:rsidRPr="00E7496F" w:rsidRDefault="004E0D51" w:rsidP="00B87F76">
      <w:pPr>
        <w:pStyle w:val="ListParagraph"/>
        <w:spacing w:after="0" w:line="240" w:lineRule="auto"/>
        <w:ind w:left="0"/>
        <w:rPr>
          <w:rFonts w:ascii="Times New Roman" w:hAnsi="Times New Roman" w:cs="Times New Roman"/>
          <w:sz w:val="26"/>
          <w:szCs w:val="26"/>
        </w:rPr>
      </w:pPr>
      <w:r w:rsidRPr="00E7496F">
        <w:rPr>
          <w:rFonts w:ascii="Times New Roman" w:hAnsi="Times New Roman" w:cs="Times New Roman"/>
          <w:sz w:val="26"/>
          <w:szCs w:val="26"/>
        </w:rPr>
        <w:t xml:space="preserve">The average annual burden per response </w:t>
      </w:r>
      <w:r w:rsidR="00E578C9" w:rsidRPr="00E7496F">
        <w:rPr>
          <w:rFonts w:ascii="Times New Roman" w:hAnsi="Times New Roman" w:cs="Times New Roman"/>
          <w:sz w:val="26"/>
          <w:szCs w:val="26"/>
        </w:rPr>
        <w:t xml:space="preserve">and reporting requirements </w:t>
      </w:r>
      <w:r w:rsidRPr="00E7496F">
        <w:rPr>
          <w:rFonts w:ascii="Times New Roman" w:hAnsi="Times New Roman" w:cs="Times New Roman"/>
          <w:sz w:val="26"/>
          <w:szCs w:val="26"/>
        </w:rPr>
        <w:t>remain unchanged.</w:t>
      </w:r>
    </w:p>
    <w:p w14:paraId="7003A3F7" w14:textId="77777777" w:rsidR="004E0D51" w:rsidRDefault="004E0D51" w:rsidP="00B87F76">
      <w:pPr>
        <w:spacing w:after="0" w:line="240" w:lineRule="auto"/>
        <w:rPr>
          <w:rFonts w:ascii="Times New Roman" w:hAnsi="Times New Roman" w:cs="Times New Roman"/>
          <w:sz w:val="26"/>
          <w:szCs w:val="26"/>
        </w:rPr>
      </w:pPr>
    </w:p>
    <w:p w14:paraId="56B6340A" w14:textId="77777777" w:rsidR="00834DE8" w:rsidRDefault="00834DE8" w:rsidP="00B87F76">
      <w:pPr>
        <w:spacing w:after="0" w:line="240" w:lineRule="auto"/>
        <w:rPr>
          <w:rFonts w:ascii="Times New Roman" w:hAnsi="Times New Roman" w:cs="Times New Roman"/>
          <w:sz w:val="26"/>
          <w:szCs w:val="26"/>
        </w:rPr>
      </w:pPr>
      <w:r w:rsidRPr="00D27CC7">
        <w:rPr>
          <w:rFonts w:ascii="Times New Roman" w:hAnsi="Times New Roman" w:cs="Times New Roman"/>
          <w:sz w:val="26"/>
          <w:szCs w:val="26"/>
        </w:rPr>
        <w:t xml:space="preserve">The Commission </w:t>
      </w:r>
      <w:r>
        <w:rPr>
          <w:rFonts w:ascii="Times New Roman" w:hAnsi="Times New Roman" w:cs="Times New Roman"/>
          <w:sz w:val="26"/>
          <w:szCs w:val="26"/>
        </w:rPr>
        <w:t xml:space="preserve">currently </w:t>
      </w:r>
      <w:r w:rsidRPr="00D27CC7">
        <w:rPr>
          <w:rFonts w:ascii="Times New Roman" w:hAnsi="Times New Roman" w:cs="Times New Roman"/>
          <w:sz w:val="26"/>
          <w:szCs w:val="26"/>
        </w:rPr>
        <w:t>estimates the annual public reporting burden for the information collection as:</w:t>
      </w:r>
    </w:p>
    <w:p w14:paraId="26F74079" w14:textId="77777777" w:rsidR="00834DE8" w:rsidRPr="00D27CC7" w:rsidRDefault="00834DE8" w:rsidP="00B87F76">
      <w:pPr>
        <w:spacing w:after="0" w:line="240" w:lineRule="auto"/>
        <w:rPr>
          <w:rFonts w:ascii="Times New Roman" w:hAnsi="Times New Roman" w:cs="Times New Roman"/>
          <w:sz w:val="26"/>
          <w:szCs w:val="26"/>
        </w:rPr>
      </w:pP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69"/>
        <w:gridCol w:w="1779"/>
        <w:gridCol w:w="1959"/>
        <w:gridCol w:w="1958"/>
        <w:gridCol w:w="1795"/>
      </w:tblGrid>
      <w:tr w:rsidR="00834DE8" w:rsidRPr="00D16B7B" w14:paraId="64981955" w14:textId="77777777" w:rsidTr="004E0D51">
        <w:trPr>
          <w:trHeight w:val="870"/>
        </w:trPr>
        <w:tc>
          <w:tcPr>
            <w:tcW w:w="2769"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76711774" w14:textId="77777777" w:rsidR="00834DE8" w:rsidRPr="00D16B7B" w:rsidRDefault="00834DE8" w:rsidP="00C2572D">
            <w:pPr>
              <w:widowControl w:val="0"/>
              <w:autoSpaceDE w:val="0"/>
              <w:autoSpaceDN w:val="0"/>
              <w:adjustRightInd w:val="0"/>
              <w:spacing w:after="0" w:line="240" w:lineRule="auto"/>
              <w:rPr>
                <w:rFonts w:ascii="Times New Roman" w:hAnsi="Times New Roman"/>
                <w:b/>
                <w:sz w:val="24"/>
                <w:szCs w:val="24"/>
              </w:rPr>
            </w:pPr>
            <w:r w:rsidRPr="00D16B7B">
              <w:rPr>
                <w:rFonts w:ascii="Times New Roman" w:hAnsi="Times New Roman"/>
                <w:b/>
                <w:sz w:val="24"/>
                <w:szCs w:val="24"/>
              </w:rPr>
              <w:t>FERC-598</w:t>
            </w:r>
          </w:p>
        </w:tc>
        <w:tc>
          <w:tcPr>
            <w:tcW w:w="1779"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6B9DB180" w14:textId="77777777" w:rsidR="00834DE8" w:rsidRPr="00D16B7B" w:rsidRDefault="00834DE8" w:rsidP="00C2572D">
            <w:pPr>
              <w:widowControl w:val="0"/>
              <w:autoSpaceDE w:val="0"/>
              <w:autoSpaceDN w:val="0"/>
              <w:adjustRightInd w:val="0"/>
              <w:spacing w:after="0" w:line="240" w:lineRule="auto"/>
              <w:jc w:val="center"/>
              <w:rPr>
                <w:rFonts w:ascii="Times New Roman" w:hAnsi="Times New Roman"/>
                <w:b/>
                <w:sz w:val="24"/>
                <w:szCs w:val="24"/>
              </w:rPr>
            </w:pPr>
            <w:r w:rsidRPr="00D16B7B">
              <w:rPr>
                <w:rFonts w:ascii="Times New Roman" w:hAnsi="Times New Roman"/>
                <w:b/>
                <w:sz w:val="24"/>
                <w:szCs w:val="24"/>
              </w:rPr>
              <w:t>Total Request</w:t>
            </w:r>
          </w:p>
        </w:tc>
        <w:tc>
          <w:tcPr>
            <w:tcW w:w="1959"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1BAF7F27" w14:textId="77777777" w:rsidR="00834DE8" w:rsidRPr="00D16B7B" w:rsidRDefault="00834DE8" w:rsidP="00C2572D">
            <w:pPr>
              <w:widowControl w:val="0"/>
              <w:autoSpaceDE w:val="0"/>
              <w:autoSpaceDN w:val="0"/>
              <w:adjustRightInd w:val="0"/>
              <w:spacing w:after="0" w:line="240" w:lineRule="auto"/>
              <w:jc w:val="center"/>
              <w:rPr>
                <w:rFonts w:ascii="Times New Roman" w:hAnsi="Times New Roman"/>
                <w:b/>
                <w:sz w:val="24"/>
                <w:szCs w:val="24"/>
              </w:rPr>
            </w:pPr>
            <w:r w:rsidRPr="00D16B7B">
              <w:rPr>
                <w:rFonts w:ascii="Times New Roman" w:hAnsi="Times New Roman"/>
                <w:b/>
                <w:sz w:val="24"/>
                <w:szCs w:val="24"/>
              </w:rPr>
              <w:t>Previously Approved</w:t>
            </w:r>
          </w:p>
        </w:tc>
        <w:tc>
          <w:tcPr>
            <w:tcW w:w="1958"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36ADB430" w14:textId="4BB1C0C0" w:rsidR="00834DE8" w:rsidRPr="00D16B7B" w:rsidRDefault="00834DE8">
            <w:pPr>
              <w:widowControl w:val="0"/>
              <w:autoSpaceDE w:val="0"/>
              <w:autoSpaceDN w:val="0"/>
              <w:adjustRightInd w:val="0"/>
              <w:spacing w:after="0" w:line="240" w:lineRule="auto"/>
              <w:jc w:val="center"/>
              <w:rPr>
                <w:rFonts w:ascii="Times New Roman" w:hAnsi="Times New Roman"/>
                <w:b/>
                <w:sz w:val="24"/>
                <w:szCs w:val="24"/>
              </w:rPr>
            </w:pPr>
            <w:r w:rsidRPr="00D16B7B">
              <w:rPr>
                <w:rFonts w:ascii="Times New Roman" w:hAnsi="Times New Roman"/>
                <w:b/>
                <w:sz w:val="24"/>
                <w:szCs w:val="24"/>
              </w:rPr>
              <w:t xml:space="preserve">Change due to Adjustment in </w:t>
            </w:r>
            <w:r w:rsidR="0031010A">
              <w:rPr>
                <w:rFonts w:ascii="Times New Roman" w:hAnsi="Times New Roman"/>
                <w:b/>
                <w:sz w:val="24"/>
                <w:szCs w:val="24"/>
              </w:rPr>
              <w:t xml:space="preserve">Agency </w:t>
            </w:r>
            <w:r w:rsidRPr="00D16B7B">
              <w:rPr>
                <w:rFonts w:ascii="Times New Roman" w:hAnsi="Times New Roman"/>
                <w:b/>
                <w:sz w:val="24"/>
                <w:szCs w:val="24"/>
              </w:rPr>
              <w:t>Estimate</w:t>
            </w:r>
          </w:p>
        </w:tc>
        <w:tc>
          <w:tcPr>
            <w:tcW w:w="1795" w:type="dxa"/>
            <w:tcBorders>
              <w:top w:val="single" w:sz="4" w:space="0" w:color="auto"/>
              <w:left w:val="single" w:sz="4" w:space="0" w:color="auto"/>
              <w:bottom w:val="single" w:sz="4" w:space="0" w:color="auto"/>
              <w:right w:val="single" w:sz="4" w:space="0" w:color="auto"/>
            </w:tcBorders>
            <w:shd w:val="clear" w:color="auto" w:fill="D9D9D9"/>
            <w:vAlign w:val="bottom"/>
            <w:hideMark/>
          </w:tcPr>
          <w:p w14:paraId="40E6780B" w14:textId="2BE2525E" w:rsidR="00834DE8" w:rsidRPr="00D16B7B" w:rsidRDefault="0031010A">
            <w:pPr>
              <w:widowControl w:val="0"/>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 xml:space="preserve">Program </w:t>
            </w:r>
            <w:r w:rsidR="00834DE8" w:rsidRPr="00D16B7B">
              <w:rPr>
                <w:rFonts w:ascii="Times New Roman" w:hAnsi="Times New Roman"/>
                <w:b/>
                <w:sz w:val="24"/>
                <w:szCs w:val="24"/>
              </w:rPr>
              <w:t>Change Due to Agency Discretion</w:t>
            </w:r>
          </w:p>
        </w:tc>
      </w:tr>
      <w:tr w:rsidR="00834DE8" w:rsidRPr="00D16B7B" w14:paraId="19D83F63" w14:textId="77777777" w:rsidTr="00D16B7B">
        <w:trPr>
          <w:trHeight w:val="591"/>
        </w:trPr>
        <w:tc>
          <w:tcPr>
            <w:tcW w:w="2769" w:type="dxa"/>
            <w:tcBorders>
              <w:top w:val="single" w:sz="4" w:space="0" w:color="auto"/>
              <w:left w:val="single" w:sz="4" w:space="0" w:color="auto"/>
              <w:bottom w:val="single" w:sz="4" w:space="0" w:color="auto"/>
              <w:right w:val="single" w:sz="4" w:space="0" w:color="auto"/>
            </w:tcBorders>
            <w:vAlign w:val="bottom"/>
            <w:hideMark/>
          </w:tcPr>
          <w:p w14:paraId="3A10BBD4" w14:textId="77777777" w:rsidR="00834DE8" w:rsidRPr="00D16B7B" w:rsidRDefault="00834DE8" w:rsidP="00C2572D">
            <w:pPr>
              <w:widowControl w:val="0"/>
              <w:autoSpaceDE w:val="0"/>
              <w:autoSpaceDN w:val="0"/>
              <w:adjustRightInd w:val="0"/>
              <w:spacing w:after="0" w:line="240" w:lineRule="auto"/>
              <w:rPr>
                <w:rFonts w:ascii="Times New Roman" w:hAnsi="Times New Roman"/>
                <w:sz w:val="24"/>
                <w:szCs w:val="24"/>
              </w:rPr>
            </w:pPr>
            <w:r w:rsidRPr="00D16B7B">
              <w:rPr>
                <w:rFonts w:ascii="Times New Roman" w:hAnsi="Times New Roman"/>
                <w:sz w:val="24"/>
                <w:szCs w:val="24"/>
              </w:rPr>
              <w:t>Annual Number of Responses</w:t>
            </w:r>
          </w:p>
        </w:tc>
        <w:tc>
          <w:tcPr>
            <w:tcW w:w="1779" w:type="dxa"/>
            <w:tcBorders>
              <w:top w:val="single" w:sz="4" w:space="0" w:color="auto"/>
              <w:left w:val="single" w:sz="4" w:space="0" w:color="auto"/>
              <w:bottom w:val="single" w:sz="4" w:space="0" w:color="auto"/>
              <w:right w:val="single" w:sz="4" w:space="0" w:color="auto"/>
            </w:tcBorders>
            <w:vAlign w:val="center"/>
          </w:tcPr>
          <w:p w14:paraId="2F0287B6" w14:textId="08A596A1" w:rsidR="00834DE8" w:rsidRPr="00D16B7B" w:rsidRDefault="000F173C" w:rsidP="00C2572D">
            <w:pPr>
              <w:widowControl w:val="0"/>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147</w:t>
            </w:r>
          </w:p>
        </w:tc>
        <w:tc>
          <w:tcPr>
            <w:tcW w:w="1959" w:type="dxa"/>
            <w:tcBorders>
              <w:top w:val="single" w:sz="4" w:space="0" w:color="auto"/>
              <w:left w:val="single" w:sz="4" w:space="0" w:color="auto"/>
              <w:bottom w:val="single" w:sz="4" w:space="0" w:color="auto"/>
              <w:right w:val="single" w:sz="4" w:space="0" w:color="auto"/>
            </w:tcBorders>
            <w:vAlign w:val="center"/>
          </w:tcPr>
          <w:p w14:paraId="0F1D26D7" w14:textId="77777777" w:rsidR="00834DE8" w:rsidRPr="00D16B7B" w:rsidRDefault="00E94FA7" w:rsidP="00C2572D">
            <w:pPr>
              <w:widowControl w:val="0"/>
              <w:autoSpaceDE w:val="0"/>
              <w:autoSpaceDN w:val="0"/>
              <w:adjustRightInd w:val="0"/>
              <w:spacing w:after="0" w:line="240" w:lineRule="auto"/>
              <w:jc w:val="right"/>
              <w:rPr>
                <w:rFonts w:ascii="Times New Roman" w:hAnsi="Times New Roman"/>
                <w:sz w:val="24"/>
                <w:szCs w:val="24"/>
              </w:rPr>
            </w:pPr>
            <w:r w:rsidRPr="00D16B7B">
              <w:rPr>
                <w:rFonts w:ascii="Times New Roman" w:hAnsi="Times New Roman"/>
                <w:sz w:val="24"/>
                <w:szCs w:val="24"/>
              </w:rPr>
              <w:t>102</w:t>
            </w:r>
          </w:p>
        </w:tc>
        <w:tc>
          <w:tcPr>
            <w:tcW w:w="1958" w:type="dxa"/>
            <w:tcBorders>
              <w:top w:val="single" w:sz="4" w:space="0" w:color="auto"/>
              <w:left w:val="single" w:sz="4" w:space="0" w:color="auto"/>
              <w:bottom w:val="single" w:sz="4" w:space="0" w:color="auto"/>
              <w:right w:val="single" w:sz="4" w:space="0" w:color="auto"/>
            </w:tcBorders>
            <w:vAlign w:val="center"/>
          </w:tcPr>
          <w:p w14:paraId="6C67B1C9" w14:textId="53904620" w:rsidR="00834DE8" w:rsidRPr="00D16B7B" w:rsidRDefault="00B33678" w:rsidP="00C2572D">
            <w:pPr>
              <w:widowControl w:val="0"/>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w:t>
            </w:r>
            <w:r w:rsidR="000F173C">
              <w:rPr>
                <w:rFonts w:ascii="Times New Roman" w:hAnsi="Times New Roman"/>
                <w:sz w:val="24"/>
                <w:szCs w:val="24"/>
              </w:rPr>
              <w:t>45</w:t>
            </w:r>
          </w:p>
        </w:tc>
        <w:tc>
          <w:tcPr>
            <w:tcW w:w="1795" w:type="dxa"/>
            <w:tcBorders>
              <w:top w:val="single" w:sz="4" w:space="0" w:color="auto"/>
              <w:left w:val="single" w:sz="4" w:space="0" w:color="auto"/>
              <w:bottom w:val="single" w:sz="4" w:space="0" w:color="auto"/>
              <w:right w:val="single" w:sz="4" w:space="0" w:color="auto"/>
            </w:tcBorders>
            <w:vAlign w:val="center"/>
          </w:tcPr>
          <w:p w14:paraId="611C6840" w14:textId="77777777" w:rsidR="00834DE8" w:rsidRPr="00D16B7B" w:rsidRDefault="00446153" w:rsidP="00C2572D">
            <w:pPr>
              <w:widowControl w:val="0"/>
              <w:autoSpaceDE w:val="0"/>
              <w:autoSpaceDN w:val="0"/>
              <w:adjustRightInd w:val="0"/>
              <w:spacing w:after="0" w:line="240" w:lineRule="auto"/>
              <w:jc w:val="right"/>
              <w:rPr>
                <w:rFonts w:ascii="Times New Roman" w:hAnsi="Times New Roman"/>
                <w:sz w:val="24"/>
                <w:szCs w:val="24"/>
              </w:rPr>
            </w:pPr>
            <w:r w:rsidRPr="00D16B7B">
              <w:rPr>
                <w:rFonts w:ascii="Times New Roman" w:hAnsi="Times New Roman"/>
                <w:sz w:val="24"/>
                <w:szCs w:val="24"/>
              </w:rPr>
              <w:t>0</w:t>
            </w:r>
          </w:p>
        </w:tc>
      </w:tr>
      <w:tr w:rsidR="00834DE8" w:rsidRPr="00D16B7B" w14:paraId="40183856" w14:textId="77777777" w:rsidTr="00D16B7B">
        <w:trPr>
          <w:trHeight w:val="575"/>
        </w:trPr>
        <w:tc>
          <w:tcPr>
            <w:tcW w:w="2769" w:type="dxa"/>
            <w:tcBorders>
              <w:top w:val="single" w:sz="4" w:space="0" w:color="auto"/>
              <w:left w:val="single" w:sz="4" w:space="0" w:color="auto"/>
              <w:bottom w:val="single" w:sz="4" w:space="0" w:color="auto"/>
              <w:right w:val="single" w:sz="4" w:space="0" w:color="auto"/>
            </w:tcBorders>
            <w:vAlign w:val="bottom"/>
            <w:hideMark/>
          </w:tcPr>
          <w:p w14:paraId="18046E2B" w14:textId="77777777" w:rsidR="00834DE8" w:rsidRPr="00D16B7B" w:rsidRDefault="00834DE8" w:rsidP="00C2572D">
            <w:pPr>
              <w:widowControl w:val="0"/>
              <w:autoSpaceDE w:val="0"/>
              <w:autoSpaceDN w:val="0"/>
              <w:adjustRightInd w:val="0"/>
              <w:spacing w:after="0" w:line="240" w:lineRule="auto"/>
              <w:rPr>
                <w:rFonts w:ascii="Times New Roman" w:hAnsi="Times New Roman"/>
                <w:sz w:val="24"/>
                <w:szCs w:val="24"/>
              </w:rPr>
            </w:pPr>
            <w:r w:rsidRPr="00D16B7B">
              <w:rPr>
                <w:rFonts w:ascii="Times New Roman" w:hAnsi="Times New Roman"/>
                <w:sz w:val="24"/>
                <w:szCs w:val="24"/>
              </w:rPr>
              <w:t>Annual Time Burden (Hr</w:t>
            </w:r>
            <w:r w:rsidR="00D16B7B">
              <w:rPr>
                <w:rFonts w:ascii="Times New Roman" w:hAnsi="Times New Roman"/>
                <w:sz w:val="24"/>
                <w:szCs w:val="24"/>
              </w:rPr>
              <w:t>.</w:t>
            </w:r>
            <w:r w:rsidRPr="00D16B7B">
              <w:rPr>
                <w:rFonts w:ascii="Times New Roman" w:hAnsi="Times New Roman"/>
                <w:sz w:val="24"/>
                <w:szCs w:val="24"/>
              </w:rPr>
              <w:t>)</w:t>
            </w:r>
          </w:p>
        </w:tc>
        <w:tc>
          <w:tcPr>
            <w:tcW w:w="1779" w:type="dxa"/>
            <w:tcBorders>
              <w:top w:val="single" w:sz="4" w:space="0" w:color="auto"/>
              <w:left w:val="single" w:sz="4" w:space="0" w:color="auto"/>
              <w:bottom w:val="single" w:sz="4" w:space="0" w:color="auto"/>
              <w:right w:val="single" w:sz="4" w:space="0" w:color="auto"/>
            </w:tcBorders>
            <w:vAlign w:val="center"/>
          </w:tcPr>
          <w:p w14:paraId="7D0319BF" w14:textId="60DF16D6" w:rsidR="00834DE8" w:rsidRPr="00D16B7B" w:rsidRDefault="000F173C" w:rsidP="00C2572D">
            <w:pPr>
              <w:widowControl w:val="0"/>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882</w:t>
            </w:r>
          </w:p>
        </w:tc>
        <w:tc>
          <w:tcPr>
            <w:tcW w:w="1959" w:type="dxa"/>
            <w:tcBorders>
              <w:top w:val="single" w:sz="4" w:space="0" w:color="auto"/>
              <w:left w:val="single" w:sz="4" w:space="0" w:color="auto"/>
              <w:bottom w:val="single" w:sz="4" w:space="0" w:color="auto"/>
              <w:right w:val="single" w:sz="4" w:space="0" w:color="auto"/>
            </w:tcBorders>
            <w:vAlign w:val="center"/>
          </w:tcPr>
          <w:p w14:paraId="7AFFA214" w14:textId="77777777" w:rsidR="00834DE8" w:rsidRPr="00D16B7B" w:rsidRDefault="00E94FA7" w:rsidP="00C2572D">
            <w:pPr>
              <w:widowControl w:val="0"/>
              <w:autoSpaceDE w:val="0"/>
              <w:autoSpaceDN w:val="0"/>
              <w:adjustRightInd w:val="0"/>
              <w:spacing w:after="0" w:line="240" w:lineRule="auto"/>
              <w:jc w:val="right"/>
              <w:rPr>
                <w:rFonts w:ascii="Times New Roman" w:hAnsi="Times New Roman"/>
                <w:sz w:val="24"/>
                <w:szCs w:val="24"/>
              </w:rPr>
            </w:pPr>
            <w:r w:rsidRPr="00D16B7B">
              <w:rPr>
                <w:rFonts w:ascii="Times New Roman" w:hAnsi="Times New Roman"/>
                <w:sz w:val="24"/>
                <w:szCs w:val="24"/>
              </w:rPr>
              <w:t>612</w:t>
            </w:r>
          </w:p>
        </w:tc>
        <w:tc>
          <w:tcPr>
            <w:tcW w:w="1958" w:type="dxa"/>
            <w:tcBorders>
              <w:top w:val="single" w:sz="4" w:space="0" w:color="auto"/>
              <w:left w:val="single" w:sz="4" w:space="0" w:color="auto"/>
              <w:bottom w:val="single" w:sz="4" w:space="0" w:color="auto"/>
              <w:right w:val="single" w:sz="4" w:space="0" w:color="auto"/>
            </w:tcBorders>
            <w:vAlign w:val="center"/>
          </w:tcPr>
          <w:p w14:paraId="3BF9D679" w14:textId="697BE815" w:rsidR="00834DE8" w:rsidRPr="00D16B7B" w:rsidRDefault="00B33678" w:rsidP="00C2572D">
            <w:pPr>
              <w:widowControl w:val="0"/>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w:t>
            </w:r>
            <w:r w:rsidR="000F173C">
              <w:rPr>
                <w:rFonts w:ascii="Times New Roman" w:hAnsi="Times New Roman"/>
                <w:sz w:val="24"/>
                <w:szCs w:val="24"/>
              </w:rPr>
              <w:t>270</w:t>
            </w:r>
          </w:p>
        </w:tc>
        <w:tc>
          <w:tcPr>
            <w:tcW w:w="1795" w:type="dxa"/>
            <w:tcBorders>
              <w:top w:val="single" w:sz="4" w:space="0" w:color="auto"/>
              <w:left w:val="single" w:sz="4" w:space="0" w:color="auto"/>
              <w:bottom w:val="single" w:sz="4" w:space="0" w:color="auto"/>
              <w:right w:val="single" w:sz="4" w:space="0" w:color="auto"/>
            </w:tcBorders>
            <w:vAlign w:val="center"/>
          </w:tcPr>
          <w:p w14:paraId="7AA5A783" w14:textId="77777777" w:rsidR="00834DE8" w:rsidRPr="00D16B7B" w:rsidRDefault="00446153">
            <w:pPr>
              <w:widowControl w:val="0"/>
              <w:autoSpaceDE w:val="0"/>
              <w:autoSpaceDN w:val="0"/>
              <w:adjustRightInd w:val="0"/>
              <w:spacing w:after="0" w:line="240" w:lineRule="auto"/>
              <w:jc w:val="right"/>
              <w:rPr>
                <w:rFonts w:ascii="Times New Roman" w:hAnsi="Times New Roman"/>
                <w:sz w:val="24"/>
                <w:szCs w:val="24"/>
              </w:rPr>
            </w:pPr>
            <w:r w:rsidRPr="00D16B7B">
              <w:rPr>
                <w:rFonts w:ascii="Times New Roman" w:hAnsi="Times New Roman"/>
                <w:sz w:val="24"/>
                <w:szCs w:val="24"/>
              </w:rPr>
              <w:t>0</w:t>
            </w:r>
          </w:p>
        </w:tc>
      </w:tr>
      <w:tr w:rsidR="00834DE8" w:rsidRPr="00D16B7B" w14:paraId="2C52B41F" w14:textId="77777777" w:rsidTr="00D16B7B">
        <w:trPr>
          <w:trHeight w:val="295"/>
        </w:trPr>
        <w:tc>
          <w:tcPr>
            <w:tcW w:w="2769" w:type="dxa"/>
            <w:tcBorders>
              <w:top w:val="single" w:sz="4" w:space="0" w:color="auto"/>
              <w:left w:val="single" w:sz="4" w:space="0" w:color="auto"/>
              <w:bottom w:val="single" w:sz="4" w:space="0" w:color="auto"/>
              <w:right w:val="single" w:sz="4" w:space="0" w:color="auto"/>
            </w:tcBorders>
            <w:vAlign w:val="bottom"/>
            <w:hideMark/>
          </w:tcPr>
          <w:p w14:paraId="7C361CDF" w14:textId="77777777" w:rsidR="00834DE8" w:rsidRPr="00D16B7B" w:rsidRDefault="00834DE8" w:rsidP="00C2572D">
            <w:pPr>
              <w:widowControl w:val="0"/>
              <w:autoSpaceDE w:val="0"/>
              <w:autoSpaceDN w:val="0"/>
              <w:adjustRightInd w:val="0"/>
              <w:spacing w:after="0" w:line="240" w:lineRule="auto"/>
              <w:rPr>
                <w:rFonts w:ascii="Times New Roman" w:hAnsi="Times New Roman"/>
                <w:sz w:val="24"/>
                <w:szCs w:val="24"/>
              </w:rPr>
            </w:pPr>
            <w:r w:rsidRPr="00D16B7B">
              <w:rPr>
                <w:rFonts w:ascii="Times New Roman" w:hAnsi="Times New Roman"/>
                <w:sz w:val="24"/>
                <w:szCs w:val="24"/>
              </w:rPr>
              <w:t>Annual Cost Burden ($)</w:t>
            </w:r>
          </w:p>
        </w:tc>
        <w:tc>
          <w:tcPr>
            <w:tcW w:w="1779" w:type="dxa"/>
            <w:tcBorders>
              <w:top w:val="single" w:sz="4" w:space="0" w:color="auto"/>
              <w:left w:val="single" w:sz="4" w:space="0" w:color="auto"/>
              <w:bottom w:val="single" w:sz="4" w:space="0" w:color="auto"/>
              <w:right w:val="single" w:sz="4" w:space="0" w:color="auto"/>
            </w:tcBorders>
            <w:vAlign w:val="center"/>
          </w:tcPr>
          <w:p w14:paraId="42FE8ADA" w14:textId="77777777" w:rsidR="00834DE8" w:rsidRPr="00D16B7B" w:rsidRDefault="00446153" w:rsidP="00C2572D">
            <w:pPr>
              <w:widowControl w:val="0"/>
              <w:autoSpaceDE w:val="0"/>
              <w:autoSpaceDN w:val="0"/>
              <w:adjustRightInd w:val="0"/>
              <w:spacing w:after="0" w:line="240" w:lineRule="auto"/>
              <w:jc w:val="right"/>
              <w:rPr>
                <w:rFonts w:ascii="Times New Roman" w:hAnsi="Times New Roman"/>
                <w:sz w:val="24"/>
                <w:szCs w:val="24"/>
              </w:rPr>
            </w:pPr>
            <w:r w:rsidRPr="00D16B7B">
              <w:rPr>
                <w:rFonts w:ascii="Times New Roman" w:hAnsi="Times New Roman"/>
                <w:sz w:val="24"/>
                <w:szCs w:val="24"/>
              </w:rPr>
              <w:t>0</w:t>
            </w:r>
          </w:p>
        </w:tc>
        <w:tc>
          <w:tcPr>
            <w:tcW w:w="1959" w:type="dxa"/>
            <w:tcBorders>
              <w:top w:val="single" w:sz="4" w:space="0" w:color="auto"/>
              <w:left w:val="single" w:sz="4" w:space="0" w:color="auto"/>
              <w:bottom w:val="single" w:sz="4" w:space="0" w:color="auto"/>
              <w:right w:val="single" w:sz="4" w:space="0" w:color="auto"/>
            </w:tcBorders>
            <w:vAlign w:val="center"/>
          </w:tcPr>
          <w:p w14:paraId="3A21A024" w14:textId="77777777" w:rsidR="00834DE8" w:rsidRPr="00D16B7B" w:rsidRDefault="00446153" w:rsidP="00C2572D">
            <w:pPr>
              <w:widowControl w:val="0"/>
              <w:autoSpaceDE w:val="0"/>
              <w:autoSpaceDN w:val="0"/>
              <w:adjustRightInd w:val="0"/>
              <w:spacing w:after="0" w:line="240" w:lineRule="auto"/>
              <w:jc w:val="right"/>
              <w:rPr>
                <w:rFonts w:ascii="Times New Roman" w:hAnsi="Times New Roman"/>
                <w:sz w:val="24"/>
                <w:szCs w:val="24"/>
              </w:rPr>
            </w:pPr>
            <w:r w:rsidRPr="00D16B7B">
              <w:rPr>
                <w:rFonts w:ascii="Times New Roman" w:hAnsi="Times New Roman"/>
                <w:sz w:val="24"/>
                <w:szCs w:val="24"/>
              </w:rPr>
              <w:t>0</w:t>
            </w:r>
          </w:p>
        </w:tc>
        <w:tc>
          <w:tcPr>
            <w:tcW w:w="1958" w:type="dxa"/>
            <w:tcBorders>
              <w:top w:val="single" w:sz="4" w:space="0" w:color="auto"/>
              <w:left w:val="single" w:sz="4" w:space="0" w:color="auto"/>
              <w:bottom w:val="single" w:sz="4" w:space="0" w:color="auto"/>
              <w:right w:val="single" w:sz="4" w:space="0" w:color="auto"/>
            </w:tcBorders>
            <w:vAlign w:val="center"/>
          </w:tcPr>
          <w:p w14:paraId="370961D7" w14:textId="77777777" w:rsidR="00834DE8" w:rsidRPr="00D16B7B" w:rsidRDefault="00446153" w:rsidP="00C2572D">
            <w:pPr>
              <w:widowControl w:val="0"/>
              <w:autoSpaceDE w:val="0"/>
              <w:autoSpaceDN w:val="0"/>
              <w:adjustRightInd w:val="0"/>
              <w:spacing w:after="0" w:line="240" w:lineRule="auto"/>
              <w:jc w:val="right"/>
              <w:rPr>
                <w:rFonts w:ascii="Times New Roman" w:hAnsi="Times New Roman"/>
                <w:sz w:val="24"/>
                <w:szCs w:val="24"/>
              </w:rPr>
            </w:pPr>
            <w:r w:rsidRPr="00D16B7B">
              <w:rPr>
                <w:rFonts w:ascii="Times New Roman" w:hAnsi="Times New Roman"/>
                <w:sz w:val="24"/>
                <w:szCs w:val="24"/>
              </w:rPr>
              <w:t>0</w:t>
            </w:r>
          </w:p>
        </w:tc>
        <w:tc>
          <w:tcPr>
            <w:tcW w:w="1795" w:type="dxa"/>
            <w:tcBorders>
              <w:top w:val="single" w:sz="4" w:space="0" w:color="auto"/>
              <w:left w:val="single" w:sz="4" w:space="0" w:color="auto"/>
              <w:bottom w:val="single" w:sz="4" w:space="0" w:color="auto"/>
              <w:right w:val="single" w:sz="4" w:space="0" w:color="auto"/>
            </w:tcBorders>
            <w:vAlign w:val="center"/>
          </w:tcPr>
          <w:p w14:paraId="7DFB49FF" w14:textId="77777777" w:rsidR="00834DE8" w:rsidRPr="00D16B7B" w:rsidRDefault="00446153" w:rsidP="00C2572D">
            <w:pPr>
              <w:widowControl w:val="0"/>
              <w:autoSpaceDE w:val="0"/>
              <w:autoSpaceDN w:val="0"/>
              <w:adjustRightInd w:val="0"/>
              <w:spacing w:after="0" w:line="240" w:lineRule="auto"/>
              <w:jc w:val="right"/>
              <w:rPr>
                <w:rFonts w:ascii="Times New Roman" w:hAnsi="Times New Roman"/>
                <w:sz w:val="24"/>
                <w:szCs w:val="24"/>
              </w:rPr>
            </w:pPr>
            <w:r w:rsidRPr="00D16B7B">
              <w:rPr>
                <w:rFonts w:ascii="Times New Roman" w:hAnsi="Times New Roman"/>
                <w:sz w:val="24"/>
                <w:szCs w:val="24"/>
              </w:rPr>
              <w:t>0</w:t>
            </w:r>
          </w:p>
        </w:tc>
      </w:tr>
    </w:tbl>
    <w:p w14:paraId="7BD4E618" w14:textId="77777777" w:rsidR="00834DE8" w:rsidRDefault="00834DE8" w:rsidP="00B87F76">
      <w:pPr>
        <w:spacing w:line="240" w:lineRule="auto"/>
        <w:rPr>
          <w:rFonts w:ascii="Times New Roman" w:hAnsi="Times New Roman" w:cs="Times New Roman"/>
          <w:sz w:val="26"/>
          <w:szCs w:val="26"/>
        </w:rPr>
      </w:pPr>
    </w:p>
    <w:p w14:paraId="318C28F2" w14:textId="77777777" w:rsidR="00834DE8" w:rsidRPr="00D27CC7" w:rsidRDefault="00F84492" w:rsidP="00B87F76">
      <w:pPr>
        <w:spacing w:line="240" w:lineRule="auto"/>
        <w:rPr>
          <w:rFonts w:ascii="Times New Roman" w:hAnsi="Times New Roman" w:cs="Times New Roman"/>
          <w:sz w:val="26"/>
          <w:szCs w:val="26"/>
        </w:rPr>
      </w:pPr>
      <w:r>
        <w:rPr>
          <w:rFonts w:ascii="Times New Roman" w:hAnsi="Times New Roman"/>
          <w:bCs/>
          <w:sz w:val="26"/>
          <w:szCs w:val="26"/>
        </w:rPr>
        <w:t>(</w:t>
      </w:r>
      <w:r w:rsidR="00834DE8" w:rsidRPr="00D27CC7">
        <w:rPr>
          <w:rFonts w:ascii="Times New Roman" w:hAnsi="Times New Roman"/>
          <w:bCs/>
          <w:sz w:val="26"/>
          <w:szCs w:val="26"/>
        </w:rPr>
        <w:t xml:space="preserve">The format, labels, and definitions of the table above follow the </w:t>
      </w:r>
      <w:r w:rsidR="00D16B7B">
        <w:rPr>
          <w:rFonts w:ascii="Times New Roman" w:hAnsi="Times New Roman"/>
          <w:bCs/>
          <w:sz w:val="26"/>
          <w:szCs w:val="26"/>
        </w:rPr>
        <w:t xml:space="preserve">reginfo.gov and </w:t>
      </w:r>
      <w:r w:rsidR="00834DE8" w:rsidRPr="00D27CC7">
        <w:rPr>
          <w:rFonts w:ascii="Times New Roman" w:hAnsi="Times New Roman"/>
          <w:bCs/>
          <w:sz w:val="26"/>
          <w:szCs w:val="26"/>
        </w:rPr>
        <w:t>ROCIS system’s “ICR Summary of Burden” for the meta-data.</w:t>
      </w:r>
      <w:r>
        <w:rPr>
          <w:rFonts w:ascii="Times New Roman" w:hAnsi="Times New Roman"/>
          <w:bCs/>
          <w:sz w:val="26"/>
          <w:szCs w:val="26"/>
        </w:rPr>
        <w:t>)</w:t>
      </w:r>
    </w:p>
    <w:p w14:paraId="690B9A10" w14:textId="77777777" w:rsidR="002B7FAC" w:rsidRPr="00D27CC7" w:rsidRDefault="002B7FAC" w:rsidP="00C2572D">
      <w:pPr>
        <w:widowControl w:val="0"/>
        <w:numPr>
          <w:ilvl w:val="0"/>
          <w:numId w:val="2"/>
        </w:numPr>
        <w:autoSpaceDE w:val="0"/>
        <w:autoSpaceDN w:val="0"/>
        <w:adjustRightInd w:val="0"/>
        <w:spacing w:after="0" w:line="240" w:lineRule="auto"/>
        <w:rPr>
          <w:rFonts w:ascii="Times New Roman" w:hAnsi="Times New Roman" w:cs="Times New Roman"/>
          <w:sz w:val="26"/>
          <w:szCs w:val="26"/>
        </w:rPr>
      </w:pPr>
      <w:r w:rsidRPr="00D27CC7">
        <w:rPr>
          <w:rFonts w:ascii="Times New Roman" w:hAnsi="Times New Roman" w:cs="Times New Roman"/>
          <w:b/>
          <w:bCs/>
          <w:sz w:val="26"/>
          <w:szCs w:val="26"/>
        </w:rPr>
        <w:t>TIME SCHEDULE FOR THE PUBLICATION OF DATA</w:t>
      </w:r>
    </w:p>
    <w:p w14:paraId="7D2242F5" w14:textId="77777777" w:rsidR="00D27CC7" w:rsidRPr="00D27CC7" w:rsidRDefault="00D27CC7" w:rsidP="00C2572D">
      <w:pPr>
        <w:widowControl w:val="0"/>
        <w:autoSpaceDE w:val="0"/>
        <w:autoSpaceDN w:val="0"/>
        <w:adjustRightInd w:val="0"/>
        <w:spacing w:after="0" w:line="240" w:lineRule="auto"/>
        <w:rPr>
          <w:rFonts w:ascii="Times New Roman" w:hAnsi="Times New Roman" w:cs="Times New Roman"/>
          <w:sz w:val="26"/>
          <w:szCs w:val="26"/>
        </w:rPr>
      </w:pPr>
    </w:p>
    <w:p w14:paraId="266FA778" w14:textId="77777777" w:rsidR="002B7FAC" w:rsidRPr="00D27CC7" w:rsidRDefault="00F84492" w:rsidP="00B87F76">
      <w:pPr>
        <w:spacing w:line="240" w:lineRule="auto"/>
        <w:rPr>
          <w:rFonts w:ascii="Times New Roman" w:hAnsi="Times New Roman" w:cs="Times New Roman"/>
          <w:bCs/>
          <w:sz w:val="26"/>
          <w:szCs w:val="26"/>
        </w:rPr>
      </w:pPr>
      <w:r>
        <w:rPr>
          <w:rFonts w:ascii="Times New Roman" w:hAnsi="Times New Roman" w:cs="Times New Roman"/>
          <w:bCs/>
          <w:sz w:val="26"/>
          <w:szCs w:val="26"/>
        </w:rPr>
        <w:t>The</w:t>
      </w:r>
      <w:r w:rsidR="002B7FAC" w:rsidRPr="00D27CC7">
        <w:rPr>
          <w:rFonts w:ascii="Times New Roman" w:hAnsi="Times New Roman" w:cs="Times New Roman"/>
          <w:bCs/>
          <w:sz w:val="26"/>
          <w:szCs w:val="26"/>
        </w:rPr>
        <w:t xml:space="preserve"> data </w:t>
      </w:r>
      <w:r>
        <w:rPr>
          <w:rFonts w:ascii="Times New Roman" w:hAnsi="Times New Roman" w:cs="Times New Roman"/>
          <w:bCs/>
          <w:sz w:val="26"/>
          <w:szCs w:val="26"/>
        </w:rPr>
        <w:t>are not collected for publication.</w:t>
      </w:r>
    </w:p>
    <w:p w14:paraId="247860D1" w14:textId="77777777" w:rsidR="002B7FAC" w:rsidRPr="001668FC" w:rsidRDefault="002B7FAC" w:rsidP="00C2572D">
      <w:pPr>
        <w:widowControl w:val="0"/>
        <w:numPr>
          <w:ilvl w:val="0"/>
          <w:numId w:val="2"/>
        </w:numPr>
        <w:autoSpaceDE w:val="0"/>
        <w:autoSpaceDN w:val="0"/>
        <w:adjustRightInd w:val="0"/>
        <w:spacing w:after="0" w:line="240" w:lineRule="auto"/>
        <w:rPr>
          <w:rFonts w:ascii="Times New Roman" w:hAnsi="Times New Roman" w:cs="Times New Roman"/>
          <w:sz w:val="26"/>
          <w:szCs w:val="26"/>
        </w:rPr>
      </w:pPr>
      <w:r w:rsidRPr="00D27CC7">
        <w:rPr>
          <w:rFonts w:ascii="Times New Roman" w:hAnsi="Times New Roman" w:cs="Times New Roman"/>
          <w:b/>
          <w:bCs/>
          <w:sz w:val="26"/>
          <w:szCs w:val="26"/>
        </w:rPr>
        <w:t>DISPLAY OF THE EXPIRATION DATE</w:t>
      </w:r>
    </w:p>
    <w:p w14:paraId="3926EA93" w14:textId="77777777" w:rsidR="001668FC" w:rsidRPr="00D27CC7" w:rsidRDefault="001668FC" w:rsidP="00C2572D">
      <w:pPr>
        <w:widowControl w:val="0"/>
        <w:autoSpaceDE w:val="0"/>
        <w:autoSpaceDN w:val="0"/>
        <w:adjustRightInd w:val="0"/>
        <w:spacing w:after="0" w:line="240" w:lineRule="auto"/>
        <w:ind w:left="360"/>
        <w:rPr>
          <w:rFonts w:ascii="Times New Roman" w:hAnsi="Times New Roman" w:cs="Times New Roman"/>
          <w:sz w:val="26"/>
          <w:szCs w:val="26"/>
        </w:rPr>
      </w:pPr>
    </w:p>
    <w:p w14:paraId="2501C92B" w14:textId="77777777" w:rsidR="002B7FAC" w:rsidRPr="00D27CC7" w:rsidRDefault="002B7FAC" w:rsidP="00B87F76">
      <w:pPr>
        <w:spacing w:line="240" w:lineRule="auto"/>
        <w:rPr>
          <w:rFonts w:ascii="Times New Roman" w:hAnsi="Times New Roman" w:cs="Times New Roman"/>
          <w:sz w:val="26"/>
          <w:szCs w:val="26"/>
        </w:rPr>
      </w:pPr>
      <w:r w:rsidRPr="00D27CC7">
        <w:rPr>
          <w:rFonts w:ascii="Times New Roman" w:hAnsi="Times New Roman" w:cs="Times New Roman"/>
          <w:sz w:val="26"/>
          <w:szCs w:val="26"/>
        </w:rPr>
        <w:t xml:space="preserve">The expiration date is displayed in a table posted on ferc.gov at </w:t>
      </w:r>
      <w:hyperlink r:id="rId14" w:history="1">
        <w:r w:rsidRPr="00D27CC7">
          <w:rPr>
            <w:rStyle w:val="Hyperlink"/>
            <w:rFonts w:ascii="Times New Roman" w:hAnsi="Times New Roman" w:cs="Times New Roman"/>
            <w:sz w:val="26"/>
            <w:szCs w:val="26"/>
          </w:rPr>
          <w:t>http://www.ferc.gov/docs-filing/info-collections.asp</w:t>
        </w:r>
      </w:hyperlink>
      <w:r w:rsidRPr="00D27CC7">
        <w:rPr>
          <w:rFonts w:ascii="Times New Roman" w:hAnsi="Times New Roman" w:cs="Times New Roman"/>
          <w:sz w:val="26"/>
          <w:szCs w:val="26"/>
        </w:rPr>
        <w:t>.</w:t>
      </w:r>
    </w:p>
    <w:p w14:paraId="508F4033" w14:textId="77777777" w:rsidR="002B7FAC" w:rsidRPr="00D27CC7" w:rsidRDefault="002B7FAC" w:rsidP="00C2572D">
      <w:pPr>
        <w:widowControl w:val="0"/>
        <w:numPr>
          <w:ilvl w:val="0"/>
          <w:numId w:val="2"/>
        </w:numPr>
        <w:autoSpaceDE w:val="0"/>
        <w:autoSpaceDN w:val="0"/>
        <w:adjustRightInd w:val="0"/>
        <w:spacing w:after="0" w:line="240" w:lineRule="auto"/>
        <w:rPr>
          <w:rFonts w:ascii="Times New Roman" w:hAnsi="Times New Roman" w:cs="Times New Roman"/>
          <w:sz w:val="26"/>
          <w:szCs w:val="26"/>
        </w:rPr>
      </w:pPr>
      <w:r w:rsidRPr="00D27CC7">
        <w:rPr>
          <w:rFonts w:ascii="Times New Roman" w:hAnsi="Times New Roman" w:cs="Times New Roman"/>
          <w:b/>
          <w:bCs/>
          <w:sz w:val="26"/>
          <w:szCs w:val="26"/>
        </w:rPr>
        <w:t>EXCEPTIONS TO THE CERTIFICATION STATEMENT</w:t>
      </w:r>
    </w:p>
    <w:p w14:paraId="229ECC9B" w14:textId="77777777" w:rsidR="00D27CC7" w:rsidRPr="00D27CC7" w:rsidRDefault="00D27CC7" w:rsidP="00C2572D">
      <w:pPr>
        <w:widowControl w:val="0"/>
        <w:autoSpaceDE w:val="0"/>
        <w:autoSpaceDN w:val="0"/>
        <w:adjustRightInd w:val="0"/>
        <w:spacing w:after="0" w:line="240" w:lineRule="auto"/>
        <w:ind w:left="360"/>
        <w:rPr>
          <w:rFonts w:ascii="Times New Roman" w:hAnsi="Times New Roman" w:cs="Times New Roman"/>
          <w:sz w:val="26"/>
          <w:szCs w:val="26"/>
        </w:rPr>
      </w:pPr>
    </w:p>
    <w:p w14:paraId="4A4F7BAC" w14:textId="464D6170" w:rsidR="0010764F" w:rsidRPr="007179BC" w:rsidRDefault="002B7FAC" w:rsidP="007179BC">
      <w:pPr>
        <w:spacing w:line="240" w:lineRule="auto"/>
        <w:rPr>
          <w:rFonts w:ascii="Times New Roman" w:hAnsi="Times New Roman" w:cs="Times New Roman"/>
          <w:b/>
          <w:sz w:val="26"/>
          <w:szCs w:val="26"/>
        </w:rPr>
      </w:pPr>
      <w:r w:rsidRPr="00D27CC7">
        <w:rPr>
          <w:rFonts w:ascii="Times New Roman" w:hAnsi="Times New Roman" w:cs="Times New Roman"/>
          <w:sz w:val="26"/>
          <w:szCs w:val="26"/>
        </w:rPr>
        <w:t>The</w:t>
      </w:r>
      <w:r w:rsidR="007179BC">
        <w:rPr>
          <w:rFonts w:ascii="Times New Roman" w:hAnsi="Times New Roman" w:cs="Times New Roman"/>
          <w:sz w:val="26"/>
          <w:szCs w:val="26"/>
        </w:rPr>
        <w:t>re are no exceptions</w:t>
      </w:r>
      <w:r w:rsidRPr="00D27CC7">
        <w:rPr>
          <w:rFonts w:ascii="Times New Roman" w:hAnsi="Times New Roman" w:cs="Times New Roman"/>
          <w:sz w:val="26"/>
          <w:szCs w:val="26"/>
        </w:rPr>
        <w:t xml:space="preserve">.  </w:t>
      </w:r>
    </w:p>
    <w:sectPr w:rsidR="0010764F" w:rsidRPr="007179BC">
      <w:headerReference w:type="default" r:id="rId15"/>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1761FF" w14:textId="77777777" w:rsidR="00591B2E" w:rsidRDefault="00591B2E" w:rsidP="002B7FAC">
      <w:pPr>
        <w:spacing w:after="0" w:line="240" w:lineRule="auto"/>
      </w:pPr>
      <w:r>
        <w:separator/>
      </w:r>
    </w:p>
  </w:endnote>
  <w:endnote w:type="continuationSeparator" w:id="0">
    <w:p w14:paraId="4DF99892" w14:textId="77777777" w:rsidR="00591B2E" w:rsidRDefault="00591B2E" w:rsidP="002B7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6297918"/>
      <w:docPartObj>
        <w:docPartGallery w:val="Page Numbers (Bottom of Page)"/>
        <w:docPartUnique/>
      </w:docPartObj>
    </w:sdtPr>
    <w:sdtEndPr>
      <w:rPr>
        <w:rFonts w:ascii="Times New Roman" w:hAnsi="Times New Roman" w:cs="Times New Roman"/>
        <w:noProof/>
        <w:sz w:val="26"/>
        <w:szCs w:val="26"/>
      </w:rPr>
    </w:sdtEndPr>
    <w:sdtContent>
      <w:p w14:paraId="156BC82E" w14:textId="75C82615" w:rsidR="007179BC" w:rsidRPr="007179BC" w:rsidRDefault="007179BC">
        <w:pPr>
          <w:pStyle w:val="Footer"/>
          <w:jc w:val="right"/>
          <w:rPr>
            <w:rFonts w:ascii="Times New Roman" w:hAnsi="Times New Roman" w:cs="Times New Roman"/>
            <w:sz w:val="26"/>
            <w:szCs w:val="26"/>
          </w:rPr>
        </w:pPr>
        <w:r w:rsidRPr="007179BC">
          <w:rPr>
            <w:rFonts w:ascii="Times New Roman" w:hAnsi="Times New Roman" w:cs="Times New Roman"/>
            <w:sz w:val="26"/>
            <w:szCs w:val="26"/>
          </w:rPr>
          <w:fldChar w:fldCharType="begin"/>
        </w:r>
        <w:r w:rsidRPr="007179BC">
          <w:rPr>
            <w:rFonts w:ascii="Times New Roman" w:hAnsi="Times New Roman" w:cs="Times New Roman"/>
            <w:sz w:val="26"/>
            <w:szCs w:val="26"/>
          </w:rPr>
          <w:instrText xml:space="preserve"> PAGE   \* MERGEFORMAT </w:instrText>
        </w:r>
        <w:r w:rsidRPr="007179BC">
          <w:rPr>
            <w:rFonts w:ascii="Times New Roman" w:hAnsi="Times New Roman" w:cs="Times New Roman"/>
            <w:sz w:val="26"/>
            <w:szCs w:val="26"/>
          </w:rPr>
          <w:fldChar w:fldCharType="separate"/>
        </w:r>
        <w:r w:rsidR="0088056E">
          <w:rPr>
            <w:rFonts w:ascii="Times New Roman" w:hAnsi="Times New Roman" w:cs="Times New Roman"/>
            <w:noProof/>
            <w:sz w:val="26"/>
            <w:szCs w:val="26"/>
          </w:rPr>
          <w:t>1</w:t>
        </w:r>
        <w:r w:rsidRPr="007179BC">
          <w:rPr>
            <w:rFonts w:ascii="Times New Roman" w:hAnsi="Times New Roman" w:cs="Times New Roman"/>
            <w:noProof/>
            <w:sz w:val="26"/>
            <w:szCs w:val="26"/>
          </w:rPr>
          <w:fldChar w:fldCharType="end"/>
        </w:r>
      </w:p>
    </w:sdtContent>
  </w:sdt>
  <w:p w14:paraId="53011B5A" w14:textId="77777777" w:rsidR="007179BC" w:rsidRDefault="007179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22F411" w14:textId="77777777" w:rsidR="00591B2E" w:rsidRDefault="00591B2E" w:rsidP="002B7FAC">
      <w:pPr>
        <w:spacing w:after="0" w:line="240" w:lineRule="auto"/>
      </w:pPr>
      <w:r>
        <w:separator/>
      </w:r>
    </w:p>
  </w:footnote>
  <w:footnote w:type="continuationSeparator" w:id="0">
    <w:p w14:paraId="3644ABC3" w14:textId="77777777" w:rsidR="00591B2E" w:rsidRDefault="00591B2E" w:rsidP="002B7FAC">
      <w:pPr>
        <w:spacing w:after="0" w:line="240" w:lineRule="auto"/>
      </w:pPr>
      <w:r>
        <w:continuationSeparator/>
      </w:r>
    </w:p>
  </w:footnote>
  <w:footnote w:id="1">
    <w:p w14:paraId="0C822DA9" w14:textId="77777777" w:rsidR="002B7FAC" w:rsidRPr="00B21311" w:rsidRDefault="002B7FAC" w:rsidP="002B7FAC">
      <w:pPr>
        <w:pStyle w:val="FootnoteText"/>
        <w:rPr>
          <w:sz w:val="26"/>
          <w:szCs w:val="26"/>
        </w:rPr>
      </w:pPr>
      <w:r w:rsidRPr="00B87F76">
        <w:rPr>
          <w:rStyle w:val="FootnoteReference"/>
          <w:sz w:val="26"/>
          <w:szCs w:val="26"/>
          <w:vertAlign w:val="superscript"/>
        </w:rPr>
        <w:footnoteRef/>
      </w:r>
      <w:r w:rsidRPr="00345A64">
        <w:rPr>
          <w:sz w:val="26"/>
          <w:szCs w:val="26"/>
        </w:rPr>
        <w:t xml:space="preserve">Pub. L. </w:t>
      </w:r>
      <w:r w:rsidR="0040689F" w:rsidRPr="00345A64">
        <w:rPr>
          <w:sz w:val="26"/>
          <w:szCs w:val="26"/>
        </w:rPr>
        <w:t xml:space="preserve">No. </w:t>
      </w:r>
      <w:r w:rsidRPr="00345A64">
        <w:rPr>
          <w:sz w:val="26"/>
          <w:szCs w:val="26"/>
        </w:rPr>
        <w:t>102-486, 100 Stat. 2776</w:t>
      </w:r>
      <w:r w:rsidR="0040689F" w:rsidRPr="00345A64">
        <w:rPr>
          <w:sz w:val="26"/>
          <w:szCs w:val="26"/>
        </w:rPr>
        <w:t xml:space="preserve"> (1992)</w:t>
      </w:r>
      <w:r w:rsidRPr="00B21311">
        <w:rPr>
          <w:sz w:val="26"/>
          <w:szCs w:val="26"/>
        </w:rPr>
        <w:t>.</w:t>
      </w:r>
    </w:p>
  </w:footnote>
  <w:footnote w:id="2">
    <w:p w14:paraId="791E6749" w14:textId="7B1D2673" w:rsidR="00D75834" w:rsidRPr="00345A64" w:rsidRDefault="00D75834">
      <w:pPr>
        <w:pStyle w:val="FootnoteText"/>
        <w:rPr>
          <w:sz w:val="26"/>
          <w:szCs w:val="26"/>
        </w:rPr>
      </w:pPr>
      <w:r w:rsidRPr="00B87F76">
        <w:rPr>
          <w:rStyle w:val="FootnoteReference"/>
          <w:sz w:val="26"/>
          <w:szCs w:val="26"/>
          <w:vertAlign w:val="superscript"/>
        </w:rPr>
        <w:footnoteRef/>
      </w:r>
      <w:r w:rsidR="0040689F" w:rsidRPr="00345A64">
        <w:rPr>
          <w:sz w:val="26"/>
          <w:szCs w:val="26"/>
          <w:lang w:val="pt-BR"/>
        </w:rPr>
        <w:t>15 USC § 79z-5a (2000).</w:t>
      </w:r>
    </w:p>
  </w:footnote>
  <w:footnote w:id="3">
    <w:p w14:paraId="2DFE36E7" w14:textId="77777777" w:rsidR="0018468C" w:rsidRPr="00B87F76" w:rsidRDefault="0018468C">
      <w:pPr>
        <w:pStyle w:val="FootnoteText"/>
        <w:rPr>
          <w:sz w:val="26"/>
          <w:szCs w:val="26"/>
        </w:rPr>
      </w:pPr>
      <w:r w:rsidRPr="00B87F76">
        <w:rPr>
          <w:rStyle w:val="FootnoteReference"/>
          <w:sz w:val="26"/>
          <w:szCs w:val="26"/>
          <w:vertAlign w:val="superscript"/>
        </w:rPr>
        <w:footnoteRef/>
      </w:r>
      <w:r w:rsidRPr="00B87F76">
        <w:rPr>
          <w:sz w:val="26"/>
          <w:szCs w:val="26"/>
          <w:vertAlign w:val="superscript"/>
        </w:rPr>
        <w:t xml:space="preserve"> </w:t>
      </w:r>
      <w:r w:rsidR="005E0F03" w:rsidRPr="00B87F76">
        <w:rPr>
          <w:sz w:val="26"/>
          <w:szCs w:val="26"/>
        </w:rPr>
        <w:t xml:space="preserve"> </w:t>
      </w:r>
      <w:r w:rsidR="005E0F03" w:rsidRPr="00345A64">
        <w:rPr>
          <w:i/>
          <w:sz w:val="26"/>
          <w:szCs w:val="26"/>
        </w:rPr>
        <w:t>E.g</w:t>
      </w:r>
      <w:r w:rsidR="005E0F03" w:rsidRPr="00345A64">
        <w:rPr>
          <w:sz w:val="26"/>
          <w:szCs w:val="26"/>
        </w:rPr>
        <w:t xml:space="preserve">., </w:t>
      </w:r>
      <w:r w:rsidRPr="00345A64">
        <w:rPr>
          <w:sz w:val="26"/>
          <w:szCs w:val="26"/>
        </w:rPr>
        <w:t xml:space="preserve">18 CFR </w:t>
      </w:r>
      <w:r w:rsidR="005E0F03" w:rsidRPr="00345A64">
        <w:rPr>
          <w:sz w:val="26"/>
          <w:szCs w:val="26"/>
        </w:rPr>
        <w:t>pt. 365 (1995)</w:t>
      </w:r>
      <w:r w:rsidR="005E0F03" w:rsidRPr="00B21311">
        <w:rPr>
          <w:sz w:val="26"/>
          <w:szCs w:val="26"/>
        </w:rPr>
        <w:t>.</w:t>
      </w:r>
      <w:r w:rsidR="00992358" w:rsidRPr="00B21311">
        <w:rPr>
          <w:sz w:val="26"/>
          <w:szCs w:val="26"/>
        </w:rPr>
        <w:t xml:space="preserve">  The Commission’s current EWG regulations are found in 18 CFR 366.1 and 18 CFR 366.7.</w:t>
      </w:r>
    </w:p>
  </w:footnote>
  <w:footnote w:id="4">
    <w:p w14:paraId="0C8D002E" w14:textId="77777777" w:rsidR="00551197" w:rsidRDefault="00551197">
      <w:pPr>
        <w:pStyle w:val="FootnoteText"/>
      </w:pPr>
      <w:r w:rsidRPr="00B87F76">
        <w:rPr>
          <w:rStyle w:val="FootnoteReference"/>
          <w:sz w:val="26"/>
          <w:szCs w:val="26"/>
          <w:vertAlign w:val="superscript"/>
        </w:rPr>
        <w:footnoteRef/>
      </w:r>
      <w:r w:rsidRPr="00B87F76">
        <w:rPr>
          <w:sz w:val="26"/>
          <w:szCs w:val="26"/>
          <w:vertAlign w:val="superscript"/>
        </w:rPr>
        <w:t xml:space="preserve"> </w:t>
      </w:r>
      <w:r w:rsidRPr="00345A64">
        <w:rPr>
          <w:i/>
          <w:sz w:val="26"/>
          <w:szCs w:val="26"/>
        </w:rPr>
        <w:t>Id</w:t>
      </w:r>
      <w:r w:rsidRPr="00B87F76">
        <w:rPr>
          <w:i/>
          <w:sz w:val="26"/>
          <w:szCs w:val="26"/>
        </w:rPr>
        <w:t>.</w:t>
      </w:r>
      <w:r>
        <w:t xml:space="preserve"> </w:t>
      </w:r>
    </w:p>
  </w:footnote>
  <w:footnote w:id="5">
    <w:p w14:paraId="184CAA66" w14:textId="77777777" w:rsidR="002B7FAC" w:rsidRPr="00345A64" w:rsidRDefault="002B7FAC" w:rsidP="002B7FAC">
      <w:pPr>
        <w:pStyle w:val="FootnoteText"/>
        <w:rPr>
          <w:sz w:val="26"/>
          <w:szCs w:val="26"/>
        </w:rPr>
      </w:pPr>
      <w:r w:rsidRPr="00B87F76">
        <w:rPr>
          <w:rStyle w:val="FootnoteReference"/>
          <w:sz w:val="26"/>
          <w:szCs w:val="26"/>
          <w:vertAlign w:val="superscript"/>
        </w:rPr>
        <w:footnoteRef/>
      </w:r>
      <w:r w:rsidRPr="00345A64">
        <w:rPr>
          <w:sz w:val="26"/>
          <w:szCs w:val="26"/>
        </w:rPr>
        <w:t xml:space="preserve"> Pub. L. No. 109-58, 119 Stat. 594 (2005).</w:t>
      </w:r>
    </w:p>
  </w:footnote>
  <w:footnote w:id="6">
    <w:p w14:paraId="5031BBAF" w14:textId="77777777" w:rsidR="00551197" w:rsidRPr="00B87F76" w:rsidRDefault="00551197">
      <w:pPr>
        <w:pStyle w:val="FootnoteText"/>
        <w:rPr>
          <w:sz w:val="26"/>
          <w:szCs w:val="26"/>
        </w:rPr>
      </w:pPr>
      <w:r w:rsidRPr="00B87F76">
        <w:rPr>
          <w:rStyle w:val="FootnoteReference"/>
          <w:sz w:val="26"/>
          <w:szCs w:val="26"/>
          <w:vertAlign w:val="superscript"/>
        </w:rPr>
        <w:footnoteRef/>
      </w:r>
      <w:r w:rsidRPr="00B87F76">
        <w:rPr>
          <w:sz w:val="26"/>
          <w:szCs w:val="26"/>
          <w:vertAlign w:val="superscript"/>
        </w:rPr>
        <w:t xml:space="preserve"> </w:t>
      </w:r>
      <w:r w:rsidRPr="00345A64">
        <w:rPr>
          <w:sz w:val="26"/>
          <w:szCs w:val="26"/>
        </w:rPr>
        <w:t xml:space="preserve">42 U.S.C. §§ 16451 </w:t>
      </w:r>
      <w:r w:rsidRPr="00345A64">
        <w:rPr>
          <w:i/>
          <w:sz w:val="26"/>
          <w:szCs w:val="26"/>
        </w:rPr>
        <w:t xml:space="preserve">et seq. </w:t>
      </w:r>
      <w:r w:rsidRPr="00345A64">
        <w:rPr>
          <w:sz w:val="26"/>
          <w:szCs w:val="26"/>
        </w:rPr>
        <w:t>(2012).</w:t>
      </w:r>
    </w:p>
  </w:footnote>
  <w:footnote w:id="7">
    <w:p w14:paraId="1EF9FDFF" w14:textId="77777777" w:rsidR="004F482D" w:rsidRPr="00B87F76" w:rsidRDefault="004F482D">
      <w:pPr>
        <w:pStyle w:val="FootnoteText"/>
        <w:rPr>
          <w:sz w:val="26"/>
          <w:szCs w:val="26"/>
        </w:rPr>
      </w:pPr>
      <w:r w:rsidRPr="00B87F76">
        <w:rPr>
          <w:rStyle w:val="FootnoteReference"/>
          <w:sz w:val="26"/>
          <w:szCs w:val="26"/>
          <w:vertAlign w:val="superscript"/>
        </w:rPr>
        <w:footnoteRef/>
      </w:r>
      <w:r w:rsidRPr="00B87F76">
        <w:rPr>
          <w:sz w:val="26"/>
          <w:szCs w:val="26"/>
        </w:rPr>
        <w:t xml:space="preserve"> </w:t>
      </w:r>
      <w:r w:rsidRPr="00345A64">
        <w:rPr>
          <w:sz w:val="26"/>
          <w:szCs w:val="26"/>
        </w:rPr>
        <w:t>42 U.S.C. §§ 16451(6), 16454(a)</w:t>
      </w:r>
      <w:r w:rsidRPr="00345A64">
        <w:rPr>
          <w:i/>
          <w:sz w:val="26"/>
          <w:szCs w:val="26"/>
        </w:rPr>
        <w:t xml:space="preserve"> </w:t>
      </w:r>
      <w:r w:rsidRPr="00345A64">
        <w:rPr>
          <w:sz w:val="26"/>
          <w:szCs w:val="26"/>
        </w:rPr>
        <w:t>(2012).</w:t>
      </w:r>
    </w:p>
  </w:footnote>
  <w:footnote w:id="8">
    <w:p w14:paraId="7791D5CF" w14:textId="77777777" w:rsidR="004F482D" w:rsidRPr="00B87F76" w:rsidRDefault="004F482D" w:rsidP="004F482D">
      <w:pPr>
        <w:pStyle w:val="FootnoteText"/>
        <w:rPr>
          <w:sz w:val="26"/>
          <w:szCs w:val="26"/>
        </w:rPr>
      </w:pPr>
      <w:r w:rsidRPr="00B87F76">
        <w:rPr>
          <w:rStyle w:val="FootnoteReference"/>
          <w:sz w:val="26"/>
          <w:szCs w:val="26"/>
          <w:vertAlign w:val="superscript"/>
        </w:rPr>
        <w:footnoteRef/>
      </w:r>
      <w:r w:rsidRPr="00B87F76">
        <w:rPr>
          <w:sz w:val="26"/>
          <w:szCs w:val="26"/>
          <w:vertAlign w:val="superscript"/>
        </w:rPr>
        <w:t xml:space="preserve"> </w:t>
      </w:r>
      <w:r w:rsidRPr="00345A64">
        <w:rPr>
          <w:i/>
          <w:sz w:val="26"/>
          <w:szCs w:val="26"/>
        </w:rPr>
        <w:t>Id</w:t>
      </w:r>
      <w:r w:rsidRPr="00345A64">
        <w:rPr>
          <w:sz w:val="26"/>
          <w:szCs w:val="26"/>
        </w:rPr>
        <w:t xml:space="preserve">. </w:t>
      </w:r>
    </w:p>
  </w:footnote>
  <w:footnote w:id="9">
    <w:p w14:paraId="30C44C8D" w14:textId="4B1FE357" w:rsidR="004F482D" w:rsidRPr="00B87F76" w:rsidRDefault="004F482D">
      <w:pPr>
        <w:pStyle w:val="FootnoteText"/>
        <w:rPr>
          <w:sz w:val="26"/>
          <w:szCs w:val="26"/>
        </w:rPr>
      </w:pPr>
      <w:r w:rsidRPr="00B87F76">
        <w:rPr>
          <w:rStyle w:val="FootnoteReference"/>
          <w:sz w:val="26"/>
          <w:szCs w:val="26"/>
          <w:vertAlign w:val="superscript"/>
        </w:rPr>
        <w:footnoteRef/>
      </w:r>
      <w:r w:rsidRPr="00B87F76">
        <w:rPr>
          <w:sz w:val="26"/>
          <w:szCs w:val="26"/>
          <w:vertAlign w:val="superscript"/>
        </w:rPr>
        <w:t xml:space="preserve"> </w:t>
      </w:r>
      <w:r w:rsidRPr="00345A64">
        <w:rPr>
          <w:i/>
          <w:sz w:val="26"/>
          <w:szCs w:val="26"/>
        </w:rPr>
        <w:t>Repeal of the Public Utility Holding Company Act of 1935 and Enactment of the Public Utility Holding Company Act of 2005</w:t>
      </w:r>
      <w:r w:rsidRPr="00345A64">
        <w:rPr>
          <w:sz w:val="26"/>
          <w:szCs w:val="26"/>
        </w:rPr>
        <w:t xml:space="preserve">, 70 FR 75592, FERC Stats. &amp; Regs. ¶ 31,197  (2005), </w:t>
      </w:r>
      <w:r w:rsidRPr="00345A64">
        <w:rPr>
          <w:i/>
          <w:sz w:val="26"/>
          <w:szCs w:val="26"/>
        </w:rPr>
        <w:t>order on rehearing</w:t>
      </w:r>
      <w:r w:rsidRPr="00B21311">
        <w:rPr>
          <w:sz w:val="26"/>
          <w:szCs w:val="26"/>
        </w:rPr>
        <w:t xml:space="preserve">, Order 667-A, 71 FR 28446, FERC Stats. &amp; Regs. ¶ 31,213 (2006), </w:t>
      </w:r>
      <w:r w:rsidRPr="00B21311">
        <w:rPr>
          <w:i/>
          <w:sz w:val="26"/>
          <w:szCs w:val="26"/>
        </w:rPr>
        <w:t>order on rehearing</w:t>
      </w:r>
      <w:r w:rsidRPr="00B21311">
        <w:rPr>
          <w:sz w:val="26"/>
          <w:szCs w:val="26"/>
        </w:rPr>
        <w:t xml:space="preserve">, Order 667-B, 71 FR 42750, FERC Stats. &amp; Regs. ¶ 31,244 (2006), </w:t>
      </w:r>
      <w:r w:rsidRPr="00B21311">
        <w:rPr>
          <w:i/>
          <w:sz w:val="26"/>
          <w:szCs w:val="26"/>
        </w:rPr>
        <w:t>order on rehearing</w:t>
      </w:r>
      <w:r w:rsidRPr="00B21311">
        <w:rPr>
          <w:sz w:val="26"/>
          <w:szCs w:val="26"/>
        </w:rPr>
        <w:t xml:space="preserve">, Order 667-C, 118 FERC ¶ 61,133 (2007).  </w:t>
      </w:r>
      <w:r w:rsidR="00233FA1" w:rsidRPr="00C2572D">
        <w:rPr>
          <w:sz w:val="26"/>
          <w:szCs w:val="26"/>
        </w:rPr>
        <w:t xml:space="preserve"> Order No.667 issued on 12/8/2005 in Docket No. RM05-32, and  is available in FERC’s eLibrary at </w:t>
      </w:r>
      <w:hyperlink r:id="rId1" w:history="1">
        <w:r w:rsidR="00233FA1" w:rsidRPr="00345A64">
          <w:rPr>
            <w:rStyle w:val="Hyperlink"/>
            <w:sz w:val="26"/>
            <w:szCs w:val="26"/>
          </w:rPr>
          <w:t>https://elibrary.ferc.gov/idmws/common/opennat.asp?fileID=10901235</w:t>
        </w:r>
      </w:hyperlink>
    </w:p>
  </w:footnote>
  <w:footnote w:id="10">
    <w:p w14:paraId="75B99BDB" w14:textId="497ECD01" w:rsidR="00AE7B39" w:rsidRPr="0052145A" w:rsidRDefault="00AE7B39" w:rsidP="00AE7B39">
      <w:pPr>
        <w:pStyle w:val="FootnoteText"/>
        <w:rPr>
          <w:sz w:val="26"/>
          <w:szCs w:val="26"/>
        </w:rPr>
      </w:pPr>
      <w:r w:rsidRPr="00B87F76">
        <w:rPr>
          <w:rStyle w:val="FootnoteReference"/>
          <w:sz w:val="26"/>
          <w:szCs w:val="26"/>
          <w:vertAlign w:val="superscript"/>
        </w:rPr>
        <w:footnoteRef/>
      </w:r>
      <w:r w:rsidRPr="00B87F76">
        <w:rPr>
          <w:sz w:val="26"/>
          <w:szCs w:val="26"/>
          <w:vertAlign w:val="superscript"/>
        </w:rPr>
        <w:t xml:space="preserve"> </w:t>
      </w:r>
      <w:r w:rsidRPr="0052145A">
        <w:rPr>
          <w:sz w:val="26"/>
          <w:szCs w:val="26"/>
        </w:rPr>
        <w:t>18 CFR 366.7(a)</w:t>
      </w:r>
      <w:r w:rsidR="004F482D">
        <w:rPr>
          <w:sz w:val="26"/>
          <w:szCs w:val="26"/>
        </w:rPr>
        <w:t xml:space="preserve">; </w:t>
      </w:r>
      <w:r w:rsidR="004F482D" w:rsidRPr="00E7496F">
        <w:rPr>
          <w:i/>
          <w:sz w:val="26"/>
          <w:szCs w:val="26"/>
        </w:rPr>
        <w:t>see</w:t>
      </w:r>
      <w:r w:rsidR="004F482D">
        <w:rPr>
          <w:sz w:val="26"/>
          <w:szCs w:val="26"/>
        </w:rPr>
        <w:t xml:space="preserve"> </w:t>
      </w:r>
      <w:r w:rsidR="004F482D" w:rsidRPr="0052145A">
        <w:rPr>
          <w:sz w:val="26"/>
          <w:szCs w:val="26"/>
        </w:rPr>
        <w:t>Order No. 667</w:t>
      </w:r>
      <w:r w:rsidR="00233FA1">
        <w:rPr>
          <w:sz w:val="26"/>
          <w:szCs w:val="26"/>
        </w:rPr>
        <w:t xml:space="preserve">, FERC Stats. &amp; Regs. ¶ 31,197 </w:t>
      </w:r>
      <w:r w:rsidR="004F482D" w:rsidRPr="0052145A">
        <w:rPr>
          <w:sz w:val="26"/>
          <w:szCs w:val="26"/>
        </w:rPr>
        <w:t>at P</w:t>
      </w:r>
      <w:r w:rsidR="004F482D">
        <w:rPr>
          <w:sz w:val="26"/>
          <w:szCs w:val="26"/>
        </w:rPr>
        <w:t>P</w:t>
      </w:r>
      <w:r w:rsidR="004F482D" w:rsidRPr="0052145A">
        <w:rPr>
          <w:sz w:val="26"/>
          <w:szCs w:val="26"/>
        </w:rPr>
        <w:t xml:space="preserve"> 225-28</w:t>
      </w:r>
      <w:r w:rsidRPr="0052145A">
        <w:rPr>
          <w:sz w:val="26"/>
          <w:szCs w:val="26"/>
        </w:rPr>
        <w:t>.</w:t>
      </w:r>
      <w:r w:rsidR="006D25C3">
        <w:rPr>
          <w:sz w:val="26"/>
          <w:szCs w:val="26"/>
        </w:rPr>
        <w:t xml:space="preserve">  </w:t>
      </w:r>
    </w:p>
  </w:footnote>
  <w:footnote w:id="11">
    <w:p w14:paraId="5F9D7196" w14:textId="1010C75A" w:rsidR="00AE7B39" w:rsidRPr="00C522AD" w:rsidRDefault="00AE7B39" w:rsidP="00B87F76">
      <w:pPr>
        <w:spacing w:after="0"/>
        <w:rPr>
          <w:rFonts w:ascii="Times New Roman" w:hAnsi="Times New Roman"/>
          <w:sz w:val="20"/>
          <w:szCs w:val="20"/>
        </w:rPr>
      </w:pPr>
      <w:r w:rsidRPr="00B87F76">
        <w:rPr>
          <w:rStyle w:val="FootnoteReference"/>
          <w:rFonts w:ascii="Times New Roman" w:hAnsi="Times New Roman"/>
          <w:sz w:val="26"/>
          <w:szCs w:val="26"/>
          <w:vertAlign w:val="superscript"/>
        </w:rPr>
        <w:footnoteRef/>
      </w:r>
      <w:r w:rsidRPr="0052145A">
        <w:rPr>
          <w:rFonts w:ascii="Times New Roman" w:hAnsi="Times New Roman"/>
          <w:sz w:val="26"/>
          <w:szCs w:val="26"/>
        </w:rPr>
        <w:t xml:space="preserve"> 18 CFR 366.3(a)(2) and (3).</w:t>
      </w:r>
    </w:p>
  </w:footnote>
  <w:footnote w:id="12">
    <w:p w14:paraId="361B7BB5" w14:textId="208B8AF6" w:rsidR="00AE7B39" w:rsidRPr="0052145A" w:rsidRDefault="00AE7B39" w:rsidP="00AE7B39">
      <w:pPr>
        <w:pStyle w:val="FootnoteText"/>
        <w:rPr>
          <w:sz w:val="26"/>
          <w:szCs w:val="26"/>
        </w:rPr>
      </w:pPr>
      <w:r w:rsidRPr="00B87F76">
        <w:rPr>
          <w:rStyle w:val="FootnoteReference"/>
          <w:sz w:val="26"/>
          <w:szCs w:val="26"/>
          <w:vertAlign w:val="superscript"/>
        </w:rPr>
        <w:footnoteRef/>
      </w:r>
      <w:r w:rsidRPr="0052145A">
        <w:rPr>
          <w:sz w:val="26"/>
          <w:szCs w:val="26"/>
        </w:rPr>
        <w:t xml:space="preserve"> 18 CFR 366.7(a)</w:t>
      </w:r>
      <w:r w:rsidR="00AF5530">
        <w:rPr>
          <w:sz w:val="26"/>
          <w:szCs w:val="26"/>
        </w:rPr>
        <w:t xml:space="preserve">; </w:t>
      </w:r>
      <w:r w:rsidR="00AF5530" w:rsidRPr="00CD04D5">
        <w:rPr>
          <w:i/>
          <w:sz w:val="26"/>
          <w:szCs w:val="26"/>
        </w:rPr>
        <w:t>see</w:t>
      </w:r>
      <w:r w:rsidR="00AF5530">
        <w:rPr>
          <w:sz w:val="26"/>
          <w:szCs w:val="26"/>
        </w:rPr>
        <w:t xml:space="preserve"> </w:t>
      </w:r>
      <w:r w:rsidR="00AF5530" w:rsidRPr="0052145A">
        <w:rPr>
          <w:sz w:val="26"/>
          <w:szCs w:val="26"/>
        </w:rPr>
        <w:t>Order No. 667</w:t>
      </w:r>
      <w:r w:rsidR="00AF5530">
        <w:rPr>
          <w:sz w:val="26"/>
          <w:szCs w:val="26"/>
        </w:rPr>
        <w:t xml:space="preserve">, FERC Stats. &amp; Regs. ¶ 31,197 </w:t>
      </w:r>
      <w:r w:rsidR="00AF5530" w:rsidRPr="0052145A">
        <w:rPr>
          <w:sz w:val="26"/>
          <w:szCs w:val="26"/>
        </w:rPr>
        <w:t>at P</w:t>
      </w:r>
      <w:r w:rsidR="00AF5530">
        <w:rPr>
          <w:sz w:val="26"/>
          <w:szCs w:val="26"/>
        </w:rPr>
        <w:t>P</w:t>
      </w:r>
      <w:r w:rsidR="00AF5530" w:rsidRPr="0052145A">
        <w:rPr>
          <w:sz w:val="26"/>
          <w:szCs w:val="26"/>
        </w:rPr>
        <w:t xml:space="preserve"> 22</w:t>
      </w:r>
      <w:r w:rsidR="00AF5530">
        <w:rPr>
          <w:sz w:val="26"/>
          <w:szCs w:val="26"/>
        </w:rPr>
        <w:t>6</w:t>
      </w:r>
      <w:r w:rsidR="002C7E18">
        <w:rPr>
          <w:sz w:val="26"/>
          <w:szCs w:val="26"/>
        </w:rPr>
        <w:t xml:space="preserve">.  </w:t>
      </w:r>
      <w:r w:rsidR="002C7E18" w:rsidRPr="00AE7B39">
        <w:rPr>
          <w:sz w:val="26"/>
          <w:szCs w:val="26"/>
        </w:rPr>
        <w:t>Order No. 667 also established an optional procedure for Commission determination of EWG or FUCO status “</w:t>
      </w:r>
      <w:r w:rsidR="002C7E18">
        <w:rPr>
          <w:sz w:val="26"/>
          <w:szCs w:val="26"/>
        </w:rPr>
        <w:t>f</w:t>
      </w:r>
      <w:r w:rsidR="002C7E18" w:rsidRPr="00AE7B39">
        <w:rPr>
          <w:sz w:val="26"/>
          <w:szCs w:val="26"/>
        </w:rPr>
        <w:t>or entities that require a higher degree of legal certainty as to their status</w:t>
      </w:r>
      <w:r w:rsidR="002C7E18">
        <w:rPr>
          <w:sz w:val="26"/>
          <w:szCs w:val="26"/>
        </w:rPr>
        <w:t>.</w:t>
      </w:r>
      <w:r w:rsidR="002C7E18" w:rsidRPr="00AE7B39">
        <w:rPr>
          <w:sz w:val="26"/>
          <w:szCs w:val="26"/>
        </w:rPr>
        <w:t>”</w:t>
      </w:r>
      <w:r w:rsidR="00AF5530">
        <w:rPr>
          <w:sz w:val="26"/>
          <w:szCs w:val="26"/>
        </w:rPr>
        <w:t xml:space="preserve">  </w:t>
      </w:r>
      <w:r w:rsidR="00AF5530" w:rsidRPr="00E7496F">
        <w:rPr>
          <w:i/>
          <w:sz w:val="26"/>
          <w:szCs w:val="26"/>
        </w:rPr>
        <w:t>Id</w:t>
      </w:r>
      <w:r w:rsidR="00AF5530">
        <w:rPr>
          <w:sz w:val="26"/>
          <w:szCs w:val="26"/>
        </w:rPr>
        <w:t xml:space="preserve">. </w:t>
      </w:r>
      <w:r w:rsidR="00AF5530" w:rsidRPr="0052145A">
        <w:rPr>
          <w:sz w:val="26"/>
          <w:szCs w:val="26"/>
        </w:rPr>
        <w:t>P 22</w:t>
      </w:r>
      <w:r w:rsidR="00AF5530">
        <w:rPr>
          <w:sz w:val="26"/>
          <w:szCs w:val="26"/>
        </w:rPr>
        <w:t>7.</w:t>
      </w:r>
    </w:p>
  </w:footnote>
  <w:footnote w:id="13">
    <w:p w14:paraId="7F5447DC" w14:textId="77777777" w:rsidR="00AE7B39" w:rsidRDefault="00AE7B39" w:rsidP="00AE7B39">
      <w:pPr>
        <w:pStyle w:val="FootnoteText"/>
      </w:pPr>
      <w:r w:rsidRPr="00B87F76">
        <w:rPr>
          <w:rStyle w:val="FootnoteReference"/>
          <w:sz w:val="26"/>
          <w:szCs w:val="26"/>
          <w:vertAlign w:val="superscript"/>
        </w:rPr>
        <w:footnoteRef/>
      </w:r>
      <w:r w:rsidRPr="00B87F76">
        <w:rPr>
          <w:sz w:val="26"/>
          <w:szCs w:val="26"/>
          <w:vertAlign w:val="superscript"/>
        </w:rPr>
        <w:t xml:space="preserve"> </w:t>
      </w:r>
      <w:r w:rsidRPr="0052145A">
        <w:rPr>
          <w:sz w:val="26"/>
          <w:szCs w:val="26"/>
        </w:rPr>
        <w:t>18 CFR 366.7(c)</w:t>
      </w:r>
    </w:p>
  </w:footnote>
  <w:footnote w:id="14">
    <w:p w14:paraId="5F55B350" w14:textId="77777777" w:rsidR="002B7FAC" w:rsidRPr="0052145A" w:rsidRDefault="002B7FAC" w:rsidP="002B7FAC">
      <w:pPr>
        <w:pStyle w:val="FootnoteText"/>
        <w:rPr>
          <w:sz w:val="26"/>
          <w:szCs w:val="26"/>
        </w:rPr>
      </w:pPr>
      <w:r w:rsidRPr="00B87F76">
        <w:rPr>
          <w:rStyle w:val="FootnoteReference"/>
          <w:sz w:val="26"/>
          <w:szCs w:val="26"/>
          <w:vertAlign w:val="superscript"/>
        </w:rPr>
        <w:footnoteRef/>
      </w:r>
      <w:r w:rsidRPr="00B87F76">
        <w:rPr>
          <w:sz w:val="26"/>
          <w:szCs w:val="26"/>
          <w:vertAlign w:val="superscript"/>
        </w:rPr>
        <w:t xml:space="preserve"> </w:t>
      </w:r>
      <w:r w:rsidRPr="0052145A">
        <w:rPr>
          <w:sz w:val="26"/>
          <w:szCs w:val="26"/>
        </w:rPr>
        <w:t>5 CFR 1320.8(d)</w:t>
      </w:r>
    </w:p>
  </w:footnote>
  <w:footnote w:id="15">
    <w:p w14:paraId="20026AEF" w14:textId="79F843EF" w:rsidR="00B21311" w:rsidRPr="00B87F76" w:rsidRDefault="00B21311">
      <w:pPr>
        <w:pStyle w:val="FootnoteText"/>
        <w:rPr>
          <w:sz w:val="26"/>
          <w:szCs w:val="26"/>
          <w:vertAlign w:val="superscript"/>
        </w:rPr>
      </w:pPr>
      <w:r w:rsidRPr="00B87F76">
        <w:rPr>
          <w:rStyle w:val="FootnoteReference"/>
          <w:sz w:val="26"/>
          <w:szCs w:val="26"/>
          <w:vertAlign w:val="superscript"/>
        </w:rPr>
        <w:footnoteRef/>
      </w:r>
      <w:r w:rsidRPr="00B87F76">
        <w:rPr>
          <w:sz w:val="26"/>
          <w:szCs w:val="26"/>
          <w:vertAlign w:val="superscript"/>
        </w:rPr>
        <w:t xml:space="preserve"> </w:t>
      </w:r>
      <w:r w:rsidRPr="00B87F76">
        <w:rPr>
          <w:sz w:val="26"/>
          <w:szCs w:val="26"/>
        </w:rPr>
        <w:t>82 FR 58191, 12/11/2017</w:t>
      </w:r>
    </w:p>
  </w:footnote>
  <w:footnote w:id="16">
    <w:p w14:paraId="0E555029" w14:textId="7370FF22" w:rsidR="00172729" w:rsidRPr="00172729" w:rsidRDefault="00172729">
      <w:pPr>
        <w:pStyle w:val="FootnoteText"/>
        <w:rPr>
          <w:sz w:val="26"/>
          <w:szCs w:val="26"/>
        </w:rPr>
      </w:pPr>
      <w:r w:rsidRPr="00172729">
        <w:rPr>
          <w:rStyle w:val="FootnoteReference"/>
          <w:sz w:val="26"/>
          <w:szCs w:val="26"/>
          <w:vertAlign w:val="superscript"/>
        </w:rPr>
        <w:footnoteRef/>
      </w:r>
      <w:r w:rsidRPr="00172729">
        <w:rPr>
          <w:sz w:val="26"/>
          <w:szCs w:val="26"/>
        </w:rPr>
        <w:t xml:space="preserve"> The 30-day Notice is posted in FERC’s eLibrary at </w:t>
      </w:r>
      <w:hyperlink r:id="rId2" w:history="1">
        <w:r w:rsidRPr="00172729">
          <w:rPr>
            <w:rStyle w:val="Hyperlink"/>
            <w:sz w:val="26"/>
            <w:szCs w:val="26"/>
          </w:rPr>
          <w:t>https://elibrary.ferc.gov/idmws/common/OpenNat.asp?fileID=14821150</w:t>
        </w:r>
      </w:hyperlink>
      <w:r w:rsidRPr="00172729">
        <w:rPr>
          <w:sz w:val="26"/>
          <w:szCs w:val="26"/>
        </w:rPr>
        <w:t xml:space="preserve"> .</w:t>
      </w:r>
    </w:p>
  </w:footnote>
  <w:footnote w:id="17">
    <w:p w14:paraId="75CCEF95" w14:textId="77777777" w:rsidR="000411BD" w:rsidRPr="000411BD" w:rsidRDefault="000411BD">
      <w:pPr>
        <w:pStyle w:val="FootnoteText"/>
        <w:rPr>
          <w:sz w:val="26"/>
          <w:szCs w:val="26"/>
        </w:rPr>
      </w:pPr>
      <w:r w:rsidRPr="00B87F76">
        <w:rPr>
          <w:rStyle w:val="FootnoteReference"/>
          <w:sz w:val="26"/>
          <w:szCs w:val="26"/>
          <w:vertAlign w:val="superscript"/>
        </w:rPr>
        <w:footnoteRef/>
      </w:r>
      <w:r w:rsidRPr="00B87F76">
        <w:rPr>
          <w:sz w:val="26"/>
          <w:szCs w:val="26"/>
          <w:vertAlign w:val="superscript"/>
        </w:rPr>
        <w:t xml:space="preserve"> </w:t>
      </w:r>
      <w:r w:rsidR="00A35796" w:rsidRPr="008F4B21">
        <w:rPr>
          <w:rFonts w:eastAsia="Calibri"/>
          <w:sz w:val="26"/>
          <w:szCs w:val="26"/>
        </w:rPr>
        <w:t>Subject matter experts found that industry employment costs (for salary plus benefits) for the FERC-598 information collection closely resemble the Commission’s.</w:t>
      </w:r>
      <w:r w:rsidR="00A35796" w:rsidRPr="000F173C">
        <w:rPr>
          <w:rFonts w:ascii="Calibri" w:eastAsia="Calibri" w:hAnsi="Calibri"/>
          <w:sz w:val="22"/>
          <w:szCs w:val="22"/>
        </w:rPr>
        <w:t xml:space="preserve">  </w:t>
      </w:r>
      <w:r w:rsidR="00A35796" w:rsidRPr="000F173C">
        <w:rPr>
          <w:rFonts w:eastAsia="Calibri"/>
          <w:sz w:val="26"/>
          <w:szCs w:val="26"/>
        </w:rPr>
        <w:t>FERC’s</w:t>
      </w:r>
      <w:r w:rsidR="00A35796" w:rsidRPr="00A35796">
        <w:rPr>
          <w:rFonts w:eastAsia="Calibri"/>
          <w:sz w:val="26"/>
          <w:szCs w:val="26"/>
        </w:rPr>
        <w:t xml:space="preserve"> 2017 average annual salary plus benefits per FTE (full-time equivalent) is $158,754 (or $76.50 per hour).</w:t>
      </w:r>
    </w:p>
  </w:footnote>
  <w:footnote w:id="18">
    <w:p w14:paraId="52101A11" w14:textId="77777777" w:rsidR="00544875" w:rsidRPr="006B6D60" w:rsidRDefault="00544875" w:rsidP="00544875">
      <w:pPr>
        <w:pStyle w:val="FootnoteText"/>
      </w:pPr>
      <w:r w:rsidRPr="00B87F76">
        <w:rPr>
          <w:rStyle w:val="FootnoteReference"/>
          <w:sz w:val="26"/>
          <w:szCs w:val="26"/>
          <w:vertAlign w:val="superscript"/>
        </w:rPr>
        <w:footnoteRef/>
      </w:r>
      <w:r w:rsidRPr="000411BD">
        <w:rPr>
          <w:sz w:val="26"/>
          <w:szCs w:val="26"/>
          <w:vertAlign w:val="superscript"/>
        </w:rPr>
        <w:t xml:space="preserve"> </w:t>
      </w:r>
      <w:r w:rsidRPr="000411BD">
        <w:rPr>
          <w:sz w:val="26"/>
          <w:szCs w:val="26"/>
        </w:rPr>
        <w:t xml:space="preserve">Based upon </w:t>
      </w:r>
      <w:r w:rsidRPr="00A44EDF">
        <w:rPr>
          <w:sz w:val="26"/>
          <w:szCs w:val="26"/>
        </w:rPr>
        <w:t xml:space="preserve">FERC’s </w:t>
      </w:r>
      <w:r w:rsidRPr="00035A90">
        <w:rPr>
          <w:sz w:val="26"/>
          <w:szCs w:val="26"/>
        </w:rPr>
        <w:t>201</w:t>
      </w:r>
      <w:r w:rsidR="00A44EDF" w:rsidRPr="00035A90">
        <w:rPr>
          <w:sz w:val="26"/>
          <w:szCs w:val="26"/>
        </w:rPr>
        <w:t>7</w:t>
      </w:r>
      <w:r w:rsidRPr="00035A90">
        <w:rPr>
          <w:sz w:val="26"/>
          <w:szCs w:val="26"/>
        </w:rPr>
        <w:t xml:space="preserve"> average</w:t>
      </w:r>
      <w:r w:rsidR="00A44EDF" w:rsidRPr="00035A90">
        <w:rPr>
          <w:sz w:val="26"/>
          <w:szCs w:val="26"/>
        </w:rPr>
        <w:t xml:space="preserve"> annual</w:t>
      </w:r>
      <w:r w:rsidRPr="00035A90">
        <w:rPr>
          <w:sz w:val="26"/>
          <w:szCs w:val="26"/>
        </w:rPr>
        <w:t xml:space="preserve"> salary plus benefits </w:t>
      </w:r>
      <w:r w:rsidR="00A44EDF" w:rsidRPr="00035A90">
        <w:rPr>
          <w:sz w:val="26"/>
          <w:szCs w:val="26"/>
        </w:rPr>
        <w:t xml:space="preserve">per FTE (full-time equivalent) of </w:t>
      </w:r>
      <w:r w:rsidRPr="00035A90">
        <w:rPr>
          <w:sz w:val="26"/>
          <w:szCs w:val="26"/>
        </w:rPr>
        <w:t>$</w:t>
      </w:r>
      <w:r w:rsidR="00A44EDF" w:rsidRPr="00A44EDF">
        <w:rPr>
          <w:sz w:val="26"/>
          <w:szCs w:val="26"/>
        </w:rPr>
        <w:t>158,754</w:t>
      </w:r>
      <w:r w:rsidR="00D16B7B">
        <w:rPr>
          <w:sz w:val="26"/>
          <w:szCs w:val="2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C208EE" w14:textId="77777777" w:rsidR="000C1E9C" w:rsidRDefault="00540541" w:rsidP="008C28CF">
    <w:pPr>
      <w:tabs>
        <w:tab w:val="right" w:pos="10080"/>
      </w:tabs>
      <w:spacing w:after="0" w:line="240" w:lineRule="auto"/>
      <w:rPr>
        <w:rFonts w:ascii="Times New Roman" w:hAnsi="Times New Roman" w:cs="Times New Roman"/>
        <w:b/>
        <w:sz w:val="26"/>
        <w:szCs w:val="26"/>
      </w:rPr>
    </w:pPr>
    <w:r>
      <w:rPr>
        <w:rFonts w:ascii="Times New Roman" w:hAnsi="Times New Roman" w:cs="Times New Roman"/>
        <w:b/>
        <w:bCs/>
        <w:sz w:val="26"/>
        <w:szCs w:val="26"/>
      </w:rPr>
      <w:t>FERC-</w:t>
    </w:r>
    <w:r w:rsidR="002B7FAC">
      <w:rPr>
        <w:rFonts w:ascii="Times New Roman" w:hAnsi="Times New Roman" w:cs="Times New Roman"/>
        <w:b/>
        <w:bCs/>
        <w:sz w:val="26"/>
        <w:szCs w:val="26"/>
      </w:rPr>
      <w:t>598</w:t>
    </w:r>
    <w:r w:rsidR="00993237">
      <w:rPr>
        <w:rFonts w:ascii="Times New Roman" w:hAnsi="Times New Roman" w:cs="Times New Roman"/>
        <w:b/>
        <w:bCs/>
        <w:sz w:val="26"/>
        <w:szCs w:val="26"/>
      </w:rPr>
      <w:t xml:space="preserve"> (</w:t>
    </w:r>
    <w:r w:rsidRPr="00D350A8">
      <w:rPr>
        <w:rFonts w:ascii="Times New Roman" w:hAnsi="Times New Roman" w:cs="Times New Roman"/>
        <w:b/>
        <w:sz w:val="26"/>
        <w:szCs w:val="26"/>
      </w:rPr>
      <w:t>OMB Control No. 1902-</w:t>
    </w:r>
    <w:r w:rsidR="002B7FAC">
      <w:rPr>
        <w:rFonts w:ascii="Times New Roman" w:hAnsi="Times New Roman" w:cs="Times New Roman"/>
        <w:b/>
        <w:sz w:val="26"/>
        <w:szCs w:val="26"/>
      </w:rPr>
      <w:t>0166</w:t>
    </w:r>
    <w:r w:rsidR="00993237">
      <w:rPr>
        <w:rFonts w:ascii="Times New Roman" w:hAnsi="Times New Roman" w:cs="Times New Roman"/>
        <w:b/>
        <w:sz w:val="26"/>
        <w:szCs w:val="26"/>
      </w:rPr>
      <w:t>)</w:t>
    </w:r>
  </w:p>
  <w:p w14:paraId="36DD6B07" w14:textId="77777777" w:rsidR="000C1E9C" w:rsidRDefault="008805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61F65"/>
    <w:multiLevelType w:val="hybridMultilevel"/>
    <w:tmpl w:val="A52636F0"/>
    <w:lvl w:ilvl="0" w:tplc="90BC2A68">
      <w:start w:val="1"/>
      <w:numFmt w:val="decimal"/>
      <w:lvlText w:val="%1."/>
      <w:lvlJc w:val="left"/>
      <w:pPr>
        <w:tabs>
          <w:tab w:val="num" w:pos="360"/>
        </w:tabs>
        <w:ind w:left="360" w:hanging="360"/>
      </w:pPr>
      <w:rPr>
        <w:b w:val="0"/>
      </w:rPr>
    </w:lvl>
    <w:lvl w:ilvl="1" w:tplc="04090001">
      <w:start w:val="1"/>
      <w:numFmt w:val="bullet"/>
      <w:lvlText w:val=""/>
      <w:lvlJc w:val="left"/>
      <w:pPr>
        <w:tabs>
          <w:tab w:val="num" w:pos="1800"/>
        </w:tabs>
        <w:ind w:left="1800" w:hanging="360"/>
      </w:pPr>
      <w:rPr>
        <w:rFonts w:ascii="Symbol" w:hAnsi="Symbol" w:hint="default"/>
        <w:b w:val="0"/>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
    <w:nsid w:val="08FB2C4E"/>
    <w:multiLevelType w:val="hybridMultilevel"/>
    <w:tmpl w:val="ADE80A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0C4F6AED"/>
    <w:multiLevelType w:val="hybridMultilevel"/>
    <w:tmpl w:val="A38A8BB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nsid w:val="1F7578FF"/>
    <w:multiLevelType w:val="hybridMultilevel"/>
    <w:tmpl w:val="205CE8F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46F153DD"/>
    <w:multiLevelType w:val="hybridMultilevel"/>
    <w:tmpl w:val="01E4FA6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5C9467C4"/>
    <w:multiLevelType w:val="hybridMultilevel"/>
    <w:tmpl w:val="3A2ADBC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nsid w:val="5EE719D3"/>
    <w:multiLevelType w:val="hybridMultilevel"/>
    <w:tmpl w:val="B9A2F77C"/>
    <w:lvl w:ilvl="0" w:tplc="E4FAF836">
      <w:start w:val="1"/>
      <w:numFmt w:val="decimal"/>
      <w:pStyle w:val="FERCparanumber"/>
      <w:lvlText w:val="%1."/>
      <w:lvlJc w:val="left"/>
      <w:pPr>
        <w:tabs>
          <w:tab w:val="num" w:pos="720"/>
        </w:tabs>
        <w:ind w:left="0" w:firstLine="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6D860E12"/>
    <w:multiLevelType w:val="hybridMultilevel"/>
    <w:tmpl w:val="799274A4"/>
    <w:lvl w:ilvl="0" w:tplc="AA2ABBCA">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
    <w:nsid w:val="737C3118"/>
    <w:multiLevelType w:val="hybridMultilevel"/>
    <w:tmpl w:val="4BBCFEB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9">
    <w:nsid w:val="7F0706EF"/>
    <w:multiLevelType w:val="hybridMultilevel"/>
    <w:tmpl w:val="611CE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4"/>
  </w:num>
  <w:num w:numId="5">
    <w:abstractNumId w:val="5"/>
  </w:num>
  <w:num w:numId="6">
    <w:abstractNumId w:val="3"/>
  </w:num>
  <w:num w:numId="7">
    <w:abstractNumId w:val="2"/>
  </w:num>
  <w:num w:numId="8">
    <w:abstractNumId w:val="1"/>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FAC"/>
    <w:rsid w:val="00005AE3"/>
    <w:rsid w:val="00035A90"/>
    <w:rsid w:val="000411BD"/>
    <w:rsid w:val="00064662"/>
    <w:rsid w:val="00073C99"/>
    <w:rsid w:val="000A6167"/>
    <w:rsid w:val="000A643C"/>
    <w:rsid w:val="000F173C"/>
    <w:rsid w:val="000F5B7A"/>
    <w:rsid w:val="0010764F"/>
    <w:rsid w:val="001200AD"/>
    <w:rsid w:val="00152B8E"/>
    <w:rsid w:val="00164CE7"/>
    <w:rsid w:val="001668FC"/>
    <w:rsid w:val="00170340"/>
    <w:rsid w:val="00172729"/>
    <w:rsid w:val="00181B91"/>
    <w:rsid w:val="0018468C"/>
    <w:rsid w:val="001A3860"/>
    <w:rsid w:val="001F7C33"/>
    <w:rsid w:val="00233FA1"/>
    <w:rsid w:val="00240430"/>
    <w:rsid w:val="0025378B"/>
    <w:rsid w:val="00256B50"/>
    <w:rsid w:val="00264DC1"/>
    <w:rsid w:val="00275727"/>
    <w:rsid w:val="00277B6A"/>
    <w:rsid w:val="002B4E22"/>
    <w:rsid w:val="002B5E51"/>
    <w:rsid w:val="002B795B"/>
    <w:rsid w:val="002B7FAC"/>
    <w:rsid w:val="002C7E18"/>
    <w:rsid w:val="002F1A0A"/>
    <w:rsid w:val="002F7140"/>
    <w:rsid w:val="00306EB5"/>
    <w:rsid w:val="0031010A"/>
    <w:rsid w:val="00312620"/>
    <w:rsid w:val="003204B8"/>
    <w:rsid w:val="003216C6"/>
    <w:rsid w:val="00345A64"/>
    <w:rsid w:val="00372B94"/>
    <w:rsid w:val="0037616F"/>
    <w:rsid w:val="00384E0C"/>
    <w:rsid w:val="00391D65"/>
    <w:rsid w:val="00396561"/>
    <w:rsid w:val="003B68A3"/>
    <w:rsid w:val="0040689F"/>
    <w:rsid w:val="00414399"/>
    <w:rsid w:val="00446153"/>
    <w:rsid w:val="004516FF"/>
    <w:rsid w:val="00465C68"/>
    <w:rsid w:val="004660FE"/>
    <w:rsid w:val="00476E6A"/>
    <w:rsid w:val="00494F76"/>
    <w:rsid w:val="004A233C"/>
    <w:rsid w:val="004B2289"/>
    <w:rsid w:val="004D1BB7"/>
    <w:rsid w:val="004D3EFE"/>
    <w:rsid w:val="004E0D51"/>
    <w:rsid w:val="004F482D"/>
    <w:rsid w:val="00505CA2"/>
    <w:rsid w:val="0052145A"/>
    <w:rsid w:val="005219DF"/>
    <w:rsid w:val="00540541"/>
    <w:rsid w:val="00544875"/>
    <w:rsid w:val="00551197"/>
    <w:rsid w:val="00573CB4"/>
    <w:rsid w:val="00586545"/>
    <w:rsid w:val="00591B2E"/>
    <w:rsid w:val="005B2276"/>
    <w:rsid w:val="005D7C1B"/>
    <w:rsid w:val="005E0F03"/>
    <w:rsid w:val="005E2C45"/>
    <w:rsid w:val="006066D9"/>
    <w:rsid w:val="0065155D"/>
    <w:rsid w:val="006556CF"/>
    <w:rsid w:val="00657DCD"/>
    <w:rsid w:val="00660E99"/>
    <w:rsid w:val="00673013"/>
    <w:rsid w:val="00691DF4"/>
    <w:rsid w:val="006A0CCC"/>
    <w:rsid w:val="006B6F91"/>
    <w:rsid w:val="006D25C3"/>
    <w:rsid w:val="006F15F1"/>
    <w:rsid w:val="007111E8"/>
    <w:rsid w:val="007179BC"/>
    <w:rsid w:val="00782ABE"/>
    <w:rsid w:val="00790FD0"/>
    <w:rsid w:val="007B005B"/>
    <w:rsid w:val="00834DE8"/>
    <w:rsid w:val="00875286"/>
    <w:rsid w:val="0088056E"/>
    <w:rsid w:val="008B3BB7"/>
    <w:rsid w:val="008B6974"/>
    <w:rsid w:val="008B698C"/>
    <w:rsid w:val="008C28CF"/>
    <w:rsid w:val="008D29CF"/>
    <w:rsid w:val="008E5683"/>
    <w:rsid w:val="008F4B21"/>
    <w:rsid w:val="00914B52"/>
    <w:rsid w:val="00926BBA"/>
    <w:rsid w:val="00937BAB"/>
    <w:rsid w:val="009403F2"/>
    <w:rsid w:val="00960D95"/>
    <w:rsid w:val="00965A2E"/>
    <w:rsid w:val="00967356"/>
    <w:rsid w:val="009800D6"/>
    <w:rsid w:val="009803FC"/>
    <w:rsid w:val="00992358"/>
    <w:rsid w:val="00993237"/>
    <w:rsid w:val="009A62AE"/>
    <w:rsid w:val="009B7AE5"/>
    <w:rsid w:val="009D61BE"/>
    <w:rsid w:val="00A35796"/>
    <w:rsid w:val="00A36922"/>
    <w:rsid w:val="00A44EDF"/>
    <w:rsid w:val="00A66A18"/>
    <w:rsid w:val="00A72676"/>
    <w:rsid w:val="00A7750F"/>
    <w:rsid w:val="00A816E4"/>
    <w:rsid w:val="00A82D1A"/>
    <w:rsid w:val="00AA5D84"/>
    <w:rsid w:val="00AE2BF0"/>
    <w:rsid w:val="00AE7B39"/>
    <w:rsid w:val="00AF31CE"/>
    <w:rsid w:val="00AF5530"/>
    <w:rsid w:val="00B02600"/>
    <w:rsid w:val="00B21311"/>
    <w:rsid w:val="00B33678"/>
    <w:rsid w:val="00B35257"/>
    <w:rsid w:val="00B51AC1"/>
    <w:rsid w:val="00B53692"/>
    <w:rsid w:val="00B55A32"/>
    <w:rsid w:val="00B757C8"/>
    <w:rsid w:val="00B87F76"/>
    <w:rsid w:val="00BA32D8"/>
    <w:rsid w:val="00BD0055"/>
    <w:rsid w:val="00BE1A6A"/>
    <w:rsid w:val="00C01DBF"/>
    <w:rsid w:val="00C236BD"/>
    <w:rsid w:val="00C2572D"/>
    <w:rsid w:val="00C4430F"/>
    <w:rsid w:val="00C74D75"/>
    <w:rsid w:val="00CA1C3D"/>
    <w:rsid w:val="00D16B7B"/>
    <w:rsid w:val="00D27CC7"/>
    <w:rsid w:val="00D30413"/>
    <w:rsid w:val="00D75834"/>
    <w:rsid w:val="00D7699B"/>
    <w:rsid w:val="00DA7458"/>
    <w:rsid w:val="00DD4209"/>
    <w:rsid w:val="00DF1FD7"/>
    <w:rsid w:val="00E07A80"/>
    <w:rsid w:val="00E45485"/>
    <w:rsid w:val="00E578C9"/>
    <w:rsid w:val="00E7496F"/>
    <w:rsid w:val="00E74F7F"/>
    <w:rsid w:val="00E94FA7"/>
    <w:rsid w:val="00EA6370"/>
    <w:rsid w:val="00EA685A"/>
    <w:rsid w:val="00EB3E17"/>
    <w:rsid w:val="00EB788C"/>
    <w:rsid w:val="00ED395F"/>
    <w:rsid w:val="00EF299C"/>
    <w:rsid w:val="00F3756A"/>
    <w:rsid w:val="00F37682"/>
    <w:rsid w:val="00F426BE"/>
    <w:rsid w:val="00F60A39"/>
    <w:rsid w:val="00F84492"/>
    <w:rsid w:val="00FB407E"/>
    <w:rsid w:val="00FD403A"/>
    <w:rsid w:val="00FD7527"/>
    <w:rsid w:val="00FE3FBA"/>
    <w:rsid w:val="00FE64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59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3"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F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o1,fr1,o2,fr2,o3,fr3,Style 13,Style 12,Style 15,Style 17,Style 9,Style 18,(NECG) Footnote Reference,Style 20,Style 7,Styl,Style 8,Style 19,Style 28,Style 11,Style 16,Footnote Reference (EIS),fnr,Footnote reference (EA),Style 30"/>
    <w:rsid w:val="002B7FAC"/>
  </w:style>
  <w:style w:type="paragraph" w:styleId="FootnoteText">
    <w:name w:val="footnote text"/>
    <w:aliases w:val="fn,Footnote Text Char1,Footnote Text Char Char,Footnote Text Char1 Char,Footnote Text Char Char Char,Footnote Text MRP,Footnote Text Char1 Char Char,Footnote Text Char1 Char1,Footnote Text Char3,Footnote Text Char2 Char,ft, Char,Char,fn1"/>
    <w:basedOn w:val="Normal"/>
    <w:link w:val="FootnoteTextChar2"/>
    <w:uiPriority w:val="99"/>
    <w:rsid w:val="002B7FAC"/>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2 Char Char1,Footnote Text Char Char1 Char Char1,Footnote Text Char1 Char Char Char Char1,Footnote Text Char Char Char Char Char Char1,Footnote Text Char1 Char Char Char Char Char Char Char Char1,ft Char1,fn Char1"/>
    <w:basedOn w:val="DefaultParagraphFont"/>
    <w:uiPriority w:val="99"/>
    <w:rsid w:val="002B7FAC"/>
    <w:rPr>
      <w:sz w:val="20"/>
      <w:szCs w:val="20"/>
    </w:rPr>
  </w:style>
  <w:style w:type="character" w:customStyle="1" w:styleId="FootnoteTextChar2">
    <w:name w:val="Footnote Text Char2"/>
    <w:aliases w:val="fn Char,Footnote Text Char1 Char2,Footnote Text Char Char Char1,Footnote Text Char1 Char Char1,Footnote Text Char Char Char Char,Footnote Text MRP Char,Footnote Text Char1 Char Char Char,Footnote Text Char1 Char1 Char,ft Char"/>
    <w:link w:val="FootnoteText"/>
    <w:rsid w:val="002B7FAC"/>
    <w:rPr>
      <w:rFonts w:ascii="Times New Roman" w:eastAsia="Times New Roman" w:hAnsi="Times New Roman" w:cs="Times New Roman"/>
      <w:sz w:val="20"/>
      <w:szCs w:val="20"/>
    </w:rPr>
  </w:style>
  <w:style w:type="character" w:styleId="Hyperlink">
    <w:name w:val="Hyperlink"/>
    <w:basedOn w:val="DefaultParagraphFont"/>
    <w:unhideWhenUsed/>
    <w:rsid w:val="002B7FAC"/>
    <w:rPr>
      <w:color w:val="0000FF"/>
      <w:u w:val="single"/>
    </w:rPr>
  </w:style>
  <w:style w:type="character" w:customStyle="1" w:styleId="FERCparanumberChar1">
    <w:name w:val="FERC paranumber Char1"/>
    <w:basedOn w:val="DefaultParagraphFont"/>
    <w:link w:val="FERCparanumber"/>
    <w:locked/>
    <w:rsid w:val="002B7FAC"/>
    <w:rPr>
      <w:sz w:val="24"/>
      <w:szCs w:val="24"/>
    </w:rPr>
  </w:style>
  <w:style w:type="paragraph" w:customStyle="1" w:styleId="FERCparanumber">
    <w:name w:val="FERC paranumber"/>
    <w:basedOn w:val="Normal"/>
    <w:link w:val="FERCparanumberChar1"/>
    <w:rsid w:val="002B7FAC"/>
    <w:pPr>
      <w:widowControl w:val="0"/>
      <w:numPr>
        <w:numId w:val="1"/>
      </w:numPr>
      <w:autoSpaceDE w:val="0"/>
      <w:autoSpaceDN w:val="0"/>
      <w:adjustRightInd w:val="0"/>
      <w:spacing w:after="0" w:line="240" w:lineRule="auto"/>
    </w:pPr>
    <w:rPr>
      <w:sz w:val="24"/>
      <w:szCs w:val="24"/>
    </w:rPr>
  </w:style>
  <w:style w:type="paragraph" w:styleId="Header">
    <w:name w:val="header"/>
    <w:basedOn w:val="Normal"/>
    <w:link w:val="HeaderChar"/>
    <w:uiPriority w:val="99"/>
    <w:unhideWhenUsed/>
    <w:rsid w:val="002B7F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7FAC"/>
  </w:style>
  <w:style w:type="paragraph" w:styleId="Footer">
    <w:name w:val="footer"/>
    <w:basedOn w:val="Normal"/>
    <w:link w:val="FooterChar"/>
    <w:uiPriority w:val="99"/>
    <w:unhideWhenUsed/>
    <w:rsid w:val="002B7F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7FAC"/>
  </w:style>
  <w:style w:type="paragraph" w:styleId="List3">
    <w:name w:val="List 3"/>
    <w:basedOn w:val="Normal"/>
    <w:unhideWhenUsed/>
    <w:rsid w:val="002B7FAC"/>
    <w:pPr>
      <w:widowControl w:val="0"/>
      <w:autoSpaceDE w:val="0"/>
      <w:autoSpaceDN w:val="0"/>
      <w:adjustRightInd w:val="0"/>
      <w:spacing w:after="0" w:line="240" w:lineRule="auto"/>
      <w:ind w:left="1080" w:hanging="360"/>
    </w:pPr>
    <w:rPr>
      <w:rFonts w:ascii="Times New Roman" w:eastAsia="Times New Roman" w:hAnsi="Times New Roman" w:cs="Times New Roman"/>
      <w:sz w:val="26"/>
      <w:szCs w:val="26"/>
    </w:rPr>
  </w:style>
  <w:style w:type="paragraph" w:styleId="BlockText">
    <w:name w:val="Block Text"/>
    <w:basedOn w:val="Normal"/>
    <w:semiHidden/>
    <w:unhideWhenUsed/>
    <w:rsid w:val="002B7FAC"/>
    <w:pPr>
      <w:widowControl w:val="0"/>
      <w:autoSpaceDE w:val="0"/>
      <w:autoSpaceDN w:val="0"/>
      <w:adjustRightInd w:val="0"/>
      <w:spacing w:after="120" w:line="240" w:lineRule="auto"/>
      <w:ind w:left="1440" w:right="1440"/>
    </w:pPr>
    <w:rPr>
      <w:rFonts w:ascii="Times New Roman" w:eastAsia="Times New Roman" w:hAnsi="Times New Roman" w:cs="Times New Roman"/>
      <w:sz w:val="26"/>
      <w:szCs w:val="26"/>
    </w:rPr>
  </w:style>
  <w:style w:type="paragraph" w:styleId="ListParagraph">
    <w:name w:val="List Paragraph"/>
    <w:basedOn w:val="Normal"/>
    <w:uiPriority w:val="34"/>
    <w:qFormat/>
    <w:rsid w:val="00D27CC7"/>
    <w:pPr>
      <w:ind w:left="720"/>
      <w:contextualSpacing/>
    </w:pPr>
  </w:style>
  <w:style w:type="paragraph" w:styleId="BalloonText">
    <w:name w:val="Balloon Text"/>
    <w:basedOn w:val="Normal"/>
    <w:link w:val="BalloonTextChar"/>
    <w:uiPriority w:val="99"/>
    <w:semiHidden/>
    <w:unhideWhenUsed/>
    <w:rsid w:val="000646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4662"/>
    <w:rPr>
      <w:rFonts w:ascii="Segoe UI" w:hAnsi="Segoe UI" w:cs="Segoe UI"/>
      <w:sz w:val="18"/>
      <w:szCs w:val="18"/>
    </w:rPr>
  </w:style>
  <w:style w:type="character" w:styleId="CommentReference">
    <w:name w:val="annotation reference"/>
    <w:basedOn w:val="DefaultParagraphFont"/>
    <w:uiPriority w:val="99"/>
    <w:semiHidden/>
    <w:unhideWhenUsed/>
    <w:rsid w:val="00834DE8"/>
    <w:rPr>
      <w:sz w:val="16"/>
      <w:szCs w:val="16"/>
    </w:rPr>
  </w:style>
  <w:style w:type="paragraph" w:styleId="CommentText">
    <w:name w:val="annotation text"/>
    <w:basedOn w:val="Normal"/>
    <w:link w:val="CommentTextChar"/>
    <w:uiPriority w:val="99"/>
    <w:semiHidden/>
    <w:unhideWhenUsed/>
    <w:rsid w:val="00834DE8"/>
    <w:pPr>
      <w:spacing w:line="240" w:lineRule="auto"/>
    </w:pPr>
    <w:rPr>
      <w:sz w:val="20"/>
      <w:szCs w:val="20"/>
    </w:rPr>
  </w:style>
  <w:style w:type="character" w:customStyle="1" w:styleId="CommentTextChar">
    <w:name w:val="Comment Text Char"/>
    <w:basedOn w:val="DefaultParagraphFont"/>
    <w:link w:val="CommentText"/>
    <w:uiPriority w:val="99"/>
    <w:semiHidden/>
    <w:rsid w:val="00834DE8"/>
    <w:rPr>
      <w:sz w:val="20"/>
      <w:szCs w:val="20"/>
    </w:rPr>
  </w:style>
  <w:style w:type="paragraph" w:styleId="CommentSubject">
    <w:name w:val="annotation subject"/>
    <w:basedOn w:val="CommentText"/>
    <w:next w:val="CommentText"/>
    <w:link w:val="CommentSubjectChar"/>
    <w:uiPriority w:val="99"/>
    <w:semiHidden/>
    <w:unhideWhenUsed/>
    <w:rsid w:val="00834DE8"/>
    <w:rPr>
      <w:b/>
      <w:bCs/>
    </w:rPr>
  </w:style>
  <w:style w:type="character" w:customStyle="1" w:styleId="CommentSubjectChar">
    <w:name w:val="Comment Subject Char"/>
    <w:basedOn w:val="CommentTextChar"/>
    <w:link w:val="CommentSubject"/>
    <w:uiPriority w:val="99"/>
    <w:semiHidden/>
    <w:rsid w:val="00834DE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List 3"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F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o1,fr1,o2,fr2,o3,fr3,Style 13,Style 12,Style 15,Style 17,Style 9,Style 18,(NECG) Footnote Reference,Style 20,Style 7,Styl,Style 8,Style 19,Style 28,Style 11,Style 16,Footnote Reference (EIS),fnr,Footnote reference (EA),Style 30"/>
    <w:rsid w:val="002B7FAC"/>
  </w:style>
  <w:style w:type="paragraph" w:styleId="FootnoteText">
    <w:name w:val="footnote text"/>
    <w:aliases w:val="fn,Footnote Text Char1,Footnote Text Char Char,Footnote Text Char1 Char,Footnote Text Char Char Char,Footnote Text MRP,Footnote Text Char1 Char Char,Footnote Text Char1 Char1,Footnote Text Char3,Footnote Text Char2 Char,ft, Char,Char,fn1"/>
    <w:basedOn w:val="Normal"/>
    <w:link w:val="FootnoteTextChar2"/>
    <w:uiPriority w:val="99"/>
    <w:rsid w:val="002B7FAC"/>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2 Char Char1,Footnote Text Char Char1 Char Char1,Footnote Text Char1 Char Char Char Char1,Footnote Text Char Char Char Char Char Char1,Footnote Text Char1 Char Char Char Char Char Char Char Char1,ft Char1,fn Char1"/>
    <w:basedOn w:val="DefaultParagraphFont"/>
    <w:uiPriority w:val="99"/>
    <w:rsid w:val="002B7FAC"/>
    <w:rPr>
      <w:sz w:val="20"/>
      <w:szCs w:val="20"/>
    </w:rPr>
  </w:style>
  <w:style w:type="character" w:customStyle="1" w:styleId="FootnoteTextChar2">
    <w:name w:val="Footnote Text Char2"/>
    <w:aliases w:val="fn Char,Footnote Text Char1 Char2,Footnote Text Char Char Char1,Footnote Text Char1 Char Char1,Footnote Text Char Char Char Char,Footnote Text MRP Char,Footnote Text Char1 Char Char Char,Footnote Text Char1 Char1 Char,ft Char"/>
    <w:link w:val="FootnoteText"/>
    <w:rsid w:val="002B7FAC"/>
    <w:rPr>
      <w:rFonts w:ascii="Times New Roman" w:eastAsia="Times New Roman" w:hAnsi="Times New Roman" w:cs="Times New Roman"/>
      <w:sz w:val="20"/>
      <w:szCs w:val="20"/>
    </w:rPr>
  </w:style>
  <w:style w:type="character" w:styleId="Hyperlink">
    <w:name w:val="Hyperlink"/>
    <w:basedOn w:val="DefaultParagraphFont"/>
    <w:unhideWhenUsed/>
    <w:rsid w:val="002B7FAC"/>
    <w:rPr>
      <w:color w:val="0000FF"/>
      <w:u w:val="single"/>
    </w:rPr>
  </w:style>
  <w:style w:type="character" w:customStyle="1" w:styleId="FERCparanumberChar1">
    <w:name w:val="FERC paranumber Char1"/>
    <w:basedOn w:val="DefaultParagraphFont"/>
    <w:link w:val="FERCparanumber"/>
    <w:locked/>
    <w:rsid w:val="002B7FAC"/>
    <w:rPr>
      <w:sz w:val="24"/>
      <w:szCs w:val="24"/>
    </w:rPr>
  </w:style>
  <w:style w:type="paragraph" w:customStyle="1" w:styleId="FERCparanumber">
    <w:name w:val="FERC paranumber"/>
    <w:basedOn w:val="Normal"/>
    <w:link w:val="FERCparanumberChar1"/>
    <w:rsid w:val="002B7FAC"/>
    <w:pPr>
      <w:widowControl w:val="0"/>
      <w:numPr>
        <w:numId w:val="1"/>
      </w:numPr>
      <w:autoSpaceDE w:val="0"/>
      <w:autoSpaceDN w:val="0"/>
      <w:adjustRightInd w:val="0"/>
      <w:spacing w:after="0" w:line="240" w:lineRule="auto"/>
    </w:pPr>
    <w:rPr>
      <w:sz w:val="24"/>
      <w:szCs w:val="24"/>
    </w:rPr>
  </w:style>
  <w:style w:type="paragraph" w:styleId="Header">
    <w:name w:val="header"/>
    <w:basedOn w:val="Normal"/>
    <w:link w:val="HeaderChar"/>
    <w:uiPriority w:val="99"/>
    <w:unhideWhenUsed/>
    <w:rsid w:val="002B7F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7FAC"/>
  </w:style>
  <w:style w:type="paragraph" w:styleId="Footer">
    <w:name w:val="footer"/>
    <w:basedOn w:val="Normal"/>
    <w:link w:val="FooterChar"/>
    <w:uiPriority w:val="99"/>
    <w:unhideWhenUsed/>
    <w:rsid w:val="002B7F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7FAC"/>
  </w:style>
  <w:style w:type="paragraph" w:styleId="List3">
    <w:name w:val="List 3"/>
    <w:basedOn w:val="Normal"/>
    <w:unhideWhenUsed/>
    <w:rsid w:val="002B7FAC"/>
    <w:pPr>
      <w:widowControl w:val="0"/>
      <w:autoSpaceDE w:val="0"/>
      <w:autoSpaceDN w:val="0"/>
      <w:adjustRightInd w:val="0"/>
      <w:spacing w:after="0" w:line="240" w:lineRule="auto"/>
      <w:ind w:left="1080" w:hanging="360"/>
    </w:pPr>
    <w:rPr>
      <w:rFonts w:ascii="Times New Roman" w:eastAsia="Times New Roman" w:hAnsi="Times New Roman" w:cs="Times New Roman"/>
      <w:sz w:val="26"/>
      <w:szCs w:val="26"/>
    </w:rPr>
  </w:style>
  <w:style w:type="paragraph" w:styleId="BlockText">
    <w:name w:val="Block Text"/>
    <w:basedOn w:val="Normal"/>
    <w:semiHidden/>
    <w:unhideWhenUsed/>
    <w:rsid w:val="002B7FAC"/>
    <w:pPr>
      <w:widowControl w:val="0"/>
      <w:autoSpaceDE w:val="0"/>
      <w:autoSpaceDN w:val="0"/>
      <w:adjustRightInd w:val="0"/>
      <w:spacing w:after="120" w:line="240" w:lineRule="auto"/>
      <w:ind w:left="1440" w:right="1440"/>
    </w:pPr>
    <w:rPr>
      <w:rFonts w:ascii="Times New Roman" w:eastAsia="Times New Roman" w:hAnsi="Times New Roman" w:cs="Times New Roman"/>
      <w:sz w:val="26"/>
      <w:szCs w:val="26"/>
    </w:rPr>
  </w:style>
  <w:style w:type="paragraph" w:styleId="ListParagraph">
    <w:name w:val="List Paragraph"/>
    <w:basedOn w:val="Normal"/>
    <w:uiPriority w:val="34"/>
    <w:qFormat/>
    <w:rsid w:val="00D27CC7"/>
    <w:pPr>
      <w:ind w:left="720"/>
      <w:contextualSpacing/>
    </w:pPr>
  </w:style>
  <w:style w:type="paragraph" w:styleId="BalloonText">
    <w:name w:val="Balloon Text"/>
    <w:basedOn w:val="Normal"/>
    <w:link w:val="BalloonTextChar"/>
    <w:uiPriority w:val="99"/>
    <w:semiHidden/>
    <w:unhideWhenUsed/>
    <w:rsid w:val="000646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4662"/>
    <w:rPr>
      <w:rFonts w:ascii="Segoe UI" w:hAnsi="Segoe UI" w:cs="Segoe UI"/>
      <w:sz w:val="18"/>
      <w:szCs w:val="18"/>
    </w:rPr>
  </w:style>
  <w:style w:type="character" w:styleId="CommentReference">
    <w:name w:val="annotation reference"/>
    <w:basedOn w:val="DefaultParagraphFont"/>
    <w:uiPriority w:val="99"/>
    <w:semiHidden/>
    <w:unhideWhenUsed/>
    <w:rsid w:val="00834DE8"/>
    <w:rPr>
      <w:sz w:val="16"/>
      <w:szCs w:val="16"/>
    </w:rPr>
  </w:style>
  <w:style w:type="paragraph" w:styleId="CommentText">
    <w:name w:val="annotation text"/>
    <w:basedOn w:val="Normal"/>
    <w:link w:val="CommentTextChar"/>
    <w:uiPriority w:val="99"/>
    <w:semiHidden/>
    <w:unhideWhenUsed/>
    <w:rsid w:val="00834DE8"/>
    <w:pPr>
      <w:spacing w:line="240" w:lineRule="auto"/>
    </w:pPr>
    <w:rPr>
      <w:sz w:val="20"/>
      <w:szCs w:val="20"/>
    </w:rPr>
  </w:style>
  <w:style w:type="character" w:customStyle="1" w:styleId="CommentTextChar">
    <w:name w:val="Comment Text Char"/>
    <w:basedOn w:val="DefaultParagraphFont"/>
    <w:link w:val="CommentText"/>
    <w:uiPriority w:val="99"/>
    <w:semiHidden/>
    <w:rsid w:val="00834DE8"/>
    <w:rPr>
      <w:sz w:val="20"/>
      <w:szCs w:val="20"/>
    </w:rPr>
  </w:style>
  <w:style w:type="paragraph" w:styleId="CommentSubject">
    <w:name w:val="annotation subject"/>
    <w:basedOn w:val="CommentText"/>
    <w:next w:val="CommentText"/>
    <w:link w:val="CommentSubjectChar"/>
    <w:uiPriority w:val="99"/>
    <w:semiHidden/>
    <w:unhideWhenUsed/>
    <w:rsid w:val="00834DE8"/>
    <w:rPr>
      <w:b/>
      <w:bCs/>
    </w:rPr>
  </w:style>
  <w:style w:type="character" w:customStyle="1" w:styleId="CommentSubjectChar">
    <w:name w:val="Comment Subject Char"/>
    <w:basedOn w:val="CommentTextChar"/>
    <w:link w:val="CommentSubject"/>
    <w:uiPriority w:val="99"/>
    <w:semiHidden/>
    <w:rsid w:val="00834DE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831129">
      <w:bodyDiv w:val="1"/>
      <w:marLeft w:val="0"/>
      <w:marRight w:val="0"/>
      <w:marTop w:val="0"/>
      <w:marBottom w:val="0"/>
      <w:divBdr>
        <w:top w:val="none" w:sz="0" w:space="0" w:color="auto"/>
        <w:left w:val="none" w:sz="0" w:space="0" w:color="auto"/>
        <w:bottom w:val="none" w:sz="0" w:space="0" w:color="auto"/>
        <w:right w:val="none" w:sz="0" w:space="0" w:color="auto"/>
      </w:divBdr>
    </w:div>
    <w:div w:id="191725524">
      <w:bodyDiv w:val="1"/>
      <w:marLeft w:val="0"/>
      <w:marRight w:val="0"/>
      <w:marTop w:val="0"/>
      <w:marBottom w:val="0"/>
      <w:divBdr>
        <w:top w:val="none" w:sz="0" w:space="0" w:color="auto"/>
        <w:left w:val="none" w:sz="0" w:space="0" w:color="auto"/>
        <w:bottom w:val="none" w:sz="0" w:space="0" w:color="auto"/>
        <w:right w:val="none" w:sz="0" w:space="0" w:color="auto"/>
      </w:divBdr>
    </w:div>
    <w:div w:id="456602137">
      <w:bodyDiv w:val="1"/>
      <w:marLeft w:val="0"/>
      <w:marRight w:val="0"/>
      <w:marTop w:val="0"/>
      <w:marBottom w:val="0"/>
      <w:divBdr>
        <w:top w:val="none" w:sz="0" w:space="0" w:color="auto"/>
        <w:left w:val="none" w:sz="0" w:space="0" w:color="auto"/>
        <w:bottom w:val="none" w:sz="0" w:space="0" w:color="auto"/>
        <w:right w:val="none" w:sz="0" w:space="0" w:color="auto"/>
      </w:divBdr>
    </w:div>
    <w:div w:id="547180395">
      <w:bodyDiv w:val="1"/>
      <w:marLeft w:val="0"/>
      <w:marRight w:val="0"/>
      <w:marTop w:val="0"/>
      <w:marBottom w:val="0"/>
      <w:divBdr>
        <w:top w:val="none" w:sz="0" w:space="0" w:color="auto"/>
        <w:left w:val="none" w:sz="0" w:space="0" w:color="auto"/>
        <w:bottom w:val="none" w:sz="0" w:space="0" w:color="auto"/>
        <w:right w:val="none" w:sz="0" w:space="0" w:color="auto"/>
      </w:divBdr>
    </w:div>
    <w:div w:id="573205331">
      <w:bodyDiv w:val="1"/>
      <w:marLeft w:val="0"/>
      <w:marRight w:val="0"/>
      <w:marTop w:val="0"/>
      <w:marBottom w:val="0"/>
      <w:divBdr>
        <w:top w:val="none" w:sz="0" w:space="0" w:color="auto"/>
        <w:left w:val="none" w:sz="0" w:space="0" w:color="auto"/>
        <w:bottom w:val="none" w:sz="0" w:space="0" w:color="auto"/>
        <w:right w:val="none" w:sz="0" w:space="0" w:color="auto"/>
      </w:divBdr>
    </w:div>
    <w:div w:id="652415507">
      <w:bodyDiv w:val="1"/>
      <w:marLeft w:val="0"/>
      <w:marRight w:val="0"/>
      <w:marTop w:val="0"/>
      <w:marBottom w:val="0"/>
      <w:divBdr>
        <w:top w:val="none" w:sz="0" w:space="0" w:color="auto"/>
        <w:left w:val="none" w:sz="0" w:space="0" w:color="auto"/>
        <w:bottom w:val="none" w:sz="0" w:space="0" w:color="auto"/>
        <w:right w:val="none" w:sz="0" w:space="0" w:color="auto"/>
      </w:divBdr>
    </w:div>
    <w:div w:id="717045886">
      <w:bodyDiv w:val="1"/>
      <w:marLeft w:val="0"/>
      <w:marRight w:val="0"/>
      <w:marTop w:val="0"/>
      <w:marBottom w:val="0"/>
      <w:divBdr>
        <w:top w:val="none" w:sz="0" w:space="0" w:color="auto"/>
        <w:left w:val="none" w:sz="0" w:space="0" w:color="auto"/>
        <w:bottom w:val="none" w:sz="0" w:space="0" w:color="auto"/>
        <w:right w:val="none" w:sz="0" w:space="0" w:color="auto"/>
      </w:divBdr>
    </w:div>
    <w:div w:id="746345998">
      <w:bodyDiv w:val="1"/>
      <w:marLeft w:val="0"/>
      <w:marRight w:val="0"/>
      <w:marTop w:val="0"/>
      <w:marBottom w:val="0"/>
      <w:divBdr>
        <w:top w:val="none" w:sz="0" w:space="0" w:color="auto"/>
        <w:left w:val="none" w:sz="0" w:space="0" w:color="auto"/>
        <w:bottom w:val="none" w:sz="0" w:space="0" w:color="auto"/>
        <w:right w:val="none" w:sz="0" w:space="0" w:color="auto"/>
      </w:divBdr>
    </w:div>
    <w:div w:id="990401401">
      <w:bodyDiv w:val="1"/>
      <w:marLeft w:val="0"/>
      <w:marRight w:val="0"/>
      <w:marTop w:val="0"/>
      <w:marBottom w:val="0"/>
      <w:divBdr>
        <w:top w:val="none" w:sz="0" w:space="0" w:color="auto"/>
        <w:left w:val="none" w:sz="0" w:space="0" w:color="auto"/>
        <w:bottom w:val="none" w:sz="0" w:space="0" w:color="auto"/>
        <w:right w:val="none" w:sz="0" w:space="0" w:color="auto"/>
      </w:divBdr>
    </w:div>
    <w:div w:id="1477138708">
      <w:bodyDiv w:val="1"/>
      <w:marLeft w:val="0"/>
      <w:marRight w:val="0"/>
      <w:marTop w:val="0"/>
      <w:marBottom w:val="0"/>
      <w:divBdr>
        <w:top w:val="none" w:sz="0" w:space="0" w:color="auto"/>
        <w:left w:val="none" w:sz="0" w:space="0" w:color="auto"/>
        <w:bottom w:val="none" w:sz="0" w:space="0" w:color="auto"/>
        <w:right w:val="none" w:sz="0" w:space="0" w:color="auto"/>
      </w:divBdr>
    </w:div>
    <w:div w:id="1507205315">
      <w:bodyDiv w:val="1"/>
      <w:marLeft w:val="0"/>
      <w:marRight w:val="0"/>
      <w:marTop w:val="0"/>
      <w:marBottom w:val="0"/>
      <w:divBdr>
        <w:top w:val="none" w:sz="0" w:space="0" w:color="auto"/>
        <w:left w:val="none" w:sz="0" w:space="0" w:color="auto"/>
        <w:bottom w:val="none" w:sz="0" w:space="0" w:color="auto"/>
        <w:right w:val="none" w:sz="0" w:space="0" w:color="auto"/>
      </w:divBdr>
    </w:div>
    <w:div w:id="1981877987">
      <w:bodyDiv w:val="1"/>
      <w:marLeft w:val="0"/>
      <w:marRight w:val="0"/>
      <w:marTop w:val="0"/>
      <w:marBottom w:val="0"/>
      <w:divBdr>
        <w:top w:val="none" w:sz="0" w:space="0" w:color="auto"/>
        <w:left w:val="none" w:sz="0" w:space="0" w:color="auto"/>
        <w:bottom w:val="none" w:sz="0" w:space="0" w:color="auto"/>
        <w:right w:val="none" w:sz="0" w:space="0" w:color="auto"/>
      </w:divBdr>
    </w:div>
    <w:div w:id="2013070926">
      <w:bodyDiv w:val="1"/>
      <w:marLeft w:val="0"/>
      <w:marRight w:val="0"/>
      <w:marTop w:val="0"/>
      <w:marBottom w:val="0"/>
      <w:divBdr>
        <w:top w:val="none" w:sz="0" w:space="0" w:color="auto"/>
        <w:left w:val="none" w:sz="0" w:space="0" w:color="auto"/>
        <w:bottom w:val="none" w:sz="0" w:space="0" w:color="auto"/>
        <w:right w:val="none" w:sz="0" w:space="0" w:color="auto"/>
      </w:divBdr>
    </w:div>
    <w:div w:id="2051802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ferc.gov/docs-filing/info-collections.asp"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library.ferc.gov/idmws/common/OpenNat.asp?fileID=14821150" TargetMode="External"/><Relationship Id="rId1" Type="http://schemas.openxmlformats.org/officeDocument/2006/relationships/hyperlink" Target="https://elibrary.ferc.gov/idmws/common/opennat.asp?fileID=109012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2.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598</_x0031__x002e__x0020_Collection_x0020_Number>
    <Date xmlns="d6eefc7d-9817-4fa6-84d5-3bc009be21b8">2018-02-20T05:00:00+00:00</Date>
    <Status xmlns="d6eefc7d-9817-4fa6-84d5-3bc009be21b8">Final</Status>
    <_x0032__x002e__x0020_Docket_x0020_Number xmlns="d6eefc7d-9817-4fa6-84d5-3bc009be21b8" xsi:nil="true"/>
    <_x0032__x002e__x0020_Collection_x0020_Number xmlns="d6eefc7d-9817-4fa6-84d5-3bc009be21b8" xsi:nil="true"/>
    <_x0031__x002e__x0020_Docket_x0020_Number xmlns="d6eefc7d-9817-4fa6-84d5-3bc009be21b8">IC18-1</_x0031__x002e__x0020_Docket_x0020_Number>
    <_x0033__x002e__x0020_Collection_x0020_Number xmlns="d6eefc7d-9817-4fa6-84d5-3bc009be21b8"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74a4cd09-5f17-433b-814a-38e7e9115d16" ContentTypeId="0x0101" PreviousValue="false"/>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FA77CD-ABBF-4086-9CC6-7D21CB8952D2}">
  <ds:schemaRefs>
    <ds:schemaRef ds:uri="http://schemas.microsoft.com/office/2006/metadata/customXsn"/>
  </ds:schemaRefs>
</ds:datastoreItem>
</file>

<file path=customXml/itemProps2.xml><?xml version="1.0" encoding="utf-8"?>
<ds:datastoreItem xmlns:ds="http://schemas.openxmlformats.org/officeDocument/2006/customXml" ds:itemID="{F5B8AAEB-D744-402F-86A8-947436B1DA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873F00-40CE-40D4-ACAC-BC59D508734C}">
  <ds:schemaRefs>
    <ds:schemaRef ds:uri="http://schemas.microsoft.com/office/2006/documentManagement/types"/>
    <ds:schemaRef ds:uri="http://purl.org/dc/elements/1.1/"/>
    <ds:schemaRef ds:uri="http://schemas.openxmlformats.org/package/2006/metadata/core-properties"/>
    <ds:schemaRef ds:uri="d6eefc7d-9817-4fa6-84d5-3bc009be21b8"/>
    <ds:schemaRef ds:uri="http://purl.org/dc/terms/"/>
    <ds:schemaRef ds:uri="http://www.w3.org/XML/1998/namespace"/>
    <ds:schemaRef ds:uri="http://schemas.microsoft.com/office/infopath/2007/PartnerControl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4CDB3825-25EE-4E2D-95BC-547E66F70277}">
  <ds:schemaRefs>
    <ds:schemaRef ds:uri="http://schemas.microsoft.com/sharepoint/v3/contenttype/forms"/>
  </ds:schemaRefs>
</ds:datastoreItem>
</file>

<file path=customXml/itemProps5.xml><?xml version="1.0" encoding="utf-8"?>
<ds:datastoreItem xmlns:ds="http://schemas.openxmlformats.org/officeDocument/2006/customXml" ds:itemID="{6DB13256-454B-40BF-B527-FE160DEA50ED}">
  <ds:schemaRefs>
    <ds:schemaRef ds:uri="Microsoft.SharePoint.Taxonomy.ContentTypeSync"/>
  </ds:schemaRefs>
</ds:datastoreItem>
</file>

<file path=customXml/itemProps6.xml><?xml version="1.0" encoding="utf-8"?>
<ds:datastoreItem xmlns:ds="http://schemas.openxmlformats.org/officeDocument/2006/customXml" ds:itemID="{1840E14B-D062-4B8C-850B-B41818B395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2046</Words>
  <Characters>11666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Federal Energy Regulatory Commission</Company>
  <LinksUpToDate>false</LinksUpToDate>
  <CharactersWithSpaces>13685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Camilla Ryan</dc:creator>
  <cp:lastModifiedBy>SYSTEM</cp:lastModifiedBy>
  <cp:revision>2</cp:revision>
  <dcterms:created xsi:type="dcterms:W3CDTF">2018-02-20T14:38:00Z</dcterms:created>
  <dcterms:modified xsi:type="dcterms:W3CDTF">2018-02-20T14:38:00Z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y fmtid="{D5CDD505-2E9C-101B-9397-08002B2CF9AE}" pid="3" name="_NewReviewCycle">
    <vt:lpwstr/>
  </property>
</Properties>
</file>