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F14EF8" w14:textId="77777777" w:rsidR="00A2604E" w:rsidRDefault="00A2604E" w:rsidP="00A2604E">
      <w:pPr>
        <w:jc w:val="center"/>
      </w:pPr>
      <w:bookmarkStart w:id="0" w:name="_GoBack"/>
      <w:bookmarkEnd w:id="0"/>
      <w:smartTag w:uri="urn:schemas-microsoft-com:office:smarttags" w:element="place">
        <w:smartTag w:uri="urn:schemas-microsoft-com:office:smarttags" w:element="country-region">
          <w:r>
            <w:t>UNITED STATES OF AMERICA</w:t>
          </w:r>
        </w:smartTag>
      </w:smartTag>
    </w:p>
    <w:p w14:paraId="796F63BF" w14:textId="77777777" w:rsidR="00A2604E" w:rsidRDefault="00A2604E" w:rsidP="00A2604E">
      <w:pPr>
        <w:jc w:val="center"/>
      </w:pPr>
      <w:r>
        <w:t>FEDERAL ENERGY REGULATORY COMMISSION</w:t>
      </w:r>
    </w:p>
    <w:p w14:paraId="4152868E" w14:textId="77777777" w:rsidR="00A2604E" w:rsidRDefault="00A2604E" w:rsidP="00A2604E"/>
    <w:p w14:paraId="1600CC48" w14:textId="26CDE95D" w:rsidR="00A2604E" w:rsidRDefault="00A2604E" w:rsidP="00A2604E">
      <w:pPr>
        <w:jc w:val="center"/>
      </w:pPr>
      <w:r w:rsidRPr="00AC750B">
        <w:t>[Docket No. IC1</w:t>
      </w:r>
      <w:r w:rsidR="00AF349B" w:rsidRPr="00AC750B">
        <w:t>8</w:t>
      </w:r>
      <w:r w:rsidRPr="00AC750B">
        <w:t>-</w:t>
      </w:r>
      <w:r w:rsidR="00AC750B" w:rsidRPr="00AC750B">
        <w:t>1</w:t>
      </w:r>
      <w:r w:rsidRPr="00AC750B">
        <w:t>-000]</w:t>
      </w:r>
    </w:p>
    <w:p w14:paraId="37A99FB4" w14:textId="77777777" w:rsidR="00A2604E" w:rsidRDefault="00A2604E" w:rsidP="00A2604E"/>
    <w:p w14:paraId="0160830D" w14:textId="54A3D6D2" w:rsidR="00A2604E" w:rsidRDefault="00A2604E" w:rsidP="00A2604E">
      <w:pPr>
        <w:jc w:val="center"/>
      </w:pPr>
      <w:r>
        <w:t>COMMISSION INFORMATION COLLECTION ACTIVITIES (FERC-</w:t>
      </w:r>
      <w:r w:rsidR="00AF349B">
        <w:t>598</w:t>
      </w:r>
      <w:r>
        <w:t>);</w:t>
      </w:r>
    </w:p>
    <w:p w14:paraId="6E904836" w14:textId="77777777" w:rsidR="00A2604E" w:rsidRDefault="00A2604E" w:rsidP="00A2604E">
      <w:pPr>
        <w:jc w:val="center"/>
      </w:pPr>
      <w:r>
        <w:t>COMMENT REQUEST; EXTENSION</w:t>
      </w:r>
    </w:p>
    <w:p w14:paraId="6FC67CE5" w14:textId="1157AFF8" w:rsidR="00810D18" w:rsidRDefault="00810D18" w:rsidP="00810D18"/>
    <w:p w14:paraId="3F288A8A" w14:textId="0CF26C44" w:rsidR="00810D18" w:rsidRPr="00A43A4A" w:rsidRDefault="00A43A4A" w:rsidP="00A43A4A">
      <w:pPr>
        <w:jc w:val="center"/>
      </w:pPr>
      <w:r w:rsidRPr="00A43A4A">
        <w:t>(February 13, 2018)</w:t>
      </w:r>
    </w:p>
    <w:p w14:paraId="4B30359C" w14:textId="77777777" w:rsidR="00A43A4A" w:rsidRPr="00A43A4A" w:rsidRDefault="00A43A4A" w:rsidP="00A43A4A"/>
    <w:p w14:paraId="2B06BEDA" w14:textId="77777777" w:rsidR="00A2604E" w:rsidRDefault="00A2604E" w:rsidP="00A2604E">
      <w:r w:rsidRPr="00AB4DBF">
        <w:rPr>
          <w:b/>
        </w:rPr>
        <w:t>AGENCY:</w:t>
      </w:r>
      <w:r w:rsidRPr="00AB4DBF">
        <w:t xml:space="preserve">  Federal Energy Regulatory Commission.</w:t>
      </w:r>
    </w:p>
    <w:p w14:paraId="3CD46B7D" w14:textId="77777777" w:rsidR="00A2604E" w:rsidRPr="00AB4DBF" w:rsidRDefault="00A2604E" w:rsidP="00A2604E"/>
    <w:p w14:paraId="3C2C8063" w14:textId="77777777" w:rsidR="00A2604E" w:rsidRDefault="00A2604E" w:rsidP="00A2604E">
      <w:pPr>
        <w:spacing w:line="480" w:lineRule="auto"/>
      </w:pPr>
      <w:r w:rsidRPr="00CE64F2">
        <w:rPr>
          <w:b/>
        </w:rPr>
        <w:t>ACTION:</w:t>
      </w:r>
      <w:r>
        <w:t xml:space="preserve">  Notice of information collection and request for comments.</w:t>
      </w:r>
    </w:p>
    <w:p w14:paraId="124637F9" w14:textId="24D5C37B" w:rsidR="00A2604E" w:rsidRDefault="00A2604E" w:rsidP="00A2604E">
      <w:pPr>
        <w:spacing w:line="480" w:lineRule="auto"/>
      </w:pPr>
      <w:r w:rsidRPr="00CE64F2">
        <w:rPr>
          <w:b/>
        </w:rPr>
        <w:t>SUMMARY:</w:t>
      </w:r>
      <w:r>
        <w:t xml:space="preserve">  In compliance with the requirements of the Paperwork Reduction Act of 1995, 44 USC 3506(c)(2)(A), the Federal Energy Regulatory Commission (Commission or FERC) is soliciting public comment on the currently approved information collection, </w:t>
      </w:r>
      <w:r w:rsidR="00A713D0" w:rsidRPr="00A713D0">
        <w:t xml:space="preserve">FERC-598 </w:t>
      </w:r>
      <w:r w:rsidR="00A713D0">
        <w:t>(</w:t>
      </w:r>
      <w:r w:rsidR="00A713D0" w:rsidRPr="00A713D0">
        <w:t>Self-Certification for Entities Seeking Exempt Wholesale Generator Status or Foreign Utility Company Status</w:t>
      </w:r>
      <w:r w:rsidR="00A713D0">
        <w:t>)</w:t>
      </w:r>
      <w:r w:rsidR="00642602" w:rsidRPr="00642602">
        <w:t xml:space="preserve"> and submitting the information collection to the Office of Management and Budget (OMB) for review.  Any interested person may file comments directly with OMB and should address a copy of those comments to the Commission as explained below. The Commission published a Notice in the Federal Register in </w:t>
      </w:r>
      <w:r w:rsidR="00642602" w:rsidRPr="00E13A02">
        <w:t>Docket No. IC18-1-000 (82 FR 58191, 12/11/2017) requesting public comments.  FERC received no comments in response to the Notice and is indicating that in its submittal to the OMB.</w:t>
      </w:r>
      <w:r>
        <w:t xml:space="preserve"> </w:t>
      </w:r>
    </w:p>
    <w:p w14:paraId="442CCE36" w14:textId="77777777" w:rsidR="007C1916" w:rsidRPr="007C1916" w:rsidRDefault="00A2604E" w:rsidP="007C1916">
      <w:pPr>
        <w:spacing w:line="480" w:lineRule="auto"/>
      </w:pPr>
      <w:r w:rsidRPr="00CE64F2">
        <w:rPr>
          <w:b/>
        </w:rPr>
        <w:t>DATES:</w:t>
      </w:r>
      <w:r>
        <w:t xml:space="preserve">  Comments on the collection of information are due </w:t>
      </w:r>
      <w:bookmarkStart w:id="1" w:name="OLE_LINK1"/>
      <w:r w:rsidR="007C1916" w:rsidRPr="007C1916">
        <w:rPr>
          <w:b/>
        </w:rPr>
        <w:t>[Insert Date that is 30 days after publication in the Federal Register].</w:t>
      </w:r>
      <w:r w:rsidR="007C1916" w:rsidRPr="007C1916">
        <w:t xml:space="preserve"> </w:t>
      </w:r>
    </w:p>
    <w:p w14:paraId="05EFC9C8" w14:textId="0E49E212" w:rsidR="007C1916" w:rsidRPr="007C1916" w:rsidRDefault="007C1916" w:rsidP="007C1916">
      <w:pPr>
        <w:spacing w:line="480" w:lineRule="auto"/>
      </w:pPr>
      <w:r w:rsidRPr="007C1916">
        <w:rPr>
          <w:b/>
        </w:rPr>
        <w:t>ADDRESSES:</w:t>
      </w:r>
      <w:r w:rsidRPr="007C1916">
        <w:t xml:space="preserve">  Comments filed with OMB, identified by OMB Control No. 1902-0166, should be sent via email to the Office of Information and Regulatory Affairs: </w:t>
      </w:r>
      <w:hyperlink r:id="rId14" w:history="1">
        <w:r w:rsidRPr="007C1916">
          <w:rPr>
            <w:rStyle w:val="Hyperlink"/>
          </w:rPr>
          <w:t>oira_submission@omb.gov</w:t>
        </w:r>
      </w:hyperlink>
      <w:r w:rsidRPr="007C1916">
        <w:t>.  Attention: Federal Energy Regulatory Commission Desk Officer.  The Desk Officer may also be reached via telephone at 202-395-0710.</w:t>
      </w:r>
    </w:p>
    <w:p w14:paraId="5B1CC12A" w14:textId="5E96D753" w:rsidR="007C1916" w:rsidRPr="007C1916" w:rsidRDefault="007C1916" w:rsidP="007C1916">
      <w:pPr>
        <w:spacing w:line="480" w:lineRule="auto"/>
      </w:pPr>
      <w:r w:rsidRPr="007C1916">
        <w:t xml:space="preserve">A copy of the comments should also be sent to the Commission, in Docket No. </w:t>
      </w:r>
      <w:r>
        <w:t>IC18-1</w:t>
      </w:r>
      <w:r w:rsidRPr="007C1916">
        <w:t>, by either of the following methods:</w:t>
      </w:r>
    </w:p>
    <w:p w14:paraId="792B5B58" w14:textId="77777777" w:rsidR="007C1916" w:rsidRPr="007C1916" w:rsidRDefault="007C1916" w:rsidP="007C1916">
      <w:pPr>
        <w:numPr>
          <w:ilvl w:val="0"/>
          <w:numId w:val="2"/>
        </w:numPr>
        <w:tabs>
          <w:tab w:val="num" w:pos="1080"/>
        </w:tabs>
        <w:spacing w:line="480" w:lineRule="auto"/>
      </w:pPr>
      <w:r w:rsidRPr="007C1916">
        <w:t xml:space="preserve">eFiling at Commission’s Web Site: </w:t>
      </w:r>
      <w:hyperlink r:id="rId15" w:history="1">
        <w:r w:rsidRPr="007C1916">
          <w:rPr>
            <w:rStyle w:val="Hyperlink"/>
          </w:rPr>
          <w:t>http://www.ferc.gov/docs-filing/efiling.asp</w:t>
        </w:r>
      </w:hyperlink>
    </w:p>
    <w:p w14:paraId="0F5C3F2D" w14:textId="77777777" w:rsidR="007C1916" w:rsidRPr="007C1916" w:rsidRDefault="007C1916" w:rsidP="007C1916">
      <w:pPr>
        <w:numPr>
          <w:ilvl w:val="0"/>
          <w:numId w:val="2"/>
        </w:numPr>
        <w:tabs>
          <w:tab w:val="num" w:pos="1080"/>
        </w:tabs>
        <w:spacing w:line="480" w:lineRule="auto"/>
      </w:pPr>
      <w:r w:rsidRPr="007C1916">
        <w:t>Mail/Hand Delivery/Courier: Federal Energy Regulatory Commission, Secretary of the Commission, 888 First Street, NE, Washington, DC 20426.</w:t>
      </w:r>
    </w:p>
    <w:p w14:paraId="72FFFB84" w14:textId="40F9A49C" w:rsidR="00A2604E" w:rsidRDefault="00A2604E" w:rsidP="007C1916">
      <w:pPr>
        <w:spacing w:line="480" w:lineRule="auto"/>
      </w:pPr>
      <w:r>
        <w:rPr>
          <w:i/>
        </w:rPr>
        <w:t xml:space="preserve">Instructions: </w:t>
      </w:r>
      <w:r>
        <w:t xml:space="preserve">All submissions must be formatted and filed in accordance with submission guidelines at: </w:t>
      </w:r>
      <w:hyperlink r:id="rId16" w:history="1">
        <w:r w:rsidRPr="00866BB4">
          <w:rPr>
            <w:rStyle w:val="Hyperlink"/>
          </w:rPr>
          <w:t>http://www.ferc.gov/help/submission-guide.asp</w:t>
        </w:r>
      </w:hyperlink>
      <w:r>
        <w:t>.  For user assistance</w:t>
      </w:r>
      <w:r w:rsidR="00BF2D74">
        <w:t>,</w:t>
      </w:r>
      <w:r>
        <w:t xml:space="preserve"> contact FERC Online Support by e-mail at ferconlinesupport@ferc.gov, or by phone at:  (866) 208-3676 (toll-free), or (202) 502-8659 for TTY.</w:t>
      </w:r>
    </w:p>
    <w:p w14:paraId="6160E432" w14:textId="77777777" w:rsidR="00A2604E" w:rsidRPr="00241BFD" w:rsidRDefault="00A2604E" w:rsidP="00A2604E">
      <w:pPr>
        <w:spacing w:line="480" w:lineRule="auto"/>
      </w:pPr>
      <w:r>
        <w:rPr>
          <w:i/>
        </w:rPr>
        <w:t>Docket:</w:t>
      </w:r>
      <w:r>
        <w:t xml:space="preserve"> Users interested in receiving automatic notification of activity in this docket or in viewing/downloading comments and issuances in this docket may do so at </w:t>
      </w:r>
      <w:hyperlink r:id="rId17" w:history="1">
        <w:r w:rsidRPr="0057675D">
          <w:rPr>
            <w:rStyle w:val="Hyperlink"/>
          </w:rPr>
          <w:t>http://www.ferc.gov/docs-filing/docs-filing.asp</w:t>
        </w:r>
      </w:hyperlink>
      <w:r>
        <w:t xml:space="preserve">. </w:t>
      </w:r>
    </w:p>
    <w:bookmarkEnd w:id="1"/>
    <w:p w14:paraId="5D1F4BEC" w14:textId="77777777" w:rsidR="00A2604E" w:rsidRDefault="00A2604E" w:rsidP="00A2604E">
      <w:pPr>
        <w:spacing w:line="480" w:lineRule="auto"/>
      </w:pPr>
      <w:r w:rsidRPr="00656DF0">
        <w:rPr>
          <w:b/>
        </w:rPr>
        <w:t>FOR FURTHER INFORMATION:</w:t>
      </w:r>
      <w:r>
        <w:t xml:space="preserve">  </w:t>
      </w:r>
      <w:smartTag w:uri="urn:schemas-microsoft-com:office:smarttags" w:element="PersonName">
        <w:r w:rsidRPr="007731D6">
          <w:t>Ellen Brown</w:t>
        </w:r>
      </w:smartTag>
      <w:r>
        <w:t xml:space="preserve"> may be reached by e-mail at </w:t>
      </w:r>
      <w:hyperlink r:id="rId18" w:history="1">
        <w:r w:rsidRPr="00006D4B">
          <w:rPr>
            <w:rStyle w:val="Hyperlink"/>
          </w:rPr>
          <w:t>DataClearance@FERC.gov</w:t>
        </w:r>
      </w:hyperlink>
      <w:r>
        <w:t>, telephone at (202) 502-8663, and fax at (202) 273-0873.</w:t>
      </w:r>
    </w:p>
    <w:p w14:paraId="6614759F" w14:textId="34FA9396" w:rsidR="00A2604E" w:rsidRPr="00853ABC" w:rsidRDefault="00A2604E" w:rsidP="00C1124F">
      <w:pPr>
        <w:tabs>
          <w:tab w:val="left" w:pos="7880"/>
        </w:tabs>
        <w:spacing w:line="480" w:lineRule="auto"/>
      </w:pPr>
      <w:r>
        <w:t xml:space="preserve"> </w:t>
      </w:r>
      <w:r w:rsidRPr="001C3703">
        <w:rPr>
          <w:b/>
        </w:rPr>
        <w:t>SUPPLEMENTARY INFORMATION:</w:t>
      </w:r>
      <w:r>
        <w:t xml:space="preserve">  </w:t>
      </w:r>
    </w:p>
    <w:p w14:paraId="0F6EFDC4" w14:textId="38A054E5" w:rsidR="00B01B16" w:rsidRDefault="00B01B16" w:rsidP="00B01B16">
      <w:pPr>
        <w:spacing w:line="480" w:lineRule="auto"/>
        <w:rPr>
          <w:i/>
        </w:rPr>
      </w:pPr>
      <w:r>
        <w:rPr>
          <w:i/>
        </w:rPr>
        <w:t xml:space="preserve">Title: </w:t>
      </w:r>
      <w:r w:rsidR="00C1124F" w:rsidRPr="00C1124F">
        <w:t>FERC-598, Self-Certification for Entities Seeking Exempt Wholesale Generator Status or Foreign Utility Company Status</w:t>
      </w:r>
    </w:p>
    <w:p w14:paraId="300A0888" w14:textId="23AFCFFC" w:rsidR="00B01B16" w:rsidRDefault="00B01B16" w:rsidP="00B01B16">
      <w:pPr>
        <w:spacing w:line="480" w:lineRule="auto"/>
      </w:pPr>
      <w:r>
        <w:rPr>
          <w:i/>
        </w:rPr>
        <w:t>OMB Control No.:</w:t>
      </w:r>
      <w:r w:rsidRPr="00F50EDA">
        <w:t xml:space="preserve"> </w:t>
      </w:r>
      <w:r w:rsidR="00C1124F" w:rsidRPr="00C1124F">
        <w:t>1902-0166</w:t>
      </w:r>
    </w:p>
    <w:p w14:paraId="0BF60DB5" w14:textId="21E13ED3" w:rsidR="00B01B16" w:rsidRPr="00B5364C" w:rsidRDefault="00B01B16" w:rsidP="00B01B16">
      <w:pPr>
        <w:spacing w:line="480" w:lineRule="auto"/>
      </w:pPr>
      <w:r>
        <w:rPr>
          <w:i/>
        </w:rPr>
        <w:t>Type of Request:</w:t>
      </w:r>
      <w:r>
        <w:t xml:space="preserve"> Three-year extension of the FERC-</w:t>
      </w:r>
      <w:r w:rsidR="00C1124F">
        <w:t>598</w:t>
      </w:r>
      <w:r>
        <w:t xml:space="preserve"> information collection requirements with no changes to the current reporting requirements. </w:t>
      </w:r>
    </w:p>
    <w:p w14:paraId="1899AB33" w14:textId="77777777" w:rsidR="00637F43" w:rsidRPr="00637F43" w:rsidRDefault="00B01B16" w:rsidP="00637F43">
      <w:pPr>
        <w:spacing w:line="480" w:lineRule="auto"/>
        <w:rPr>
          <w:bCs/>
        </w:rPr>
      </w:pPr>
      <w:r>
        <w:rPr>
          <w:i/>
        </w:rPr>
        <w:t xml:space="preserve">Abstract: </w:t>
      </w:r>
      <w:r w:rsidR="00637F43" w:rsidRPr="00637F43">
        <w:rPr>
          <w:bCs/>
        </w:rPr>
        <w:t>The Commission uses the data in</w:t>
      </w:r>
      <w:r w:rsidR="00637F43" w:rsidRPr="00637F43">
        <w:t xml:space="preserve"> the FERC-598 information collection to implement the statutory provisions of Title XII, subtitle F of the Energy Policy Act of 2005 (EPAct 2005).</w:t>
      </w:r>
      <w:r w:rsidR="00637F43" w:rsidRPr="00637F43">
        <w:rPr>
          <w:b/>
          <w:vertAlign w:val="superscript"/>
        </w:rPr>
        <w:footnoteReference w:id="1"/>
      </w:r>
      <w:r w:rsidR="00637F43" w:rsidRPr="00637F43">
        <w:t xml:space="preserve"> </w:t>
      </w:r>
    </w:p>
    <w:p w14:paraId="5A497820" w14:textId="0F2507EA" w:rsidR="00637F43" w:rsidRPr="00637F43" w:rsidRDefault="00637F43" w:rsidP="00637F43">
      <w:pPr>
        <w:spacing w:line="480" w:lineRule="auto"/>
      </w:pPr>
      <w:r w:rsidRPr="00637F43">
        <w:tab/>
        <w:t>EPAct 2005 repealed the Public Utility Holding Company Act of 1935 (PUHCA 1935),</w:t>
      </w:r>
      <w:r w:rsidRPr="00637F43">
        <w:rPr>
          <w:b/>
          <w:szCs w:val="26"/>
          <w:vertAlign w:val="superscript"/>
        </w:rPr>
        <w:footnoteReference w:id="2"/>
      </w:r>
      <w:r w:rsidRPr="00637F43">
        <w:t xml:space="preserve"> and adopted in its place the Public Utility Holding Company Act of 2005 (PUHCA 2005).</w:t>
      </w:r>
      <w:r w:rsidRPr="00637F43">
        <w:rPr>
          <w:b/>
          <w:szCs w:val="26"/>
          <w:vertAlign w:val="superscript"/>
        </w:rPr>
        <w:footnoteReference w:id="3"/>
      </w:r>
      <w:r w:rsidRPr="00637F43">
        <w:t xml:space="preserve">  While providing for the Commission’s regulation of holding companies, PUHCA 2005 also provided an exemption from such regulation for those holding companies that are subject to Commission regulation as holding companies solely due to their holding exempt wholesale generators (EWG) and foreign utility companies (FUCO).</w:t>
      </w:r>
      <w:r w:rsidRPr="00637F43">
        <w:rPr>
          <w:b/>
          <w:szCs w:val="26"/>
          <w:vertAlign w:val="superscript"/>
        </w:rPr>
        <w:footnoteReference w:id="4"/>
      </w:r>
      <w:r w:rsidRPr="00637F43">
        <w:t xml:space="preserve">  To carry out this statutory directive, the Commission amended its regulations (in Order No. 667</w:t>
      </w:r>
      <w:r w:rsidRPr="00637F43">
        <w:rPr>
          <w:b/>
          <w:vertAlign w:val="superscript"/>
        </w:rPr>
        <w:t xml:space="preserve"> </w:t>
      </w:r>
      <w:r w:rsidRPr="00637F43">
        <w:rPr>
          <w:b/>
          <w:vertAlign w:val="superscript"/>
        </w:rPr>
        <w:footnoteReference w:id="5"/>
      </w:r>
      <w:r w:rsidRPr="00637F43">
        <w:t>) to, among other things, add procedures for not only defining what entities would qualify as EWGs and FUCOs, but also the self-certification by entities seeking EWG and FUCO status, coupled with the self-certification of the exemption of their holding companies, in turn, from Commission regulation.</w:t>
      </w:r>
      <w:r w:rsidRPr="00637F43">
        <w:rPr>
          <w:b/>
          <w:szCs w:val="26"/>
          <w:vertAlign w:val="superscript"/>
        </w:rPr>
        <w:footnoteReference w:id="6"/>
      </w:r>
      <w:r w:rsidRPr="00637F43">
        <w:t xml:space="preserve">  This self-certification for EWGs and FUCOs is similar to the process available to entities that seek qualifying facility status.</w:t>
      </w:r>
      <w:r w:rsidRPr="00637F43">
        <w:rPr>
          <w:b/>
          <w:szCs w:val="26"/>
          <w:vertAlign w:val="superscript"/>
        </w:rPr>
        <w:footnoteReference w:id="7"/>
      </w:r>
      <w:r w:rsidRPr="00637F43">
        <w:t xml:space="preserve">  </w:t>
      </w:r>
    </w:p>
    <w:p w14:paraId="4F925118" w14:textId="77777777" w:rsidR="00637F43" w:rsidRPr="00637F43" w:rsidRDefault="00637F43" w:rsidP="00637F43">
      <w:pPr>
        <w:spacing w:line="480" w:lineRule="auto"/>
      </w:pPr>
      <w:r w:rsidRPr="00637F43">
        <w:tab/>
        <w:t>An EWG is defined as “any person engaged directly, or indirectly through one or more affiliates …and exclusively in the business of owning or operating, or both owning and operating, all or part of one or more eligible facilities and selling electric energy at wholesale.”</w:t>
      </w:r>
      <w:bookmarkStart w:id="2" w:name="_Ref400343159"/>
      <w:r w:rsidRPr="00637F43">
        <w:rPr>
          <w:b/>
          <w:vertAlign w:val="superscript"/>
        </w:rPr>
        <w:footnoteReference w:id="8"/>
      </w:r>
      <w:bookmarkEnd w:id="2"/>
      <w:r w:rsidRPr="00637F43">
        <w:t xml:space="preserve">  A FUCO is defined as “any company that owns or operates facilities that are not located in any state and that are used for the generation, transmission, or distribution of electric energy for sale or the distribution at retail of natural or manufactured gas for heat, light, or power,  if such company:  (1) derives no part of its income, directly or indirectly, from the generation, transmission, or distribution of electric energy for sale or the distribution at retail of natural or manufactured gas for heat, light, or power, within the United States; and (2) [n]either the company nor any of its subsidiary companies is a public-utility company operating in the United States.”</w:t>
      </w:r>
      <w:r w:rsidRPr="00637F43">
        <w:rPr>
          <w:b/>
          <w:szCs w:val="26"/>
          <w:vertAlign w:val="superscript"/>
        </w:rPr>
        <w:footnoteReference w:id="9"/>
      </w:r>
    </w:p>
    <w:p w14:paraId="3B3DEE05" w14:textId="77777777" w:rsidR="00637F43" w:rsidRPr="00637F43" w:rsidRDefault="00637F43" w:rsidP="00637F43">
      <w:pPr>
        <w:spacing w:line="480" w:lineRule="auto"/>
      </w:pPr>
      <w:r w:rsidRPr="00637F43">
        <w:tab/>
        <w:t>An EWG, FUCO, or its representative seeking to self-certify its status as an EWG or FUCO must file with the Commission a notice of self-certification (FERC-598) demonstrating that it satisfies the definition of EWG or FUCO.  In the case of EWGs, the person filing a notice of self-certification must also file a copy of the notice of self-certification with the state regulatory authority of the state in which the facility is located and that person must also represent to the Commission in its submission that it has filed a copy of the notice with the appropriate state regulatory authority.</w:t>
      </w:r>
      <w:r w:rsidRPr="00637F43">
        <w:rPr>
          <w:b/>
          <w:vertAlign w:val="superscript"/>
        </w:rPr>
        <w:footnoteReference w:id="10"/>
      </w:r>
      <w:r w:rsidRPr="00637F43">
        <w:t xml:space="preserve">  </w:t>
      </w:r>
    </w:p>
    <w:p w14:paraId="51E109A9" w14:textId="77777777" w:rsidR="00637F43" w:rsidRPr="00637F43" w:rsidRDefault="00637F43" w:rsidP="00637F43">
      <w:pPr>
        <w:spacing w:line="480" w:lineRule="auto"/>
      </w:pPr>
      <w:r w:rsidRPr="00637F43">
        <w:tab/>
        <w:t>Submission of the information collected by FERC-598 is necessary for the Commission to carry out its responsibilities under section 1266(a) of EPAct 2005.</w:t>
      </w:r>
      <w:r w:rsidRPr="00637F43">
        <w:rPr>
          <w:b/>
          <w:vertAlign w:val="superscript"/>
        </w:rPr>
        <w:footnoteReference w:id="11"/>
      </w:r>
      <w:r w:rsidRPr="00637F43">
        <w:t xml:space="preserve">   The Commission implements its responsibilities through the Code of Federal Regulations (CFR), Title 18, Part 366.  These filing requirements are mandatory for entities seeking to self-certify their EWG or FUCO status, in order to, in turn, exempt their holding companies from Commission regulation.</w:t>
      </w:r>
    </w:p>
    <w:p w14:paraId="6A3E1192" w14:textId="74751822" w:rsidR="00B01B16" w:rsidRPr="009679E3" w:rsidRDefault="00B01B16" w:rsidP="00B01B16">
      <w:pPr>
        <w:spacing w:line="480" w:lineRule="auto"/>
      </w:pPr>
      <w:r>
        <w:rPr>
          <w:i/>
        </w:rPr>
        <w:t xml:space="preserve">Type of Respondents: </w:t>
      </w:r>
      <w:r w:rsidR="00637F43" w:rsidRPr="00637F43">
        <w:t>EWGs and FUCOs</w:t>
      </w:r>
      <w:r>
        <w:t>.</w:t>
      </w:r>
    </w:p>
    <w:p w14:paraId="6A34FF7A" w14:textId="4F636D54" w:rsidR="00156BBB" w:rsidRDefault="00B01B16" w:rsidP="00B01B16">
      <w:pPr>
        <w:spacing w:line="480" w:lineRule="auto"/>
      </w:pPr>
      <w:r>
        <w:rPr>
          <w:i/>
        </w:rPr>
        <w:t>Estimate of Annual Burden</w:t>
      </w:r>
      <w:r>
        <w:rPr>
          <w:rStyle w:val="FootnoteReference"/>
          <w:i/>
        </w:rPr>
        <w:footnoteReference w:id="12"/>
      </w:r>
      <w:r>
        <w:rPr>
          <w:i/>
        </w:rPr>
        <w:t xml:space="preserve">: </w:t>
      </w:r>
      <w:r>
        <w:t xml:space="preserve">The Commission estimates the total </w:t>
      </w:r>
      <w:r w:rsidR="00EA689F">
        <w:t>annual b</w:t>
      </w:r>
      <w:r>
        <w:t xml:space="preserve">urden </w:t>
      </w:r>
      <w:r w:rsidR="00EA689F">
        <w:t>and cost</w:t>
      </w:r>
      <w:r w:rsidR="00EA689F">
        <w:rPr>
          <w:rStyle w:val="FootnoteReference"/>
        </w:rPr>
        <w:footnoteReference w:id="13"/>
      </w:r>
      <w:r w:rsidR="00EA689F">
        <w:t xml:space="preserve"> </w:t>
      </w:r>
      <w:r>
        <w:t>for this information collection as</w:t>
      </w:r>
      <w:r w:rsidR="00EA689F">
        <w:t xml:space="preserve"> follows.</w:t>
      </w:r>
    </w:p>
    <w:tbl>
      <w:tblPr>
        <w:tblW w:w="4411"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7"/>
        <w:gridCol w:w="1527"/>
        <w:gridCol w:w="1441"/>
        <w:gridCol w:w="1342"/>
        <w:gridCol w:w="1347"/>
        <w:gridCol w:w="1264"/>
      </w:tblGrid>
      <w:tr w:rsidR="00637F43" w:rsidRPr="00637F43" w14:paraId="1A314777" w14:textId="77777777" w:rsidTr="00246A07">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hideMark/>
          </w:tcPr>
          <w:p w14:paraId="3A20DFAA" w14:textId="77777777" w:rsidR="00637F43" w:rsidRPr="00637F43" w:rsidRDefault="00637F43" w:rsidP="00637F43">
            <w:pPr>
              <w:jc w:val="center"/>
              <w:rPr>
                <w:rFonts w:eastAsia="Calibri"/>
                <w:b/>
                <w:sz w:val="20"/>
                <w:szCs w:val="20"/>
              </w:rPr>
            </w:pPr>
            <w:r w:rsidRPr="00637F43">
              <w:rPr>
                <w:rFonts w:eastAsia="Calibri"/>
                <w:b/>
                <w:sz w:val="20"/>
                <w:szCs w:val="20"/>
              </w:rPr>
              <w:t>FERC-598  (Self-Certification for Entities Seeking Exempt Wholesale Generator Status or Foreign Utility Company Status)</w:t>
            </w:r>
          </w:p>
        </w:tc>
      </w:tr>
      <w:tr w:rsidR="00637F43" w:rsidRPr="00637F43" w14:paraId="094BA889" w14:textId="77777777" w:rsidTr="00246A07">
        <w:trPr>
          <w:cantSplit/>
        </w:trPr>
        <w:tc>
          <w:tcPr>
            <w:tcW w:w="904"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6F8F5760" w14:textId="77777777" w:rsidR="00637F43" w:rsidRPr="00637F43" w:rsidRDefault="00637F43" w:rsidP="00637F43">
            <w:pPr>
              <w:jc w:val="center"/>
              <w:rPr>
                <w:rFonts w:eastAsia="Calibri"/>
                <w:b/>
                <w:sz w:val="20"/>
                <w:szCs w:val="20"/>
              </w:rPr>
            </w:pPr>
            <w:r w:rsidRPr="00637F43">
              <w:rPr>
                <w:rFonts w:eastAsia="Calibri"/>
                <w:b/>
                <w:sz w:val="20"/>
                <w:szCs w:val="20"/>
              </w:rPr>
              <w:t>Number of Respondents (EWGs and FUCOs)</w:t>
            </w:r>
          </w:p>
          <w:p w14:paraId="6917F216" w14:textId="77777777" w:rsidR="00637F43" w:rsidRPr="00637F43" w:rsidRDefault="00637F43" w:rsidP="00637F43">
            <w:pPr>
              <w:jc w:val="center"/>
              <w:rPr>
                <w:rFonts w:eastAsia="Calibri"/>
                <w:b/>
                <w:sz w:val="20"/>
                <w:szCs w:val="20"/>
              </w:rPr>
            </w:pPr>
            <w:r w:rsidRPr="00637F43">
              <w:rPr>
                <w:rFonts w:eastAsia="Calibri"/>
                <w:b/>
                <w:sz w:val="20"/>
                <w:szCs w:val="20"/>
              </w:rPr>
              <w:t>(1)</w:t>
            </w:r>
          </w:p>
        </w:tc>
        <w:tc>
          <w:tcPr>
            <w:tcW w:w="904"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56AF2BB4" w14:textId="77777777" w:rsidR="00637F43" w:rsidRPr="00637F43" w:rsidRDefault="00637F43" w:rsidP="00637F43">
            <w:pPr>
              <w:jc w:val="center"/>
              <w:rPr>
                <w:rFonts w:eastAsia="Calibri"/>
                <w:b/>
                <w:sz w:val="20"/>
                <w:szCs w:val="20"/>
              </w:rPr>
            </w:pPr>
            <w:r w:rsidRPr="00637F43">
              <w:rPr>
                <w:rFonts w:eastAsia="Calibri"/>
                <w:b/>
                <w:sz w:val="20"/>
                <w:szCs w:val="20"/>
              </w:rPr>
              <w:t>Annual Number of Responses per Respondent</w:t>
            </w:r>
          </w:p>
          <w:p w14:paraId="192C7FF2" w14:textId="77777777" w:rsidR="00637F43" w:rsidRPr="00637F43" w:rsidRDefault="00637F43" w:rsidP="00637F43">
            <w:pPr>
              <w:jc w:val="center"/>
              <w:rPr>
                <w:rFonts w:eastAsia="Calibri"/>
                <w:b/>
                <w:sz w:val="20"/>
                <w:szCs w:val="20"/>
              </w:rPr>
            </w:pPr>
            <w:r w:rsidRPr="00637F43">
              <w:rPr>
                <w:rFonts w:eastAsia="Calibri"/>
                <w:b/>
                <w:sz w:val="20"/>
                <w:szCs w:val="20"/>
              </w:rPr>
              <w:t>(2)</w:t>
            </w:r>
          </w:p>
        </w:tc>
        <w:tc>
          <w:tcPr>
            <w:tcW w:w="853"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5B351B70" w14:textId="77777777" w:rsidR="00637F43" w:rsidRPr="00637F43" w:rsidRDefault="00637F43" w:rsidP="00637F43">
            <w:pPr>
              <w:jc w:val="center"/>
              <w:rPr>
                <w:rFonts w:eastAsia="Calibri"/>
                <w:b/>
                <w:sz w:val="20"/>
                <w:szCs w:val="20"/>
              </w:rPr>
            </w:pPr>
            <w:r w:rsidRPr="00637F43">
              <w:rPr>
                <w:rFonts w:eastAsia="Calibri"/>
                <w:b/>
                <w:sz w:val="20"/>
                <w:szCs w:val="20"/>
              </w:rPr>
              <w:t>Total Number of Responses (1)*(2)=(3)</w:t>
            </w:r>
          </w:p>
        </w:tc>
        <w:tc>
          <w:tcPr>
            <w:tcW w:w="794"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1F6A7E31" w14:textId="77777777" w:rsidR="00637F43" w:rsidRPr="00637F43" w:rsidRDefault="00637F43" w:rsidP="00637F43">
            <w:pPr>
              <w:jc w:val="center"/>
              <w:rPr>
                <w:rFonts w:eastAsia="Calibri"/>
                <w:b/>
                <w:sz w:val="20"/>
                <w:szCs w:val="20"/>
              </w:rPr>
            </w:pPr>
            <w:r w:rsidRPr="00637F43">
              <w:rPr>
                <w:rFonts w:eastAsia="Calibri"/>
                <w:b/>
                <w:sz w:val="20"/>
                <w:szCs w:val="20"/>
              </w:rPr>
              <w:t>Average Burden Hrs. &amp; Cost ($) Per Response</w:t>
            </w:r>
          </w:p>
          <w:p w14:paraId="5377E3DC" w14:textId="77777777" w:rsidR="00637F43" w:rsidRPr="00637F43" w:rsidRDefault="00637F43" w:rsidP="00637F43">
            <w:pPr>
              <w:jc w:val="center"/>
              <w:rPr>
                <w:rFonts w:eastAsia="Calibri"/>
                <w:b/>
                <w:sz w:val="20"/>
                <w:szCs w:val="20"/>
              </w:rPr>
            </w:pPr>
            <w:r w:rsidRPr="00637F43">
              <w:rPr>
                <w:rFonts w:eastAsia="Calibri"/>
                <w:b/>
                <w:sz w:val="20"/>
                <w:szCs w:val="20"/>
              </w:rPr>
              <w:t>(4)</w:t>
            </w:r>
          </w:p>
        </w:tc>
        <w:tc>
          <w:tcPr>
            <w:tcW w:w="797"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396D4265" w14:textId="77777777" w:rsidR="00637F43" w:rsidRPr="00637F43" w:rsidRDefault="00637F43" w:rsidP="00637F43">
            <w:pPr>
              <w:jc w:val="center"/>
              <w:rPr>
                <w:rFonts w:eastAsia="Calibri"/>
                <w:b/>
                <w:sz w:val="20"/>
                <w:szCs w:val="20"/>
              </w:rPr>
            </w:pPr>
            <w:r w:rsidRPr="00637F43">
              <w:rPr>
                <w:rFonts w:eastAsia="Calibri"/>
                <w:b/>
                <w:sz w:val="20"/>
                <w:szCs w:val="20"/>
              </w:rPr>
              <w:t>Total Annual Burden Hours &amp; Total Annual Cost</w:t>
            </w:r>
          </w:p>
          <w:p w14:paraId="2F98DD81" w14:textId="77777777" w:rsidR="00637F43" w:rsidRPr="00637F43" w:rsidRDefault="00637F43" w:rsidP="00637F43">
            <w:pPr>
              <w:jc w:val="center"/>
              <w:rPr>
                <w:rFonts w:eastAsia="Calibri"/>
                <w:b/>
                <w:sz w:val="20"/>
                <w:szCs w:val="20"/>
              </w:rPr>
            </w:pPr>
            <w:r w:rsidRPr="00637F43">
              <w:rPr>
                <w:rFonts w:eastAsia="Calibri"/>
                <w:b/>
                <w:sz w:val="20"/>
                <w:szCs w:val="20"/>
              </w:rPr>
              <w:t>(3)*(4)=(5)</w:t>
            </w:r>
          </w:p>
        </w:tc>
        <w:tc>
          <w:tcPr>
            <w:tcW w:w="747"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16767C47" w14:textId="77777777" w:rsidR="00637F43" w:rsidRPr="00637F43" w:rsidRDefault="00637F43" w:rsidP="00637F43">
            <w:pPr>
              <w:jc w:val="center"/>
              <w:rPr>
                <w:rFonts w:eastAsia="Calibri"/>
                <w:b/>
                <w:sz w:val="20"/>
                <w:szCs w:val="20"/>
              </w:rPr>
            </w:pPr>
            <w:r w:rsidRPr="00637F43">
              <w:rPr>
                <w:rFonts w:eastAsia="Calibri"/>
                <w:b/>
                <w:sz w:val="20"/>
                <w:szCs w:val="20"/>
              </w:rPr>
              <w:t>Average Cost per Respondent ($)</w:t>
            </w:r>
          </w:p>
          <w:p w14:paraId="5A8A5E2C" w14:textId="77777777" w:rsidR="00637F43" w:rsidRPr="00637F43" w:rsidRDefault="00637F43" w:rsidP="00637F43">
            <w:pPr>
              <w:jc w:val="center"/>
              <w:rPr>
                <w:rFonts w:eastAsia="Calibri"/>
                <w:b/>
                <w:sz w:val="20"/>
                <w:szCs w:val="20"/>
              </w:rPr>
            </w:pPr>
            <w:r w:rsidRPr="00637F43">
              <w:rPr>
                <w:rFonts w:eastAsia="Calibri"/>
                <w:b/>
                <w:sz w:val="20"/>
                <w:szCs w:val="20"/>
              </w:rPr>
              <w:t>(5)÷(1)</w:t>
            </w:r>
          </w:p>
        </w:tc>
      </w:tr>
      <w:tr w:rsidR="00637F43" w:rsidRPr="00637F43" w14:paraId="43368B75" w14:textId="77777777" w:rsidTr="00246A07">
        <w:trPr>
          <w:cantSplit/>
        </w:trPr>
        <w:tc>
          <w:tcPr>
            <w:tcW w:w="904" w:type="pct"/>
            <w:tcBorders>
              <w:top w:val="single" w:sz="4" w:space="0" w:color="auto"/>
              <w:left w:val="single" w:sz="4" w:space="0" w:color="auto"/>
              <w:bottom w:val="single" w:sz="4" w:space="0" w:color="auto"/>
              <w:right w:val="single" w:sz="4" w:space="0" w:color="auto"/>
            </w:tcBorders>
            <w:vAlign w:val="bottom"/>
          </w:tcPr>
          <w:p w14:paraId="368D4E7C" w14:textId="607E8B18" w:rsidR="00637F43" w:rsidRPr="00637F43" w:rsidRDefault="00311D90" w:rsidP="00311D90">
            <w:pPr>
              <w:jc w:val="right"/>
              <w:rPr>
                <w:rFonts w:eastAsia="Calibri"/>
                <w:sz w:val="20"/>
                <w:szCs w:val="20"/>
              </w:rPr>
            </w:pPr>
            <w:r>
              <w:rPr>
                <w:rFonts w:eastAsia="Calibri"/>
                <w:sz w:val="20"/>
                <w:szCs w:val="20"/>
              </w:rPr>
              <w:t>147</w:t>
            </w:r>
          </w:p>
        </w:tc>
        <w:tc>
          <w:tcPr>
            <w:tcW w:w="904" w:type="pct"/>
            <w:tcBorders>
              <w:top w:val="single" w:sz="4" w:space="0" w:color="auto"/>
              <w:left w:val="single" w:sz="4" w:space="0" w:color="auto"/>
              <w:bottom w:val="single" w:sz="4" w:space="0" w:color="auto"/>
              <w:right w:val="single" w:sz="4" w:space="0" w:color="auto"/>
            </w:tcBorders>
            <w:vAlign w:val="bottom"/>
            <w:hideMark/>
          </w:tcPr>
          <w:p w14:paraId="6608C628" w14:textId="77777777" w:rsidR="00637F43" w:rsidRPr="00637F43" w:rsidRDefault="00637F43" w:rsidP="00637F43">
            <w:pPr>
              <w:jc w:val="right"/>
              <w:rPr>
                <w:rFonts w:eastAsia="Calibri"/>
                <w:sz w:val="20"/>
                <w:szCs w:val="20"/>
              </w:rPr>
            </w:pPr>
            <w:r w:rsidRPr="00637F43">
              <w:rPr>
                <w:rFonts w:eastAsia="Calibri"/>
                <w:sz w:val="20"/>
                <w:szCs w:val="20"/>
              </w:rPr>
              <w:t>1</w:t>
            </w:r>
          </w:p>
        </w:tc>
        <w:tc>
          <w:tcPr>
            <w:tcW w:w="853" w:type="pct"/>
            <w:tcBorders>
              <w:top w:val="single" w:sz="4" w:space="0" w:color="auto"/>
              <w:left w:val="single" w:sz="4" w:space="0" w:color="auto"/>
              <w:bottom w:val="single" w:sz="4" w:space="0" w:color="auto"/>
              <w:right w:val="single" w:sz="4" w:space="0" w:color="auto"/>
            </w:tcBorders>
            <w:vAlign w:val="bottom"/>
            <w:hideMark/>
          </w:tcPr>
          <w:p w14:paraId="79A6E7EF" w14:textId="71AB0171" w:rsidR="00637F43" w:rsidRPr="00637F43" w:rsidRDefault="00311D90" w:rsidP="00311D90">
            <w:pPr>
              <w:jc w:val="right"/>
              <w:rPr>
                <w:rFonts w:eastAsia="Calibri"/>
                <w:sz w:val="20"/>
                <w:szCs w:val="20"/>
              </w:rPr>
            </w:pPr>
            <w:r>
              <w:rPr>
                <w:rFonts w:eastAsia="Calibri"/>
                <w:sz w:val="20"/>
                <w:szCs w:val="20"/>
              </w:rPr>
              <w:t>147</w:t>
            </w:r>
          </w:p>
        </w:tc>
        <w:tc>
          <w:tcPr>
            <w:tcW w:w="794" w:type="pct"/>
            <w:tcBorders>
              <w:top w:val="single" w:sz="4" w:space="0" w:color="auto"/>
              <w:left w:val="single" w:sz="4" w:space="0" w:color="auto"/>
              <w:bottom w:val="single" w:sz="4" w:space="0" w:color="auto"/>
              <w:right w:val="single" w:sz="4" w:space="0" w:color="auto"/>
            </w:tcBorders>
            <w:vAlign w:val="bottom"/>
            <w:hideMark/>
          </w:tcPr>
          <w:p w14:paraId="131CC240" w14:textId="77777777" w:rsidR="00637F43" w:rsidRPr="00637F43" w:rsidRDefault="00637F43" w:rsidP="00637F43">
            <w:pPr>
              <w:jc w:val="right"/>
              <w:rPr>
                <w:rFonts w:eastAsia="Calibri"/>
                <w:sz w:val="20"/>
                <w:szCs w:val="20"/>
              </w:rPr>
            </w:pPr>
            <w:r w:rsidRPr="00637F43">
              <w:rPr>
                <w:rFonts w:eastAsia="Calibri"/>
                <w:sz w:val="20"/>
                <w:szCs w:val="20"/>
              </w:rPr>
              <w:t>6 hrs.;</w:t>
            </w:r>
          </w:p>
          <w:p w14:paraId="5154BFA1" w14:textId="77777777" w:rsidR="00637F43" w:rsidRPr="00637F43" w:rsidRDefault="00637F43" w:rsidP="00637F43">
            <w:pPr>
              <w:jc w:val="right"/>
              <w:rPr>
                <w:rFonts w:eastAsia="Calibri"/>
                <w:sz w:val="20"/>
                <w:szCs w:val="20"/>
              </w:rPr>
            </w:pPr>
            <w:r w:rsidRPr="00637F43">
              <w:rPr>
                <w:rFonts w:eastAsia="Calibri"/>
                <w:sz w:val="20"/>
                <w:szCs w:val="20"/>
              </w:rPr>
              <w:t>$459</w:t>
            </w:r>
          </w:p>
        </w:tc>
        <w:tc>
          <w:tcPr>
            <w:tcW w:w="797" w:type="pct"/>
            <w:tcBorders>
              <w:top w:val="single" w:sz="4" w:space="0" w:color="auto"/>
              <w:left w:val="single" w:sz="4" w:space="0" w:color="auto"/>
              <w:bottom w:val="single" w:sz="4" w:space="0" w:color="auto"/>
              <w:right w:val="single" w:sz="4" w:space="0" w:color="auto"/>
            </w:tcBorders>
            <w:vAlign w:val="bottom"/>
            <w:hideMark/>
          </w:tcPr>
          <w:p w14:paraId="3B486E09" w14:textId="48633134" w:rsidR="00637F43" w:rsidRPr="00637F43" w:rsidRDefault="00311D90" w:rsidP="00637F43">
            <w:pPr>
              <w:jc w:val="right"/>
              <w:rPr>
                <w:rFonts w:eastAsia="Calibri"/>
                <w:sz w:val="20"/>
                <w:szCs w:val="20"/>
              </w:rPr>
            </w:pPr>
            <w:r>
              <w:rPr>
                <w:rFonts w:eastAsia="Calibri"/>
                <w:sz w:val="20"/>
                <w:szCs w:val="20"/>
              </w:rPr>
              <w:t>882</w:t>
            </w:r>
            <w:r w:rsidR="00DC5017" w:rsidRPr="00637F43">
              <w:rPr>
                <w:rFonts w:eastAsia="Calibri"/>
                <w:sz w:val="20"/>
                <w:szCs w:val="20"/>
              </w:rPr>
              <w:t xml:space="preserve"> </w:t>
            </w:r>
            <w:r w:rsidR="00637F43" w:rsidRPr="00637F43">
              <w:rPr>
                <w:rFonts w:eastAsia="Calibri"/>
                <w:sz w:val="20"/>
                <w:szCs w:val="20"/>
              </w:rPr>
              <w:t xml:space="preserve">hrs.; </w:t>
            </w:r>
          </w:p>
          <w:p w14:paraId="64B23459" w14:textId="20637A20" w:rsidR="00637F43" w:rsidRPr="00637F43" w:rsidRDefault="00637F43" w:rsidP="00DC5017">
            <w:pPr>
              <w:jc w:val="right"/>
              <w:rPr>
                <w:rFonts w:eastAsia="Calibri"/>
                <w:sz w:val="20"/>
                <w:szCs w:val="20"/>
              </w:rPr>
            </w:pPr>
            <w:r w:rsidRPr="00637F43">
              <w:rPr>
                <w:rFonts w:eastAsia="Calibri"/>
                <w:sz w:val="20"/>
                <w:szCs w:val="20"/>
              </w:rPr>
              <w:t>$</w:t>
            </w:r>
            <w:r w:rsidR="00311D90">
              <w:rPr>
                <w:rFonts w:eastAsia="Calibri"/>
                <w:sz w:val="20"/>
                <w:szCs w:val="20"/>
              </w:rPr>
              <w:t>67,473</w:t>
            </w:r>
            <w:r w:rsidRPr="00637F43">
              <w:rPr>
                <w:rFonts w:eastAsia="Calibri"/>
                <w:sz w:val="20"/>
                <w:szCs w:val="20"/>
              </w:rPr>
              <w:t xml:space="preserve"> </w:t>
            </w:r>
          </w:p>
        </w:tc>
        <w:tc>
          <w:tcPr>
            <w:tcW w:w="747" w:type="pct"/>
            <w:tcBorders>
              <w:top w:val="single" w:sz="4" w:space="0" w:color="auto"/>
              <w:left w:val="single" w:sz="4" w:space="0" w:color="auto"/>
              <w:bottom w:val="single" w:sz="4" w:space="0" w:color="auto"/>
              <w:right w:val="single" w:sz="4" w:space="0" w:color="auto"/>
            </w:tcBorders>
            <w:vAlign w:val="bottom"/>
          </w:tcPr>
          <w:p w14:paraId="238F1572" w14:textId="77777777" w:rsidR="00637F43" w:rsidRPr="00637F43" w:rsidRDefault="00637F43" w:rsidP="00637F43">
            <w:pPr>
              <w:jc w:val="right"/>
              <w:rPr>
                <w:rFonts w:eastAsia="Calibri"/>
                <w:sz w:val="20"/>
                <w:szCs w:val="20"/>
              </w:rPr>
            </w:pPr>
            <w:r w:rsidRPr="00637F43">
              <w:rPr>
                <w:rFonts w:eastAsia="Calibri"/>
                <w:sz w:val="20"/>
                <w:szCs w:val="20"/>
              </w:rPr>
              <w:t>$459</w:t>
            </w:r>
          </w:p>
        </w:tc>
      </w:tr>
    </w:tbl>
    <w:p w14:paraId="0D1E462D" w14:textId="7A64774B" w:rsidR="00156BBB" w:rsidRDefault="00156BBB" w:rsidP="00B01B16">
      <w:pPr>
        <w:spacing w:line="480" w:lineRule="auto"/>
      </w:pPr>
    </w:p>
    <w:p w14:paraId="7E5D9866" w14:textId="77777777" w:rsidR="00881405" w:rsidRDefault="00AE1F12" w:rsidP="00AE1F12">
      <w:pPr>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p>
    <w:p w14:paraId="6ED19215" w14:textId="67AC720B" w:rsidR="00AE1F12" w:rsidRDefault="00AE1F12" w:rsidP="00AE1F12">
      <w:pPr>
        <w:spacing w:line="480" w:lineRule="auto"/>
      </w:pPr>
      <w:r>
        <w:t xml:space="preserve">collection of information on those who are to respond, including the use of automated collection techniques or other forms of information technology.  </w:t>
      </w:r>
    </w:p>
    <w:p w14:paraId="045391B2" w14:textId="77777777" w:rsidR="00AE1F12" w:rsidRDefault="00AE1F12" w:rsidP="00AE1F12"/>
    <w:p w14:paraId="15091E60" w14:textId="77777777" w:rsidR="00AE1F12" w:rsidRPr="00AB4DBF" w:rsidRDefault="00AE1F12" w:rsidP="00AE1F12">
      <w:pPr>
        <w:ind w:firstLine="2174"/>
        <w:jc w:val="center"/>
      </w:pPr>
      <w:r w:rsidRPr="00AB4DBF">
        <w:t>Kimberly D. Bose,</w:t>
      </w:r>
    </w:p>
    <w:p w14:paraId="0652AB31" w14:textId="7355B917" w:rsidR="00853ABC" w:rsidRDefault="00AE1F12" w:rsidP="00810D18">
      <w:pPr>
        <w:ind w:firstLine="2174"/>
        <w:jc w:val="center"/>
      </w:pPr>
      <w:r w:rsidRPr="00AB4DBF">
        <w:t>Secretary.</w:t>
      </w:r>
    </w:p>
    <w:sectPr w:rsidR="00853ABC" w:rsidSect="00BF2D74">
      <w:headerReference w:type="defaul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EC9553" w14:textId="77777777" w:rsidR="00C53580" w:rsidRDefault="00C53580" w:rsidP="00B01B16">
      <w:r>
        <w:separator/>
      </w:r>
    </w:p>
  </w:endnote>
  <w:endnote w:type="continuationSeparator" w:id="0">
    <w:p w14:paraId="3D5A193A" w14:textId="77777777" w:rsidR="00C53580" w:rsidRDefault="00C53580" w:rsidP="00B01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6B2C21" w14:textId="77777777" w:rsidR="00C53580" w:rsidRDefault="00C53580" w:rsidP="00B01B16">
      <w:r>
        <w:separator/>
      </w:r>
    </w:p>
  </w:footnote>
  <w:footnote w:type="continuationSeparator" w:id="0">
    <w:p w14:paraId="19E2FEA9" w14:textId="77777777" w:rsidR="00C53580" w:rsidRDefault="00C53580" w:rsidP="00B01B16">
      <w:r>
        <w:continuationSeparator/>
      </w:r>
    </w:p>
  </w:footnote>
  <w:footnote w:id="1">
    <w:p w14:paraId="413C7C0D" w14:textId="77777777" w:rsidR="00637F43" w:rsidRPr="00717146" w:rsidRDefault="00637F43" w:rsidP="00637F43">
      <w:pPr>
        <w:pStyle w:val="FootnoteText"/>
        <w:rPr>
          <w:sz w:val="26"/>
          <w:szCs w:val="26"/>
        </w:rPr>
      </w:pPr>
      <w:r w:rsidRPr="00717146">
        <w:rPr>
          <w:rStyle w:val="FootnoteReference"/>
        </w:rPr>
        <w:footnoteRef/>
      </w:r>
      <w:r w:rsidRPr="00717146">
        <w:rPr>
          <w:sz w:val="26"/>
          <w:szCs w:val="26"/>
        </w:rPr>
        <w:t xml:space="preserve"> Energy Policy Act of 2005, Pub. L. No. 109-58, 119 Stat. 594</w:t>
      </w:r>
      <w:r>
        <w:rPr>
          <w:sz w:val="26"/>
          <w:szCs w:val="26"/>
        </w:rPr>
        <w:t xml:space="preserve">, 972 </w:t>
      </w:r>
      <w:r w:rsidRPr="00C836A1">
        <w:rPr>
          <w:i/>
          <w:sz w:val="26"/>
          <w:szCs w:val="26"/>
        </w:rPr>
        <w:t>et seq</w:t>
      </w:r>
      <w:r>
        <w:rPr>
          <w:sz w:val="26"/>
          <w:szCs w:val="26"/>
        </w:rPr>
        <w:t>.</w:t>
      </w:r>
      <w:r w:rsidRPr="00717146">
        <w:rPr>
          <w:sz w:val="26"/>
          <w:szCs w:val="26"/>
        </w:rPr>
        <w:t xml:space="preserve"> (2005)</w:t>
      </w:r>
      <w:r>
        <w:rPr>
          <w:sz w:val="26"/>
          <w:szCs w:val="26"/>
        </w:rPr>
        <w:t xml:space="preserve"> (codified at 42 U.S.C. §§ 16451 </w:t>
      </w:r>
      <w:r w:rsidRPr="00C836A1">
        <w:rPr>
          <w:i/>
          <w:sz w:val="26"/>
          <w:szCs w:val="26"/>
        </w:rPr>
        <w:t>et seq</w:t>
      </w:r>
      <w:r>
        <w:rPr>
          <w:sz w:val="26"/>
          <w:szCs w:val="26"/>
        </w:rPr>
        <w:t>.).</w:t>
      </w:r>
    </w:p>
  </w:footnote>
  <w:footnote w:id="2">
    <w:p w14:paraId="486FC887" w14:textId="77777777" w:rsidR="00637F43" w:rsidRPr="00C836A1" w:rsidRDefault="00637F43" w:rsidP="00637F43">
      <w:pPr>
        <w:pStyle w:val="FootnoteText"/>
        <w:rPr>
          <w:sz w:val="26"/>
          <w:szCs w:val="26"/>
        </w:rPr>
      </w:pPr>
      <w:r>
        <w:rPr>
          <w:rStyle w:val="FootnoteReference"/>
        </w:rPr>
        <w:footnoteRef/>
      </w:r>
      <w:r>
        <w:t xml:space="preserve"> </w:t>
      </w:r>
      <w:r w:rsidRPr="00C836A1">
        <w:rPr>
          <w:i/>
          <w:sz w:val="26"/>
          <w:szCs w:val="26"/>
        </w:rPr>
        <w:t>Id</w:t>
      </w:r>
      <w:r>
        <w:rPr>
          <w:sz w:val="26"/>
          <w:szCs w:val="26"/>
        </w:rPr>
        <w:t>. § 1263, 119 Stat. 594, 974.</w:t>
      </w:r>
    </w:p>
  </w:footnote>
  <w:footnote w:id="3">
    <w:p w14:paraId="036CB9AA" w14:textId="77777777" w:rsidR="00637F43" w:rsidRDefault="00637F43" w:rsidP="00637F43">
      <w:pPr>
        <w:pStyle w:val="FootnoteText"/>
      </w:pPr>
      <w:r>
        <w:rPr>
          <w:rStyle w:val="FootnoteReference"/>
        </w:rPr>
        <w:footnoteRef/>
      </w:r>
      <w:r>
        <w:t xml:space="preserve"> </w:t>
      </w:r>
      <w:r w:rsidRPr="00CD04D5">
        <w:rPr>
          <w:i/>
          <w:sz w:val="26"/>
          <w:szCs w:val="26"/>
        </w:rPr>
        <w:t>Id</w:t>
      </w:r>
      <w:r>
        <w:rPr>
          <w:sz w:val="26"/>
          <w:szCs w:val="26"/>
        </w:rPr>
        <w:t>. § 1261, 119 Stat. 594, 972.</w:t>
      </w:r>
    </w:p>
  </w:footnote>
  <w:footnote w:id="4">
    <w:p w14:paraId="7D1B6155" w14:textId="77777777" w:rsidR="00637F43" w:rsidRDefault="00637F43" w:rsidP="00637F43">
      <w:pPr>
        <w:pStyle w:val="FootnoteText"/>
      </w:pPr>
      <w:r>
        <w:rPr>
          <w:rStyle w:val="FootnoteReference"/>
        </w:rPr>
        <w:footnoteRef/>
      </w:r>
      <w:r>
        <w:t xml:space="preserve"> </w:t>
      </w:r>
      <w:r w:rsidRPr="00CD04D5">
        <w:rPr>
          <w:i/>
          <w:sz w:val="26"/>
          <w:szCs w:val="26"/>
        </w:rPr>
        <w:t>Id</w:t>
      </w:r>
      <w:r>
        <w:rPr>
          <w:sz w:val="26"/>
          <w:szCs w:val="26"/>
        </w:rPr>
        <w:t>. § 1266(a), 119 Stat. 594, 975</w:t>
      </w:r>
      <w:r w:rsidRPr="00BA5F47">
        <w:rPr>
          <w:sz w:val="26"/>
          <w:szCs w:val="26"/>
        </w:rPr>
        <w:t xml:space="preserve"> </w:t>
      </w:r>
      <w:r>
        <w:rPr>
          <w:sz w:val="26"/>
          <w:szCs w:val="26"/>
        </w:rPr>
        <w:t>(codified at 42 U.S.C. § 16454(a)).</w:t>
      </w:r>
    </w:p>
  </w:footnote>
  <w:footnote w:id="5">
    <w:p w14:paraId="1E71EB06" w14:textId="77777777" w:rsidR="00637F43" w:rsidRDefault="00637F43" w:rsidP="00637F43">
      <w:pPr>
        <w:pStyle w:val="FootnoteText"/>
      </w:pPr>
      <w:r w:rsidRPr="00717146">
        <w:rPr>
          <w:rStyle w:val="FootnoteReference"/>
        </w:rPr>
        <w:footnoteRef/>
      </w:r>
      <w:r w:rsidRPr="00717146">
        <w:rPr>
          <w:sz w:val="26"/>
          <w:szCs w:val="26"/>
        </w:rPr>
        <w:t xml:space="preserve"> </w:t>
      </w:r>
      <w:r w:rsidRPr="00C836A1">
        <w:rPr>
          <w:i/>
          <w:sz w:val="26"/>
          <w:szCs w:val="26"/>
        </w:rPr>
        <w:t>Repeal of the Public Utility Holding Company Act of 1935 and Enactment of the Public Utility Holding Company Act of 2005</w:t>
      </w:r>
      <w:r w:rsidRPr="00717146">
        <w:rPr>
          <w:sz w:val="26"/>
          <w:szCs w:val="26"/>
        </w:rPr>
        <w:t>, 70 FR 75592</w:t>
      </w:r>
      <w:r>
        <w:rPr>
          <w:sz w:val="26"/>
          <w:szCs w:val="26"/>
        </w:rPr>
        <w:t xml:space="preserve">, FERC Stats. &amp; Regs. ¶ 31,197 </w:t>
      </w:r>
      <w:r w:rsidRPr="00717146">
        <w:rPr>
          <w:sz w:val="26"/>
          <w:szCs w:val="26"/>
        </w:rPr>
        <w:t xml:space="preserve"> (2005), </w:t>
      </w:r>
      <w:r w:rsidRPr="00C836A1">
        <w:rPr>
          <w:i/>
          <w:sz w:val="26"/>
          <w:szCs w:val="26"/>
        </w:rPr>
        <w:t>order on rehearing</w:t>
      </w:r>
      <w:r w:rsidRPr="00717146">
        <w:rPr>
          <w:sz w:val="26"/>
          <w:szCs w:val="26"/>
        </w:rPr>
        <w:t>, Order 667-A, 71 FR 28446</w:t>
      </w:r>
      <w:r>
        <w:rPr>
          <w:sz w:val="26"/>
          <w:szCs w:val="26"/>
        </w:rPr>
        <w:t xml:space="preserve">, FERC Stats. &amp; Regs. ¶ 31,213 </w:t>
      </w:r>
      <w:r w:rsidRPr="00717146">
        <w:rPr>
          <w:sz w:val="26"/>
          <w:szCs w:val="26"/>
        </w:rPr>
        <w:t xml:space="preserve">(2006), </w:t>
      </w:r>
      <w:r w:rsidRPr="00C836A1">
        <w:rPr>
          <w:i/>
          <w:sz w:val="26"/>
          <w:szCs w:val="26"/>
        </w:rPr>
        <w:t>order on rehearing</w:t>
      </w:r>
      <w:r w:rsidRPr="00717146">
        <w:rPr>
          <w:sz w:val="26"/>
          <w:szCs w:val="26"/>
        </w:rPr>
        <w:t>, Order 667-B, 71 FR 42750</w:t>
      </w:r>
      <w:r>
        <w:rPr>
          <w:sz w:val="26"/>
          <w:szCs w:val="26"/>
        </w:rPr>
        <w:t xml:space="preserve">, FERC Stats. &amp; Regs. ¶ 31,244 </w:t>
      </w:r>
      <w:r w:rsidRPr="00717146">
        <w:rPr>
          <w:sz w:val="26"/>
          <w:szCs w:val="26"/>
        </w:rPr>
        <w:t xml:space="preserve">(2006), </w:t>
      </w:r>
      <w:r w:rsidRPr="00C836A1">
        <w:rPr>
          <w:i/>
          <w:sz w:val="26"/>
          <w:szCs w:val="26"/>
        </w:rPr>
        <w:t>order on rehearing</w:t>
      </w:r>
      <w:r w:rsidRPr="00717146">
        <w:rPr>
          <w:sz w:val="26"/>
          <w:szCs w:val="26"/>
        </w:rPr>
        <w:t xml:space="preserve">, Order 667-C, 118 FERC </w:t>
      </w:r>
      <w:r>
        <w:rPr>
          <w:sz w:val="26"/>
          <w:szCs w:val="26"/>
        </w:rPr>
        <w:t xml:space="preserve">¶ </w:t>
      </w:r>
      <w:r w:rsidRPr="00717146">
        <w:rPr>
          <w:sz w:val="26"/>
          <w:szCs w:val="26"/>
        </w:rPr>
        <w:t>61</w:t>
      </w:r>
      <w:r>
        <w:rPr>
          <w:sz w:val="26"/>
          <w:szCs w:val="26"/>
        </w:rPr>
        <w:t>,</w:t>
      </w:r>
      <w:r w:rsidRPr="00717146">
        <w:rPr>
          <w:sz w:val="26"/>
          <w:szCs w:val="26"/>
        </w:rPr>
        <w:t>133 (2007).</w:t>
      </w:r>
      <w:r>
        <w:rPr>
          <w:sz w:val="26"/>
          <w:szCs w:val="26"/>
        </w:rPr>
        <w:t xml:space="preserve">  </w:t>
      </w:r>
    </w:p>
  </w:footnote>
  <w:footnote w:id="6">
    <w:p w14:paraId="13520373" w14:textId="77777777" w:rsidR="00637F43" w:rsidRDefault="00637F43" w:rsidP="00637F43">
      <w:pPr>
        <w:pStyle w:val="FootnoteText"/>
      </w:pPr>
      <w:r>
        <w:rPr>
          <w:rStyle w:val="FootnoteReference"/>
        </w:rPr>
        <w:footnoteRef/>
      </w:r>
      <w:r>
        <w:t xml:space="preserve"> </w:t>
      </w:r>
      <w:r w:rsidRPr="00CD04D5">
        <w:rPr>
          <w:sz w:val="26"/>
          <w:szCs w:val="26"/>
        </w:rPr>
        <w:t xml:space="preserve">18 CFR </w:t>
      </w:r>
      <w:r>
        <w:rPr>
          <w:sz w:val="26"/>
          <w:szCs w:val="26"/>
        </w:rPr>
        <w:t>366.1, 366.3(a), 366.4, 366.7.</w:t>
      </w:r>
    </w:p>
  </w:footnote>
  <w:footnote w:id="7">
    <w:p w14:paraId="4C5B0414" w14:textId="77777777" w:rsidR="00637F43" w:rsidRDefault="00637F43" w:rsidP="00637F43">
      <w:pPr>
        <w:pStyle w:val="FootnoteText"/>
      </w:pPr>
      <w:r>
        <w:rPr>
          <w:rStyle w:val="FootnoteReference"/>
        </w:rPr>
        <w:footnoteRef/>
      </w:r>
      <w:r>
        <w:t xml:space="preserve"> </w:t>
      </w:r>
      <w:r w:rsidRPr="00C836A1">
        <w:rPr>
          <w:sz w:val="26"/>
          <w:szCs w:val="26"/>
        </w:rPr>
        <w:t>18 CFR 292.207.</w:t>
      </w:r>
    </w:p>
  </w:footnote>
  <w:footnote w:id="8">
    <w:p w14:paraId="5AB86109" w14:textId="77777777" w:rsidR="00637F43" w:rsidRPr="0077192C" w:rsidRDefault="00637F43" w:rsidP="00637F43">
      <w:pPr>
        <w:pStyle w:val="FootnoteText"/>
        <w:rPr>
          <w:sz w:val="26"/>
          <w:szCs w:val="26"/>
        </w:rPr>
      </w:pPr>
      <w:r w:rsidRPr="0077192C">
        <w:rPr>
          <w:rStyle w:val="FootnoteReference"/>
        </w:rPr>
        <w:footnoteRef/>
      </w:r>
      <w:r w:rsidRPr="0077192C">
        <w:rPr>
          <w:sz w:val="26"/>
          <w:szCs w:val="26"/>
        </w:rPr>
        <w:t xml:space="preserve"> 18 CFR 366.1.</w:t>
      </w:r>
    </w:p>
  </w:footnote>
  <w:footnote w:id="9">
    <w:p w14:paraId="6E6F7414" w14:textId="77777777" w:rsidR="00637F43" w:rsidRDefault="00637F43" w:rsidP="00637F43">
      <w:pPr>
        <w:pStyle w:val="FootnoteText"/>
      </w:pPr>
      <w:r>
        <w:rPr>
          <w:rStyle w:val="FootnoteReference"/>
        </w:rPr>
        <w:footnoteRef/>
      </w:r>
      <w:r>
        <w:t xml:space="preserve"> </w:t>
      </w:r>
      <w:r w:rsidRPr="00C836A1">
        <w:rPr>
          <w:i/>
          <w:sz w:val="26"/>
          <w:szCs w:val="26"/>
        </w:rPr>
        <w:t>Id.</w:t>
      </w:r>
    </w:p>
  </w:footnote>
  <w:footnote w:id="10">
    <w:p w14:paraId="44C50CFD" w14:textId="77777777" w:rsidR="00637F43" w:rsidRPr="0077192C" w:rsidRDefault="00637F43" w:rsidP="00637F43">
      <w:pPr>
        <w:pStyle w:val="FootnoteText"/>
        <w:rPr>
          <w:sz w:val="26"/>
          <w:szCs w:val="26"/>
        </w:rPr>
      </w:pPr>
      <w:r w:rsidRPr="0077192C">
        <w:rPr>
          <w:rStyle w:val="FootnoteReference"/>
        </w:rPr>
        <w:footnoteRef/>
      </w:r>
      <w:r w:rsidRPr="0077192C">
        <w:rPr>
          <w:sz w:val="26"/>
          <w:szCs w:val="26"/>
        </w:rPr>
        <w:t xml:space="preserve"> 18 CFR 366.7.</w:t>
      </w:r>
    </w:p>
  </w:footnote>
  <w:footnote w:id="11">
    <w:p w14:paraId="56902B23" w14:textId="77777777" w:rsidR="00637F43" w:rsidRPr="0077192C" w:rsidRDefault="00637F43" w:rsidP="00637F43">
      <w:pPr>
        <w:pStyle w:val="FootnoteText"/>
        <w:rPr>
          <w:sz w:val="26"/>
          <w:szCs w:val="26"/>
          <w:u w:val="single"/>
        </w:rPr>
      </w:pPr>
      <w:r w:rsidRPr="0077192C">
        <w:rPr>
          <w:rStyle w:val="FootnoteReference"/>
        </w:rPr>
        <w:footnoteRef/>
      </w:r>
      <w:r w:rsidRPr="00BA5F47">
        <w:rPr>
          <w:sz w:val="26"/>
          <w:szCs w:val="26"/>
        </w:rPr>
        <w:t xml:space="preserve"> </w:t>
      </w:r>
      <w:r>
        <w:rPr>
          <w:sz w:val="26"/>
          <w:szCs w:val="26"/>
        </w:rPr>
        <w:t>42 U.S.C. § 16454(a).</w:t>
      </w:r>
    </w:p>
  </w:footnote>
  <w:footnote w:id="12">
    <w:p w14:paraId="24D1B9AD" w14:textId="6831E1BC" w:rsidR="00AE1F12" w:rsidRPr="006536D8" w:rsidRDefault="00B01B16" w:rsidP="00B01B16">
      <w:pPr>
        <w:pStyle w:val="FootnoteText"/>
        <w:rPr>
          <w:sz w:val="26"/>
          <w:szCs w:val="26"/>
        </w:rPr>
      </w:pPr>
      <w:r w:rsidRPr="006536D8">
        <w:rPr>
          <w:rStyle w:val="FootnoteReference"/>
        </w:rPr>
        <w:footnoteRef/>
      </w:r>
      <w:r w:rsidRPr="006536D8">
        <w:rPr>
          <w:sz w:val="26"/>
          <w:szCs w:val="26"/>
        </w:rPr>
        <w:t xml:space="preserve"> </w:t>
      </w:r>
      <w:r w:rsidR="00E8661B">
        <w:rPr>
          <w:sz w:val="26"/>
          <w:szCs w:val="26"/>
        </w:rPr>
        <w:t>“B</w:t>
      </w:r>
      <w:r w:rsidRPr="006536D8">
        <w:rPr>
          <w:sz w:val="26"/>
          <w:szCs w:val="26"/>
        </w:rPr>
        <w:t>urden</w:t>
      </w:r>
      <w:r w:rsidR="00E8661B">
        <w:rPr>
          <w:sz w:val="26"/>
          <w:szCs w:val="26"/>
        </w:rPr>
        <w:t>” is</w:t>
      </w:r>
      <w:r w:rsidRPr="006536D8">
        <w:rPr>
          <w:sz w:val="26"/>
          <w:szCs w:val="26"/>
        </w:rPr>
        <w:t xml:space="preserve"> the total time, effort, or financial resources expended by persons to generate, maintain, retain, or disclose or provide information to or for a Federal agency. For further explanation of what is included in the information collection burden, </w:t>
      </w:r>
      <w:r w:rsidR="00376525" w:rsidRPr="006536D8">
        <w:rPr>
          <w:sz w:val="26"/>
          <w:szCs w:val="26"/>
        </w:rPr>
        <w:t xml:space="preserve">refer to Title </w:t>
      </w:r>
      <w:r w:rsidRPr="006536D8">
        <w:rPr>
          <w:sz w:val="26"/>
          <w:szCs w:val="26"/>
        </w:rPr>
        <w:t>5 Code of Federal Regulations 1320.3.</w:t>
      </w:r>
    </w:p>
  </w:footnote>
  <w:footnote w:id="13">
    <w:p w14:paraId="544F8288" w14:textId="467564B9" w:rsidR="00EA689F" w:rsidRDefault="00EA689F">
      <w:pPr>
        <w:pStyle w:val="FootnoteText"/>
      </w:pPr>
      <w:r w:rsidRPr="006536D8">
        <w:rPr>
          <w:rStyle w:val="FootnoteReference"/>
        </w:rPr>
        <w:footnoteRef/>
      </w:r>
      <w:r w:rsidRPr="006536D8">
        <w:rPr>
          <w:sz w:val="26"/>
          <w:szCs w:val="26"/>
        </w:rPr>
        <w:t xml:space="preserve"> </w:t>
      </w:r>
      <w:r w:rsidR="00637F43" w:rsidRPr="00637F43">
        <w:rPr>
          <w:sz w:val="26"/>
          <w:szCs w:val="26"/>
        </w:rPr>
        <w:t>Subject matter experts found that industry employment costs (for salary plus benefits) for the FERC-598 information collection closely resemble the Commission’s.  FERC’s 2017 average annual salary plus benefits per FTE (full-time equivalent) is $158,754 (or $76.50 per hour).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0597F" w14:textId="052FD25B" w:rsidR="00810D18" w:rsidRDefault="00810D18" w:rsidP="00810D18">
    <w:pPr>
      <w:pStyle w:val="Header"/>
    </w:pPr>
    <w:r>
      <w:t>Docket No. IC18-1-000</w:t>
    </w:r>
    <w:r>
      <w:tab/>
    </w:r>
    <w:sdt>
      <w:sdtPr>
        <w:id w:val="151588624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819EA">
          <w:rPr>
            <w:noProof/>
          </w:rPr>
          <w:t>5</w:t>
        </w:r>
        <w:r>
          <w:rPr>
            <w:noProof/>
          </w:rPr>
          <w:fldChar w:fldCharType="end"/>
        </w:r>
      </w:sdtContent>
    </w:sdt>
  </w:p>
  <w:p w14:paraId="10170C13" w14:textId="76D2DB34" w:rsidR="00BF2D74" w:rsidRDefault="00BF2D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B16"/>
    <w:rsid w:val="000459B6"/>
    <w:rsid w:val="00062427"/>
    <w:rsid w:val="000A0250"/>
    <w:rsid w:val="000A7E68"/>
    <w:rsid w:val="000E2568"/>
    <w:rsid w:val="00156BBB"/>
    <w:rsid w:val="001600DF"/>
    <w:rsid w:val="00171725"/>
    <w:rsid w:val="00181BF7"/>
    <w:rsid w:val="001A6AD6"/>
    <w:rsid w:val="001B78B8"/>
    <w:rsid w:val="00311D90"/>
    <w:rsid w:val="00312089"/>
    <w:rsid w:val="003149BC"/>
    <w:rsid w:val="003673EC"/>
    <w:rsid w:val="00376525"/>
    <w:rsid w:val="003C3E7A"/>
    <w:rsid w:val="003E44AD"/>
    <w:rsid w:val="00443282"/>
    <w:rsid w:val="0045734B"/>
    <w:rsid w:val="004C70C8"/>
    <w:rsid w:val="0054746C"/>
    <w:rsid w:val="005A2F24"/>
    <w:rsid w:val="005B4DA4"/>
    <w:rsid w:val="005C6D4E"/>
    <w:rsid w:val="006128A5"/>
    <w:rsid w:val="006144F3"/>
    <w:rsid w:val="00634374"/>
    <w:rsid w:val="00637F43"/>
    <w:rsid w:val="00642602"/>
    <w:rsid w:val="00644A1B"/>
    <w:rsid w:val="006536D8"/>
    <w:rsid w:val="00654BA4"/>
    <w:rsid w:val="006963BC"/>
    <w:rsid w:val="006E7CBB"/>
    <w:rsid w:val="0075009F"/>
    <w:rsid w:val="00782ACA"/>
    <w:rsid w:val="007C1916"/>
    <w:rsid w:val="00803CA2"/>
    <w:rsid w:val="00807CAC"/>
    <w:rsid w:val="00810D18"/>
    <w:rsid w:val="008115BF"/>
    <w:rsid w:val="00824D81"/>
    <w:rsid w:val="00853ABC"/>
    <w:rsid w:val="00881405"/>
    <w:rsid w:val="0089069F"/>
    <w:rsid w:val="00895DA2"/>
    <w:rsid w:val="00897359"/>
    <w:rsid w:val="008C572B"/>
    <w:rsid w:val="008D25B7"/>
    <w:rsid w:val="008D5479"/>
    <w:rsid w:val="008E0DF5"/>
    <w:rsid w:val="008E3273"/>
    <w:rsid w:val="00940C0F"/>
    <w:rsid w:val="009744C8"/>
    <w:rsid w:val="00981886"/>
    <w:rsid w:val="00990FEC"/>
    <w:rsid w:val="009A1B08"/>
    <w:rsid w:val="009C4A13"/>
    <w:rsid w:val="009F7DE3"/>
    <w:rsid w:val="00A2604E"/>
    <w:rsid w:val="00A43A4A"/>
    <w:rsid w:val="00A664DF"/>
    <w:rsid w:val="00A713D0"/>
    <w:rsid w:val="00A82A29"/>
    <w:rsid w:val="00AA516A"/>
    <w:rsid w:val="00AA5B0E"/>
    <w:rsid w:val="00AC750B"/>
    <w:rsid w:val="00AE1F12"/>
    <w:rsid w:val="00AE4155"/>
    <w:rsid w:val="00AE4B7C"/>
    <w:rsid w:val="00AF349B"/>
    <w:rsid w:val="00B01B16"/>
    <w:rsid w:val="00B13938"/>
    <w:rsid w:val="00B447D7"/>
    <w:rsid w:val="00B76A1F"/>
    <w:rsid w:val="00B82F8C"/>
    <w:rsid w:val="00BD74AE"/>
    <w:rsid w:val="00BE3FE7"/>
    <w:rsid w:val="00BF2D74"/>
    <w:rsid w:val="00BF4CC8"/>
    <w:rsid w:val="00C1124F"/>
    <w:rsid w:val="00C37BFF"/>
    <w:rsid w:val="00C51458"/>
    <w:rsid w:val="00C53580"/>
    <w:rsid w:val="00C55838"/>
    <w:rsid w:val="00C77EF7"/>
    <w:rsid w:val="00C820F1"/>
    <w:rsid w:val="00C91512"/>
    <w:rsid w:val="00CA6636"/>
    <w:rsid w:val="00CA6D76"/>
    <w:rsid w:val="00CB37BA"/>
    <w:rsid w:val="00CF4753"/>
    <w:rsid w:val="00D0083B"/>
    <w:rsid w:val="00D44183"/>
    <w:rsid w:val="00DA529F"/>
    <w:rsid w:val="00DC5017"/>
    <w:rsid w:val="00DD7F1B"/>
    <w:rsid w:val="00E13A02"/>
    <w:rsid w:val="00E41DB9"/>
    <w:rsid w:val="00E762BB"/>
    <w:rsid w:val="00E819EA"/>
    <w:rsid w:val="00E8661B"/>
    <w:rsid w:val="00EA689F"/>
    <w:rsid w:val="00EF33BE"/>
    <w:rsid w:val="00F309CB"/>
    <w:rsid w:val="00F44A0E"/>
    <w:rsid w:val="00FC3F00"/>
    <w:rsid w:val="00FF1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C239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
    <w:rsid w:val="00B01B16"/>
    <w:rPr>
      <w:rFonts w:ascii="Times New Roman" w:hAnsi="Times New Roman"/>
      <w:b/>
      <w:sz w:val="26"/>
      <w:szCs w:val="26"/>
      <w:vertAlign w:val="superscript"/>
    </w:rPr>
  </w:style>
  <w:style w:type="paragraph" w:styleId="FootnoteText">
    <w:name w:val="footnote text"/>
    <w:basedOn w:val="Normal"/>
    <w:link w:val="FootnoteTextChar"/>
    <w:rsid w:val="00B01B16"/>
    <w:rPr>
      <w:sz w:val="22"/>
      <w:szCs w:val="20"/>
    </w:rPr>
  </w:style>
  <w:style w:type="character" w:customStyle="1" w:styleId="FootnoteTextChar">
    <w:name w:val="Footnote Text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
    <w:rsid w:val="00B01B16"/>
    <w:rPr>
      <w:rFonts w:ascii="Times New Roman" w:hAnsi="Times New Roman"/>
      <w:b/>
      <w:sz w:val="26"/>
      <w:szCs w:val="26"/>
      <w:vertAlign w:val="superscript"/>
    </w:rPr>
  </w:style>
  <w:style w:type="paragraph" w:styleId="FootnoteText">
    <w:name w:val="footnote text"/>
    <w:basedOn w:val="Normal"/>
    <w:link w:val="FootnoteTextChar"/>
    <w:rsid w:val="00B01B16"/>
    <w:rPr>
      <w:sz w:val="22"/>
      <w:szCs w:val="20"/>
    </w:rPr>
  </w:style>
  <w:style w:type="character" w:customStyle="1" w:styleId="FootnoteTextChar">
    <w:name w:val="Footnote Text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DataClearance@FERC.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ferc.gov/docs-filing/docs-filing.asp" TargetMode="External"/><Relationship Id="rId2" Type="http://schemas.openxmlformats.org/officeDocument/2006/relationships/customXml" Target="../customXml/item2.xml"/><Relationship Id="rId16" Type="http://schemas.openxmlformats.org/officeDocument/2006/relationships/hyperlink" Target="http://www.ferc.gov/help/submission-guide.as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ferc.gov/docs-filing/efiling.asp"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oira_submission@omb.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SharedContentType xmlns="Microsoft.SharePoint.Taxonomy.ContentTypeSync" SourceId="74a4cd09-5f17-433b-814a-38e7e9115d16"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30-Day Notice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598</_x0031__x002e__x0020_Collection_x0020_Number>
    <Date xmlns="d6eefc7d-9817-4fa6-84d5-3bc009be21b8">2018-02-13T00:00:00-05:00</Date>
    <Status xmlns="d6eefc7d-9817-4fa6-84d5-3bc009be21b8">Issued</Status>
    <_x0032__x002e__x0020_Docket_x0020_Number xmlns="d6eefc7d-9817-4fa6-84d5-3bc009be21b8" xsi:nil="true"/>
    <_x0032__x002e__x0020_Collection_x0020_Number xmlns="d6eefc7d-9817-4fa6-84d5-3bc009be21b8" xsi:nil="true"/>
    <_x0031__x002e__x0020_Docket_x0020_Number xmlns="d6eefc7d-9817-4fa6-84d5-3bc009be21b8">IC18-1</_x0031__x002e__x0020_Docket_x0020_Number>
    <_x0033__x002e__x0020_Collection_x0020_Number xmlns="d6eefc7d-9817-4fa6-84d5-3bc009be21b8"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BFADD-F848-4C01-9813-6DB21C182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847052-A1DF-43CA-97B8-D0B16995CA2F}">
  <ds:schemaRefs>
    <ds:schemaRef ds:uri="http://schemas.microsoft.com/office/2006/metadata/customXsn"/>
  </ds:schemaRefs>
</ds:datastoreItem>
</file>

<file path=customXml/itemProps3.xml><?xml version="1.0" encoding="utf-8"?>
<ds:datastoreItem xmlns:ds="http://schemas.openxmlformats.org/officeDocument/2006/customXml" ds:itemID="{B6368FA6-7061-4E38-96FD-1DCEE29BCF40}">
  <ds:schemaRefs>
    <ds:schemaRef ds:uri="Microsoft.SharePoint.Taxonomy.ContentTypeSync"/>
  </ds:schemaRefs>
</ds:datastoreItem>
</file>

<file path=customXml/itemProps4.xml><?xml version="1.0" encoding="utf-8"?>
<ds:datastoreItem xmlns:ds="http://schemas.openxmlformats.org/officeDocument/2006/customXml" ds:itemID="{5BBB1DD4-8130-4FE7-964C-24C804F058DC}">
  <ds:schemaRefs>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http://schemas.microsoft.com/office/2006/metadata/properties"/>
    <ds:schemaRef ds:uri="d6eefc7d-9817-4fa6-84d5-3bc009be21b8"/>
    <ds:schemaRef ds:uri="http://www.w3.org/XML/1998/namespace"/>
    <ds:schemaRef ds:uri="http://purl.org/dc/terms/"/>
  </ds:schemaRefs>
</ds:datastoreItem>
</file>

<file path=customXml/itemProps5.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6.xml><?xml version="1.0" encoding="utf-8"?>
<ds:datastoreItem xmlns:ds="http://schemas.openxmlformats.org/officeDocument/2006/customXml" ds:itemID="{6CB5BEEA-48C5-4A83-AE0C-E356371F8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1158</Words>
  <Characters>6602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7745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cp:lastPrinted>2016-12-20T13:40:00Z</cp:lastPrinted>
  <dcterms:created xsi:type="dcterms:W3CDTF">2018-02-20T14:29:00Z</dcterms:created>
  <dcterms:modified xsi:type="dcterms:W3CDTF">2018-02-20T14:29:00Z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