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78" w:rsidRDefault="003F0078">
      <w:pPr>
        <w:pStyle w:val="NormalWeb"/>
        <w:spacing w:before="0" w:beforeAutospacing="0" w:after="0" w:afterAutospacing="0"/>
        <w:jc w:val="center"/>
        <w:rPr>
          <w:b/>
        </w:rPr>
      </w:pPr>
      <w:bookmarkStart w:id="0" w:name="_GoBack"/>
      <w:bookmarkEnd w:id="0"/>
      <w:r>
        <w:rPr>
          <w:b/>
        </w:rPr>
        <w:t>Supporting Statement</w:t>
      </w:r>
    </w:p>
    <w:p w:rsidR="006F67E6" w:rsidRDefault="00884EB0">
      <w:pPr>
        <w:pStyle w:val="NormalWeb"/>
        <w:spacing w:before="0" w:beforeAutospacing="0" w:after="0" w:afterAutospacing="0"/>
        <w:jc w:val="center"/>
        <w:rPr>
          <w:rStyle w:val="trigger"/>
          <w:b/>
        </w:rPr>
      </w:pPr>
      <w:r>
        <w:rPr>
          <w:b/>
        </w:rPr>
        <w:t>Annual Stress Test Rule and</w:t>
      </w:r>
      <w:r w:rsidR="003F0078">
        <w:rPr>
          <w:b/>
        </w:rPr>
        <w:t xml:space="preserve"> </w:t>
      </w:r>
      <w:r>
        <w:rPr>
          <w:b/>
        </w:rPr>
        <w:t>Company-Run Annual Stress Test Reporting Template and Documentation for Covered Institutions with Total Consolidated Assets of $10 Billion to $50 Billion and over $50 Billion under the Dodd-Frank Wall Street Reform and Consumer Protection Act</w:t>
      </w:r>
    </w:p>
    <w:p w:rsidR="006F67E6" w:rsidRPr="003F0078" w:rsidRDefault="003F0078">
      <w:pPr>
        <w:pStyle w:val="NormalWeb"/>
        <w:spacing w:before="0" w:beforeAutospacing="0" w:after="0" w:afterAutospacing="0"/>
        <w:jc w:val="center"/>
        <w:rPr>
          <w:rStyle w:val="trigger"/>
          <w:b/>
        </w:rPr>
      </w:pPr>
      <w:r w:rsidRPr="003F0078">
        <w:rPr>
          <w:rStyle w:val="trigger"/>
          <w:b/>
        </w:rPr>
        <w:t xml:space="preserve">OMB Control No. </w:t>
      </w:r>
      <w:r w:rsidR="00884EB0" w:rsidRPr="003F0078">
        <w:rPr>
          <w:rStyle w:val="trigger"/>
          <w:b/>
        </w:rPr>
        <w:t>1557-0311</w:t>
      </w:r>
    </w:p>
    <w:p w:rsidR="006F67E6" w:rsidRDefault="00884EB0">
      <w:pPr>
        <w:pStyle w:val="NormalWeb"/>
        <w:spacing w:before="0" w:beforeAutospacing="0" w:after="0" w:afterAutospacing="0"/>
        <w:jc w:val="center"/>
        <w:rPr>
          <w:bCs/>
        </w:rPr>
      </w:pPr>
      <w:r>
        <w:rPr>
          <w:bCs/>
        </w:rPr>
        <w:t xml:space="preserve"> </w:t>
      </w:r>
    </w:p>
    <w:p w:rsidR="006F67E6" w:rsidRDefault="00884EB0">
      <w:pPr>
        <w:pStyle w:val="NormalWeb"/>
        <w:spacing w:before="0" w:beforeAutospacing="0" w:after="0" w:afterAutospacing="0" w:line="480" w:lineRule="auto"/>
      </w:pPr>
      <w:r>
        <w:rPr>
          <w:b/>
          <w:bCs/>
        </w:rPr>
        <w:t>A. Justification</w:t>
      </w:r>
    </w:p>
    <w:p w:rsidR="006F67E6" w:rsidRPr="003F0078" w:rsidRDefault="003F0078">
      <w:pPr>
        <w:numPr>
          <w:ilvl w:val="0"/>
          <w:numId w:val="1"/>
        </w:numPr>
        <w:spacing w:line="480" w:lineRule="auto"/>
        <w:rPr>
          <w:u w:val="single"/>
        </w:rPr>
      </w:pPr>
      <w:r>
        <w:rPr>
          <w:b/>
          <w:i/>
        </w:rPr>
        <w:t xml:space="preserve">Circumstances </w:t>
      </w:r>
      <w:r w:rsidR="00725E9C">
        <w:rPr>
          <w:b/>
          <w:i/>
        </w:rPr>
        <w:t>that make</w:t>
      </w:r>
      <w:r w:rsidR="00884EB0" w:rsidRPr="003F0078">
        <w:rPr>
          <w:b/>
          <w:i/>
        </w:rPr>
        <w:t xml:space="preserve"> the </w:t>
      </w:r>
      <w:r>
        <w:rPr>
          <w:b/>
          <w:i/>
        </w:rPr>
        <w:t>c</w:t>
      </w:r>
      <w:r w:rsidR="00884EB0" w:rsidRPr="003F0078">
        <w:rPr>
          <w:b/>
          <w:i/>
        </w:rPr>
        <w:t xml:space="preserve">ollection of </w:t>
      </w:r>
      <w:r>
        <w:rPr>
          <w:b/>
          <w:i/>
        </w:rPr>
        <w:t>information n</w:t>
      </w:r>
      <w:r w:rsidR="00884EB0" w:rsidRPr="003F0078">
        <w:rPr>
          <w:b/>
          <w:i/>
        </w:rPr>
        <w:t>ecessar</w:t>
      </w:r>
      <w:r w:rsidR="00884EB0" w:rsidRPr="00725E9C">
        <w:rPr>
          <w:b/>
          <w:i/>
        </w:rPr>
        <w:t>y</w:t>
      </w:r>
      <w:r w:rsidRPr="00725E9C">
        <w:t>:</w:t>
      </w:r>
      <w:r w:rsidR="00884EB0" w:rsidRPr="003F0078">
        <w:rPr>
          <w:u w:val="single"/>
        </w:rPr>
        <w:t xml:space="preserve"> </w:t>
      </w:r>
    </w:p>
    <w:p w:rsidR="006F67E6" w:rsidRDefault="00884EB0">
      <w:pPr>
        <w:ind w:left="720"/>
        <w:rPr>
          <w:u w:val="single"/>
        </w:rPr>
      </w:pPr>
      <w:r>
        <w:rPr>
          <w:u w:val="single"/>
        </w:rPr>
        <w:t xml:space="preserve">This collection of information currently encompasses information collection requirements contained in the OCC’s annual stress testing rule and its stress testing templates for covered institutions with over $50 billion in total consolidated assets.  The collection </w:t>
      </w:r>
      <w:r w:rsidR="00F15C80">
        <w:rPr>
          <w:u w:val="single"/>
        </w:rPr>
        <w:t xml:space="preserve">also includes </w:t>
      </w:r>
      <w:r>
        <w:rPr>
          <w:u w:val="single"/>
        </w:rPr>
        <w:t>templates for institutions with total consolidated assets of $10 billion to $50 billion</w:t>
      </w:r>
      <w:r w:rsidR="00F15C80">
        <w:rPr>
          <w:u w:val="single"/>
        </w:rPr>
        <w:t>, which are being incorporated into the FFIEC 016</w:t>
      </w:r>
      <w:r>
        <w:rPr>
          <w:u w:val="single"/>
        </w:rPr>
        <w:t>.</w:t>
      </w:r>
    </w:p>
    <w:p w:rsidR="006F67E6" w:rsidRDefault="006F67E6">
      <w:pPr>
        <w:ind w:left="720"/>
        <w:rPr>
          <w:u w:val="single"/>
        </w:rPr>
      </w:pPr>
    </w:p>
    <w:p w:rsidR="006F67E6" w:rsidRDefault="00884EB0">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assets of more than $10 billion are be required to conduct annual stress tests and comply with reporting and disclosure requirements under the rule. The reporting templates for institutions with total consolidated assets of over $50 billion were finalized in 2012.</w:t>
      </w:r>
      <w:r>
        <w:rPr>
          <w:rStyle w:val="FootnoteReference"/>
          <w:rFonts w:ascii="Times New Roman" w:hAnsi="Times New Roman"/>
        </w:rPr>
        <w:footnoteReference w:id="3"/>
      </w:r>
    </w:p>
    <w:p w:rsidR="006F67E6" w:rsidRDefault="006F67E6">
      <w:pPr>
        <w:rPr>
          <w:color w:val="FF0000"/>
        </w:rPr>
      </w:pPr>
    </w:p>
    <w:p w:rsidR="006F67E6" w:rsidRDefault="00884EB0">
      <w:pPr>
        <w:ind w:left="720"/>
        <w:rPr>
          <w:u w:val="single"/>
        </w:rPr>
      </w:pPr>
      <w:r>
        <w:t>Section 165(i)(2)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rsidR="006F67E6" w:rsidRDefault="006F67E6">
      <w:pPr>
        <w:ind w:left="720"/>
      </w:pPr>
    </w:p>
    <w:p w:rsidR="006F67E6" w:rsidRDefault="00884EB0">
      <w:pPr>
        <w:ind w:left="720"/>
      </w:pPr>
      <w:r>
        <w:t>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6F67E6" w:rsidRDefault="006F67E6">
      <w:pPr>
        <w:rPr>
          <w:color w:val="FF0000"/>
        </w:rPr>
      </w:pPr>
    </w:p>
    <w:p w:rsidR="006F67E6" w:rsidRDefault="006F67E6">
      <w:pPr>
        <w:autoSpaceDE w:val="0"/>
        <w:autoSpaceDN w:val="0"/>
        <w:adjustRightInd w:val="0"/>
        <w:ind w:left="720"/>
      </w:pPr>
    </w:p>
    <w:p w:rsidR="006F67E6" w:rsidRDefault="006F67E6">
      <w:pPr>
        <w:ind w:firstLine="720"/>
      </w:pPr>
    </w:p>
    <w:p w:rsidR="006F67E6" w:rsidRPr="003F0078" w:rsidRDefault="00884EB0">
      <w:pPr>
        <w:numPr>
          <w:ilvl w:val="0"/>
          <w:numId w:val="1"/>
        </w:numPr>
        <w:rPr>
          <w:b/>
          <w:i/>
        </w:rPr>
      </w:pPr>
      <w:r w:rsidRPr="003F0078">
        <w:rPr>
          <w:b/>
          <w:i/>
        </w:rPr>
        <w:lastRenderedPageBreak/>
        <w:t xml:space="preserve">Use of the </w:t>
      </w:r>
      <w:r w:rsidR="003F0078">
        <w:rPr>
          <w:b/>
          <w:i/>
        </w:rPr>
        <w:t>i</w:t>
      </w:r>
      <w:r w:rsidR="00725E9C">
        <w:rPr>
          <w:b/>
          <w:i/>
        </w:rPr>
        <w:t>nformation</w:t>
      </w:r>
      <w:r w:rsidR="003F0078">
        <w:rPr>
          <w:b/>
          <w:i/>
        </w:rPr>
        <w:t>:</w:t>
      </w:r>
      <w:r w:rsidRPr="003F0078">
        <w:rPr>
          <w:b/>
          <w:i/>
        </w:rPr>
        <w:t xml:space="preserve"> </w:t>
      </w:r>
    </w:p>
    <w:p w:rsidR="006F67E6" w:rsidRDefault="006F67E6">
      <w:pPr>
        <w:ind w:left="720"/>
      </w:pPr>
    </w:p>
    <w:p w:rsidR="006F67E6" w:rsidRDefault="00ED6A95">
      <w:pPr>
        <w:autoSpaceDE w:val="0"/>
        <w:autoSpaceDN w:val="0"/>
        <w:adjustRightInd w:val="0"/>
        <w:ind w:left="720" w:right="-14"/>
      </w:pPr>
      <w:r>
        <w:rPr>
          <w:rFonts w:ascii="Times" w:hAnsi="Times" w:cs="Times"/>
          <w:color w:val="000000"/>
        </w:rPr>
        <w:t>The OCC uses</w:t>
      </w:r>
      <w:r w:rsidR="00884EB0">
        <w:rPr>
          <w:rFonts w:ascii="Times" w:hAnsi="Times" w:cs="Times"/>
          <w:color w:val="000000"/>
        </w:rPr>
        <w:t xml:space="preserve"> the data collected through these templates to</w:t>
      </w:r>
      <w:r w:rsidR="00884EB0">
        <w:rPr>
          <w:rFonts w:ascii="Times" w:eastAsia="Arial Unicode MS" w:hAnsi="Times" w:cs="Times"/>
          <w:color w:val="000000"/>
        </w:rPr>
        <w:t xml:space="preserve"> assess</w:t>
      </w:r>
      <w:r w:rsidR="00884EB0">
        <w:rPr>
          <w:rFonts w:ascii="Times" w:hAnsi="Times" w:cs="Times"/>
          <w:color w:val="000000"/>
        </w:rPr>
        <w:t xml:space="preserve"> the reasonableness of the stress test results</w:t>
      </w:r>
      <w:r w:rsidR="00884EB0">
        <w:rPr>
          <w:rFonts w:ascii="Times" w:eastAsia="Arial Unicode MS" w:hAnsi="Times" w:cs="Times"/>
          <w:color w:val="000000"/>
        </w:rPr>
        <w:t xml:space="preserve"> of covered institutions and to provide</w:t>
      </w:r>
      <w:r w:rsidR="00884EB0">
        <w:t xml:space="preserve"> forward-looking information to the OCC regarding a covered institution’s capital adequacy</w:t>
      </w:r>
      <w:r w:rsidR="00884EB0">
        <w:rPr>
          <w:rFonts w:ascii="Times" w:eastAsia="Arial Unicode MS" w:hAnsi="Times" w:cs="Times"/>
          <w:color w:val="000000"/>
        </w:rPr>
        <w:t xml:space="preserve">.  The </w:t>
      </w:r>
      <w:r w:rsidR="00884EB0">
        <w:t xml:space="preserve">OCC also may use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rsidR="006F67E6" w:rsidRDefault="006F67E6">
      <w:pPr>
        <w:ind w:left="720"/>
        <w:rPr>
          <w:rFonts w:eastAsia="Arial Unicode MS"/>
        </w:rPr>
      </w:pPr>
    </w:p>
    <w:p w:rsidR="006F67E6" w:rsidRDefault="00884EB0">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will be applied to more complex portfolios and therefore warrant a broader set of reports to adequately capture the results of the company-run stress tests.  These reports will necessarily require more detail than would be appropriate for smaller, less complex institutions.  Therefore, the OCC </w:t>
      </w:r>
      <w:r w:rsidR="00ED6A95">
        <w:rPr>
          <w:rFonts w:eastAsia="Arial Unicode MS"/>
        </w:rPr>
        <w:t>has specified</w:t>
      </w:r>
      <w:r>
        <w:rPr>
          <w:rFonts w:eastAsia="Arial Unicode MS"/>
        </w:rPr>
        <w:t xml:space="preserve"> separate reporting templates for covered institutions with total consolidated assets between $10 and $50 billion and for covered institutions with total consolidated assets of $50 billion or more.  In cases where a covered institution with assets less than $50 billion is affiliated with a banking organization with assets of $50 billion or more, the OCC reserves the authority to require that covered institution to use the reporting template for larger institutions with total consolidated assets of $50 billion or more.  The OCC may also, on a case-by-case basis, require a covered institution with assets of $50 billion or more to report stress test results using a simpler format to be specified by the OCC.  </w:t>
      </w:r>
    </w:p>
    <w:p w:rsidR="00725E9C" w:rsidRDefault="00725E9C" w:rsidP="003F0078">
      <w:pPr>
        <w:autoSpaceDE w:val="0"/>
        <w:autoSpaceDN w:val="0"/>
        <w:adjustRightInd w:val="0"/>
        <w:ind w:left="720" w:firstLine="720"/>
      </w:pPr>
    </w:p>
    <w:p w:rsidR="006F67E6" w:rsidRPr="003F0078" w:rsidRDefault="00725E9C">
      <w:pPr>
        <w:numPr>
          <w:ilvl w:val="0"/>
          <w:numId w:val="1"/>
        </w:numPr>
        <w:ind w:right="-1440"/>
        <w:rPr>
          <w:b/>
          <w:i/>
        </w:rPr>
      </w:pPr>
      <w:r>
        <w:rPr>
          <w:b/>
          <w:i/>
        </w:rPr>
        <w:t>Consideration of the use</w:t>
      </w:r>
      <w:r w:rsidR="00884EB0" w:rsidRPr="003F0078">
        <w:rPr>
          <w:b/>
          <w:i/>
        </w:rPr>
        <w:t xml:space="preserve"> of </w:t>
      </w:r>
      <w:r w:rsidR="003F0078">
        <w:rPr>
          <w:b/>
          <w:i/>
        </w:rPr>
        <w:t>i</w:t>
      </w:r>
      <w:r w:rsidR="00884EB0" w:rsidRPr="003F0078">
        <w:rPr>
          <w:b/>
          <w:i/>
        </w:rPr>
        <w:t>mproved</w:t>
      </w:r>
      <w:r w:rsidR="003F0078">
        <w:rPr>
          <w:b/>
          <w:i/>
        </w:rPr>
        <w:t xml:space="preserve"> i</w:t>
      </w:r>
      <w:r w:rsidR="00884EB0" w:rsidRPr="003F0078">
        <w:rPr>
          <w:b/>
          <w:i/>
        </w:rPr>
        <w:t xml:space="preserve">nformation </w:t>
      </w:r>
      <w:r w:rsidR="003F0078">
        <w:rPr>
          <w:b/>
          <w:i/>
        </w:rPr>
        <w:t>technology:</w:t>
      </w:r>
    </w:p>
    <w:p w:rsidR="006F67E6" w:rsidRDefault="006F67E6">
      <w:pPr>
        <w:pStyle w:val="ListParagraph"/>
      </w:pPr>
    </w:p>
    <w:p w:rsidR="006F67E6" w:rsidRDefault="00884EB0">
      <w:pPr>
        <w:ind w:left="720"/>
        <w:rPr>
          <w:u w:val="single"/>
        </w:rPr>
      </w:pPr>
      <w:r>
        <w:t>Respondents may use any method of improved technology that meets the requirements of the collection.</w:t>
      </w:r>
    </w:p>
    <w:p w:rsidR="002D77C7" w:rsidRDefault="00884EB0">
      <w:pPr>
        <w:pStyle w:val="HTMLPreformatted"/>
        <w:rPr>
          <w:rFonts w:ascii="Times New Roman" w:hAnsi="Times New Roman" w:cs="Times New Roman"/>
          <w:sz w:val="24"/>
          <w:szCs w:val="24"/>
        </w:rPr>
      </w:pPr>
      <w:r>
        <w:rPr>
          <w:rFonts w:ascii="Times New Roman" w:hAnsi="Times New Roman" w:cs="Times New Roman"/>
          <w:sz w:val="24"/>
          <w:szCs w:val="24"/>
        </w:rPr>
        <w:tab/>
      </w:r>
    </w:p>
    <w:p w:rsidR="006F67E6" w:rsidRPr="00725E9C" w:rsidRDefault="00884EB0">
      <w:pPr>
        <w:numPr>
          <w:ilvl w:val="0"/>
          <w:numId w:val="1"/>
        </w:numPr>
      </w:pPr>
      <w:r w:rsidRPr="00725E9C">
        <w:rPr>
          <w:b/>
          <w:i/>
        </w:rPr>
        <w:t xml:space="preserve">Efforts to </w:t>
      </w:r>
      <w:r w:rsidR="00725E9C">
        <w:rPr>
          <w:b/>
          <w:i/>
        </w:rPr>
        <w:t>i</w:t>
      </w:r>
      <w:r w:rsidRPr="00725E9C">
        <w:rPr>
          <w:b/>
          <w:i/>
        </w:rPr>
        <w:t xml:space="preserve">dentify </w:t>
      </w:r>
      <w:r w:rsidR="00725E9C">
        <w:rPr>
          <w:b/>
          <w:i/>
        </w:rPr>
        <w:t>d</w:t>
      </w:r>
      <w:r w:rsidRPr="00725E9C">
        <w:rPr>
          <w:b/>
          <w:i/>
        </w:rPr>
        <w:t>uplication</w:t>
      </w:r>
      <w:r w:rsidR="00725E9C">
        <w:t>:</w:t>
      </w:r>
      <w:r w:rsidRPr="00725E9C">
        <w:t xml:space="preserve"> </w:t>
      </w:r>
    </w:p>
    <w:p w:rsidR="006F67E6" w:rsidRDefault="006F67E6">
      <w:pPr>
        <w:ind w:left="720" w:right="893"/>
      </w:pPr>
    </w:p>
    <w:p w:rsidR="006F67E6" w:rsidRDefault="00884EB0">
      <w:pPr>
        <w:ind w:left="720" w:right="893"/>
      </w:pPr>
      <w:r>
        <w:t>The required information is unique and is not duplicative of any other information already collected.</w:t>
      </w:r>
    </w:p>
    <w:p w:rsidR="006F67E6" w:rsidRDefault="006F67E6"/>
    <w:p w:rsidR="006F67E6" w:rsidRPr="00725E9C" w:rsidRDefault="00884EB0">
      <w:pPr>
        <w:numPr>
          <w:ilvl w:val="0"/>
          <w:numId w:val="1"/>
        </w:numPr>
        <w:rPr>
          <w:b/>
          <w:i/>
        </w:rPr>
      </w:pPr>
      <w:r w:rsidRPr="00725E9C">
        <w:rPr>
          <w:b/>
          <w:i/>
        </w:rPr>
        <w:t xml:space="preserve">Methods used to Minimize burden if the collection has a significant impact on </w:t>
      </w:r>
      <w:r w:rsidR="002D77C7">
        <w:rPr>
          <w:b/>
          <w:i/>
        </w:rPr>
        <w:t>a substantial number of small e</w:t>
      </w:r>
      <w:r w:rsidRPr="00725E9C">
        <w:rPr>
          <w:b/>
          <w:i/>
        </w:rPr>
        <w:t>ntities</w:t>
      </w:r>
      <w:r w:rsidR="002D77C7">
        <w:rPr>
          <w:b/>
          <w:i/>
        </w:rPr>
        <w:t>:</w:t>
      </w:r>
    </w:p>
    <w:p w:rsidR="006F67E6" w:rsidRDefault="006F67E6">
      <w:pPr>
        <w:ind w:left="720" w:right="893"/>
      </w:pPr>
    </w:p>
    <w:p w:rsidR="006F67E6" w:rsidRDefault="00884EB0">
      <w:pPr>
        <w:ind w:left="720" w:right="893"/>
      </w:pPr>
      <w:r>
        <w:t>The information collection does not have a significant impact on a substantial number of small businesses or other small entities.</w:t>
      </w:r>
    </w:p>
    <w:p w:rsidR="006F67E6" w:rsidRDefault="006F67E6">
      <w:pPr>
        <w:ind w:firstLine="720"/>
      </w:pPr>
    </w:p>
    <w:p w:rsidR="006F67E6" w:rsidRPr="00725E9C" w:rsidRDefault="00884EB0">
      <w:pPr>
        <w:numPr>
          <w:ilvl w:val="0"/>
          <w:numId w:val="1"/>
        </w:numPr>
        <w:rPr>
          <w:b/>
          <w:i/>
        </w:rPr>
      </w:pPr>
      <w:r w:rsidRPr="00725E9C">
        <w:rPr>
          <w:b/>
          <w:i/>
        </w:rPr>
        <w:t xml:space="preserve">Consequences </w:t>
      </w:r>
      <w:r w:rsidR="002D77C7">
        <w:rPr>
          <w:b/>
          <w:i/>
        </w:rPr>
        <w:t>to the Federal program if the collection were conducted less frequently:</w:t>
      </w:r>
    </w:p>
    <w:p w:rsidR="006F67E6" w:rsidRDefault="006F67E6">
      <w:pPr>
        <w:ind w:left="720"/>
      </w:pPr>
    </w:p>
    <w:p w:rsidR="006F67E6" w:rsidRDefault="00884EB0">
      <w:pPr>
        <w:ind w:left="720"/>
      </w:pPr>
      <w:r>
        <w:lastRenderedPageBreak/>
        <w:t xml:space="preserve">The collection of information is required by Federal Statute. </w:t>
      </w:r>
      <w:r w:rsidR="002D77C7">
        <w:t xml:space="preserve"> </w:t>
      </w:r>
      <w:r>
        <w:t>The consequences of collecting the information less frequently would prevent OCC from implementing Section 165(i)(2) of the Dodd-Frank Wall Street Reform and Consumer Protection Act.</w:t>
      </w:r>
      <w:r>
        <w:rPr>
          <w:rStyle w:val="FootnoteReference"/>
        </w:rPr>
        <w:footnoteReference w:id="8"/>
      </w:r>
    </w:p>
    <w:p w:rsidR="006F67E6" w:rsidRDefault="006F67E6">
      <w:pPr>
        <w:ind w:firstLine="720"/>
      </w:pPr>
    </w:p>
    <w:p w:rsidR="006F67E6" w:rsidRPr="00725E9C" w:rsidRDefault="00884EB0">
      <w:pPr>
        <w:numPr>
          <w:ilvl w:val="0"/>
          <w:numId w:val="1"/>
        </w:numPr>
        <w:rPr>
          <w:b/>
          <w:i/>
        </w:rPr>
      </w:pPr>
      <w:r w:rsidRPr="00725E9C">
        <w:rPr>
          <w:b/>
          <w:i/>
        </w:rPr>
        <w:t xml:space="preserve">Special </w:t>
      </w:r>
      <w:r w:rsidR="002D77C7">
        <w:rPr>
          <w:b/>
          <w:i/>
        </w:rPr>
        <w:t>c</w:t>
      </w:r>
      <w:r w:rsidRPr="00725E9C">
        <w:rPr>
          <w:b/>
          <w:i/>
        </w:rPr>
        <w:t xml:space="preserve">ircumstances </w:t>
      </w:r>
      <w:r w:rsidR="002D77C7">
        <w:rPr>
          <w:b/>
          <w:i/>
        </w:rPr>
        <w:t xml:space="preserve">that would cause an information collection to be conducted in a manner inconsistent with </w:t>
      </w:r>
      <w:r w:rsidRPr="00725E9C">
        <w:rPr>
          <w:b/>
          <w:i/>
        </w:rPr>
        <w:t xml:space="preserve">5 CFR </w:t>
      </w:r>
      <w:r w:rsidR="002D77C7">
        <w:rPr>
          <w:b/>
          <w:i/>
        </w:rPr>
        <w:t>part 1320:</w:t>
      </w:r>
    </w:p>
    <w:p w:rsidR="006F67E6" w:rsidRDefault="006F67E6">
      <w:pPr>
        <w:ind w:left="720" w:right="893"/>
      </w:pPr>
    </w:p>
    <w:p w:rsidR="006F67E6" w:rsidRDefault="002D77C7">
      <w:pPr>
        <w:ind w:left="720" w:right="893"/>
      </w:pPr>
      <w:r>
        <w:t>Not applicable.</w:t>
      </w:r>
    </w:p>
    <w:p w:rsidR="006F67E6" w:rsidRDefault="006F67E6">
      <w:pPr>
        <w:ind w:firstLine="720"/>
      </w:pPr>
    </w:p>
    <w:p w:rsidR="006F67E6" w:rsidRPr="00725E9C" w:rsidRDefault="002D77C7">
      <w:pPr>
        <w:numPr>
          <w:ilvl w:val="0"/>
          <w:numId w:val="1"/>
        </w:numPr>
        <w:rPr>
          <w:b/>
          <w:i/>
        </w:rPr>
      </w:pPr>
      <w:r>
        <w:rPr>
          <w:b/>
          <w:i/>
        </w:rPr>
        <w:t>Efforts to consult with persons outside the agency:</w:t>
      </w:r>
    </w:p>
    <w:p w:rsidR="006F67E6" w:rsidRDefault="006F67E6">
      <w:pPr>
        <w:ind w:left="720"/>
      </w:pPr>
    </w:p>
    <w:p w:rsidR="00AB04C1" w:rsidRDefault="00884EB0">
      <w:pPr>
        <w:ind w:left="720"/>
      </w:pPr>
      <w:r>
        <w:t xml:space="preserve">In the </w:t>
      </w:r>
      <w:r>
        <w:rPr>
          <w:bCs/>
          <w:u w:val="single"/>
        </w:rPr>
        <w:t xml:space="preserve">Federal </w:t>
      </w:r>
      <w:r w:rsidRPr="00B53F28">
        <w:rPr>
          <w:bCs/>
          <w:u w:val="single"/>
        </w:rPr>
        <w:t>Register</w:t>
      </w:r>
      <w:r w:rsidRPr="00B53F28">
        <w:rPr>
          <w:b/>
          <w:bCs/>
        </w:rPr>
        <w:t xml:space="preserve"> </w:t>
      </w:r>
      <w:r w:rsidR="00B53F28">
        <w:t>dated</w:t>
      </w:r>
      <w:r w:rsidRPr="00B53F28">
        <w:t xml:space="preserve"> October </w:t>
      </w:r>
      <w:r w:rsidR="00B53F28" w:rsidRPr="00B53F28">
        <w:t>6, 2017</w:t>
      </w:r>
      <w:r w:rsidRPr="00B53F28">
        <w:t xml:space="preserve"> (8</w:t>
      </w:r>
      <w:r w:rsidR="00B53F28" w:rsidRPr="00B53F28">
        <w:t>2</w:t>
      </w:r>
      <w:r w:rsidRPr="00B53F28">
        <w:t xml:space="preserve"> FR </w:t>
      </w:r>
      <w:r w:rsidR="00B53F28" w:rsidRPr="00B53F28">
        <w:t>46887</w:t>
      </w:r>
      <w:r w:rsidRPr="00B53F28">
        <w:t>), OCC published a 60-day notice r</w:t>
      </w:r>
      <w:r w:rsidR="00822806" w:rsidRPr="00B53F28">
        <w:t xml:space="preserve">equesting public comment on </w:t>
      </w:r>
      <w:r w:rsidRPr="00B53F28">
        <w:t>the collection of information</w:t>
      </w:r>
      <w:r w:rsidR="00822806" w:rsidRPr="00B53F28">
        <w:t xml:space="preserve"> for institutions with total consolidated assets</w:t>
      </w:r>
      <w:r w:rsidR="00822806">
        <w:t xml:space="preserve"> </w:t>
      </w:r>
      <w:r w:rsidR="00561FA7">
        <w:t>between</w:t>
      </w:r>
      <w:r w:rsidR="00822806">
        <w:t xml:space="preserve"> $10 billion </w:t>
      </w:r>
      <w:r w:rsidR="00561FA7">
        <w:t>and</w:t>
      </w:r>
      <w:r w:rsidR="00822806">
        <w:t xml:space="preserve"> $50 billion</w:t>
      </w:r>
      <w:r>
        <w:t xml:space="preserve">.  </w:t>
      </w:r>
      <w:r w:rsidR="00561FA7">
        <w:t xml:space="preserve">Specifically, the OCC requested comment on whether to combine the OCC’s form for this information collection with similar forms developed by the FDIC and FRB </w:t>
      </w:r>
      <w:r w:rsidR="00D25D53">
        <w:t>into a single interagency form, the FFIEC 016.</w:t>
      </w:r>
      <w:r w:rsidR="00F51A62">
        <w:t xml:space="preserve"> The OCC did not propose any changes to the templates for institutions with assets of $50 billion or more in this notice.</w:t>
      </w:r>
    </w:p>
    <w:p w:rsidR="00AB04C1" w:rsidRDefault="00AB04C1">
      <w:pPr>
        <w:ind w:left="720"/>
      </w:pPr>
    </w:p>
    <w:p w:rsidR="00561FA7" w:rsidRDefault="00AB04C1">
      <w:pPr>
        <w:ind w:left="720"/>
      </w:pPr>
      <w:r w:rsidRPr="00AB04C1">
        <w:t xml:space="preserve">Currently, the </w:t>
      </w:r>
      <w:r>
        <w:t xml:space="preserve">OCC, FDIC, and FRB </w:t>
      </w:r>
      <w:r w:rsidRPr="00AB04C1">
        <w:t xml:space="preserve">maintain separate, yet identical, report forms (FR Y-16, FDIC DFAST 10-50, and OCC DFAST 10-50B) for the banks, savings associations, and holding companies they supervise to report these company-run stress test results.  The agencies </w:t>
      </w:r>
      <w:r>
        <w:t>proposed</w:t>
      </w:r>
      <w:r w:rsidRPr="00AB04C1">
        <w:t xml:space="preserve"> to combine these separate data collections and designate the combined report as a uniform FFIEC data collection.  As part of their proposed adoption of the new FFIEC 016 report, the agencies also </w:t>
      </w:r>
      <w:r w:rsidR="00B7324F">
        <w:t xml:space="preserve">proposed limited updates to </w:t>
      </w:r>
      <w:r w:rsidRPr="00AB04C1">
        <w:t>the quantitative and qualitative information currently collected in their separate, yet identical, report forms to implement a limited number of revisions that would align the new report with recent burden-reducing changes to the FFIEC 031, FFIEC 041, and the Board’s FR Y-9C.   These revisions are not expected to change the estimated reporting burden for the proposed new FFIEC 016 compared to the estimated reporting burden for the agencies’ exis</w:t>
      </w:r>
      <w:r w:rsidR="00B7324F">
        <w:t>ting stress test report forms. However, the combined FFIEC 016 form will significantly improve the agencies’ ability to analyze data received from respondents, as well as promoting consistency for the industry regardless of primary federal supervisor.</w:t>
      </w:r>
    </w:p>
    <w:p w:rsidR="00B7324F" w:rsidRDefault="00B7324F">
      <w:pPr>
        <w:ind w:left="720"/>
      </w:pPr>
    </w:p>
    <w:p w:rsidR="006F67E6" w:rsidRDefault="00B7324F">
      <w:pPr>
        <w:ind w:left="720"/>
      </w:pPr>
      <w:r>
        <w:t>The agencies received no comments on the proposal, and plan to adopt all the changes as proposed.</w:t>
      </w:r>
      <w:r w:rsidR="00884EB0">
        <w:t xml:space="preserve">  </w:t>
      </w:r>
    </w:p>
    <w:p w:rsidR="006F67E6" w:rsidRDefault="006F67E6">
      <w:pPr>
        <w:ind w:left="720"/>
      </w:pPr>
    </w:p>
    <w:p w:rsidR="006F67E6" w:rsidRPr="00725E9C" w:rsidRDefault="002D77C7">
      <w:pPr>
        <w:pStyle w:val="ListParagraph"/>
        <w:numPr>
          <w:ilvl w:val="0"/>
          <w:numId w:val="1"/>
        </w:numPr>
        <w:rPr>
          <w:b/>
          <w:i/>
        </w:rPr>
      </w:pPr>
      <w:r>
        <w:rPr>
          <w:b/>
          <w:i/>
        </w:rPr>
        <w:t>Payment or gift to respondents:</w:t>
      </w:r>
    </w:p>
    <w:p w:rsidR="006F67E6" w:rsidRDefault="006F67E6">
      <w:pPr>
        <w:ind w:left="720"/>
      </w:pPr>
    </w:p>
    <w:p w:rsidR="006F67E6" w:rsidRDefault="002D77C7">
      <w:pPr>
        <w:ind w:left="720"/>
      </w:pPr>
      <w:r>
        <w:t>None.</w:t>
      </w:r>
    </w:p>
    <w:p w:rsidR="006F67E6" w:rsidRDefault="006F67E6">
      <w:pPr>
        <w:ind w:firstLine="720"/>
      </w:pPr>
    </w:p>
    <w:p w:rsidR="006F67E6" w:rsidRPr="00725E9C" w:rsidRDefault="002D77C7">
      <w:pPr>
        <w:numPr>
          <w:ilvl w:val="0"/>
          <w:numId w:val="1"/>
        </w:numPr>
        <w:rPr>
          <w:b/>
          <w:i/>
        </w:rPr>
      </w:pPr>
      <w:r>
        <w:rPr>
          <w:b/>
          <w:i/>
        </w:rPr>
        <w:t>Any assurance of confidentiality:</w:t>
      </w:r>
    </w:p>
    <w:p w:rsidR="006F67E6" w:rsidRDefault="006F67E6">
      <w:pPr>
        <w:numPr>
          <w:ilvl w:val="12"/>
          <w:numId w:val="0"/>
        </w:numPr>
        <w:tabs>
          <w:tab w:val="left" w:pos="720"/>
        </w:tabs>
        <w:ind w:left="720"/>
      </w:pPr>
    </w:p>
    <w:p w:rsidR="006F67E6" w:rsidRDefault="00884EB0">
      <w:pPr>
        <w:ind w:left="720"/>
      </w:pPr>
      <w:r>
        <w:t xml:space="preserve">The information collection request will be kept </w:t>
      </w:r>
      <w:r w:rsidR="00F51A62">
        <w:t>confidential</w:t>
      </w:r>
      <w:r w:rsidR="002D77C7">
        <w:t xml:space="preserve"> to the extent permitted</w:t>
      </w:r>
      <w:r>
        <w:t xml:space="preserve"> by law.</w:t>
      </w:r>
    </w:p>
    <w:p w:rsidR="003F0078" w:rsidRDefault="003F0078">
      <w:pPr>
        <w:numPr>
          <w:ilvl w:val="12"/>
          <w:numId w:val="0"/>
        </w:numPr>
        <w:tabs>
          <w:tab w:val="left" w:pos="720"/>
        </w:tabs>
        <w:ind w:left="720"/>
      </w:pPr>
    </w:p>
    <w:p w:rsidR="006F67E6" w:rsidRPr="00725E9C" w:rsidRDefault="00884EB0">
      <w:pPr>
        <w:numPr>
          <w:ilvl w:val="0"/>
          <w:numId w:val="1"/>
        </w:numPr>
        <w:rPr>
          <w:b/>
          <w:i/>
        </w:rPr>
      </w:pPr>
      <w:r w:rsidRPr="00725E9C">
        <w:rPr>
          <w:b/>
          <w:i/>
        </w:rPr>
        <w:t xml:space="preserve">Justification for </w:t>
      </w:r>
      <w:r w:rsidR="002D77C7">
        <w:rPr>
          <w:b/>
          <w:i/>
        </w:rPr>
        <w:t>questions of a sensitive nature:</w:t>
      </w:r>
    </w:p>
    <w:p w:rsidR="006F67E6" w:rsidRDefault="006F67E6">
      <w:pPr>
        <w:ind w:firstLine="720"/>
      </w:pPr>
    </w:p>
    <w:p w:rsidR="006F67E6" w:rsidRDefault="00884EB0">
      <w:pPr>
        <w:ind w:firstLine="720"/>
      </w:pPr>
      <w:r>
        <w:t>There are no questions of a sensitive nature.</w:t>
      </w:r>
    </w:p>
    <w:p w:rsidR="006F67E6" w:rsidRDefault="006F67E6">
      <w:pPr>
        <w:ind w:firstLine="720"/>
      </w:pPr>
    </w:p>
    <w:p w:rsidR="006F67E6" w:rsidRPr="00725E9C" w:rsidRDefault="002D77C7">
      <w:pPr>
        <w:numPr>
          <w:ilvl w:val="0"/>
          <w:numId w:val="1"/>
        </w:numPr>
        <w:rPr>
          <w:b/>
          <w:i/>
        </w:rPr>
      </w:pPr>
      <w:r>
        <w:rPr>
          <w:b/>
          <w:i/>
        </w:rPr>
        <w:t>Burden estimate:</w:t>
      </w:r>
    </w:p>
    <w:p w:rsidR="006F67E6" w:rsidRDefault="006F67E6">
      <w:pPr>
        <w:ind w:left="-18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bookmarkStart w:id="1" w:name="OLE_LINK1"/>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Burden per Response</w:t>
            </w:r>
          </w:p>
          <w:p w:rsidR="006F67E6" w:rsidRDefault="006F67E6">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 xml:space="preserve">Total Hours </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4C45B4">
            <w:pPr>
              <w:widowControl w:val="0"/>
              <w:snapToGrid w:val="0"/>
              <w:jc w:val="center"/>
              <w:rPr>
                <w:b/>
                <w:sz w:val="20"/>
                <w:szCs w:val="20"/>
              </w:rPr>
            </w:pPr>
            <w:r>
              <w:rPr>
                <w:sz w:val="20"/>
                <w:szCs w:val="20"/>
              </w:rPr>
              <w:t>FFIEC 016</w:t>
            </w:r>
            <w:r w:rsidR="00884EB0">
              <w:rPr>
                <w:sz w:val="20"/>
                <w:szCs w:val="20"/>
              </w:rPr>
              <w:t xml:space="preserve"> Templates for Institutions with $10-$50B in Assets</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4C45B4">
            <w:pPr>
              <w:widowControl w:val="0"/>
              <w:snapToGrid w:val="0"/>
              <w:jc w:val="center"/>
              <w:rPr>
                <w:sz w:val="20"/>
                <w:szCs w:val="20"/>
              </w:rPr>
            </w:pPr>
            <w:r>
              <w:rPr>
                <w:sz w:val="20"/>
                <w:szCs w:val="20"/>
              </w:rPr>
              <w:t xml:space="preserve">FFIEC 016 </w:t>
            </w:r>
            <w:r w:rsidR="00884EB0">
              <w:rPr>
                <w:sz w:val="20"/>
                <w:szCs w:val="20"/>
              </w:rPr>
              <w:t>Results Template</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36</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148.33</w:t>
            </w: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16,020</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4C45B4">
            <w:pPr>
              <w:widowControl w:val="0"/>
              <w:snapToGrid w:val="0"/>
              <w:jc w:val="center"/>
              <w:rPr>
                <w:sz w:val="20"/>
                <w:szCs w:val="20"/>
              </w:rPr>
            </w:pPr>
            <w:r>
              <w:rPr>
                <w:sz w:val="20"/>
                <w:szCs w:val="20"/>
              </w:rPr>
              <w:t>FFIEC 016</w:t>
            </w:r>
            <w:r w:rsidR="00884EB0">
              <w:rPr>
                <w:sz w:val="20"/>
                <w:szCs w:val="20"/>
              </w:rPr>
              <w:t xml:space="preserve"> Scenario Variables Template</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36</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24</w:t>
            </w: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864</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5E4443" w:rsidP="004C45B4">
            <w:pPr>
              <w:widowControl w:val="0"/>
              <w:snapToGrid w:val="0"/>
              <w:jc w:val="center"/>
              <w:rPr>
                <w:b/>
                <w:sz w:val="20"/>
                <w:szCs w:val="20"/>
              </w:rPr>
            </w:pPr>
            <w:r>
              <w:rPr>
                <w:b/>
                <w:sz w:val="20"/>
                <w:szCs w:val="20"/>
              </w:rPr>
              <w:t>FFIEC 016 Report Form</w:t>
            </w:r>
            <w:r w:rsidR="004C45B4">
              <w:rPr>
                <w:b/>
                <w:sz w:val="20"/>
                <w:szCs w:val="20"/>
              </w:rPr>
              <w:t xml:space="preserve"> Total</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16,884</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An</w:t>
            </w:r>
            <w:r w:rsidR="005E4443">
              <w:rPr>
                <w:b/>
                <w:sz w:val="20"/>
                <w:szCs w:val="20"/>
              </w:rPr>
              <w:t>nual Stress Test Final Rule (Banks &gt;$50 billion)</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p w:rsidR="006F67E6" w:rsidRDefault="00884EB0">
            <w:pPr>
              <w:widowControl w:val="0"/>
              <w:snapToGrid w:val="0"/>
              <w:jc w:val="center"/>
              <w:rPr>
                <w:b/>
                <w:sz w:val="20"/>
                <w:szCs w:val="20"/>
              </w:rPr>
            </w:pPr>
            <w:r>
              <w:rPr>
                <w:b/>
                <w:sz w:val="20"/>
                <w:szCs w:val="20"/>
              </w:rPr>
              <w:t>63,440</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Total Burden for Collection</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80,324</w:t>
            </w:r>
          </w:p>
        </w:tc>
      </w:tr>
    </w:tbl>
    <w:p w:rsidR="006F67E6" w:rsidRDefault="006F67E6"/>
    <w:p w:rsidR="00AD52B3" w:rsidRDefault="00AD52B3" w:rsidP="00AD52B3"/>
    <w:p w:rsidR="00AD52B3" w:rsidRDefault="00AD52B3" w:rsidP="00AD52B3">
      <w:pPr>
        <w:rPr>
          <w:b/>
        </w:rPr>
      </w:pPr>
      <w:r>
        <w:rPr>
          <w:b/>
        </w:rPr>
        <w:t>Cost of Hour Burden</w:t>
      </w:r>
    </w:p>
    <w:p w:rsidR="00AD52B3" w:rsidRDefault="00BE7675" w:rsidP="00AD52B3">
      <w:pPr>
        <w:rPr>
          <w:b/>
        </w:rPr>
      </w:pPr>
      <w:r>
        <w:rPr>
          <w:b/>
        </w:rPr>
        <w:t>80,324 x $114 = $9,156</w:t>
      </w:r>
      <w:r w:rsidR="000D721A">
        <w:rPr>
          <w:b/>
        </w:rPr>
        <w:t>,936.</w:t>
      </w:r>
    </w:p>
    <w:p w:rsidR="00AD52B3" w:rsidRPr="00AD52B3" w:rsidRDefault="00AD52B3" w:rsidP="00AD52B3">
      <w:pPr>
        <w:rPr>
          <w:b/>
        </w:rPr>
      </w:pPr>
    </w:p>
    <w:p w:rsidR="00BE7675" w:rsidRDefault="00BE7675" w:rsidP="00BE7675">
      <w:r w:rsidRPr="00596CA3">
        <w:t>To estimate average hourly wages we reviewed data from May 201</w:t>
      </w:r>
      <w:r>
        <w:t>6</w:t>
      </w:r>
      <w:r w:rsidRPr="00596CA3">
        <w:t xml:space="preserve"> </w:t>
      </w:r>
      <w:r>
        <w:t xml:space="preserve">(released in March 2017) </w:t>
      </w:r>
      <w:r w:rsidRPr="00596CA3">
        <w:t>for wages (by industry and occupation) from the U.S. Bureau of Labor Statistics (BLS) for depository credit intermediation (NAICS 522100).  To estimate compensation costs assoc</w:t>
      </w:r>
      <w:r>
        <w:t>iated with the rule, we use $114</w:t>
      </w:r>
      <w:r w:rsidRPr="00596CA3">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8F211B" w:rsidRDefault="008F211B" w:rsidP="00AD52B3"/>
    <w:bookmarkEnd w:id="1"/>
    <w:p w:rsidR="006F67E6" w:rsidRPr="00725E9C" w:rsidRDefault="00884EB0">
      <w:pPr>
        <w:numPr>
          <w:ilvl w:val="0"/>
          <w:numId w:val="1"/>
        </w:numPr>
        <w:rPr>
          <w:b/>
          <w:i/>
        </w:rPr>
      </w:pPr>
      <w:r w:rsidRPr="00725E9C">
        <w:rPr>
          <w:b/>
          <w:i/>
        </w:rPr>
        <w:t xml:space="preserve">Estimates of </w:t>
      </w:r>
      <w:r w:rsidR="000943E5">
        <w:rPr>
          <w:b/>
          <w:i/>
        </w:rPr>
        <w:t>total annual costs to respondents (excluding cost of hour burden in Item #12):</w:t>
      </w:r>
    </w:p>
    <w:p w:rsidR="006F67E6" w:rsidRDefault="006F67E6">
      <w:pPr>
        <w:ind w:left="720"/>
      </w:pPr>
    </w:p>
    <w:p w:rsidR="006F67E6" w:rsidRDefault="00884EB0"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725E9C">
        <w:t>None.</w:t>
      </w:r>
    </w:p>
    <w:p w:rsidR="006F67E6" w:rsidRDefault="006F67E6">
      <w:pPr>
        <w:ind w:left="720"/>
      </w:pPr>
    </w:p>
    <w:p w:rsidR="006F67E6" w:rsidRPr="00725E9C" w:rsidRDefault="00884EB0">
      <w:pPr>
        <w:pStyle w:val="ListParagraph"/>
        <w:numPr>
          <w:ilvl w:val="0"/>
          <w:numId w:val="1"/>
        </w:numPr>
        <w:rPr>
          <w:b/>
          <w:i/>
        </w:rPr>
      </w:pPr>
      <w:r w:rsidRPr="00725E9C">
        <w:rPr>
          <w:b/>
          <w:i/>
        </w:rPr>
        <w:t xml:space="preserve"> </w:t>
      </w:r>
      <w:r w:rsidR="000943E5">
        <w:rPr>
          <w:b/>
          <w:i/>
        </w:rPr>
        <w:t>Estimate of annualized costs to the Federal government:</w:t>
      </w:r>
    </w:p>
    <w:p w:rsidR="006F67E6" w:rsidRDefault="006F67E6">
      <w:pPr>
        <w:autoSpaceDE w:val="0"/>
        <w:autoSpaceDN w:val="0"/>
        <w:adjustRightInd w:val="0"/>
        <w:ind w:firstLine="720"/>
      </w:pPr>
    </w:p>
    <w:p w:rsidR="006F67E6" w:rsidRDefault="00884EB0">
      <w:pPr>
        <w:autoSpaceDE w:val="0"/>
        <w:autoSpaceDN w:val="0"/>
        <w:adjustRightInd w:val="0"/>
        <w:ind w:firstLine="720"/>
      </w:pPr>
      <w:r>
        <w:t>OCC estimates no annualized cost to the Federal government.</w:t>
      </w:r>
    </w:p>
    <w:p w:rsidR="006F67E6" w:rsidRDefault="006F67E6">
      <w:pPr>
        <w:autoSpaceDE w:val="0"/>
        <w:autoSpaceDN w:val="0"/>
        <w:adjustRightInd w:val="0"/>
        <w:ind w:firstLine="720"/>
      </w:pPr>
    </w:p>
    <w:p w:rsidR="00BD3AD2" w:rsidRDefault="00BD3AD2">
      <w:pPr>
        <w:autoSpaceDE w:val="0"/>
        <w:autoSpaceDN w:val="0"/>
        <w:adjustRightInd w:val="0"/>
        <w:ind w:firstLine="720"/>
      </w:pPr>
    </w:p>
    <w:p w:rsidR="00BD3AD2" w:rsidRDefault="00BD3AD2">
      <w:pPr>
        <w:autoSpaceDE w:val="0"/>
        <w:autoSpaceDN w:val="0"/>
        <w:adjustRightInd w:val="0"/>
        <w:ind w:firstLine="720"/>
      </w:pPr>
    </w:p>
    <w:p w:rsidR="006F67E6" w:rsidRPr="00725E9C" w:rsidRDefault="000943E5">
      <w:pPr>
        <w:numPr>
          <w:ilvl w:val="0"/>
          <w:numId w:val="1"/>
        </w:numPr>
        <w:rPr>
          <w:b/>
          <w:i/>
        </w:rPr>
      </w:pPr>
      <w:r>
        <w:rPr>
          <w:b/>
          <w:i/>
        </w:rPr>
        <w:t>Change in burden:</w:t>
      </w:r>
    </w:p>
    <w:p w:rsidR="006F67E6" w:rsidRDefault="006F67E6">
      <w:pPr>
        <w:ind w:firstLine="720"/>
      </w:pPr>
    </w:p>
    <w:p w:rsidR="006F67E6" w:rsidRDefault="00884EB0">
      <w:pPr>
        <w:ind w:firstLine="720"/>
      </w:pPr>
      <w:r>
        <w:t xml:space="preserve">Prior Burden:  </w:t>
      </w:r>
      <w:r w:rsidR="00574601">
        <w:t>80,324</w:t>
      </w:r>
      <w:r>
        <w:t>.</w:t>
      </w:r>
    </w:p>
    <w:p w:rsidR="006F67E6" w:rsidRDefault="006F67E6">
      <w:pPr>
        <w:ind w:firstLine="720"/>
      </w:pPr>
    </w:p>
    <w:p w:rsidR="006F67E6" w:rsidRDefault="00884EB0">
      <w:pPr>
        <w:ind w:firstLine="720"/>
      </w:pPr>
      <w:r>
        <w:t>Proposed Burden:  80,324 hours.</w:t>
      </w:r>
    </w:p>
    <w:p w:rsidR="006F67E6" w:rsidRDefault="006F67E6">
      <w:pPr>
        <w:ind w:firstLine="720"/>
      </w:pPr>
    </w:p>
    <w:p w:rsidR="006F67E6" w:rsidRDefault="00884EB0">
      <w:pPr>
        <w:ind w:firstLine="720"/>
      </w:pPr>
      <w:r>
        <w:t xml:space="preserve">Difference:  </w:t>
      </w:r>
      <w:r w:rsidR="00574601">
        <w:t>0</w:t>
      </w:r>
      <w:r>
        <w:t xml:space="preserve"> hours.</w:t>
      </w:r>
    </w:p>
    <w:p w:rsidR="006F67E6" w:rsidRDefault="006F67E6">
      <w:pPr>
        <w:ind w:firstLine="720"/>
      </w:pPr>
    </w:p>
    <w:p w:rsidR="00574601" w:rsidRDefault="00574601" w:rsidP="00574601">
      <w:pPr>
        <w:ind w:left="720"/>
      </w:pPr>
      <w:r>
        <w:t>The changes would not affect the burden estimate, because the information collected in the proposed FFIEC 016 is comparable to the information currently collected in the OCC’s forms for banks with assets between $10 billion and $50 billion.</w:t>
      </w:r>
    </w:p>
    <w:p w:rsidR="006F67E6" w:rsidRDefault="006F67E6">
      <w:pPr>
        <w:ind w:firstLine="720"/>
      </w:pPr>
    </w:p>
    <w:p w:rsidR="006F67E6" w:rsidRPr="00725E9C" w:rsidRDefault="000943E5">
      <w:pPr>
        <w:numPr>
          <w:ilvl w:val="0"/>
          <w:numId w:val="1"/>
        </w:numPr>
        <w:rPr>
          <w:b/>
          <w:i/>
        </w:rPr>
      </w:pPr>
      <w:r>
        <w:rPr>
          <w:b/>
          <w:i/>
        </w:rPr>
        <w:t>Information regarding collections whose results are to be published for statistical use:</w:t>
      </w:r>
    </w:p>
    <w:p w:rsidR="006F67E6" w:rsidRDefault="006F67E6">
      <w:pPr>
        <w:ind w:firstLine="720"/>
      </w:pPr>
    </w:p>
    <w:p w:rsidR="006F67E6" w:rsidRDefault="000943E5">
      <w:pPr>
        <w:ind w:firstLine="720"/>
      </w:pPr>
      <w:r>
        <w:t>Not applicable.</w:t>
      </w:r>
    </w:p>
    <w:p w:rsidR="006F67E6" w:rsidRDefault="006F67E6">
      <w:pPr>
        <w:ind w:firstLine="720"/>
      </w:pPr>
    </w:p>
    <w:p w:rsidR="006F67E6" w:rsidRPr="00725E9C" w:rsidRDefault="000943E5">
      <w:pPr>
        <w:numPr>
          <w:ilvl w:val="0"/>
          <w:numId w:val="1"/>
        </w:numPr>
        <w:rPr>
          <w:b/>
          <w:i/>
        </w:rPr>
      </w:pPr>
      <w:r>
        <w:rPr>
          <w:b/>
          <w:i/>
        </w:rPr>
        <w:t>Reasons for not displaying</w:t>
      </w:r>
      <w:r w:rsidR="00884EB0" w:rsidRPr="00725E9C">
        <w:rPr>
          <w:b/>
          <w:i/>
        </w:rPr>
        <w:t xml:space="preserve"> OMB </w:t>
      </w:r>
      <w:r>
        <w:rPr>
          <w:b/>
          <w:i/>
        </w:rPr>
        <w:t>approval expiration date:</w:t>
      </w:r>
    </w:p>
    <w:p w:rsidR="006F67E6" w:rsidRDefault="006F67E6">
      <w:pPr>
        <w:ind w:left="720"/>
      </w:pPr>
    </w:p>
    <w:p w:rsidR="006F67E6" w:rsidRDefault="000943E5">
      <w:pPr>
        <w:ind w:left="720"/>
      </w:pPr>
      <w:r>
        <w:t>Not applicable.</w:t>
      </w:r>
    </w:p>
    <w:p w:rsidR="006F67E6" w:rsidRDefault="006F67E6"/>
    <w:p w:rsidR="006F67E6" w:rsidRPr="000943E5" w:rsidRDefault="00884EB0">
      <w:pPr>
        <w:ind w:left="720" w:hanging="360"/>
        <w:rPr>
          <w:b/>
          <w:i/>
        </w:rPr>
      </w:pPr>
      <w:r w:rsidRPr="000943E5">
        <w:rPr>
          <w:b/>
          <w:i/>
        </w:rPr>
        <w:t xml:space="preserve">18. Exceptions to </w:t>
      </w:r>
      <w:r w:rsidR="000943E5">
        <w:rPr>
          <w:b/>
          <w:i/>
        </w:rPr>
        <w:t>the certification statement:</w:t>
      </w:r>
    </w:p>
    <w:p w:rsidR="006F67E6" w:rsidRDefault="006F67E6">
      <w:pPr>
        <w:ind w:firstLine="720"/>
      </w:pPr>
    </w:p>
    <w:p w:rsidR="006F67E6" w:rsidRDefault="00884EB0">
      <w:pPr>
        <w:ind w:firstLine="720"/>
      </w:pPr>
      <w:r>
        <w:t>There are no exceptions to the certification.</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Pr="000943E5" w:rsidRDefault="00884EB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25E9C">
        <w:rPr>
          <w:b/>
        </w:rPr>
        <w:t xml:space="preserve">B.  </w:t>
      </w:r>
      <w:r w:rsidR="000943E5">
        <w:rPr>
          <w:b/>
          <w:smallCaps/>
        </w:rPr>
        <w:t>C</w:t>
      </w:r>
      <w:r w:rsidR="000943E5">
        <w:rPr>
          <w:b/>
        </w:rPr>
        <w:t>ollections of Information Employing Statistical Methods.</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25647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006F67E6" w:rsidRDefault="006F67E6"/>
    <w:sectPr w:rsidR="006F67E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1D" w:rsidRDefault="00005C1D">
      <w:r>
        <w:separator/>
      </w:r>
    </w:p>
  </w:endnote>
  <w:endnote w:type="continuationSeparator" w:id="0">
    <w:p w:rsidR="00005C1D" w:rsidRDefault="0000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6F67E6" w:rsidRDefault="00884EB0">
        <w:pPr>
          <w:pStyle w:val="Footer"/>
          <w:jc w:val="center"/>
        </w:pPr>
        <w:r>
          <w:fldChar w:fldCharType="begin"/>
        </w:r>
        <w:r>
          <w:instrText xml:space="preserve"> PAGE   \* MERGEFORMAT </w:instrText>
        </w:r>
        <w:r>
          <w:fldChar w:fldCharType="separate"/>
        </w:r>
        <w:r w:rsidR="00164BDD">
          <w:rPr>
            <w:noProof/>
          </w:rPr>
          <w:t>1</w:t>
        </w:r>
        <w:r>
          <w:rPr>
            <w:noProof/>
          </w:rPr>
          <w:fldChar w:fldCharType="end"/>
        </w:r>
      </w:p>
    </w:sdtContent>
  </w:sdt>
  <w:p w:rsidR="006F67E6" w:rsidRDefault="006F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1D" w:rsidRDefault="00005C1D">
      <w:r>
        <w:separator/>
      </w:r>
    </w:p>
  </w:footnote>
  <w:footnote w:type="continuationSeparator" w:id="0">
    <w:p w:rsidR="00005C1D" w:rsidRDefault="00005C1D">
      <w:r>
        <w:continuationSeparator/>
      </w:r>
    </w:p>
  </w:footnote>
  <w:footnote w:id="1">
    <w:p w:rsidR="006F67E6" w:rsidRDefault="00884EB0">
      <w:pPr>
        <w:pStyle w:val="FootnoteText"/>
      </w:pPr>
      <w:r>
        <w:rPr>
          <w:rStyle w:val="FootnoteReference"/>
        </w:rPr>
        <w:footnoteRef/>
      </w:r>
      <w:r>
        <w:t xml:space="preserve"> October 9, 2012 – Final Rule (77 FR 61238)</w:t>
      </w:r>
    </w:p>
  </w:footnote>
  <w:footnote w:id="2">
    <w:p w:rsidR="006F67E6" w:rsidRDefault="00884EB0">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L. No. 111-203, 124 Stat. 1376 (2010).</w:t>
      </w:r>
    </w:p>
  </w:footnote>
  <w:footnote w:id="3">
    <w:p w:rsidR="006F67E6" w:rsidRDefault="00884EB0">
      <w:pPr>
        <w:pStyle w:val="FootnoteText"/>
      </w:pPr>
      <w:r>
        <w:rPr>
          <w:rStyle w:val="FootnoteReference"/>
        </w:rPr>
        <w:footnoteRef/>
      </w:r>
      <w:r>
        <w:t xml:space="preserve"> 77 FR 49485 (August 16, 2012); 77 FR 66663 (November 6, 2012).</w:t>
      </w:r>
    </w:p>
  </w:footnote>
  <w:footnote w:id="4">
    <w:p w:rsidR="006F67E6" w:rsidRDefault="00884EB0">
      <w:pPr>
        <w:pStyle w:val="FootnoteText"/>
      </w:pPr>
      <w:r>
        <w:rPr>
          <w:rStyle w:val="FootnoteReference"/>
        </w:rPr>
        <w:footnoteRef/>
      </w:r>
      <w:r>
        <w:t xml:space="preserve"> 12 U.S.C. 5365(i)(2)(A).</w:t>
      </w:r>
    </w:p>
  </w:footnote>
  <w:footnote w:id="5">
    <w:p w:rsidR="006F67E6" w:rsidRDefault="00884EB0">
      <w:pPr>
        <w:pStyle w:val="FootnoteText"/>
      </w:pPr>
      <w:r>
        <w:rPr>
          <w:rStyle w:val="FootnoteReference"/>
        </w:rPr>
        <w:footnoteRef/>
      </w:r>
      <w:r>
        <w:t xml:space="preserve"> 12 U.S.C. 5301(12).</w:t>
      </w:r>
    </w:p>
  </w:footnote>
  <w:footnote w:id="6">
    <w:p w:rsidR="006F67E6" w:rsidRDefault="00884EB0">
      <w:pPr>
        <w:pStyle w:val="FootnoteText"/>
      </w:pPr>
      <w:r>
        <w:rPr>
          <w:rStyle w:val="FootnoteReference"/>
        </w:rPr>
        <w:footnoteRef/>
      </w:r>
      <w:r>
        <w:t xml:space="preserve"> 12 U.S.C. 5365(i)(2)(C).</w:t>
      </w:r>
    </w:p>
  </w:footnote>
  <w:footnote w:id="7">
    <w:p w:rsidR="006F67E6" w:rsidRDefault="00884EB0">
      <w:pPr>
        <w:pStyle w:val="FootnoteText"/>
      </w:pPr>
      <w:r>
        <w:rPr>
          <w:rStyle w:val="FootnoteReference"/>
        </w:rPr>
        <w:footnoteRef/>
      </w:r>
      <w:r>
        <w:t xml:space="preserve"> 12 U.S.C. 5365(i)(2)(B).</w:t>
      </w:r>
    </w:p>
  </w:footnote>
  <w:footnote w:id="8">
    <w:p w:rsidR="006F67E6" w:rsidRDefault="00884EB0">
      <w:pPr>
        <w:pStyle w:val="FootnoteText"/>
      </w:pPr>
      <w:r>
        <w:rPr>
          <w:rStyle w:val="FootnoteReference"/>
        </w:rPr>
        <w:footnoteRef/>
      </w:r>
      <w:r>
        <w:t xml:space="preserve"> Public Law 111-203, 124 Stat. 1376, July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E6"/>
    <w:rsid w:val="00005C1D"/>
    <w:rsid w:val="000943E5"/>
    <w:rsid w:val="000D721A"/>
    <w:rsid w:val="00164BDD"/>
    <w:rsid w:val="00256475"/>
    <w:rsid w:val="002D77C7"/>
    <w:rsid w:val="003F0078"/>
    <w:rsid w:val="00407BB2"/>
    <w:rsid w:val="004C45B4"/>
    <w:rsid w:val="00561FA7"/>
    <w:rsid w:val="00574601"/>
    <w:rsid w:val="005E4443"/>
    <w:rsid w:val="006F39D0"/>
    <w:rsid w:val="006F67E6"/>
    <w:rsid w:val="00725E9C"/>
    <w:rsid w:val="00822806"/>
    <w:rsid w:val="008731E7"/>
    <w:rsid w:val="00884EB0"/>
    <w:rsid w:val="008F211B"/>
    <w:rsid w:val="00AB04C1"/>
    <w:rsid w:val="00AD52B3"/>
    <w:rsid w:val="00B53F28"/>
    <w:rsid w:val="00B7324F"/>
    <w:rsid w:val="00BD3AD2"/>
    <w:rsid w:val="00BE7675"/>
    <w:rsid w:val="00C002A1"/>
    <w:rsid w:val="00D25D53"/>
    <w:rsid w:val="00ED6A95"/>
    <w:rsid w:val="00F15C80"/>
    <w:rsid w:val="00F5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7E21-567B-497B-83F2-61E57F2F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2018-02-14T15:47:00Z</cp:lastPrinted>
  <dcterms:created xsi:type="dcterms:W3CDTF">2018-02-14T16:16:00Z</dcterms:created>
  <dcterms:modified xsi:type="dcterms:W3CDTF">2018-02-14T16:16:00Z</dcterms:modified>
</cp:coreProperties>
</file>