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4D9B1" w14:textId="77777777" w:rsidR="00AC7E16" w:rsidRDefault="00AC7E16" w:rsidP="00121792">
      <w:pPr>
        <w:pStyle w:val="Title"/>
        <w:rPr>
          <w:rFonts w:ascii="Arial" w:hAnsi="Arial" w:cs="Arial"/>
          <w:sz w:val="24"/>
          <w:szCs w:val="24"/>
        </w:rPr>
      </w:pPr>
      <w:bookmarkStart w:id="0" w:name="_GoBack"/>
      <w:bookmarkEnd w:id="0"/>
    </w:p>
    <w:p w14:paraId="444489AE" w14:textId="71E84D6E" w:rsidR="00092F97" w:rsidRPr="00AC7E16" w:rsidRDefault="00092F97" w:rsidP="00F361B6">
      <w:pPr>
        <w:pStyle w:val="Title"/>
        <w:spacing w:beforeLines="20" w:before="48" w:afterLines="20" w:after="48"/>
        <w:contextualSpacing w:val="0"/>
        <w:rPr>
          <w:rFonts w:ascii="Arial" w:hAnsi="Arial" w:cs="Arial"/>
          <w:sz w:val="24"/>
          <w:szCs w:val="24"/>
        </w:rPr>
      </w:pPr>
      <w:r w:rsidRPr="00AC7E16">
        <w:rPr>
          <w:rFonts w:ascii="Arial" w:hAnsi="Arial" w:cs="Arial"/>
          <w:sz w:val="24"/>
          <w:szCs w:val="24"/>
        </w:rPr>
        <w:t>Terrorism Risk Insurance Program (TRIP) 2018 Data Call</w:t>
      </w:r>
    </w:p>
    <w:p w14:paraId="1462B92C" w14:textId="7A5F1336" w:rsidR="00092F97" w:rsidRPr="00AC7E16" w:rsidRDefault="007C5581" w:rsidP="00F361B6">
      <w:pPr>
        <w:pStyle w:val="Title"/>
        <w:spacing w:beforeLines="20" w:before="48" w:afterLines="20" w:after="48"/>
        <w:contextualSpacing w:val="0"/>
        <w:rPr>
          <w:rFonts w:ascii="Arial" w:hAnsi="Arial" w:cs="Arial"/>
          <w:sz w:val="24"/>
          <w:szCs w:val="24"/>
        </w:rPr>
      </w:pPr>
      <w:r>
        <w:rPr>
          <w:rFonts w:ascii="Arial" w:hAnsi="Arial" w:cs="Arial"/>
          <w:sz w:val="24"/>
          <w:szCs w:val="24"/>
        </w:rPr>
        <w:t>Summary of Changes to 2018 Templates and Instructions</w:t>
      </w:r>
    </w:p>
    <w:p w14:paraId="2A66821C" w14:textId="77777777" w:rsidR="00092F97" w:rsidRPr="00AC7E16" w:rsidRDefault="00092F97" w:rsidP="00F361B6">
      <w:pPr>
        <w:spacing w:beforeLines="20" w:before="48" w:afterLines="20" w:after="48"/>
        <w:rPr>
          <w:rFonts w:ascii="Arial" w:hAnsi="Arial" w:cs="Arial"/>
        </w:rPr>
      </w:pPr>
    </w:p>
    <w:p w14:paraId="399A3DB2" w14:textId="6B721CBF" w:rsidR="00092F97" w:rsidRPr="00F361B6" w:rsidRDefault="00A50C61" w:rsidP="00175B66">
      <w:pPr>
        <w:pStyle w:val="Heading1"/>
      </w:pPr>
      <w:r w:rsidRPr="00F361B6">
        <w:t>Form Overview</w:t>
      </w:r>
    </w:p>
    <w:p w14:paraId="6D3DA11D" w14:textId="77777777" w:rsidR="00092F97" w:rsidRPr="00F361B6" w:rsidRDefault="00092F97" w:rsidP="00F361B6">
      <w:pPr>
        <w:spacing w:beforeLines="20" w:before="48" w:afterLines="20" w:after="48"/>
        <w:rPr>
          <w:rFonts w:ascii="Arial" w:hAnsi="Arial" w:cs="Arial"/>
          <w:sz w:val="21"/>
          <w:szCs w:val="21"/>
        </w:rPr>
      </w:pPr>
    </w:p>
    <w:p w14:paraId="705AD25D" w14:textId="5AF3C137" w:rsidR="00092F97" w:rsidRPr="00F361B6" w:rsidRDefault="00092F97" w:rsidP="00F361B6">
      <w:pPr>
        <w:spacing w:beforeLines="20" w:before="48" w:afterLines="20" w:after="48"/>
        <w:rPr>
          <w:rFonts w:ascii="Arial" w:hAnsi="Arial" w:cs="Arial"/>
          <w:sz w:val="21"/>
          <w:szCs w:val="21"/>
        </w:rPr>
      </w:pPr>
      <w:r w:rsidRPr="00F361B6">
        <w:rPr>
          <w:rFonts w:ascii="Arial" w:hAnsi="Arial" w:cs="Arial"/>
          <w:sz w:val="21"/>
          <w:szCs w:val="21"/>
        </w:rPr>
        <w:t xml:space="preserve">This </w:t>
      </w:r>
      <w:r w:rsidR="007C5581">
        <w:rPr>
          <w:rFonts w:ascii="Arial" w:hAnsi="Arial" w:cs="Arial"/>
          <w:sz w:val="21"/>
          <w:szCs w:val="21"/>
        </w:rPr>
        <w:t>document summarizes the substantive changes made to the templates and instructions for the 2018 TRIP data call.  Changes to each set of insurer templates and instructions are divided into individual sections for reference.</w:t>
      </w:r>
    </w:p>
    <w:p w14:paraId="0EE0F5EF" w14:textId="77777777" w:rsidR="00DE5753" w:rsidRPr="00175B66" w:rsidRDefault="00DE5753" w:rsidP="00A10B87">
      <w:pPr>
        <w:spacing w:beforeLines="20" w:before="48" w:afterLines="20" w:after="48"/>
        <w:rPr>
          <w:sz w:val="21"/>
          <w:szCs w:val="21"/>
        </w:rPr>
      </w:pPr>
    </w:p>
    <w:p w14:paraId="355C283E" w14:textId="3FF13031" w:rsidR="00821E2F" w:rsidRPr="00175B66" w:rsidRDefault="00821E2F" w:rsidP="00821E2F">
      <w:pPr>
        <w:pStyle w:val="Heading1"/>
      </w:pPr>
      <w:r>
        <w:t>Template: Alien Surplus Lines Insurers</w:t>
      </w:r>
    </w:p>
    <w:p w14:paraId="2B80A5EC" w14:textId="77777777" w:rsidR="00821E2F" w:rsidRPr="00175B66" w:rsidRDefault="00821E2F" w:rsidP="00821E2F">
      <w:pPr>
        <w:spacing w:before="20" w:afterLines="20" w:after="48"/>
        <w:rPr>
          <w:rFonts w:ascii="Arial" w:hAnsi="Arial" w:cs="Arial"/>
          <w:color w:val="FF0000"/>
          <w:sz w:val="21"/>
          <w:szCs w:val="21"/>
        </w:rPr>
      </w:pPr>
    </w:p>
    <w:p w14:paraId="016A0895"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Added Cyber Worksheet.</w:t>
      </w:r>
    </w:p>
    <w:p w14:paraId="5BD7F84C"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Affiliations Worksheet:</w:t>
      </w:r>
    </w:p>
    <w:p w14:paraId="075D4FFC"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net admitted assets for prior years.</w:t>
      </w:r>
    </w:p>
    <w:p w14:paraId="21D2235B"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TRIP-eligible direct earned premium (DEP) for current year.</w:t>
      </w:r>
    </w:p>
    <w:p w14:paraId="15A3255D"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TRIP-eligible premium for prior year (2016) will be auto-populated with figures reported during the 2017 data call.</w:t>
      </w:r>
    </w:p>
    <w:p w14:paraId="2EDD2951"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Policies and Direct Earned Premium by Jurisdiction Worksheet:</w:t>
      </w:r>
    </w:p>
    <w:p w14:paraId="7586DBAB"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total terrorism risk premium over time and years covered.</w:t>
      </w:r>
    </w:p>
    <w:p w14:paraId="51A627C1"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TRIP-eligible DEP for prior year.</w:t>
      </w:r>
    </w:p>
    <w:p w14:paraId="6E500209"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Exposure Bases by Jurisdiction Worksheet:</w:t>
      </w:r>
    </w:p>
    <w:p w14:paraId="0E6AF4D4" w14:textId="4015BD6B"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Added columns for policyholder deductibles and self-insured retention</w:t>
      </w:r>
      <w:r w:rsidR="008F13B1">
        <w:rPr>
          <w:rFonts w:ascii="Arial" w:hAnsi="Arial" w:cs="Arial"/>
          <w:sz w:val="21"/>
          <w:szCs w:val="21"/>
        </w:rPr>
        <w:t>s</w:t>
      </w:r>
      <w:r w:rsidRPr="00175B66">
        <w:rPr>
          <w:rFonts w:ascii="Arial" w:hAnsi="Arial" w:cs="Arial"/>
          <w:sz w:val="21"/>
          <w:szCs w:val="21"/>
        </w:rPr>
        <w:t xml:space="preserve"> to property and liability questions, for both TRIP-covered and non-TRIP covered policies.</w:t>
      </w:r>
    </w:p>
    <w:p w14:paraId="383F2FAC"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Reinsurance (Nationwide) Worksheet:</w:t>
      </w:r>
    </w:p>
    <w:p w14:paraId="6B14BE56"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Replaced modeled loss scenario.</w:t>
      </w:r>
    </w:p>
    <w:p w14:paraId="15D6D5D1" w14:textId="77777777" w:rsidR="00821E2F" w:rsidRDefault="00821E2F" w:rsidP="00821E2F">
      <w:pPr>
        <w:pStyle w:val="ListBullet"/>
        <w:numPr>
          <w:ilvl w:val="0"/>
          <w:numId w:val="0"/>
        </w:numPr>
        <w:spacing w:before="20" w:afterLines="20" w:after="48"/>
        <w:ind w:left="360" w:hanging="360"/>
        <w:contextualSpacing w:val="0"/>
        <w:rPr>
          <w:rFonts w:ascii="Arial" w:hAnsi="Arial" w:cs="Arial"/>
          <w:color w:val="FF0000"/>
          <w:sz w:val="21"/>
          <w:szCs w:val="21"/>
        </w:rPr>
      </w:pPr>
    </w:p>
    <w:p w14:paraId="6DD56E0B" w14:textId="77777777" w:rsidR="00821E2F" w:rsidRPr="00175B66" w:rsidRDefault="00821E2F" w:rsidP="00821E2F">
      <w:pPr>
        <w:pStyle w:val="ListBullet"/>
        <w:numPr>
          <w:ilvl w:val="0"/>
          <w:numId w:val="0"/>
        </w:numPr>
        <w:spacing w:before="20" w:afterLines="20" w:after="48"/>
        <w:ind w:left="360" w:hanging="360"/>
        <w:contextualSpacing w:val="0"/>
        <w:rPr>
          <w:rFonts w:ascii="Arial" w:hAnsi="Arial" w:cs="Arial"/>
          <w:color w:val="FF0000"/>
          <w:sz w:val="21"/>
          <w:szCs w:val="21"/>
        </w:rPr>
      </w:pPr>
    </w:p>
    <w:p w14:paraId="2FEB81E6" w14:textId="1D6AD0FB" w:rsidR="00821E2F" w:rsidRPr="00175B66" w:rsidRDefault="00821E2F" w:rsidP="00821E2F">
      <w:pPr>
        <w:pStyle w:val="Heading1"/>
      </w:pPr>
      <w:r>
        <w:t>Instructions: Alien Surplus Lines Insurers</w:t>
      </w:r>
    </w:p>
    <w:p w14:paraId="78E32F97" w14:textId="77777777" w:rsidR="00821E2F" w:rsidRPr="00175B66" w:rsidRDefault="00821E2F" w:rsidP="00821E2F">
      <w:pPr>
        <w:spacing w:before="20" w:afterLines="20" w:after="48"/>
        <w:rPr>
          <w:rFonts w:ascii="Arial" w:hAnsi="Arial" w:cs="Arial"/>
          <w:color w:val="FF0000"/>
          <w:sz w:val="21"/>
          <w:szCs w:val="21"/>
        </w:rPr>
      </w:pPr>
    </w:p>
    <w:p w14:paraId="3EA5A84B"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Affiliations Worksheet:</w:t>
      </w:r>
    </w:p>
    <w:p w14:paraId="74362992"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instructions relating to questions concerning net admitted assets for current year.</w:t>
      </w:r>
    </w:p>
    <w:p w14:paraId="5CE5CE8F"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concerning prior year’s TRIP-eligible DEP to confirm the figure will be auto-populated based on 2017 data call.</w:t>
      </w:r>
    </w:p>
    <w:p w14:paraId="77321BFD"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Policies and Direct Earned Premium by Jurisdiction Worksheet:</w:t>
      </w:r>
    </w:p>
    <w:p w14:paraId="5868A328"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41482540"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to clarify that a reporting date of December 31, 2017 should be used for data elements where counting all policies/information in effect at any time during 2017 would result in double-counting of exposure over the course of the year.</w:t>
      </w:r>
    </w:p>
    <w:p w14:paraId="07C9DB6D"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instructions relating to total terrorism premium over time.</w:t>
      </w:r>
    </w:p>
    <w:p w14:paraId="65F38989"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lastRenderedPageBreak/>
        <w:t>Deleted instructions relating to prior year’s TRIP-eligible DEP.</w:t>
      </w:r>
    </w:p>
    <w:p w14:paraId="4AF03BAA"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Added instructions for Cyber Worksheet.</w:t>
      </w:r>
    </w:p>
    <w:p w14:paraId="7D2DBC00"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Exposure Bases by Jurisdiction Worksheet:</w:t>
      </w:r>
    </w:p>
    <w:p w14:paraId="5E9244A2"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2C5FE5C7"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Added instructions for reporting of policyholder deductible and self-insured retention information.</w:t>
      </w:r>
    </w:p>
    <w:p w14:paraId="75FEBE7C"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Geographic Exposures (Nationwide) Worksheet</w:t>
      </w:r>
    </w:p>
    <w:p w14:paraId="48DE87EB" w14:textId="77777777" w:rsidR="00821E2F" w:rsidRPr="00175B66" w:rsidRDefault="00821E2F" w:rsidP="00821E2F">
      <w:pPr>
        <w:pStyle w:val="ListBullet"/>
        <w:tabs>
          <w:tab w:val="clear" w:pos="360"/>
          <w:tab w:val="num" w:pos="720"/>
        </w:tabs>
        <w:spacing w:before="20" w:afterLines="20" w:after="48"/>
        <w:ind w:left="720"/>
        <w:contextualSpacing w:val="0"/>
        <w:rPr>
          <w:rFonts w:ascii="Arial" w:hAnsi="Arial" w:cs="Arial"/>
          <w:sz w:val="21"/>
          <w:szCs w:val="21"/>
        </w:rPr>
      </w:pPr>
      <w:r w:rsidRPr="00175B66">
        <w:rPr>
          <w:rFonts w:ascii="Arial" w:hAnsi="Arial" w:cs="Arial"/>
          <w:sz w:val="21"/>
          <w:szCs w:val="21"/>
        </w:rPr>
        <w:t>Updated instructions to confirm that question on probable maximum loss should be answered on a gross basis of loss, without reference to private reinsurance or claims against TRIP.</w:t>
      </w:r>
    </w:p>
    <w:p w14:paraId="1C11195E"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 xml:space="preserve"> Reinsurance (Nationwide) Worksheet:</w:t>
      </w:r>
    </w:p>
    <w:p w14:paraId="5706DA34" w14:textId="77777777" w:rsidR="00821E2F" w:rsidRPr="00175B66"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Revised instructions to comport with modeled loss scenario.</w:t>
      </w:r>
    </w:p>
    <w:p w14:paraId="4810337C"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775CA631"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3FE76F34" w14:textId="6168A23A" w:rsidR="00821E2F" w:rsidRPr="00F55767" w:rsidRDefault="00821E2F" w:rsidP="00821E2F">
      <w:pPr>
        <w:pStyle w:val="Heading1"/>
      </w:pPr>
      <w:r>
        <w:t>Template: Captive Insurers</w:t>
      </w:r>
    </w:p>
    <w:p w14:paraId="2CA204C5" w14:textId="77777777" w:rsidR="00821E2F" w:rsidRPr="00F55767" w:rsidRDefault="00821E2F" w:rsidP="00821E2F">
      <w:pPr>
        <w:spacing w:before="20" w:afterLines="20" w:after="48"/>
        <w:rPr>
          <w:rFonts w:ascii="Arial" w:hAnsi="Arial" w:cs="Arial"/>
          <w:sz w:val="21"/>
          <w:szCs w:val="21"/>
        </w:rPr>
      </w:pPr>
    </w:p>
    <w:p w14:paraId="5E9DBC1A" w14:textId="77777777" w:rsidR="00821E2F"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Added Cyber Worksheet.</w:t>
      </w:r>
    </w:p>
    <w:p w14:paraId="644616AC" w14:textId="77777777" w:rsidR="00821E2F" w:rsidRPr="00F55767"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Deleted Workers’ Compensation Deductible Worksheet.</w:t>
      </w:r>
    </w:p>
    <w:p w14:paraId="6FE0AD88"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Affiliations Worksheet:</w:t>
      </w:r>
    </w:p>
    <w:p w14:paraId="196E2D93"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net admitted assets for prior years.</w:t>
      </w:r>
    </w:p>
    <w:p w14:paraId="32D71AEC"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TRIP-eligible direct earned premium (DEP) for current year.</w:t>
      </w:r>
    </w:p>
    <w:p w14:paraId="0130A442"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TRIP-eligible premium for prior year (2016) will be auto-populated with figures reported during the 2017 data call.</w:t>
      </w:r>
    </w:p>
    <w:p w14:paraId="421A2742"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 xml:space="preserve">Added column requesting disclosure of captive </w:t>
      </w:r>
      <w:r>
        <w:rPr>
          <w:rFonts w:ascii="Arial" w:hAnsi="Arial" w:cs="Arial"/>
          <w:sz w:val="21"/>
          <w:szCs w:val="21"/>
        </w:rPr>
        <w:t xml:space="preserve">state of </w:t>
      </w:r>
      <w:r w:rsidRPr="00F55767">
        <w:rPr>
          <w:rFonts w:ascii="Arial" w:hAnsi="Arial" w:cs="Arial"/>
          <w:sz w:val="21"/>
          <w:szCs w:val="21"/>
        </w:rPr>
        <w:t>domicile.</w:t>
      </w:r>
    </w:p>
    <w:p w14:paraId="0060DA0F"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Direct Earned Premium by Jurisdiction Worksheet:</w:t>
      </w:r>
    </w:p>
    <w:p w14:paraId="1E9A308B"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total terrorism risk premium over time and years covered.</w:t>
      </w:r>
    </w:p>
    <w:p w14:paraId="1C44F5BA"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request for TRIP-eligible DEP for prior year.</w:t>
      </w:r>
    </w:p>
    <w:p w14:paraId="1C93AF66"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request for workers’ compensation deductible policies.</w:t>
      </w:r>
    </w:p>
    <w:p w14:paraId="68BC92D3"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2559A064" w14:textId="0223511C"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columns for policyholder deductibles and self-insured retention</w:t>
      </w:r>
      <w:r w:rsidR="008F13B1">
        <w:rPr>
          <w:rFonts w:ascii="Arial" w:hAnsi="Arial" w:cs="Arial"/>
          <w:sz w:val="21"/>
          <w:szCs w:val="21"/>
        </w:rPr>
        <w:t>s</w:t>
      </w:r>
      <w:r w:rsidRPr="00F55767">
        <w:rPr>
          <w:rFonts w:ascii="Arial" w:hAnsi="Arial" w:cs="Arial"/>
          <w:sz w:val="21"/>
          <w:szCs w:val="21"/>
        </w:rPr>
        <w:t xml:space="preserve"> to property and liability questions, for both TRIP-covered and non-TRIP covered policies.</w:t>
      </w:r>
    </w:p>
    <w:p w14:paraId="7A6AD9D7"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Reinsurance (Nationwide) Worksheet:</w:t>
      </w:r>
    </w:p>
    <w:p w14:paraId="7034122D"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Replaced modeled loss scenario.</w:t>
      </w:r>
    </w:p>
    <w:p w14:paraId="3CDF1D49" w14:textId="6A257CB2" w:rsidR="00821E2F" w:rsidRDefault="00821E2F">
      <w:pPr>
        <w:rPr>
          <w:rFonts w:ascii="Arial" w:eastAsiaTheme="majorEastAsia" w:hAnsi="Arial" w:cs="Arial"/>
          <w:b/>
          <w:sz w:val="21"/>
          <w:szCs w:val="21"/>
        </w:rPr>
      </w:pPr>
    </w:p>
    <w:p w14:paraId="3B2DA59C" w14:textId="77777777" w:rsidR="00821E2F" w:rsidRDefault="00821E2F">
      <w:pPr>
        <w:rPr>
          <w:rFonts w:ascii="Arial" w:eastAsiaTheme="majorEastAsia" w:hAnsi="Arial" w:cs="Arial"/>
          <w:b/>
          <w:sz w:val="21"/>
          <w:szCs w:val="21"/>
        </w:rPr>
      </w:pPr>
    </w:p>
    <w:p w14:paraId="34177332" w14:textId="008D0400" w:rsidR="00821E2F" w:rsidRPr="00F55767" w:rsidRDefault="00821E2F" w:rsidP="00821E2F">
      <w:pPr>
        <w:pStyle w:val="Heading1"/>
      </w:pPr>
      <w:r>
        <w:t>Instructions: Captive Insurers</w:t>
      </w:r>
    </w:p>
    <w:p w14:paraId="02AB0E13" w14:textId="77777777" w:rsidR="00821E2F" w:rsidRPr="00F55767" w:rsidRDefault="00821E2F" w:rsidP="00821E2F">
      <w:pPr>
        <w:spacing w:before="20" w:afterLines="20" w:after="48"/>
        <w:rPr>
          <w:rFonts w:ascii="Arial" w:hAnsi="Arial" w:cs="Arial"/>
          <w:sz w:val="21"/>
          <w:szCs w:val="21"/>
        </w:rPr>
      </w:pPr>
    </w:p>
    <w:p w14:paraId="77479842"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Affiliations Worksheet:</w:t>
      </w:r>
    </w:p>
    <w:p w14:paraId="10A92660"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questions concerning net admitted assets for current year.</w:t>
      </w:r>
    </w:p>
    <w:p w14:paraId="4431E7CC"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concerning prior year’s TRIP-eligible DEP to confirm the figure will be auto-populated based on 2017 data call.</w:t>
      </w:r>
    </w:p>
    <w:p w14:paraId="49965C6B"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instructions for reporting state of domicile.</w:t>
      </w:r>
    </w:p>
    <w:p w14:paraId="28645083"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Direct Earned Premium by Jurisdiction Worksheet:</w:t>
      </w:r>
    </w:p>
    <w:p w14:paraId="2B716AB0"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3916A526"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to clarify that a reporting date of December 31, 2017 should be used for data elements where counting all policies/information in effect at any time during 2017 would result in double-counting of exposure over the course of the year.</w:t>
      </w:r>
    </w:p>
    <w:p w14:paraId="34CA7A06"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total terrorism premium over time.</w:t>
      </w:r>
    </w:p>
    <w:p w14:paraId="56B7FC23"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Deleted instructions relating to prior year’s TRIP-eligible DEP.</w:t>
      </w:r>
    </w:p>
    <w:p w14:paraId="6B50C140" w14:textId="77777777" w:rsidR="00821E2F"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Added instructions for Cyber Worksheet.</w:t>
      </w:r>
    </w:p>
    <w:p w14:paraId="14129BBB"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Exposure Bases by Jurisdiction Worksheet:</w:t>
      </w:r>
    </w:p>
    <w:p w14:paraId="28ED0291"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27883FE8" w14:textId="77777777" w:rsidR="00821E2F" w:rsidRPr="00F557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F55767">
        <w:rPr>
          <w:rFonts w:ascii="Arial" w:hAnsi="Arial" w:cs="Arial"/>
          <w:sz w:val="21"/>
          <w:szCs w:val="21"/>
        </w:rPr>
        <w:t>Added instructions for reporting of policyholder deductible and self-insured retention information.</w:t>
      </w:r>
    </w:p>
    <w:p w14:paraId="310868D8" w14:textId="77777777" w:rsidR="00821E2F" w:rsidRPr="00F55767" w:rsidRDefault="00821E2F" w:rsidP="00821E2F">
      <w:pPr>
        <w:pStyle w:val="ListBullet"/>
        <w:spacing w:before="20" w:afterLines="20" w:after="48"/>
        <w:contextualSpacing w:val="0"/>
        <w:rPr>
          <w:rFonts w:ascii="Arial" w:hAnsi="Arial" w:cs="Arial"/>
          <w:sz w:val="21"/>
          <w:szCs w:val="21"/>
        </w:rPr>
      </w:pPr>
      <w:r w:rsidRPr="00F55767">
        <w:rPr>
          <w:rFonts w:ascii="Arial" w:hAnsi="Arial" w:cs="Arial"/>
          <w:sz w:val="21"/>
          <w:szCs w:val="21"/>
        </w:rPr>
        <w:t>Geographic Exposures (Nationwide) Worksheet</w:t>
      </w:r>
    </w:p>
    <w:p w14:paraId="2AAAFDD6" w14:textId="77777777" w:rsidR="00821E2F" w:rsidRPr="00F55767" w:rsidRDefault="00821E2F" w:rsidP="00821E2F">
      <w:pPr>
        <w:pStyle w:val="ListBullet"/>
        <w:tabs>
          <w:tab w:val="clear" w:pos="360"/>
          <w:tab w:val="num" w:pos="720"/>
        </w:tabs>
        <w:spacing w:before="20" w:afterLines="20" w:after="48"/>
        <w:ind w:left="720"/>
        <w:contextualSpacing w:val="0"/>
        <w:rPr>
          <w:rFonts w:ascii="Arial" w:hAnsi="Arial" w:cs="Arial"/>
          <w:sz w:val="21"/>
          <w:szCs w:val="21"/>
        </w:rPr>
      </w:pPr>
      <w:r w:rsidRPr="00F55767">
        <w:rPr>
          <w:rFonts w:ascii="Arial" w:hAnsi="Arial" w:cs="Arial"/>
          <w:sz w:val="21"/>
          <w:szCs w:val="21"/>
        </w:rPr>
        <w:t>Updated instructions to confirm that question on probable maximum loss should be answered on a gross basis of loss, without reference to private reinsurance or claims against TRIP.</w:t>
      </w:r>
    </w:p>
    <w:p w14:paraId="7CD8CCA3" w14:textId="77777777" w:rsidR="00821E2F" w:rsidRPr="00175B66" w:rsidRDefault="00821E2F" w:rsidP="00821E2F">
      <w:pPr>
        <w:pStyle w:val="ListBullet"/>
        <w:spacing w:before="20" w:afterLines="20" w:after="48"/>
        <w:contextualSpacing w:val="0"/>
        <w:rPr>
          <w:rFonts w:ascii="Arial" w:hAnsi="Arial" w:cs="Arial"/>
          <w:sz w:val="21"/>
          <w:szCs w:val="21"/>
        </w:rPr>
      </w:pPr>
      <w:r w:rsidRPr="00175B66">
        <w:rPr>
          <w:rFonts w:ascii="Arial" w:hAnsi="Arial" w:cs="Arial"/>
          <w:sz w:val="21"/>
          <w:szCs w:val="21"/>
        </w:rPr>
        <w:t xml:space="preserve"> Reinsurance (Nationwide) Worksheet:</w:t>
      </w:r>
    </w:p>
    <w:p w14:paraId="242F7783"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Revised instructions to comport with modeled loss scenario.</w:t>
      </w:r>
    </w:p>
    <w:p w14:paraId="61372F8E"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2824B36F"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5D34D214" w14:textId="1A84FE0E" w:rsidR="00821E2F" w:rsidRPr="004C6AE3" w:rsidRDefault="00821E2F" w:rsidP="00821E2F">
      <w:pPr>
        <w:pStyle w:val="Heading1"/>
      </w:pPr>
      <w:r>
        <w:t>Template: Insurer (Non-Small) Groups</w:t>
      </w:r>
    </w:p>
    <w:p w14:paraId="4E6C4053" w14:textId="77777777" w:rsidR="00821E2F" w:rsidRPr="004C6AE3" w:rsidRDefault="00821E2F" w:rsidP="00821E2F">
      <w:pPr>
        <w:spacing w:before="20" w:afterLines="20" w:after="48"/>
        <w:rPr>
          <w:rFonts w:ascii="Arial" w:hAnsi="Arial" w:cs="Arial"/>
          <w:sz w:val="21"/>
          <w:szCs w:val="21"/>
        </w:rPr>
      </w:pPr>
    </w:p>
    <w:p w14:paraId="29ECA20C"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Deleted Package/Multi-Line Worksheet in its entirety.</w:t>
      </w:r>
    </w:p>
    <w:p w14:paraId="76115D6E"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Added Cyber Worksheet.</w:t>
      </w:r>
    </w:p>
    <w:p w14:paraId="133A3236"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Affiliations Worksheet:</w:t>
      </w:r>
    </w:p>
    <w:p w14:paraId="3AA4EECD"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 for net admitted assets for prior years.</w:t>
      </w:r>
    </w:p>
    <w:p w14:paraId="6469F641"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w:t>
      </w:r>
      <w:r w:rsidRPr="003749A2">
        <w:rPr>
          <w:rFonts w:ascii="Arial" w:hAnsi="Arial" w:cs="Arial"/>
          <w:sz w:val="21"/>
          <w:szCs w:val="21"/>
        </w:rPr>
        <w:t xml:space="preserve"> for TRIP-eligible </w:t>
      </w:r>
      <w:r>
        <w:rPr>
          <w:rFonts w:ascii="Arial" w:hAnsi="Arial" w:cs="Arial"/>
          <w:sz w:val="21"/>
          <w:szCs w:val="21"/>
        </w:rPr>
        <w:t xml:space="preserve">direct earned </w:t>
      </w:r>
      <w:r w:rsidRPr="003749A2">
        <w:rPr>
          <w:rFonts w:ascii="Arial" w:hAnsi="Arial" w:cs="Arial"/>
          <w:sz w:val="21"/>
          <w:szCs w:val="21"/>
        </w:rPr>
        <w:t xml:space="preserve">premium </w:t>
      </w:r>
      <w:r>
        <w:rPr>
          <w:rFonts w:ascii="Arial" w:hAnsi="Arial" w:cs="Arial"/>
          <w:sz w:val="21"/>
          <w:szCs w:val="21"/>
        </w:rPr>
        <w:t xml:space="preserve">(DEP) </w:t>
      </w:r>
      <w:r w:rsidRPr="003749A2">
        <w:rPr>
          <w:rFonts w:ascii="Arial" w:hAnsi="Arial" w:cs="Arial"/>
          <w:sz w:val="21"/>
          <w:szCs w:val="21"/>
        </w:rPr>
        <w:t>for current year</w:t>
      </w:r>
      <w:r>
        <w:rPr>
          <w:rFonts w:ascii="Arial" w:hAnsi="Arial" w:cs="Arial"/>
          <w:sz w:val="21"/>
          <w:szCs w:val="21"/>
        </w:rPr>
        <w:t>.</w:t>
      </w:r>
    </w:p>
    <w:p w14:paraId="5018F5E7"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3749A2">
        <w:rPr>
          <w:rFonts w:ascii="Arial" w:hAnsi="Arial" w:cs="Arial"/>
          <w:sz w:val="21"/>
          <w:szCs w:val="21"/>
        </w:rPr>
        <w:t xml:space="preserve">TRIP-eligible premium for </w:t>
      </w:r>
      <w:r>
        <w:rPr>
          <w:rFonts w:ascii="Arial" w:hAnsi="Arial" w:cs="Arial"/>
          <w:sz w:val="21"/>
          <w:szCs w:val="21"/>
        </w:rPr>
        <w:t>prior year (2016) will be auto-populated with figures reported during the 2017 data call.</w:t>
      </w:r>
    </w:p>
    <w:p w14:paraId="689E7409"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Policies and Direct Earned Premium by Jurisdiction Worksheet:</w:t>
      </w:r>
    </w:p>
    <w:p w14:paraId="21D6644C"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 for total terrorism risk premium over time and years covered.</w:t>
      </w:r>
    </w:p>
    <w:p w14:paraId="38D28815"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request for TRIP-eligible DEP for prior year.</w:t>
      </w:r>
    </w:p>
    <w:p w14:paraId="7FBB6A9D"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Exposure Bases by Jurisdiction Worksheet:</w:t>
      </w:r>
    </w:p>
    <w:p w14:paraId="53F5F2D5" w14:textId="71E9B6CD"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columns for policyholder deductibles and self-insured retention</w:t>
      </w:r>
      <w:r w:rsidR="008F13B1">
        <w:rPr>
          <w:rFonts w:ascii="Arial" w:hAnsi="Arial" w:cs="Arial"/>
          <w:sz w:val="21"/>
          <w:szCs w:val="21"/>
        </w:rPr>
        <w:t>s</w:t>
      </w:r>
      <w:r>
        <w:rPr>
          <w:rFonts w:ascii="Arial" w:hAnsi="Arial" w:cs="Arial"/>
          <w:sz w:val="21"/>
          <w:szCs w:val="21"/>
        </w:rPr>
        <w:t xml:space="preserve"> to property and liability questions, for both TRIP-covered and non-TRIP covered policies.</w:t>
      </w:r>
    </w:p>
    <w:p w14:paraId="1D71C181"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Reinsurance (Nationwide) Worksheet:</w:t>
      </w:r>
    </w:p>
    <w:p w14:paraId="30192976" w14:textId="77777777" w:rsidR="00821E2F" w:rsidRPr="003749A2"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Replaced modeled loss scenario.</w:t>
      </w:r>
    </w:p>
    <w:p w14:paraId="5058652A"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6A2DD92B" w14:textId="5B0AC472" w:rsidR="00962DCB" w:rsidRDefault="00962DCB">
      <w:pPr>
        <w:rPr>
          <w:rFonts w:ascii="Arial" w:hAnsi="Arial" w:cs="Arial"/>
          <w:sz w:val="21"/>
          <w:szCs w:val="21"/>
        </w:rPr>
      </w:pPr>
      <w:r>
        <w:rPr>
          <w:rFonts w:ascii="Arial" w:hAnsi="Arial" w:cs="Arial"/>
          <w:sz w:val="21"/>
          <w:szCs w:val="21"/>
        </w:rPr>
        <w:br w:type="page"/>
      </w:r>
    </w:p>
    <w:p w14:paraId="471F3BFB"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7BF12973" w14:textId="29902ED9" w:rsidR="00821E2F" w:rsidRPr="004C6AE3" w:rsidRDefault="00821E2F" w:rsidP="00821E2F">
      <w:pPr>
        <w:pStyle w:val="Heading1"/>
      </w:pPr>
      <w:r>
        <w:t>Instructions: Insurer (Non-Small) Groups</w:t>
      </w:r>
    </w:p>
    <w:p w14:paraId="6DD01104" w14:textId="77777777" w:rsidR="00821E2F" w:rsidRPr="004C6AE3" w:rsidRDefault="00821E2F" w:rsidP="00821E2F">
      <w:pPr>
        <w:spacing w:before="20" w:afterLines="20" w:after="48"/>
        <w:rPr>
          <w:rFonts w:ascii="Arial" w:hAnsi="Arial" w:cs="Arial"/>
          <w:sz w:val="21"/>
          <w:szCs w:val="21"/>
        </w:rPr>
      </w:pPr>
    </w:p>
    <w:p w14:paraId="6229CA8D"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Change in Small Insurer reporting threshold based on Program Rules</w:t>
      </w:r>
      <w:r w:rsidRPr="004C6AE3">
        <w:rPr>
          <w:rFonts w:ascii="Arial" w:hAnsi="Arial" w:cs="Arial"/>
          <w:sz w:val="21"/>
          <w:szCs w:val="21"/>
        </w:rPr>
        <w:t>.</w:t>
      </w:r>
    </w:p>
    <w:p w14:paraId="784C660D"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Affiliations Worksheet:</w:t>
      </w:r>
    </w:p>
    <w:p w14:paraId="25F3F0F8"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instructions relating to questions concerning net admitted assets for current year.</w:t>
      </w:r>
    </w:p>
    <w:p w14:paraId="1A701178"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concerning prior year’s TRIP-eligible DEP to confirm the figure will be auto-populated based on 2017 data call.</w:t>
      </w:r>
    </w:p>
    <w:p w14:paraId="585AE4FC"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Policies and Direct Earned Premium by Jurisdiction Worksheet:</w:t>
      </w:r>
    </w:p>
    <w:p w14:paraId="320F80D3"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17CDDA00"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to clarify that a reporting date of December 31, 2017 should be used for data elements where counting all policies/information in effect at any time during 2017 would result in double-counting of exposure over the course of the year.</w:t>
      </w:r>
    </w:p>
    <w:p w14:paraId="4F30E015"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instructions relating to total terrorism premium over time.</w:t>
      </w:r>
    </w:p>
    <w:p w14:paraId="2111544E" w14:textId="77777777" w:rsidR="00821E2F" w:rsidRPr="003749A2"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instructions relating to prior year’s TRIP-eligible DEP.</w:t>
      </w:r>
    </w:p>
    <w:p w14:paraId="30DC0389"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 xml:space="preserve">Deleted all instructions for </w:t>
      </w:r>
      <w:r w:rsidRPr="00D702C5">
        <w:rPr>
          <w:rFonts w:ascii="Arial" w:hAnsi="Arial" w:cs="Arial"/>
          <w:sz w:val="21"/>
          <w:szCs w:val="21"/>
        </w:rPr>
        <w:t>Package/Multi-Line Worksheet</w:t>
      </w:r>
      <w:r>
        <w:rPr>
          <w:rFonts w:ascii="Arial" w:hAnsi="Arial" w:cs="Arial"/>
          <w:sz w:val="21"/>
          <w:szCs w:val="21"/>
        </w:rPr>
        <w:t>.</w:t>
      </w:r>
    </w:p>
    <w:p w14:paraId="03807863"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Added instructions for Cyber Worksheet.</w:t>
      </w:r>
    </w:p>
    <w:p w14:paraId="72972ABB"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Exposure Bases by Jurisdiction Worksheet:</w:t>
      </w:r>
    </w:p>
    <w:p w14:paraId="2C4F2DB0"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74988630"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instructions for reporting of policyholder deductible and self-insured retention information.</w:t>
      </w:r>
    </w:p>
    <w:p w14:paraId="1A60C3B2"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Geographic Exposures (Nationwide) Worksheet</w:t>
      </w:r>
    </w:p>
    <w:p w14:paraId="0D4038A4" w14:textId="77777777" w:rsidR="00821E2F" w:rsidRDefault="00821E2F" w:rsidP="00821E2F">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Updated instructions to confirm that question on probable maximum loss should be answered on a gross basis of loss, without reference to private reinsurance or claims against TRIP.</w:t>
      </w:r>
    </w:p>
    <w:p w14:paraId="73C9AF29" w14:textId="77777777" w:rsidR="00821E2F" w:rsidRDefault="00821E2F" w:rsidP="00821E2F">
      <w:pPr>
        <w:pStyle w:val="ListBullet"/>
        <w:spacing w:before="20" w:afterLines="20" w:after="48"/>
        <w:contextualSpacing w:val="0"/>
        <w:rPr>
          <w:rFonts w:ascii="Arial" w:hAnsi="Arial" w:cs="Arial"/>
          <w:sz w:val="21"/>
          <w:szCs w:val="21"/>
        </w:rPr>
      </w:pPr>
      <w:r>
        <w:rPr>
          <w:rFonts w:ascii="Arial" w:hAnsi="Arial" w:cs="Arial"/>
          <w:sz w:val="21"/>
          <w:szCs w:val="21"/>
        </w:rPr>
        <w:t xml:space="preserve"> Reinsurance (Nationwide) Worksheet:</w:t>
      </w:r>
    </w:p>
    <w:p w14:paraId="1B51B1F5" w14:textId="77777777" w:rsidR="00821E2F"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Revised instructions to comport with modeled loss scenario.</w:t>
      </w:r>
    </w:p>
    <w:p w14:paraId="1D284B48"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6E91205F" w14:textId="77777777" w:rsid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536A6B85" w14:textId="15AA05BB" w:rsidR="00821E2F" w:rsidRPr="00A3653B" w:rsidRDefault="00821E2F" w:rsidP="00821E2F">
      <w:pPr>
        <w:pStyle w:val="Heading1"/>
      </w:pPr>
      <w:r>
        <w:t>Template: Small Insurers</w:t>
      </w:r>
    </w:p>
    <w:p w14:paraId="34ABB086" w14:textId="77777777" w:rsidR="00821E2F" w:rsidRPr="00A3653B" w:rsidRDefault="00821E2F" w:rsidP="00821E2F">
      <w:pPr>
        <w:spacing w:before="20" w:afterLines="20" w:after="48"/>
        <w:rPr>
          <w:rFonts w:ascii="Arial" w:hAnsi="Arial" w:cs="Arial"/>
          <w:color w:val="FF0000"/>
          <w:sz w:val="21"/>
          <w:szCs w:val="21"/>
        </w:rPr>
      </w:pPr>
    </w:p>
    <w:p w14:paraId="399FCB0A"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Added Standalone Terrorism Worksheet.</w:t>
      </w:r>
    </w:p>
    <w:p w14:paraId="423D079D"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Added Cyber Worksheet.</w:t>
      </w:r>
    </w:p>
    <w:p w14:paraId="3A59E8BA"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Affiliations Worksheet:</w:t>
      </w:r>
    </w:p>
    <w:p w14:paraId="2642077B"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net admitted assets for prior years.</w:t>
      </w:r>
    </w:p>
    <w:p w14:paraId="4E25C057"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TRIP-eligible direct earned premium (DEP) for current year.</w:t>
      </w:r>
    </w:p>
    <w:p w14:paraId="1950AE76"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TRIP-eligible premium for prior year (2016) will be auto-populated with figures reported during the 2017 data call.</w:t>
      </w:r>
    </w:p>
    <w:p w14:paraId="4741AB13"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Direct Earned Premium by Jurisdiction Worksheet:</w:t>
      </w:r>
    </w:p>
    <w:p w14:paraId="3D4CD94F"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total terrorism risk premium over time and years covered.</w:t>
      </w:r>
    </w:p>
    <w:p w14:paraId="48398AA2"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request for TRIP-eligible DEP for prior year.</w:t>
      </w:r>
    </w:p>
    <w:p w14:paraId="62884802"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Exposure Bases by Jurisdiction Worksheet:</w:t>
      </w:r>
    </w:p>
    <w:p w14:paraId="213F68CB" w14:textId="217D74BC"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Added columns for policyholder deductibles and self-insured retention</w:t>
      </w:r>
      <w:r w:rsidR="008F13B1">
        <w:rPr>
          <w:rFonts w:ascii="Arial" w:hAnsi="Arial" w:cs="Arial"/>
          <w:sz w:val="21"/>
          <w:szCs w:val="21"/>
        </w:rPr>
        <w:t>s</w:t>
      </w:r>
      <w:r w:rsidRPr="00A3653B">
        <w:rPr>
          <w:rFonts w:ascii="Arial" w:hAnsi="Arial" w:cs="Arial"/>
          <w:sz w:val="21"/>
          <w:szCs w:val="21"/>
        </w:rPr>
        <w:t xml:space="preserve"> to property and liability questions, for both TRIP-covered and non-TRIP covered policies.</w:t>
      </w:r>
    </w:p>
    <w:p w14:paraId="18A3F516"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Reinsurance (Nationwide) Worksheet:</w:t>
      </w:r>
    </w:p>
    <w:p w14:paraId="64FE0F74"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Added request for probable maximum loss and related ZIP code.</w:t>
      </w:r>
    </w:p>
    <w:p w14:paraId="01A3B368" w14:textId="77777777" w:rsidR="00821E2F" w:rsidRPr="00A3653B"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00263D3B" w14:textId="77777777" w:rsidR="00821E2F" w:rsidRPr="00A3653B"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5607A67F" w14:textId="66C5739D" w:rsidR="00821E2F" w:rsidRPr="00A3653B" w:rsidRDefault="00821E2F" w:rsidP="00821E2F">
      <w:pPr>
        <w:pStyle w:val="Heading1"/>
      </w:pPr>
      <w:r>
        <w:t>Instructions: Small Insurers</w:t>
      </w:r>
    </w:p>
    <w:p w14:paraId="7E8B45F6" w14:textId="77777777" w:rsidR="00821E2F" w:rsidRPr="00A3653B" w:rsidRDefault="00821E2F" w:rsidP="00821E2F">
      <w:pPr>
        <w:spacing w:before="20" w:afterLines="20" w:after="48"/>
        <w:rPr>
          <w:rFonts w:ascii="Arial" w:hAnsi="Arial" w:cs="Arial"/>
          <w:sz w:val="21"/>
          <w:szCs w:val="21"/>
        </w:rPr>
      </w:pPr>
    </w:p>
    <w:p w14:paraId="4007F16B"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Change in Small Insurer reporting threshold based on Program Rules.</w:t>
      </w:r>
    </w:p>
    <w:p w14:paraId="0BC563E0"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Affiliations Worksheet:</w:t>
      </w:r>
    </w:p>
    <w:p w14:paraId="2E953F39"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instructions relating to questions concerning net admitted assets for current year.</w:t>
      </w:r>
    </w:p>
    <w:p w14:paraId="2EA7460D"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Updated instructions concerning prior year’s TRIP-eligible DEP to confirm the figure will be auto-populated based on 2017 data call.</w:t>
      </w:r>
    </w:p>
    <w:p w14:paraId="62371A1E" w14:textId="77777777" w:rsidR="00821E2F" w:rsidRPr="00A3653B" w:rsidRDefault="00821E2F" w:rsidP="00821E2F">
      <w:pPr>
        <w:pStyle w:val="ListBullet"/>
        <w:spacing w:before="20" w:afterLines="20" w:after="48"/>
        <w:contextualSpacing w:val="0"/>
        <w:rPr>
          <w:rFonts w:ascii="Arial" w:hAnsi="Arial" w:cs="Arial"/>
          <w:sz w:val="21"/>
          <w:szCs w:val="21"/>
        </w:rPr>
      </w:pPr>
      <w:r w:rsidRPr="00A3653B">
        <w:rPr>
          <w:rFonts w:ascii="Arial" w:hAnsi="Arial" w:cs="Arial"/>
          <w:sz w:val="21"/>
          <w:szCs w:val="21"/>
        </w:rPr>
        <w:t>Direct Earned Premium by Jurisdiction Worksheet:</w:t>
      </w:r>
    </w:p>
    <w:p w14:paraId="76F1CFFB"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35C4BD48"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Updated instructions to clarify that a reporting date of December 31, 2017 should be used for data elements where counting all policies/information in effect at any time during 2017 would result in double-counting of exposure over the course of the year.</w:t>
      </w:r>
    </w:p>
    <w:p w14:paraId="579E389D" w14:textId="77777777" w:rsidR="00821E2F" w:rsidRPr="00A3653B"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Deleted instructions relating to total terrorism premium over time.</w:t>
      </w:r>
    </w:p>
    <w:p w14:paraId="6BEEC77C" w14:textId="77777777" w:rsidR="00821E2F" w:rsidRPr="009721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A3653B">
        <w:rPr>
          <w:rFonts w:ascii="Arial" w:hAnsi="Arial" w:cs="Arial"/>
          <w:sz w:val="21"/>
          <w:szCs w:val="21"/>
        </w:rPr>
        <w:t xml:space="preserve">Deleted </w:t>
      </w:r>
      <w:r w:rsidRPr="00972167">
        <w:rPr>
          <w:rFonts w:ascii="Arial" w:hAnsi="Arial" w:cs="Arial"/>
          <w:sz w:val="21"/>
          <w:szCs w:val="21"/>
        </w:rPr>
        <w:t>instructions relating to prior year’s TRIP-eligible DEP.</w:t>
      </w:r>
    </w:p>
    <w:p w14:paraId="4267C1D4" w14:textId="77777777" w:rsidR="00821E2F" w:rsidRPr="00972167" w:rsidRDefault="00821E2F" w:rsidP="00821E2F">
      <w:pPr>
        <w:pStyle w:val="ListBullet"/>
        <w:spacing w:before="20" w:afterLines="20" w:after="48"/>
        <w:contextualSpacing w:val="0"/>
        <w:rPr>
          <w:rFonts w:ascii="Arial" w:hAnsi="Arial" w:cs="Arial"/>
          <w:sz w:val="21"/>
          <w:szCs w:val="21"/>
        </w:rPr>
      </w:pPr>
      <w:r w:rsidRPr="00972167">
        <w:rPr>
          <w:rFonts w:ascii="Arial" w:hAnsi="Arial" w:cs="Arial"/>
          <w:sz w:val="21"/>
          <w:szCs w:val="21"/>
        </w:rPr>
        <w:t>Added instructions for Standalone Terrorism Worksheet.</w:t>
      </w:r>
    </w:p>
    <w:p w14:paraId="2183BD81" w14:textId="77777777" w:rsidR="00821E2F" w:rsidRPr="00972167" w:rsidRDefault="00821E2F" w:rsidP="00821E2F">
      <w:pPr>
        <w:pStyle w:val="ListBullet"/>
        <w:spacing w:before="20" w:afterLines="20" w:after="48"/>
        <w:contextualSpacing w:val="0"/>
        <w:rPr>
          <w:rFonts w:ascii="Arial" w:hAnsi="Arial" w:cs="Arial"/>
          <w:sz w:val="21"/>
          <w:szCs w:val="21"/>
        </w:rPr>
      </w:pPr>
      <w:r w:rsidRPr="00972167">
        <w:rPr>
          <w:rFonts w:ascii="Arial" w:hAnsi="Arial" w:cs="Arial"/>
          <w:sz w:val="21"/>
          <w:szCs w:val="21"/>
        </w:rPr>
        <w:t>Added instructions for Cyber Worksheet.</w:t>
      </w:r>
    </w:p>
    <w:p w14:paraId="5609CF62" w14:textId="77777777" w:rsidR="00821E2F" w:rsidRPr="00972167" w:rsidRDefault="00821E2F" w:rsidP="00821E2F">
      <w:pPr>
        <w:pStyle w:val="ListBullet"/>
        <w:spacing w:before="20" w:afterLines="20" w:after="48"/>
        <w:contextualSpacing w:val="0"/>
        <w:rPr>
          <w:rFonts w:ascii="Arial" w:hAnsi="Arial" w:cs="Arial"/>
          <w:sz w:val="21"/>
          <w:szCs w:val="21"/>
        </w:rPr>
      </w:pPr>
      <w:r w:rsidRPr="00972167">
        <w:rPr>
          <w:rFonts w:ascii="Arial" w:hAnsi="Arial" w:cs="Arial"/>
          <w:sz w:val="21"/>
          <w:szCs w:val="21"/>
        </w:rPr>
        <w:t>Exposure Bases by Jurisdiction Worksheet:</w:t>
      </w:r>
    </w:p>
    <w:p w14:paraId="5165D46B" w14:textId="77777777" w:rsidR="00821E2F" w:rsidRPr="009721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972167">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4A92E357" w14:textId="77777777" w:rsidR="00821E2F" w:rsidRPr="009721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972167">
        <w:rPr>
          <w:rFonts w:ascii="Arial" w:hAnsi="Arial" w:cs="Arial"/>
          <w:sz w:val="21"/>
          <w:szCs w:val="21"/>
        </w:rPr>
        <w:t>Added instructions for reporting of policyholder deductible and self-insured retention information.</w:t>
      </w:r>
    </w:p>
    <w:p w14:paraId="2AE1D409" w14:textId="193C9243" w:rsidR="00821E2F" w:rsidRPr="00972167" w:rsidRDefault="00821E2F" w:rsidP="00821E2F">
      <w:pPr>
        <w:pStyle w:val="ListBullet"/>
        <w:spacing w:before="20" w:afterLines="20" w:after="48"/>
        <w:contextualSpacing w:val="0"/>
        <w:rPr>
          <w:rFonts w:ascii="Arial" w:hAnsi="Arial" w:cs="Arial"/>
          <w:sz w:val="21"/>
          <w:szCs w:val="21"/>
        </w:rPr>
      </w:pPr>
      <w:r w:rsidRPr="00972167">
        <w:rPr>
          <w:rFonts w:ascii="Arial" w:hAnsi="Arial" w:cs="Arial"/>
          <w:sz w:val="21"/>
          <w:szCs w:val="21"/>
        </w:rPr>
        <w:t>Reinsurance (Nationwide) Worksheet:</w:t>
      </w:r>
    </w:p>
    <w:p w14:paraId="34901611" w14:textId="77777777" w:rsidR="00821E2F" w:rsidRPr="00972167" w:rsidRDefault="00821E2F" w:rsidP="00821E2F">
      <w:pPr>
        <w:pStyle w:val="ListBullet"/>
        <w:tabs>
          <w:tab w:val="clear" w:pos="360"/>
          <w:tab w:val="num" w:pos="1080"/>
        </w:tabs>
        <w:spacing w:before="20" w:afterLines="20" w:after="48"/>
        <w:ind w:left="1080"/>
        <w:contextualSpacing w:val="0"/>
        <w:rPr>
          <w:rFonts w:ascii="Arial" w:hAnsi="Arial" w:cs="Arial"/>
          <w:sz w:val="21"/>
          <w:szCs w:val="21"/>
        </w:rPr>
      </w:pPr>
      <w:r w:rsidRPr="00972167">
        <w:rPr>
          <w:rFonts w:ascii="Arial" w:hAnsi="Arial" w:cs="Arial"/>
          <w:sz w:val="21"/>
          <w:szCs w:val="21"/>
        </w:rPr>
        <w:t>Added instruction for probable maximum loss and associated ZIP code questions.</w:t>
      </w:r>
    </w:p>
    <w:p w14:paraId="5093DBF7" w14:textId="77777777" w:rsidR="00821E2F" w:rsidRPr="00175B66"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p w14:paraId="60E097C2" w14:textId="673107B4" w:rsidR="00821E2F" w:rsidRPr="00821E2F" w:rsidRDefault="00821E2F" w:rsidP="00821E2F">
      <w:pPr>
        <w:pStyle w:val="ListBullet"/>
        <w:numPr>
          <w:ilvl w:val="0"/>
          <w:numId w:val="0"/>
        </w:numPr>
        <w:spacing w:before="20" w:afterLines="20" w:after="48"/>
        <w:ind w:left="360" w:hanging="360"/>
        <w:contextualSpacing w:val="0"/>
        <w:rPr>
          <w:rFonts w:ascii="Arial" w:hAnsi="Arial" w:cs="Arial"/>
          <w:sz w:val="21"/>
          <w:szCs w:val="21"/>
        </w:rPr>
      </w:pPr>
    </w:p>
    <w:sectPr w:rsidR="00821E2F" w:rsidRPr="00821E2F" w:rsidSect="00AC7E16">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5A63C" w14:textId="77777777" w:rsidR="007C6379" w:rsidRDefault="007C6379" w:rsidP="00121792">
      <w:r>
        <w:separator/>
      </w:r>
    </w:p>
  </w:endnote>
  <w:endnote w:type="continuationSeparator" w:id="0">
    <w:p w14:paraId="259C74A2" w14:textId="77777777" w:rsidR="007C6379" w:rsidRDefault="007C6379"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F27" w14:textId="77777777" w:rsidR="00962DCB" w:rsidRDefault="00962DCB" w:rsidP="00962DCB">
    <w:pPr>
      <w:pStyle w:val="Footer"/>
      <w:tabs>
        <w:tab w:val="clear" w:pos="4680"/>
      </w:tabs>
    </w:pPr>
  </w:p>
  <w:p w14:paraId="5C3408C6" w14:textId="14B78F2E" w:rsidR="00962DCB" w:rsidRDefault="007C6379" w:rsidP="00962DCB">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6318C1">
      <w:rPr>
        <w:noProof/>
      </w:rPr>
      <w:t>5</w:t>
    </w:r>
    <w:r w:rsidRPr="00092F97">
      <w:rPr>
        <w:noProof/>
      </w:rPr>
      <w:fldChar w:fldCharType="end"/>
    </w:r>
    <w:r>
      <w:rPr>
        <w:noProof/>
      </w:rPr>
      <w:tab/>
    </w:r>
  </w:p>
  <w:p w14:paraId="199AE1E3" w14:textId="6C040441" w:rsidR="007C6379" w:rsidRDefault="007C6379" w:rsidP="00AC7E16">
    <w:pPr>
      <w:pStyle w:val="Footer"/>
      <w:tabs>
        <w:tab w:val="clear" w:pos="4680"/>
      </w:tabs>
    </w:pPr>
  </w:p>
  <w:p w14:paraId="4D97BFA7" w14:textId="0F69782D" w:rsidR="007C6379" w:rsidRPr="00092F97" w:rsidRDefault="007C6379" w:rsidP="00AC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E04D" w14:textId="5D1736C5" w:rsidR="007C6379" w:rsidRDefault="007C6379" w:rsidP="00962DCB">
    <w:pPr>
      <w:pStyle w:val="Footer"/>
      <w:tabs>
        <w:tab w:val="clear" w:pos="4680"/>
      </w:tabs>
    </w:pPr>
    <w:r>
      <w:tab/>
    </w:r>
  </w:p>
  <w:p w14:paraId="425C1BC5" w14:textId="77777777" w:rsidR="007C6379" w:rsidRDefault="007C6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4873" w14:textId="77777777" w:rsidR="007C6379" w:rsidRDefault="007C6379" w:rsidP="00121792">
      <w:r>
        <w:separator/>
      </w:r>
    </w:p>
  </w:footnote>
  <w:footnote w:type="continuationSeparator" w:id="0">
    <w:p w14:paraId="1DCD3E43" w14:textId="77777777" w:rsidR="007C6379" w:rsidRDefault="007C6379" w:rsidP="0012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0E24" w14:textId="7A9DE130" w:rsidR="007C6379" w:rsidRDefault="007C6379">
    <w:pPr>
      <w:pStyle w:val="Header"/>
    </w:pPr>
    <w:r>
      <w:rPr>
        <w:noProof/>
      </w:rPr>
      <w:drawing>
        <wp:inline distT="0" distB="0" distL="0" distR="0" wp14:anchorId="15D4DCF6" wp14:editId="222D79D9">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900F3C"/>
    <w:lvl w:ilvl="0">
      <w:start w:val="1"/>
      <w:numFmt w:val="bullet"/>
      <w:pStyle w:val="ListBullet"/>
      <w:lvlText w:val=""/>
      <w:lvlJc w:val="left"/>
      <w:pPr>
        <w:tabs>
          <w:tab w:val="num" w:pos="360"/>
        </w:tabs>
        <w:ind w:left="360" w:hanging="360"/>
      </w:pPr>
      <w:rPr>
        <w:rFonts w:ascii="Symbol" w:hAnsi="Symbol" w:hint="default"/>
        <w:sz w:val="20"/>
        <w:szCs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10A97"/>
    <w:rsid w:val="00013D6A"/>
    <w:rsid w:val="000151E5"/>
    <w:rsid w:val="00053A2C"/>
    <w:rsid w:val="0007322C"/>
    <w:rsid w:val="00092F97"/>
    <w:rsid w:val="00097838"/>
    <w:rsid w:val="000A3E13"/>
    <w:rsid w:val="000B64C0"/>
    <w:rsid w:val="000E00C1"/>
    <w:rsid w:val="000E62B5"/>
    <w:rsid w:val="000F338C"/>
    <w:rsid w:val="00121792"/>
    <w:rsid w:val="001376B7"/>
    <w:rsid w:val="00175B66"/>
    <w:rsid w:val="00183B72"/>
    <w:rsid w:val="00190B86"/>
    <w:rsid w:val="001D6802"/>
    <w:rsid w:val="001F0C1F"/>
    <w:rsid w:val="00225C12"/>
    <w:rsid w:val="00293D2B"/>
    <w:rsid w:val="00295E57"/>
    <w:rsid w:val="00317F84"/>
    <w:rsid w:val="00332022"/>
    <w:rsid w:val="00365748"/>
    <w:rsid w:val="003A0DCC"/>
    <w:rsid w:val="00422D8F"/>
    <w:rsid w:val="004A5A00"/>
    <w:rsid w:val="004D07B0"/>
    <w:rsid w:val="004E21D5"/>
    <w:rsid w:val="004F49B1"/>
    <w:rsid w:val="00522B63"/>
    <w:rsid w:val="00536CF9"/>
    <w:rsid w:val="005748FD"/>
    <w:rsid w:val="005C481C"/>
    <w:rsid w:val="005E1A78"/>
    <w:rsid w:val="006318C1"/>
    <w:rsid w:val="00667976"/>
    <w:rsid w:val="0069307F"/>
    <w:rsid w:val="006B5264"/>
    <w:rsid w:val="006C507C"/>
    <w:rsid w:val="006E38D9"/>
    <w:rsid w:val="00722EBD"/>
    <w:rsid w:val="00732FF1"/>
    <w:rsid w:val="00736522"/>
    <w:rsid w:val="007956DF"/>
    <w:rsid w:val="007C5581"/>
    <w:rsid w:val="007C6379"/>
    <w:rsid w:val="008009F5"/>
    <w:rsid w:val="00821E2F"/>
    <w:rsid w:val="00837499"/>
    <w:rsid w:val="008476A2"/>
    <w:rsid w:val="00881EA3"/>
    <w:rsid w:val="008876CF"/>
    <w:rsid w:val="008B0445"/>
    <w:rsid w:val="008E2496"/>
    <w:rsid w:val="008F13B1"/>
    <w:rsid w:val="008F513E"/>
    <w:rsid w:val="00941A2D"/>
    <w:rsid w:val="009539BD"/>
    <w:rsid w:val="00962DCB"/>
    <w:rsid w:val="009707F3"/>
    <w:rsid w:val="009720A8"/>
    <w:rsid w:val="009D09BC"/>
    <w:rsid w:val="009D5734"/>
    <w:rsid w:val="00A035B2"/>
    <w:rsid w:val="00A10B87"/>
    <w:rsid w:val="00A10E6A"/>
    <w:rsid w:val="00A248F0"/>
    <w:rsid w:val="00A50C61"/>
    <w:rsid w:val="00A818BD"/>
    <w:rsid w:val="00A821D9"/>
    <w:rsid w:val="00AB5D9C"/>
    <w:rsid w:val="00AC7E16"/>
    <w:rsid w:val="00AD57AB"/>
    <w:rsid w:val="00AF6FBE"/>
    <w:rsid w:val="00B348F9"/>
    <w:rsid w:val="00BA14AF"/>
    <w:rsid w:val="00C01799"/>
    <w:rsid w:val="00C11F60"/>
    <w:rsid w:val="00C352AC"/>
    <w:rsid w:val="00C45FA6"/>
    <w:rsid w:val="00C85D40"/>
    <w:rsid w:val="00D36BED"/>
    <w:rsid w:val="00D84895"/>
    <w:rsid w:val="00D97214"/>
    <w:rsid w:val="00DD1D7D"/>
    <w:rsid w:val="00DE5753"/>
    <w:rsid w:val="00DF6473"/>
    <w:rsid w:val="00E026A1"/>
    <w:rsid w:val="00E06114"/>
    <w:rsid w:val="00E275C4"/>
    <w:rsid w:val="00E367BD"/>
    <w:rsid w:val="00E86EA6"/>
    <w:rsid w:val="00EB733B"/>
    <w:rsid w:val="00ED11C7"/>
    <w:rsid w:val="00F269D8"/>
    <w:rsid w:val="00F33971"/>
    <w:rsid w:val="00F361B6"/>
    <w:rsid w:val="00F66032"/>
    <w:rsid w:val="00FC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DODOMFIN-89-2039</_dlc_DocId>
    <_dlc_DocIdUrl xmlns="52222ef0-b167-44f5-92f7-438fda0857cd">
      <Url>https://thegreen.treas.gov/do/domfin/FI/FIO/_layouts/15/DocIdRedir.aspx?ID=DODOMFIN-89-2039</Url>
      <Description>DODOMFIN-89-2039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DE68-892E-4CBC-A4DE-6ECEEA128343}">
  <ds:schemaRefs>
    <ds:schemaRef ds:uri="http://schemas.microsoft.com/office/infopath/2007/PartnerControls"/>
    <ds:schemaRef ds:uri="http://schemas.microsoft.com/office/2006/metadata/properties"/>
    <ds:schemaRef ds:uri="http://purl.org/dc/terms/"/>
    <ds:schemaRef ds:uri="http://purl.org/dc/dcmitype/"/>
    <ds:schemaRef ds:uri="http://schemas.microsoft.com/sharepoint/v3"/>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4"/>
    <ds:schemaRef ds:uri="52222ef0-b167-44f5-92f7-438fda0857cd"/>
  </ds:schemaRefs>
</ds:datastoreItem>
</file>

<file path=customXml/itemProps2.xml><?xml version="1.0" encoding="utf-8"?>
<ds:datastoreItem xmlns:ds="http://schemas.openxmlformats.org/officeDocument/2006/customXml" ds:itemID="{9F9CF47B-88CD-4A1F-9414-820040222F62}">
  <ds:schemaRefs>
    <ds:schemaRef ds:uri="http://schemas.microsoft.com/sharepoint/v3/contenttype/forms"/>
  </ds:schemaRefs>
</ds:datastoreItem>
</file>

<file path=customXml/itemProps3.xml><?xml version="1.0" encoding="utf-8"?>
<ds:datastoreItem xmlns:ds="http://schemas.openxmlformats.org/officeDocument/2006/customXml" ds:itemID="{391E6C38-EEE5-453E-804D-29A5007E1E16}">
  <ds:schemaRefs>
    <ds:schemaRef ds:uri="http://schemas.microsoft.com/sharepoint/events"/>
  </ds:schemaRefs>
</ds:datastoreItem>
</file>

<file path=customXml/itemProps4.xml><?xml version="1.0" encoding="utf-8"?>
<ds:datastoreItem xmlns:ds="http://schemas.openxmlformats.org/officeDocument/2006/customXml" ds:itemID="{5ADD1B97-5F28-4D98-9C3D-9B4CCAD4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F1A574-F655-4FA4-9C5F-D2796EE9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Baldwin</dc:creator>
  <cp:lastModifiedBy>SYSTEM</cp:lastModifiedBy>
  <cp:revision>2</cp:revision>
  <cp:lastPrinted>2017-11-14T19:49:00Z</cp:lastPrinted>
  <dcterms:created xsi:type="dcterms:W3CDTF">2018-02-20T15:41:00Z</dcterms:created>
  <dcterms:modified xsi:type="dcterms:W3CDTF">2018-02-20T15:41:00Z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bd132dc7-d3c7-4d8e-a623-d4d05c52f685</vt:lpwstr>
  </property>
</Properties>
</file>