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385" w:rsidRPr="007E7385" w:rsidRDefault="007E7385" w:rsidP="007E7385">
      <w:pPr>
        <w:jc w:val="center"/>
        <w:rPr>
          <w:b/>
          <w:bCs/>
          <w:sz w:val="28"/>
          <w:szCs w:val="28"/>
        </w:rPr>
      </w:pPr>
      <w:bookmarkStart w:id="0" w:name="_GoBack"/>
      <w:bookmarkEnd w:id="0"/>
      <w:r w:rsidRPr="007E7385">
        <w:rPr>
          <w:b/>
          <w:bCs/>
          <w:sz w:val="28"/>
          <w:szCs w:val="28"/>
        </w:rPr>
        <w:t>Supporting Statement for the State Annual</w:t>
      </w:r>
    </w:p>
    <w:p w:rsidR="007E7385" w:rsidRPr="007E7385" w:rsidRDefault="007E7385" w:rsidP="007E7385">
      <w:pPr>
        <w:jc w:val="center"/>
        <w:rPr>
          <w:b/>
          <w:bCs/>
          <w:sz w:val="28"/>
          <w:szCs w:val="28"/>
        </w:rPr>
      </w:pPr>
      <w:r w:rsidRPr="007E7385">
        <w:rPr>
          <w:b/>
          <w:bCs/>
          <w:sz w:val="28"/>
          <w:szCs w:val="28"/>
        </w:rPr>
        <w:t xml:space="preserve">Long Term Care </w:t>
      </w:r>
      <w:r w:rsidR="007F3D5A">
        <w:rPr>
          <w:b/>
          <w:bCs/>
          <w:sz w:val="28"/>
          <w:szCs w:val="28"/>
        </w:rPr>
        <w:t>Ombudsman</w:t>
      </w:r>
      <w:r w:rsidRPr="007E7385">
        <w:rPr>
          <w:b/>
          <w:bCs/>
          <w:sz w:val="28"/>
          <w:szCs w:val="28"/>
        </w:rPr>
        <w:t xml:space="preserve"> Report for</w:t>
      </w:r>
      <w:r w:rsidR="007F5D8F">
        <w:rPr>
          <w:b/>
          <w:bCs/>
          <w:sz w:val="28"/>
          <w:szCs w:val="28"/>
        </w:rPr>
        <w:t xml:space="preserve"> FFY </w:t>
      </w:r>
      <w:r w:rsidR="00690EBE">
        <w:rPr>
          <w:b/>
          <w:bCs/>
          <w:sz w:val="28"/>
          <w:szCs w:val="28"/>
        </w:rPr>
        <w:t>201</w:t>
      </w:r>
      <w:r w:rsidR="000E240E">
        <w:rPr>
          <w:b/>
          <w:bCs/>
          <w:sz w:val="28"/>
          <w:szCs w:val="28"/>
        </w:rPr>
        <w:t>9</w:t>
      </w:r>
      <w:r w:rsidR="00690EBE">
        <w:rPr>
          <w:b/>
          <w:bCs/>
          <w:sz w:val="28"/>
          <w:szCs w:val="28"/>
        </w:rPr>
        <w:t>-20</w:t>
      </w:r>
      <w:r w:rsidR="000E240E">
        <w:rPr>
          <w:b/>
          <w:bCs/>
          <w:sz w:val="28"/>
          <w:szCs w:val="28"/>
        </w:rPr>
        <w:t>21</w:t>
      </w:r>
    </w:p>
    <w:p w:rsidR="006819CF" w:rsidRDefault="006819CF">
      <w:pPr>
        <w:rPr>
          <w:sz w:val="24"/>
        </w:rPr>
      </w:pPr>
    </w:p>
    <w:p w:rsidR="006819CF" w:rsidRDefault="006819CF">
      <w:pPr>
        <w:rPr>
          <w:b/>
          <w:bCs/>
          <w:sz w:val="24"/>
        </w:rPr>
      </w:pPr>
      <w:r>
        <w:rPr>
          <w:b/>
          <w:bCs/>
          <w:sz w:val="24"/>
        </w:rPr>
        <w:t>A.</w:t>
      </w:r>
      <w:r>
        <w:rPr>
          <w:b/>
          <w:bCs/>
          <w:sz w:val="24"/>
        </w:rPr>
        <w:tab/>
        <w:t>Justification</w:t>
      </w:r>
    </w:p>
    <w:p w:rsidR="006819CF" w:rsidRDefault="006819CF">
      <w:pPr>
        <w:rPr>
          <w:sz w:val="24"/>
        </w:rPr>
      </w:pPr>
    </w:p>
    <w:p w:rsidR="006819CF" w:rsidRDefault="006819CF">
      <w:pPr>
        <w:numPr>
          <w:ilvl w:val="0"/>
          <w:numId w:val="2"/>
        </w:numPr>
        <w:rPr>
          <w:b/>
          <w:sz w:val="24"/>
        </w:rPr>
      </w:pPr>
      <w:r>
        <w:rPr>
          <w:b/>
          <w:sz w:val="24"/>
          <w:u w:val="single"/>
        </w:rPr>
        <w:t>Circumstances Making the Collection of Information Necessary</w:t>
      </w:r>
    </w:p>
    <w:p w:rsidR="007E7385" w:rsidRDefault="006819CF" w:rsidP="007E7385">
      <w:pPr>
        <w:ind w:left="360"/>
        <w:rPr>
          <w:sz w:val="24"/>
        </w:rPr>
      </w:pPr>
      <w:r>
        <w:rPr>
          <w:sz w:val="24"/>
        </w:rPr>
        <w:tab/>
      </w:r>
    </w:p>
    <w:p w:rsidR="007E7385" w:rsidRPr="007E7385" w:rsidRDefault="007E7385" w:rsidP="007E7385">
      <w:pPr>
        <w:ind w:left="360" w:firstLine="360"/>
        <w:rPr>
          <w:sz w:val="24"/>
        </w:rPr>
      </w:pPr>
      <w:r w:rsidRPr="007E7385">
        <w:rPr>
          <w:sz w:val="24"/>
        </w:rPr>
        <w:t>The State Annual Long</w:t>
      </w:r>
      <w:r w:rsidR="00691703">
        <w:rPr>
          <w:sz w:val="24"/>
        </w:rPr>
        <w:t>-</w:t>
      </w:r>
      <w:r w:rsidRPr="007E7385">
        <w:rPr>
          <w:sz w:val="24"/>
        </w:rPr>
        <w:t xml:space="preserve">Term Care </w:t>
      </w:r>
      <w:r w:rsidR="007F3D5A">
        <w:rPr>
          <w:sz w:val="24"/>
        </w:rPr>
        <w:t>Ombudsman</w:t>
      </w:r>
      <w:r w:rsidRPr="007E7385">
        <w:rPr>
          <w:sz w:val="24"/>
        </w:rPr>
        <w:t xml:space="preserve"> Report is needed to:</w:t>
      </w:r>
    </w:p>
    <w:p w:rsidR="007E7385" w:rsidRPr="007E7385" w:rsidRDefault="007E7385" w:rsidP="007E7385">
      <w:pPr>
        <w:ind w:left="360"/>
        <w:rPr>
          <w:sz w:val="24"/>
        </w:rPr>
      </w:pPr>
    </w:p>
    <w:p w:rsidR="00FE5246" w:rsidRDefault="007E7385" w:rsidP="000F075C">
      <w:pPr>
        <w:numPr>
          <w:ilvl w:val="0"/>
          <w:numId w:val="43"/>
        </w:numPr>
        <w:rPr>
          <w:sz w:val="24"/>
        </w:rPr>
      </w:pPr>
      <w:r w:rsidRPr="00FE5246">
        <w:rPr>
          <w:sz w:val="24"/>
        </w:rPr>
        <w:t xml:space="preserve">Comply with </w:t>
      </w:r>
      <w:r w:rsidR="00FE5246" w:rsidRPr="00FE5246">
        <w:rPr>
          <w:sz w:val="24"/>
        </w:rPr>
        <w:t>Administration for Community Living/</w:t>
      </w:r>
      <w:r w:rsidRPr="00FE5246">
        <w:rPr>
          <w:sz w:val="24"/>
        </w:rPr>
        <w:t>Administration on Aging (</w:t>
      </w:r>
      <w:r w:rsidR="00B35E8F" w:rsidRPr="00FE5246">
        <w:rPr>
          <w:sz w:val="24"/>
        </w:rPr>
        <w:t>ACL</w:t>
      </w:r>
      <w:r w:rsidR="00FE5246" w:rsidRPr="00FE5246">
        <w:rPr>
          <w:sz w:val="24"/>
        </w:rPr>
        <w:t>/AoA</w:t>
      </w:r>
      <w:r w:rsidRPr="00FE5246">
        <w:rPr>
          <w:sz w:val="24"/>
        </w:rPr>
        <w:t>) reporting requirements in the Older Americans Act (OAA)</w:t>
      </w:r>
      <w:r w:rsidR="00DE5CD3" w:rsidRPr="00FE5246">
        <w:rPr>
          <w:sz w:val="24"/>
        </w:rPr>
        <w:t>; and 45 CFR §132</w:t>
      </w:r>
      <w:r w:rsidR="008766E7" w:rsidRPr="00FE5246">
        <w:rPr>
          <w:sz w:val="24"/>
        </w:rPr>
        <w:t>4</w:t>
      </w:r>
      <w:r w:rsidR="00DE5CD3" w:rsidRPr="00FE5246">
        <w:rPr>
          <w:sz w:val="24"/>
        </w:rPr>
        <w:t>.21</w:t>
      </w:r>
      <w:r w:rsidR="000E0F29" w:rsidRPr="00FE5246">
        <w:rPr>
          <w:sz w:val="24"/>
        </w:rPr>
        <w:t>(b) (1</w:t>
      </w:r>
      <w:r w:rsidR="000F075C" w:rsidRPr="00FE5246">
        <w:rPr>
          <w:sz w:val="24"/>
        </w:rPr>
        <w:t>) and (b)(2)(v)</w:t>
      </w:r>
      <w:r w:rsidR="000F075C" w:rsidRPr="00C64F07">
        <w:rPr>
          <w:rStyle w:val="FootnoteReference"/>
          <w:sz w:val="24"/>
          <w:vertAlign w:val="superscript"/>
        </w:rPr>
        <w:footnoteReference w:id="1"/>
      </w:r>
    </w:p>
    <w:p w:rsidR="00FE5246" w:rsidRDefault="00FE5246" w:rsidP="00FE5246">
      <w:pPr>
        <w:ind w:left="1440"/>
        <w:rPr>
          <w:sz w:val="24"/>
        </w:rPr>
      </w:pPr>
    </w:p>
    <w:p w:rsidR="00FE5246" w:rsidRDefault="000F075C" w:rsidP="007E7385">
      <w:pPr>
        <w:numPr>
          <w:ilvl w:val="0"/>
          <w:numId w:val="43"/>
        </w:numPr>
        <w:rPr>
          <w:sz w:val="24"/>
        </w:rPr>
      </w:pPr>
      <w:r w:rsidRPr="00FE5246">
        <w:rPr>
          <w:sz w:val="24"/>
        </w:rPr>
        <w:t>Measure the services</w:t>
      </w:r>
      <w:r w:rsidR="00910A9D" w:rsidRPr="00FE5246">
        <w:rPr>
          <w:sz w:val="24"/>
        </w:rPr>
        <w:t xml:space="preserve"> and </w:t>
      </w:r>
      <w:r w:rsidRPr="00FE5246">
        <w:rPr>
          <w:sz w:val="24"/>
        </w:rPr>
        <w:t>strategies that are provided to assist residents in the protection of their health, safety, welfare or rights</w:t>
      </w:r>
    </w:p>
    <w:p w:rsidR="00FE5246" w:rsidRDefault="00FE5246" w:rsidP="00FE5246">
      <w:pPr>
        <w:ind w:left="1440"/>
        <w:rPr>
          <w:sz w:val="24"/>
        </w:rPr>
      </w:pPr>
    </w:p>
    <w:p w:rsidR="007E7385" w:rsidRPr="00FE5246" w:rsidRDefault="007E7385" w:rsidP="007E7385">
      <w:pPr>
        <w:numPr>
          <w:ilvl w:val="0"/>
          <w:numId w:val="43"/>
        </w:numPr>
        <w:rPr>
          <w:sz w:val="24"/>
        </w:rPr>
      </w:pPr>
      <w:r w:rsidRPr="00FE5246">
        <w:rPr>
          <w:sz w:val="24"/>
        </w:rPr>
        <w:t xml:space="preserve">Advocate at the state and federal levels for changes needed to improve the quality of life and care in long-term care facilities; and </w:t>
      </w:r>
    </w:p>
    <w:p w:rsidR="000F075C" w:rsidRDefault="000F075C" w:rsidP="000F075C">
      <w:pPr>
        <w:pStyle w:val="ListParagraph"/>
        <w:rPr>
          <w:sz w:val="24"/>
        </w:rPr>
      </w:pPr>
    </w:p>
    <w:p w:rsidR="000F075C" w:rsidRPr="000F075C" w:rsidRDefault="000F075C" w:rsidP="000F075C">
      <w:pPr>
        <w:numPr>
          <w:ilvl w:val="0"/>
          <w:numId w:val="43"/>
        </w:numPr>
        <w:rPr>
          <w:sz w:val="24"/>
        </w:rPr>
      </w:pPr>
      <w:r w:rsidRPr="000F075C">
        <w:rPr>
          <w:sz w:val="24"/>
        </w:rPr>
        <w:t xml:space="preserve">Effectively manage the Long-Term Care </w:t>
      </w:r>
      <w:r w:rsidR="007F3D5A">
        <w:rPr>
          <w:sz w:val="24"/>
        </w:rPr>
        <w:t>Ombudsman</w:t>
      </w:r>
      <w:r w:rsidRPr="000F075C">
        <w:rPr>
          <w:sz w:val="24"/>
        </w:rPr>
        <w:t xml:space="preserve"> Program at </w:t>
      </w:r>
      <w:r w:rsidR="00FE5246" w:rsidRPr="000F075C">
        <w:rPr>
          <w:sz w:val="24"/>
        </w:rPr>
        <w:t>the</w:t>
      </w:r>
      <w:r w:rsidR="00FE5246">
        <w:rPr>
          <w:sz w:val="24"/>
        </w:rPr>
        <w:t xml:space="preserve"> state and federal level</w:t>
      </w:r>
      <w:r w:rsidRPr="000F075C">
        <w:rPr>
          <w:sz w:val="24"/>
        </w:rPr>
        <w:t>.</w:t>
      </w:r>
    </w:p>
    <w:p w:rsidR="00093834" w:rsidRDefault="00093834" w:rsidP="00093834">
      <w:pPr>
        <w:rPr>
          <w:sz w:val="24"/>
        </w:rPr>
      </w:pPr>
    </w:p>
    <w:p w:rsidR="00093834" w:rsidRDefault="009F4D64" w:rsidP="00A2663A">
      <w:pPr>
        <w:ind w:left="720"/>
        <w:rPr>
          <w:sz w:val="24"/>
        </w:rPr>
      </w:pPr>
      <w:r w:rsidRPr="009F4D64">
        <w:rPr>
          <w:sz w:val="24"/>
        </w:rPr>
        <w:t xml:space="preserve">The National </w:t>
      </w:r>
      <w:r w:rsidR="007F3D5A">
        <w:rPr>
          <w:sz w:val="24"/>
        </w:rPr>
        <w:t>Ombudsman</w:t>
      </w:r>
      <w:r w:rsidRPr="009F4D64">
        <w:rPr>
          <w:sz w:val="24"/>
        </w:rPr>
        <w:t xml:space="preserve"> Reporting System (NORS) was developed in response to these needs and directives and</w:t>
      </w:r>
      <w:r w:rsidR="00691703">
        <w:rPr>
          <w:sz w:val="24"/>
        </w:rPr>
        <w:t xml:space="preserve"> was</w:t>
      </w:r>
      <w:r w:rsidRPr="009F4D64">
        <w:rPr>
          <w:sz w:val="24"/>
        </w:rPr>
        <w:t xml:space="preserve"> approved by the Office of Management and Budget for use in FFY 1995-96.  It </w:t>
      </w:r>
      <w:r w:rsidR="00691703">
        <w:rPr>
          <w:sz w:val="24"/>
        </w:rPr>
        <w:t xml:space="preserve">has been </w:t>
      </w:r>
      <w:r w:rsidRPr="009F4D64">
        <w:rPr>
          <w:sz w:val="24"/>
        </w:rPr>
        <w:t xml:space="preserve">extended for </w:t>
      </w:r>
      <w:r w:rsidR="00D42E1E" w:rsidRPr="009F4D64">
        <w:rPr>
          <w:sz w:val="24"/>
        </w:rPr>
        <w:t xml:space="preserve">use </w:t>
      </w:r>
      <w:r w:rsidR="00D42E1E">
        <w:rPr>
          <w:sz w:val="24"/>
        </w:rPr>
        <w:t>since that time with slight modifications.</w:t>
      </w:r>
      <w:r w:rsidRPr="009F4D64">
        <w:rPr>
          <w:sz w:val="24"/>
        </w:rPr>
        <w:t xml:space="preserve"> </w:t>
      </w:r>
      <w:r w:rsidRPr="00CB2E62">
        <w:rPr>
          <w:sz w:val="24"/>
        </w:rPr>
        <w:t xml:space="preserve"> </w:t>
      </w:r>
      <w:r w:rsidR="00D42E1E" w:rsidRPr="00CB2E62">
        <w:rPr>
          <w:sz w:val="24"/>
        </w:rPr>
        <w:t xml:space="preserve">A </w:t>
      </w:r>
      <w:r w:rsidR="00D42E1E">
        <w:rPr>
          <w:sz w:val="24"/>
        </w:rPr>
        <w:t xml:space="preserve">recent </w:t>
      </w:r>
      <w:r w:rsidRPr="00CB2E62">
        <w:rPr>
          <w:sz w:val="24"/>
        </w:rPr>
        <w:t>modification was approved</w:t>
      </w:r>
      <w:r w:rsidR="00691703">
        <w:rPr>
          <w:sz w:val="24"/>
        </w:rPr>
        <w:t xml:space="preserve"> on February 1, 2017 </w:t>
      </w:r>
      <w:r w:rsidRPr="00CB2E62">
        <w:rPr>
          <w:sz w:val="24"/>
        </w:rPr>
        <w:t xml:space="preserve"> for FFY 2016-20</w:t>
      </w:r>
      <w:r w:rsidR="00CB2E62" w:rsidRPr="00CB2E62">
        <w:rPr>
          <w:sz w:val="24"/>
        </w:rPr>
        <w:t>20</w:t>
      </w:r>
      <w:r w:rsidRPr="00CB2E62">
        <w:rPr>
          <w:sz w:val="24"/>
        </w:rPr>
        <w:t xml:space="preserve"> to include organizational conflict of inte</w:t>
      </w:r>
      <w:r w:rsidRPr="009F4D64">
        <w:rPr>
          <w:sz w:val="24"/>
        </w:rPr>
        <w:t xml:space="preserve">rest reporting as required by the reauthorized Older Americans Act and the LTC </w:t>
      </w:r>
      <w:r w:rsidR="007F3D5A">
        <w:rPr>
          <w:sz w:val="24"/>
        </w:rPr>
        <w:t>Ombudsman</w:t>
      </w:r>
      <w:r w:rsidRPr="009F4D64">
        <w:rPr>
          <w:sz w:val="24"/>
        </w:rPr>
        <w:t xml:space="preserve"> program rule </w:t>
      </w:r>
      <w:r w:rsidR="00A2663A">
        <w:rPr>
          <w:sz w:val="24"/>
        </w:rPr>
        <w:t xml:space="preserve"> 45 </w:t>
      </w:r>
      <w:r w:rsidRPr="009F4D64">
        <w:rPr>
          <w:sz w:val="24"/>
        </w:rPr>
        <w:t xml:space="preserve">CFR 1324.21. </w:t>
      </w:r>
      <w:r w:rsidR="00093834" w:rsidRPr="009F4D64">
        <w:rPr>
          <w:sz w:val="24"/>
        </w:rPr>
        <w:t xml:space="preserve">This </w:t>
      </w:r>
      <w:r w:rsidR="00CB2E62" w:rsidRPr="009F4D64">
        <w:rPr>
          <w:sz w:val="24"/>
        </w:rPr>
        <w:t>current request</w:t>
      </w:r>
      <w:r w:rsidR="00093834" w:rsidRPr="009F4D64">
        <w:rPr>
          <w:sz w:val="24"/>
        </w:rPr>
        <w:t xml:space="preserve"> is to acquire approval for a</w:t>
      </w:r>
      <w:r w:rsidR="00DB6C36" w:rsidRPr="009F4D64">
        <w:rPr>
          <w:sz w:val="24"/>
        </w:rPr>
        <w:t xml:space="preserve"> revised modification of instruction</w:t>
      </w:r>
      <w:r w:rsidR="000011EA">
        <w:rPr>
          <w:sz w:val="24"/>
        </w:rPr>
        <w:t>s</w:t>
      </w:r>
      <w:r w:rsidR="00DB6C36" w:rsidRPr="009F4D64">
        <w:rPr>
          <w:sz w:val="24"/>
        </w:rPr>
        <w:t xml:space="preserve"> </w:t>
      </w:r>
      <w:r w:rsidR="00CB2E62" w:rsidRPr="009F4D64">
        <w:rPr>
          <w:sz w:val="24"/>
        </w:rPr>
        <w:t xml:space="preserve">and </w:t>
      </w:r>
      <w:r w:rsidR="00CB2E62">
        <w:rPr>
          <w:sz w:val="24"/>
        </w:rPr>
        <w:t xml:space="preserve">data collection elements </w:t>
      </w:r>
      <w:r w:rsidR="00CB2E62" w:rsidRPr="009F4D64">
        <w:rPr>
          <w:sz w:val="24"/>
        </w:rPr>
        <w:t>for</w:t>
      </w:r>
      <w:r w:rsidR="00DB6C36" w:rsidRPr="009F4D64">
        <w:rPr>
          <w:sz w:val="24"/>
        </w:rPr>
        <w:t xml:space="preserve"> </w:t>
      </w:r>
      <w:r w:rsidR="007F5D8F" w:rsidRPr="009F4D64">
        <w:rPr>
          <w:sz w:val="24"/>
        </w:rPr>
        <w:t xml:space="preserve">FFY </w:t>
      </w:r>
      <w:r w:rsidR="00690EBE" w:rsidRPr="009F4D64">
        <w:rPr>
          <w:sz w:val="24"/>
        </w:rPr>
        <w:t>201</w:t>
      </w:r>
      <w:r>
        <w:rPr>
          <w:sz w:val="24"/>
        </w:rPr>
        <w:t>9</w:t>
      </w:r>
      <w:r w:rsidR="00690EBE" w:rsidRPr="009F4D64">
        <w:rPr>
          <w:sz w:val="24"/>
        </w:rPr>
        <w:t>-20</w:t>
      </w:r>
      <w:r w:rsidR="00DB6C36" w:rsidRPr="009F4D64">
        <w:rPr>
          <w:sz w:val="24"/>
        </w:rPr>
        <w:t>2</w:t>
      </w:r>
      <w:r>
        <w:rPr>
          <w:sz w:val="24"/>
        </w:rPr>
        <w:t>1</w:t>
      </w:r>
      <w:r w:rsidR="00093834" w:rsidRPr="009F4D64">
        <w:rPr>
          <w:sz w:val="24"/>
        </w:rPr>
        <w:t>.</w:t>
      </w:r>
      <w:r w:rsidR="00093834">
        <w:rPr>
          <w:sz w:val="24"/>
        </w:rPr>
        <w:t xml:space="preserve"> </w:t>
      </w:r>
    </w:p>
    <w:p w:rsidR="00093834" w:rsidRDefault="00093834" w:rsidP="00A2663A">
      <w:pPr>
        <w:ind w:left="720"/>
        <w:rPr>
          <w:sz w:val="24"/>
        </w:rPr>
      </w:pPr>
    </w:p>
    <w:p w:rsidR="007E7385" w:rsidRPr="007E7385" w:rsidRDefault="002155B4" w:rsidP="007E7385">
      <w:pPr>
        <w:ind w:left="720"/>
        <w:rPr>
          <w:sz w:val="24"/>
        </w:rPr>
      </w:pPr>
      <w:r w:rsidRPr="007E7385">
        <w:rPr>
          <w:sz w:val="24"/>
        </w:rPr>
        <w:t xml:space="preserve">The </w:t>
      </w:r>
      <w:r>
        <w:rPr>
          <w:sz w:val="24"/>
        </w:rPr>
        <w:t xml:space="preserve">proposed </w:t>
      </w:r>
      <w:r w:rsidR="00691502">
        <w:rPr>
          <w:sz w:val="24"/>
        </w:rPr>
        <w:t>template</w:t>
      </w:r>
      <w:r w:rsidR="00C7013D">
        <w:rPr>
          <w:sz w:val="24"/>
        </w:rPr>
        <w:t>s, definitions</w:t>
      </w:r>
      <w:r w:rsidR="00EB6A8F">
        <w:rPr>
          <w:sz w:val="24"/>
        </w:rPr>
        <w:t>, reporting</w:t>
      </w:r>
      <w:r w:rsidR="00C7013D">
        <w:rPr>
          <w:sz w:val="24"/>
        </w:rPr>
        <w:t xml:space="preserve"> tips (Tables 1-3) and a crosswalk from the current NORS to</w:t>
      </w:r>
      <w:r w:rsidR="009F4D64">
        <w:rPr>
          <w:sz w:val="24"/>
        </w:rPr>
        <w:t xml:space="preserve"> the proposed NORS are attached and posted at: </w:t>
      </w:r>
      <w:hyperlink w:history="1"/>
      <w:r w:rsidR="00623893">
        <w:rPr>
          <w:rStyle w:val="Hyperlink"/>
          <w:sz w:val="24"/>
        </w:rPr>
        <w:t xml:space="preserve"> </w:t>
      </w:r>
      <w:r w:rsidR="00623893" w:rsidRPr="00623893">
        <w:rPr>
          <w:rStyle w:val="Hyperlink"/>
          <w:sz w:val="24"/>
        </w:rPr>
        <w:t xml:space="preserve">https://www.acl.gov/about-acl/public-input  </w:t>
      </w:r>
    </w:p>
    <w:p w:rsidR="007E7385" w:rsidRPr="007E7385" w:rsidRDefault="007E7385" w:rsidP="007E7385">
      <w:pPr>
        <w:ind w:left="720"/>
        <w:rPr>
          <w:sz w:val="24"/>
        </w:rPr>
      </w:pPr>
      <w:r w:rsidRPr="007E7385">
        <w:rPr>
          <w:sz w:val="24"/>
        </w:rPr>
        <w:t>Section 712(c) of the OAA requires the state agency to establish a statewide uniform reporting system to:</w:t>
      </w:r>
    </w:p>
    <w:p w:rsidR="007E7385" w:rsidRPr="007E7385" w:rsidRDefault="007E7385" w:rsidP="007E7385">
      <w:pPr>
        <w:ind w:left="720"/>
        <w:rPr>
          <w:sz w:val="24"/>
        </w:rPr>
      </w:pPr>
    </w:p>
    <w:p w:rsidR="007E7385" w:rsidRPr="007E7385" w:rsidRDefault="007E7385" w:rsidP="007E7385">
      <w:pPr>
        <w:ind w:left="1080"/>
        <w:rPr>
          <w:sz w:val="24"/>
        </w:rPr>
      </w:pPr>
      <w:r w:rsidRPr="007E7385">
        <w:rPr>
          <w:sz w:val="24"/>
        </w:rPr>
        <w:t>(1)</w:t>
      </w:r>
      <w:r w:rsidRPr="007E7385">
        <w:rPr>
          <w:sz w:val="24"/>
        </w:rPr>
        <w:tab/>
        <w:t xml:space="preserve">Collect and analyze data relating to </w:t>
      </w:r>
      <w:r w:rsidR="00A2663A">
        <w:rPr>
          <w:sz w:val="24"/>
        </w:rPr>
        <w:t xml:space="preserve">resident </w:t>
      </w:r>
      <w:r w:rsidRPr="007E7385">
        <w:rPr>
          <w:sz w:val="24"/>
        </w:rPr>
        <w:t>complaints and conditions in long-term care facilities for the purpose of identifying and resolving significant problems</w:t>
      </w:r>
      <w:r w:rsidR="00EB6A8F">
        <w:rPr>
          <w:sz w:val="24"/>
        </w:rPr>
        <w:t>.</w:t>
      </w:r>
      <w:r w:rsidRPr="007E7385">
        <w:rPr>
          <w:sz w:val="24"/>
        </w:rPr>
        <w:t xml:space="preserve"> </w:t>
      </w:r>
      <w:r w:rsidRPr="007E7385">
        <w:rPr>
          <w:sz w:val="24"/>
        </w:rPr>
        <w:lastRenderedPageBreak/>
        <w:t>and</w:t>
      </w:r>
    </w:p>
    <w:p w:rsidR="007E7385" w:rsidRPr="007E7385" w:rsidRDefault="007E7385" w:rsidP="007E7385">
      <w:pPr>
        <w:ind w:left="1080"/>
        <w:rPr>
          <w:sz w:val="24"/>
        </w:rPr>
      </w:pPr>
    </w:p>
    <w:p w:rsidR="007E7385" w:rsidRPr="007E7385" w:rsidRDefault="007E7385" w:rsidP="007E7385">
      <w:pPr>
        <w:ind w:left="1080"/>
        <w:rPr>
          <w:sz w:val="24"/>
        </w:rPr>
      </w:pPr>
      <w:r w:rsidRPr="007E7385">
        <w:rPr>
          <w:sz w:val="24"/>
        </w:rPr>
        <w:t>(2)</w:t>
      </w:r>
      <w:r w:rsidRPr="007E7385">
        <w:rPr>
          <w:sz w:val="24"/>
        </w:rPr>
        <w:tab/>
        <w:t xml:space="preserve">Submit the data on a regular basis to the state licensing/certifying agency, other state and federal entities that the </w:t>
      </w:r>
      <w:r w:rsidR="007F3D5A">
        <w:rPr>
          <w:sz w:val="24"/>
        </w:rPr>
        <w:t>Ombudsman</w:t>
      </w:r>
      <w:r w:rsidRPr="007E7385">
        <w:rPr>
          <w:sz w:val="24"/>
        </w:rPr>
        <w:t xml:space="preserve"> determines to be appropriate</w:t>
      </w:r>
      <w:r w:rsidR="00EB6A8F">
        <w:rPr>
          <w:sz w:val="24"/>
        </w:rPr>
        <w:t>,</w:t>
      </w:r>
      <w:r w:rsidRPr="007E7385">
        <w:rPr>
          <w:sz w:val="24"/>
        </w:rPr>
        <w:t xml:space="preserve"> the Assistant Secretary for Aging</w:t>
      </w:r>
      <w:r w:rsidR="00EB6A8F">
        <w:rPr>
          <w:sz w:val="24"/>
        </w:rPr>
        <w:t>,</w:t>
      </w:r>
      <w:r w:rsidRPr="007E7385">
        <w:rPr>
          <w:sz w:val="24"/>
        </w:rPr>
        <w:t xml:space="preserve"> and the National Long-Term Care </w:t>
      </w:r>
      <w:r w:rsidR="007F3D5A">
        <w:rPr>
          <w:sz w:val="24"/>
        </w:rPr>
        <w:t>Ombudsman</w:t>
      </w:r>
      <w:r w:rsidRPr="007E7385">
        <w:rPr>
          <w:sz w:val="24"/>
        </w:rPr>
        <w:t xml:space="preserve"> Resource Center.</w:t>
      </w:r>
    </w:p>
    <w:p w:rsidR="007E7385" w:rsidRPr="007E7385" w:rsidRDefault="007E7385" w:rsidP="007E7385">
      <w:pPr>
        <w:ind w:left="720"/>
        <w:rPr>
          <w:sz w:val="24"/>
        </w:rPr>
      </w:pPr>
    </w:p>
    <w:p w:rsidR="007E7385" w:rsidRDefault="007E7385" w:rsidP="007E7385">
      <w:pPr>
        <w:ind w:left="720"/>
        <w:rPr>
          <w:sz w:val="24"/>
        </w:rPr>
      </w:pPr>
      <w:r w:rsidRPr="007E7385">
        <w:rPr>
          <w:sz w:val="24"/>
        </w:rPr>
        <w:t>Section 712(h)(1</w:t>
      </w:r>
      <w:r w:rsidR="00A2663A">
        <w:rPr>
          <w:sz w:val="24"/>
        </w:rPr>
        <w:t>)</w:t>
      </w:r>
      <w:r w:rsidRPr="007E7385">
        <w:rPr>
          <w:sz w:val="24"/>
        </w:rPr>
        <w:t xml:space="preserve"> requires the state agency to require the Office of the State Long-Term Care </w:t>
      </w:r>
      <w:r w:rsidR="007F3D5A">
        <w:rPr>
          <w:sz w:val="24"/>
        </w:rPr>
        <w:t>Ombudsman</w:t>
      </w:r>
      <w:r w:rsidRPr="007E7385">
        <w:rPr>
          <w:sz w:val="24"/>
        </w:rPr>
        <w:t xml:space="preserve"> to prepare an annual report describing the activities carried out by the </w:t>
      </w:r>
      <w:r w:rsidR="007F3D5A">
        <w:rPr>
          <w:sz w:val="24"/>
        </w:rPr>
        <w:t>Ombudsman</w:t>
      </w:r>
      <w:r w:rsidRPr="007E7385">
        <w:rPr>
          <w:sz w:val="24"/>
        </w:rPr>
        <w:t xml:space="preserve"> office in the year for which the report is prepared.  The report is to contain</w:t>
      </w:r>
      <w:r w:rsidR="009F4D64">
        <w:rPr>
          <w:sz w:val="24"/>
        </w:rPr>
        <w:t>:</w:t>
      </w:r>
    </w:p>
    <w:p w:rsidR="007E7385" w:rsidRDefault="007E7385" w:rsidP="007E7385">
      <w:pPr>
        <w:ind w:left="720"/>
        <w:rPr>
          <w:sz w:val="24"/>
        </w:rPr>
      </w:pPr>
    </w:p>
    <w:p w:rsidR="00C054B9" w:rsidRPr="00C054B9" w:rsidRDefault="00C054B9" w:rsidP="00992C93">
      <w:pPr>
        <w:numPr>
          <w:ilvl w:val="0"/>
          <w:numId w:val="48"/>
        </w:numPr>
        <w:rPr>
          <w:sz w:val="24"/>
        </w:rPr>
      </w:pPr>
      <w:r w:rsidRPr="00C054B9">
        <w:rPr>
          <w:sz w:val="24"/>
        </w:rPr>
        <w:t>The data and an analysis of the dat</w:t>
      </w:r>
      <w:r>
        <w:rPr>
          <w:sz w:val="24"/>
        </w:rPr>
        <w:t>a collected under Section 712</w:t>
      </w:r>
      <w:r w:rsidR="009F4D64">
        <w:rPr>
          <w:sz w:val="24"/>
        </w:rPr>
        <w:t>(c);</w:t>
      </w:r>
    </w:p>
    <w:p w:rsidR="00C054B9" w:rsidRPr="00C054B9" w:rsidRDefault="00C054B9" w:rsidP="00992C93">
      <w:pPr>
        <w:ind w:left="720"/>
        <w:rPr>
          <w:sz w:val="24"/>
        </w:rPr>
      </w:pPr>
    </w:p>
    <w:p w:rsidR="00C054B9" w:rsidRPr="00C054B9" w:rsidRDefault="00C054B9" w:rsidP="00992C93">
      <w:pPr>
        <w:numPr>
          <w:ilvl w:val="0"/>
          <w:numId w:val="48"/>
        </w:numPr>
        <w:rPr>
          <w:sz w:val="24"/>
        </w:rPr>
      </w:pPr>
      <w:r w:rsidRPr="00C054B9">
        <w:rPr>
          <w:sz w:val="24"/>
        </w:rPr>
        <w:t>Evaluati</w:t>
      </w:r>
      <w:r>
        <w:rPr>
          <w:sz w:val="24"/>
        </w:rPr>
        <w:t>on of</w:t>
      </w:r>
      <w:r w:rsidRPr="00C054B9">
        <w:rPr>
          <w:sz w:val="24"/>
        </w:rPr>
        <w:t xml:space="preserve"> the problems experienced by, and the complaints made by or on behalf of, residents;</w:t>
      </w:r>
    </w:p>
    <w:p w:rsidR="00C054B9" w:rsidRPr="00C054B9" w:rsidRDefault="00C054B9" w:rsidP="00992C93">
      <w:pPr>
        <w:ind w:left="720"/>
        <w:rPr>
          <w:sz w:val="24"/>
        </w:rPr>
      </w:pPr>
    </w:p>
    <w:p w:rsidR="00C054B9" w:rsidRPr="00C054B9" w:rsidRDefault="00C054B9" w:rsidP="00992C93">
      <w:pPr>
        <w:numPr>
          <w:ilvl w:val="0"/>
          <w:numId w:val="48"/>
        </w:numPr>
        <w:rPr>
          <w:sz w:val="24"/>
        </w:rPr>
      </w:pPr>
      <w:r>
        <w:rPr>
          <w:sz w:val="24"/>
        </w:rPr>
        <w:t xml:space="preserve">Contain </w:t>
      </w:r>
      <w:r w:rsidRPr="00C054B9">
        <w:rPr>
          <w:sz w:val="24"/>
        </w:rPr>
        <w:t>recommendations for</w:t>
      </w:r>
      <w:r>
        <w:rPr>
          <w:sz w:val="24"/>
        </w:rPr>
        <w:t xml:space="preserve"> </w:t>
      </w:r>
      <w:r w:rsidRPr="00C054B9">
        <w:rPr>
          <w:sz w:val="24"/>
        </w:rPr>
        <w:t xml:space="preserve">improving </w:t>
      </w:r>
      <w:r w:rsidR="00EB6A8F">
        <w:rPr>
          <w:sz w:val="24"/>
        </w:rPr>
        <w:t xml:space="preserve">the </w:t>
      </w:r>
      <w:r w:rsidRPr="00C054B9">
        <w:rPr>
          <w:sz w:val="24"/>
        </w:rPr>
        <w:t>quality of the care and li</w:t>
      </w:r>
      <w:r w:rsidR="00EB6A8F">
        <w:rPr>
          <w:sz w:val="24"/>
        </w:rPr>
        <w:t>ves</w:t>
      </w:r>
      <w:r w:rsidRPr="00C054B9">
        <w:rPr>
          <w:sz w:val="24"/>
        </w:rPr>
        <w:t xml:space="preserve"> of the residents; and</w:t>
      </w:r>
      <w:r>
        <w:rPr>
          <w:sz w:val="24"/>
        </w:rPr>
        <w:t xml:space="preserve"> </w:t>
      </w:r>
      <w:r w:rsidRPr="00C054B9">
        <w:rPr>
          <w:sz w:val="24"/>
        </w:rPr>
        <w:t>protecting the health, safety, welfare, and rights of the residents;</w:t>
      </w:r>
    </w:p>
    <w:p w:rsidR="00C054B9" w:rsidRPr="00C054B9" w:rsidRDefault="00C054B9" w:rsidP="00992C93">
      <w:pPr>
        <w:ind w:left="720"/>
        <w:rPr>
          <w:sz w:val="24"/>
        </w:rPr>
      </w:pPr>
    </w:p>
    <w:p w:rsidR="00C054B9" w:rsidRPr="00C054B9" w:rsidRDefault="00C054B9" w:rsidP="00992C93">
      <w:pPr>
        <w:numPr>
          <w:ilvl w:val="0"/>
          <w:numId w:val="48"/>
        </w:numPr>
        <w:rPr>
          <w:sz w:val="24"/>
        </w:rPr>
      </w:pPr>
      <w:r>
        <w:rPr>
          <w:sz w:val="24"/>
        </w:rPr>
        <w:t>A</w:t>
      </w:r>
      <w:r w:rsidRPr="00C054B9">
        <w:rPr>
          <w:sz w:val="24"/>
        </w:rPr>
        <w:t>naly</w:t>
      </w:r>
      <w:r>
        <w:rPr>
          <w:sz w:val="24"/>
        </w:rPr>
        <w:t>sis of</w:t>
      </w:r>
      <w:r w:rsidRPr="00C054B9">
        <w:rPr>
          <w:sz w:val="24"/>
        </w:rPr>
        <w:t xml:space="preserve"> the success of the program</w:t>
      </w:r>
      <w:r w:rsidR="00EB6A8F">
        <w:rPr>
          <w:sz w:val="24"/>
        </w:rPr>
        <w:t>,</w:t>
      </w:r>
      <w:r w:rsidRPr="00C054B9">
        <w:rPr>
          <w:sz w:val="24"/>
        </w:rPr>
        <w:t xml:space="preserve"> including success in providing services to residents of board and care facilities and other similar adult care facilities; and</w:t>
      </w:r>
    </w:p>
    <w:p w:rsidR="00C054B9" w:rsidRPr="00C054B9" w:rsidRDefault="00C054B9" w:rsidP="00992C93">
      <w:pPr>
        <w:ind w:left="720"/>
        <w:rPr>
          <w:sz w:val="24"/>
        </w:rPr>
      </w:pPr>
    </w:p>
    <w:p w:rsidR="00C054B9" w:rsidRPr="00C054B9" w:rsidRDefault="00C054B9" w:rsidP="00992C93">
      <w:pPr>
        <w:numPr>
          <w:ilvl w:val="0"/>
          <w:numId w:val="48"/>
        </w:numPr>
        <w:rPr>
          <w:sz w:val="24"/>
        </w:rPr>
      </w:pPr>
      <w:r w:rsidRPr="00C054B9">
        <w:rPr>
          <w:sz w:val="24"/>
        </w:rPr>
        <w:t>Identif</w:t>
      </w:r>
      <w:r>
        <w:rPr>
          <w:sz w:val="24"/>
        </w:rPr>
        <w:t>ication of</w:t>
      </w:r>
      <w:r w:rsidRPr="00C054B9">
        <w:rPr>
          <w:sz w:val="24"/>
        </w:rPr>
        <w:t xml:space="preserve"> barriers that prevent the optimal operation of the program; and</w:t>
      </w:r>
    </w:p>
    <w:p w:rsidR="00C054B9" w:rsidRPr="00C054B9" w:rsidRDefault="00C054B9" w:rsidP="00992C93">
      <w:pPr>
        <w:ind w:left="720"/>
        <w:rPr>
          <w:sz w:val="24"/>
        </w:rPr>
      </w:pPr>
    </w:p>
    <w:p w:rsidR="00C054B9" w:rsidRPr="00C054B9" w:rsidRDefault="00C054B9" w:rsidP="00992C93">
      <w:pPr>
        <w:numPr>
          <w:ilvl w:val="0"/>
          <w:numId w:val="48"/>
        </w:numPr>
        <w:rPr>
          <w:sz w:val="24"/>
        </w:rPr>
      </w:pPr>
      <w:r>
        <w:rPr>
          <w:sz w:val="24"/>
        </w:rPr>
        <w:t>P</w:t>
      </w:r>
      <w:r w:rsidRPr="00C054B9">
        <w:rPr>
          <w:sz w:val="24"/>
        </w:rPr>
        <w:t xml:space="preserve">olicy, regulatory, and legislative recommendations to solve identified problems, to resolve the complaints, to improve the quality of care and life of residents, to protect the health, safety, welfare, and rights of residents, and to remove barriers; </w:t>
      </w:r>
    </w:p>
    <w:p w:rsidR="00C054B9" w:rsidRPr="00C054B9" w:rsidRDefault="00C054B9" w:rsidP="00C054B9">
      <w:pPr>
        <w:ind w:left="720"/>
        <w:rPr>
          <w:sz w:val="24"/>
        </w:rPr>
      </w:pPr>
    </w:p>
    <w:p w:rsidR="00C054B9" w:rsidRPr="00C054B9" w:rsidRDefault="00A2663A" w:rsidP="00C054B9">
      <w:pPr>
        <w:ind w:left="720"/>
        <w:rPr>
          <w:sz w:val="24"/>
        </w:rPr>
      </w:pPr>
      <w:r>
        <w:rPr>
          <w:sz w:val="24"/>
        </w:rPr>
        <w:t>Section</w:t>
      </w:r>
      <w:r w:rsidR="00992C93">
        <w:rPr>
          <w:sz w:val="24"/>
        </w:rPr>
        <w:t xml:space="preserve"> (</w:t>
      </w:r>
      <w:r w:rsidR="00992C93" w:rsidRPr="00992C93">
        <w:rPr>
          <w:sz w:val="24"/>
        </w:rPr>
        <w:t>712(h</w:t>
      </w:r>
      <w:r w:rsidR="00EB6A8F" w:rsidRPr="00992C93">
        <w:rPr>
          <w:sz w:val="24"/>
        </w:rPr>
        <w:t>) (</w:t>
      </w:r>
      <w:r w:rsidR="00992C93">
        <w:rPr>
          <w:sz w:val="24"/>
        </w:rPr>
        <w:t>2</w:t>
      </w:r>
      <w:r w:rsidR="00992C93" w:rsidRPr="00992C93">
        <w:rPr>
          <w:sz w:val="24"/>
        </w:rPr>
        <w:t xml:space="preserve">) </w:t>
      </w:r>
      <w:r w:rsidR="00992C93">
        <w:rPr>
          <w:sz w:val="24"/>
        </w:rPr>
        <w:t xml:space="preserve">also requires the </w:t>
      </w:r>
      <w:r w:rsidR="007F3D5A">
        <w:rPr>
          <w:sz w:val="24"/>
        </w:rPr>
        <w:t>Ombudsman</w:t>
      </w:r>
      <w:r w:rsidR="00992C93">
        <w:rPr>
          <w:sz w:val="24"/>
        </w:rPr>
        <w:t xml:space="preserve"> to a</w:t>
      </w:r>
      <w:r w:rsidR="00C054B9" w:rsidRPr="00C054B9">
        <w:rPr>
          <w:sz w:val="24"/>
        </w:rPr>
        <w:t>naly</w:t>
      </w:r>
      <w:r w:rsidR="00992C93">
        <w:rPr>
          <w:sz w:val="24"/>
        </w:rPr>
        <w:t>ze</w:t>
      </w:r>
      <w:r w:rsidR="00C054B9">
        <w:rPr>
          <w:sz w:val="24"/>
        </w:rPr>
        <w:t xml:space="preserve"> and</w:t>
      </w:r>
      <w:r w:rsidR="00C054B9" w:rsidRPr="00C054B9">
        <w:rPr>
          <w:sz w:val="24"/>
        </w:rPr>
        <w:t xml:space="preserve"> comment on the development and implementation of Federal, State, and local laws, regulations, and other government policies and actions that pertain to long-term care facilities and services and to the health, safety, welfare, and rights of residents in the State, and recommend any changes in such laws, regulations, and policies as the Office determines to be appropriate</w:t>
      </w:r>
      <w:r w:rsidR="00C054B9">
        <w:rPr>
          <w:sz w:val="24"/>
        </w:rPr>
        <w:t>.</w:t>
      </w:r>
    </w:p>
    <w:p w:rsidR="00C054B9" w:rsidRPr="00C054B9" w:rsidRDefault="00C054B9" w:rsidP="00C054B9">
      <w:pPr>
        <w:ind w:left="720"/>
        <w:rPr>
          <w:sz w:val="24"/>
        </w:rPr>
      </w:pPr>
    </w:p>
    <w:p w:rsidR="00C054B9" w:rsidRDefault="00992C93" w:rsidP="00C054B9">
      <w:pPr>
        <w:ind w:left="720"/>
        <w:rPr>
          <w:sz w:val="24"/>
        </w:rPr>
      </w:pPr>
      <w:r>
        <w:rPr>
          <w:sz w:val="24"/>
        </w:rPr>
        <w:t>Section 712(h)</w:t>
      </w:r>
      <w:r w:rsidRPr="00992C93">
        <w:rPr>
          <w:sz w:val="24"/>
        </w:rPr>
        <w:t>(3)(A)</w:t>
      </w:r>
      <w:r>
        <w:rPr>
          <w:sz w:val="24"/>
        </w:rPr>
        <w:t xml:space="preserve"> requires t</w:t>
      </w:r>
      <w:r w:rsidR="00BE3B26">
        <w:rPr>
          <w:sz w:val="24"/>
        </w:rPr>
        <w:t xml:space="preserve">he state agency </w:t>
      </w:r>
      <w:r>
        <w:rPr>
          <w:sz w:val="24"/>
        </w:rPr>
        <w:t xml:space="preserve">to </w:t>
      </w:r>
      <w:r w:rsidR="00BE3B26">
        <w:rPr>
          <w:sz w:val="24"/>
        </w:rPr>
        <w:t xml:space="preserve">ensure that the Office of the </w:t>
      </w:r>
      <w:r w:rsidR="007F3D5A">
        <w:rPr>
          <w:sz w:val="24"/>
        </w:rPr>
        <w:t>Ombudsman</w:t>
      </w:r>
      <w:r w:rsidR="00BE3B26">
        <w:rPr>
          <w:sz w:val="24"/>
        </w:rPr>
        <w:t xml:space="preserve"> p</w:t>
      </w:r>
      <w:r w:rsidR="00C054B9" w:rsidRPr="00C054B9">
        <w:rPr>
          <w:sz w:val="24"/>
        </w:rPr>
        <w:t>rovide</w:t>
      </w:r>
      <w:r w:rsidR="002F4FEE">
        <w:rPr>
          <w:sz w:val="24"/>
        </w:rPr>
        <w:t>s</w:t>
      </w:r>
      <w:r w:rsidR="00C054B9" w:rsidRPr="00C054B9">
        <w:rPr>
          <w:sz w:val="24"/>
        </w:rPr>
        <w:t xml:space="preserve"> such information as the Office determines to be necessary to public and private agencies, legislator</w:t>
      </w:r>
      <w:r w:rsidR="00C054B9">
        <w:rPr>
          <w:sz w:val="24"/>
        </w:rPr>
        <w:t xml:space="preserve">s, and other persons, regarding </w:t>
      </w:r>
      <w:r w:rsidR="00C054B9" w:rsidRPr="00C054B9">
        <w:rPr>
          <w:sz w:val="24"/>
        </w:rPr>
        <w:t>the problems and concerns of older individuals residing in long-term care facilities</w:t>
      </w:r>
      <w:r w:rsidR="002F4FEE">
        <w:rPr>
          <w:sz w:val="24"/>
        </w:rPr>
        <w:t>,</w:t>
      </w:r>
      <w:r w:rsidR="00C054B9" w:rsidRPr="00C054B9">
        <w:rPr>
          <w:sz w:val="24"/>
        </w:rPr>
        <w:t xml:space="preserve"> and</w:t>
      </w:r>
      <w:r w:rsidR="00C054B9">
        <w:rPr>
          <w:sz w:val="24"/>
        </w:rPr>
        <w:t xml:space="preserve"> </w:t>
      </w:r>
      <w:r w:rsidR="00C054B9" w:rsidRPr="00C054B9">
        <w:rPr>
          <w:sz w:val="24"/>
        </w:rPr>
        <w:t>recommendations related to the problems and concerns</w:t>
      </w:r>
      <w:r w:rsidR="00C054B9">
        <w:rPr>
          <w:sz w:val="24"/>
        </w:rPr>
        <w:t xml:space="preserve">. </w:t>
      </w:r>
    </w:p>
    <w:p w:rsidR="00992C93" w:rsidRPr="00C054B9" w:rsidRDefault="00992C93" w:rsidP="00C054B9">
      <w:pPr>
        <w:ind w:left="720"/>
        <w:rPr>
          <w:sz w:val="24"/>
        </w:rPr>
      </w:pPr>
    </w:p>
    <w:p w:rsidR="00C054B9" w:rsidRPr="00C054B9" w:rsidRDefault="00C054B9" w:rsidP="00C054B9">
      <w:pPr>
        <w:ind w:left="720"/>
        <w:rPr>
          <w:sz w:val="24"/>
        </w:rPr>
      </w:pPr>
      <w:r w:rsidRPr="00C054B9">
        <w:rPr>
          <w:sz w:val="24"/>
        </w:rPr>
        <w:t xml:space="preserve">Section 712(h)(B) requires the state agency to require the Office of the </w:t>
      </w:r>
      <w:r w:rsidR="007F3D5A">
        <w:rPr>
          <w:sz w:val="24"/>
        </w:rPr>
        <w:t>Ombudsman</w:t>
      </w:r>
      <w:r w:rsidRPr="00C054B9">
        <w:rPr>
          <w:sz w:val="24"/>
        </w:rPr>
        <w:t xml:space="preserve"> to make the annual report available to the public, and submit </w:t>
      </w:r>
      <w:r w:rsidR="002F4FEE">
        <w:rPr>
          <w:sz w:val="24"/>
        </w:rPr>
        <w:t xml:space="preserve">it </w:t>
      </w:r>
      <w:r w:rsidRPr="00C054B9">
        <w:rPr>
          <w:sz w:val="24"/>
        </w:rPr>
        <w:t>to the Assistant Secretary, the chief executive officer of the State, the State legislature, the State agency responsible for licensing or certifying long-term care facilities, and other appropriate governmental entities</w:t>
      </w:r>
      <w:r>
        <w:rPr>
          <w:sz w:val="24"/>
        </w:rPr>
        <w:t xml:space="preserve">. </w:t>
      </w:r>
    </w:p>
    <w:p w:rsidR="007E7385" w:rsidRPr="007E7385" w:rsidRDefault="007E7385" w:rsidP="007E7385">
      <w:pPr>
        <w:ind w:left="720"/>
        <w:rPr>
          <w:b/>
          <w:sz w:val="24"/>
        </w:rPr>
      </w:pPr>
    </w:p>
    <w:p w:rsidR="007E7385" w:rsidRPr="007E7385" w:rsidRDefault="007E7385" w:rsidP="007E7385">
      <w:pPr>
        <w:ind w:left="720"/>
        <w:rPr>
          <w:sz w:val="24"/>
        </w:rPr>
      </w:pPr>
      <w:r w:rsidRPr="007E7385">
        <w:rPr>
          <w:b/>
          <w:sz w:val="24"/>
        </w:rPr>
        <w:t xml:space="preserve">Older Americans Act </w:t>
      </w:r>
      <w:r w:rsidRPr="007E7385">
        <w:rPr>
          <w:sz w:val="24"/>
        </w:rPr>
        <w:t>–</w:t>
      </w:r>
      <w:r w:rsidRPr="007E7385">
        <w:rPr>
          <w:b/>
          <w:sz w:val="24"/>
        </w:rPr>
        <w:t xml:space="preserve"> </w:t>
      </w:r>
      <w:r w:rsidR="007F3D5A">
        <w:rPr>
          <w:b/>
          <w:sz w:val="24"/>
        </w:rPr>
        <w:t>Ombudsman</w:t>
      </w:r>
      <w:r w:rsidRPr="007E7385">
        <w:rPr>
          <w:b/>
          <w:sz w:val="24"/>
        </w:rPr>
        <w:t xml:space="preserve"> Reporting Requirements for </w:t>
      </w:r>
      <w:r w:rsidR="00B35E8F">
        <w:rPr>
          <w:b/>
          <w:sz w:val="24"/>
        </w:rPr>
        <w:t>ACL</w:t>
      </w:r>
    </w:p>
    <w:p w:rsidR="007E7385" w:rsidRPr="007E7385" w:rsidRDefault="007E7385" w:rsidP="007E7385">
      <w:pPr>
        <w:ind w:left="720"/>
        <w:rPr>
          <w:sz w:val="24"/>
        </w:rPr>
      </w:pPr>
    </w:p>
    <w:p w:rsidR="007E7385" w:rsidRPr="007E7385" w:rsidRDefault="007E7385" w:rsidP="007E7385">
      <w:pPr>
        <w:ind w:left="720"/>
        <w:rPr>
          <w:sz w:val="24"/>
        </w:rPr>
      </w:pPr>
      <w:r w:rsidRPr="007E7385">
        <w:rPr>
          <w:sz w:val="24"/>
        </w:rPr>
        <w:t xml:space="preserve">Title II of the OAA requires the Assistant Secretary to compile an annual national </w:t>
      </w:r>
      <w:r w:rsidR="007F3D5A">
        <w:rPr>
          <w:sz w:val="24"/>
        </w:rPr>
        <w:t>Ombudsman</w:t>
      </w:r>
      <w:r w:rsidRPr="007E7385">
        <w:rPr>
          <w:sz w:val="24"/>
        </w:rPr>
        <w:t xml:space="preserve"> report.  The report must:</w:t>
      </w:r>
    </w:p>
    <w:p w:rsidR="007E7385" w:rsidRPr="007E7385" w:rsidRDefault="007E7385" w:rsidP="007E7385">
      <w:pPr>
        <w:ind w:left="720"/>
        <w:rPr>
          <w:sz w:val="24"/>
        </w:rPr>
      </w:pPr>
    </w:p>
    <w:p w:rsidR="007E7385" w:rsidRPr="007E7385" w:rsidRDefault="007E7385" w:rsidP="008A0828">
      <w:pPr>
        <w:numPr>
          <w:ilvl w:val="0"/>
          <w:numId w:val="46"/>
        </w:numPr>
        <w:rPr>
          <w:sz w:val="24"/>
        </w:rPr>
      </w:pPr>
      <w:r w:rsidRPr="007E7385">
        <w:rPr>
          <w:sz w:val="24"/>
        </w:rPr>
        <w:t>Summarize and analyze the data collected by the states under Section 712(c) and (h) for the most recently concluded fiscal year;</w:t>
      </w:r>
    </w:p>
    <w:p w:rsidR="007E7385" w:rsidRPr="007E7385" w:rsidRDefault="007E7385" w:rsidP="007E7385">
      <w:pPr>
        <w:ind w:left="720"/>
        <w:rPr>
          <w:sz w:val="24"/>
        </w:rPr>
      </w:pPr>
    </w:p>
    <w:p w:rsidR="007E7385" w:rsidRPr="007E7385" w:rsidRDefault="007E7385" w:rsidP="008A0828">
      <w:pPr>
        <w:numPr>
          <w:ilvl w:val="0"/>
          <w:numId w:val="46"/>
        </w:numPr>
        <w:rPr>
          <w:sz w:val="24"/>
        </w:rPr>
      </w:pPr>
      <w:r w:rsidRPr="007E7385">
        <w:rPr>
          <w:sz w:val="24"/>
        </w:rPr>
        <w:t>Identify significant problems and issues revealed by such data (with special emphasis on problems relating to quality of care and residents' rights);</w:t>
      </w:r>
    </w:p>
    <w:p w:rsidR="007E7385" w:rsidRPr="007E7385" w:rsidRDefault="007E7385" w:rsidP="007E7385">
      <w:pPr>
        <w:ind w:left="720"/>
        <w:rPr>
          <w:sz w:val="24"/>
        </w:rPr>
      </w:pPr>
    </w:p>
    <w:p w:rsidR="007E7385" w:rsidRPr="007E7385" w:rsidRDefault="007E7385" w:rsidP="008A0828">
      <w:pPr>
        <w:numPr>
          <w:ilvl w:val="0"/>
          <w:numId w:val="46"/>
        </w:numPr>
        <w:rPr>
          <w:sz w:val="24"/>
        </w:rPr>
      </w:pPr>
      <w:r w:rsidRPr="007E7385">
        <w:rPr>
          <w:sz w:val="24"/>
        </w:rPr>
        <w:t xml:space="preserve">Discuss current issues concerning </w:t>
      </w:r>
      <w:r w:rsidR="00397C5D" w:rsidRPr="007E7385">
        <w:rPr>
          <w:sz w:val="24"/>
        </w:rPr>
        <w:t>the</w:t>
      </w:r>
      <w:r w:rsidR="00397C5D">
        <w:rPr>
          <w:sz w:val="24"/>
        </w:rPr>
        <w:t xml:space="preserve"> </w:t>
      </w:r>
      <w:r w:rsidR="00397C5D" w:rsidRPr="007E7385">
        <w:rPr>
          <w:sz w:val="24"/>
        </w:rPr>
        <w:t>Long</w:t>
      </w:r>
      <w:r w:rsidRPr="007E7385">
        <w:rPr>
          <w:sz w:val="24"/>
        </w:rPr>
        <w:t>-</w:t>
      </w:r>
      <w:r w:rsidR="00945946">
        <w:rPr>
          <w:sz w:val="24"/>
        </w:rPr>
        <w:t>T</w:t>
      </w:r>
      <w:r w:rsidRPr="007E7385">
        <w:rPr>
          <w:sz w:val="24"/>
        </w:rPr>
        <w:t xml:space="preserve">erm </w:t>
      </w:r>
      <w:r w:rsidR="00945946">
        <w:rPr>
          <w:sz w:val="24"/>
        </w:rPr>
        <w:t>C</w:t>
      </w:r>
      <w:r w:rsidRPr="007E7385">
        <w:rPr>
          <w:sz w:val="24"/>
        </w:rPr>
        <w:t xml:space="preserve">are </w:t>
      </w:r>
      <w:r w:rsidR="007F3D5A">
        <w:rPr>
          <w:sz w:val="24"/>
        </w:rPr>
        <w:t>Ombudsman</w:t>
      </w:r>
      <w:r w:rsidRPr="007E7385">
        <w:rPr>
          <w:sz w:val="24"/>
        </w:rPr>
        <w:t xml:space="preserve"> programs of the states; and</w:t>
      </w:r>
    </w:p>
    <w:p w:rsidR="007E7385" w:rsidRPr="007E7385" w:rsidRDefault="007E7385" w:rsidP="007E7385">
      <w:pPr>
        <w:ind w:left="720"/>
        <w:rPr>
          <w:sz w:val="24"/>
        </w:rPr>
      </w:pPr>
    </w:p>
    <w:p w:rsidR="007E7385" w:rsidRPr="007E7385" w:rsidRDefault="007E7385" w:rsidP="008A0828">
      <w:pPr>
        <w:numPr>
          <w:ilvl w:val="0"/>
          <w:numId w:val="46"/>
        </w:numPr>
        <w:rPr>
          <w:sz w:val="24"/>
        </w:rPr>
      </w:pPr>
      <w:r w:rsidRPr="007E7385">
        <w:rPr>
          <w:sz w:val="24"/>
        </w:rPr>
        <w:t xml:space="preserve">Make recommendations regarding legislation and administrative actions to </w:t>
      </w:r>
      <w:r w:rsidR="00397C5D" w:rsidRPr="007E7385">
        <w:rPr>
          <w:sz w:val="24"/>
        </w:rPr>
        <w:t>resolve such</w:t>
      </w:r>
      <w:r w:rsidRPr="007E7385">
        <w:rPr>
          <w:sz w:val="24"/>
        </w:rPr>
        <w:t xml:space="preserve"> problems.</w:t>
      </w:r>
    </w:p>
    <w:p w:rsidR="007E7385" w:rsidRPr="007E7385" w:rsidRDefault="007E7385" w:rsidP="007E7385">
      <w:pPr>
        <w:ind w:left="720"/>
        <w:rPr>
          <w:sz w:val="24"/>
        </w:rPr>
      </w:pPr>
    </w:p>
    <w:p w:rsidR="007E7385" w:rsidRDefault="007E7385" w:rsidP="007E7385">
      <w:pPr>
        <w:ind w:left="720"/>
        <w:rPr>
          <w:sz w:val="24"/>
        </w:rPr>
      </w:pPr>
      <w:r w:rsidRPr="007E7385">
        <w:rPr>
          <w:sz w:val="24"/>
        </w:rPr>
        <w:t xml:space="preserve">The Assistant Secretary is required to submit the report to the congressional committees of jurisdiction for the OAA and to the Director of the Centers for Medicare and Medicaid Services, the Office of the Inspector General of the Department of Health and Human Services, the Administrator of the Veterans' Administration, and agencies which house the state </w:t>
      </w:r>
      <w:r w:rsidR="007F3D5A">
        <w:rPr>
          <w:sz w:val="24"/>
        </w:rPr>
        <w:t>Ombudsman</w:t>
      </w:r>
      <w:r w:rsidRPr="007E7385">
        <w:rPr>
          <w:sz w:val="24"/>
        </w:rPr>
        <w:t xml:space="preserve"> office. </w:t>
      </w:r>
    </w:p>
    <w:p w:rsidR="008A0828" w:rsidRPr="007E7385" w:rsidRDefault="008A0828" w:rsidP="007E7385">
      <w:pPr>
        <w:ind w:left="720"/>
        <w:rPr>
          <w:sz w:val="24"/>
        </w:rPr>
      </w:pPr>
    </w:p>
    <w:p w:rsidR="007E7385" w:rsidRPr="007E7385" w:rsidRDefault="007E7385" w:rsidP="007E7385">
      <w:pPr>
        <w:ind w:left="720"/>
        <w:rPr>
          <w:sz w:val="24"/>
        </w:rPr>
      </w:pPr>
      <w:r w:rsidRPr="007E7385">
        <w:rPr>
          <w:b/>
          <w:sz w:val="24"/>
        </w:rPr>
        <w:t>Consultation with State and Local Ombudsm</w:t>
      </w:r>
      <w:r w:rsidR="00DD3E99">
        <w:rPr>
          <w:b/>
          <w:sz w:val="24"/>
        </w:rPr>
        <w:t>a</w:t>
      </w:r>
      <w:r w:rsidRPr="007E7385">
        <w:rPr>
          <w:b/>
          <w:sz w:val="24"/>
        </w:rPr>
        <w:t xml:space="preserve">n </w:t>
      </w:r>
      <w:r w:rsidR="00DD3E99">
        <w:rPr>
          <w:b/>
          <w:sz w:val="24"/>
        </w:rPr>
        <w:t xml:space="preserve">programs </w:t>
      </w:r>
      <w:r w:rsidRPr="007E7385">
        <w:rPr>
          <w:b/>
          <w:sz w:val="24"/>
        </w:rPr>
        <w:t>and State Agencies on Aging</w:t>
      </w:r>
    </w:p>
    <w:p w:rsidR="007E7385" w:rsidRPr="007E7385" w:rsidRDefault="007E7385" w:rsidP="007E7385">
      <w:pPr>
        <w:ind w:left="720"/>
        <w:rPr>
          <w:sz w:val="24"/>
        </w:rPr>
      </w:pPr>
    </w:p>
    <w:p w:rsidR="007E7385" w:rsidRDefault="007E7385" w:rsidP="007E7385">
      <w:pPr>
        <w:ind w:left="720"/>
        <w:rPr>
          <w:sz w:val="24"/>
        </w:rPr>
      </w:pPr>
      <w:r w:rsidRPr="007E7385">
        <w:rPr>
          <w:sz w:val="24"/>
        </w:rPr>
        <w:t>From the beginning of the NORS</w:t>
      </w:r>
      <w:r w:rsidR="00992C93">
        <w:rPr>
          <w:sz w:val="24"/>
        </w:rPr>
        <w:t xml:space="preserve"> development and redesign</w:t>
      </w:r>
      <w:r w:rsidRPr="007E7385">
        <w:rPr>
          <w:sz w:val="24"/>
        </w:rPr>
        <w:t xml:space="preserve">, </w:t>
      </w:r>
      <w:r w:rsidR="00B35E8F">
        <w:rPr>
          <w:sz w:val="24"/>
        </w:rPr>
        <w:t>ACL</w:t>
      </w:r>
      <w:r w:rsidRPr="007E7385">
        <w:rPr>
          <w:sz w:val="24"/>
        </w:rPr>
        <w:t xml:space="preserve"> has worked with state and local </w:t>
      </w:r>
      <w:r w:rsidR="007F3D5A">
        <w:rPr>
          <w:sz w:val="24"/>
        </w:rPr>
        <w:t>Ombudsman</w:t>
      </w:r>
      <w:r w:rsidR="008766E7">
        <w:rPr>
          <w:sz w:val="24"/>
        </w:rPr>
        <w:t xml:space="preserve"> </w:t>
      </w:r>
      <w:r w:rsidR="00992C93">
        <w:rPr>
          <w:sz w:val="24"/>
        </w:rPr>
        <w:t xml:space="preserve">programs </w:t>
      </w:r>
      <w:r w:rsidR="00992C93" w:rsidRPr="007E7385">
        <w:rPr>
          <w:sz w:val="24"/>
        </w:rPr>
        <w:t>to</w:t>
      </w:r>
      <w:r w:rsidRPr="007E7385">
        <w:rPr>
          <w:sz w:val="24"/>
        </w:rPr>
        <w:t xml:space="preserve"> </w:t>
      </w:r>
      <w:r w:rsidR="00D9209B" w:rsidRPr="007E7385">
        <w:rPr>
          <w:sz w:val="24"/>
        </w:rPr>
        <w:t>develop</w:t>
      </w:r>
      <w:r w:rsidRPr="007E7385">
        <w:rPr>
          <w:sz w:val="24"/>
        </w:rPr>
        <w:t xml:space="preserve"> and improve the reporting system.  </w:t>
      </w:r>
      <w:r w:rsidR="00B35E8F" w:rsidRPr="00992C93">
        <w:rPr>
          <w:sz w:val="24"/>
        </w:rPr>
        <w:t>ACL</w:t>
      </w:r>
      <w:r w:rsidR="005670FC" w:rsidRPr="00992C93">
        <w:rPr>
          <w:sz w:val="24"/>
        </w:rPr>
        <w:t xml:space="preserve"> staff and the National </w:t>
      </w:r>
      <w:r w:rsidR="007F3D5A">
        <w:rPr>
          <w:sz w:val="24"/>
        </w:rPr>
        <w:t>Ombudsman</w:t>
      </w:r>
      <w:r w:rsidR="005670FC" w:rsidRPr="00992C93">
        <w:rPr>
          <w:sz w:val="24"/>
        </w:rPr>
        <w:t xml:space="preserve"> Resource Center continue to provide training and technical assistance on the NORS definitions, codes and effective uses of</w:t>
      </w:r>
      <w:r w:rsidRPr="00992C93">
        <w:rPr>
          <w:sz w:val="24"/>
        </w:rPr>
        <w:t xml:space="preserve"> </w:t>
      </w:r>
      <w:r w:rsidR="005670FC" w:rsidRPr="00992C93">
        <w:rPr>
          <w:sz w:val="24"/>
        </w:rPr>
        <w:t>data.</w:t>
      </w:r>
    </w:p>
    <w:p w:rsidR="004117F3" w:rsidRPr="007E7385" w:rsidRDefault="004117F3" w:rsidP="007E7385">
      <w:pPr>
        <w:ind w:left="720"/>
        <w:rPr>
          <w:sz w:val="24"/>
        </w:rPr>
      </w:pPr>
    </w:p>
    <w:p w:rsidR="007E7385" w:rsidRDefault="007E7385" w:rsidP="007E7385">
      <w:pPr>
        <w:ind w:left="720"/>
        <w:rPr>
          <w:sz w:val="24"/>
        </w:rPr>
      </w:pPr>
      <w:r w:rsidRPr="007E7385">
        <w:rPr>
          <w:sz w:val="24"/>
        </w:rPr>
        <w:t xml:space="preserve">A notice was published in </w:t>
      </w:r>
      <w:r w:rsidR="00992C93" w:rsidRPr="007E7385">
        <w:rPr>
          <w:sz w:val="24"/>
        </w:rPr>
        <w:t xml:space="preserve">the </w:t>
      </w:r>
      <w:r w:rsidR="00992C93">
        <w:rPr>
          <w:sz w:val="24"/>
        </w:rPr>
        <w:t>August</w:t>
      </w:r>
      <w:r w:rsidR="008766E7">
        <w:rPr>
          <w:sz w:val="24"/>
        </w:rPr>
        <w:t xml:space="preserve"> 8, </w:t>
      </w:r>
      <w:r w:rsidR="00992C93" w:rsidRPr="00992C93">
        <w:rPr>
          <w:sz w:val="24"/>
        </w:rPr>
        <w:t xml:space="preserve">2016 </w:t>
      </w:r>
      <w:r w:rsidR="00992C93" w:rsidRPr="00C64F07">
        <w:rPr>
          <w:i/>
          <w:sz w:val="24"/>
        </w:rPr>
        <w:t>Federal</w:t>
      </w:r>
      <w:r w:rsidRPr="001D34C6">
        <w:rPr>
          <w:i/>
          <w:sz w:val="24"/>
        </w:rPr>
        <w:t xml:space="preserve"> </w:t>
      </w:r>
      <w:r w:rsidRPr="00992C93">
        <w:rPr>
          <w:i/>
          <w:sz w:val="24"/>
        </w:rPr>
        <w:t>Register</w:t>
      </w:r>
      <w:r w:rsidR="00992C93">
        <w:rPr>
          <w:sz w:val="24"/>
        </w:rPr>
        <w:t xml:space="preserve">, </w:t>
      </w:r>
      <w:r w:rsidR="00992C93" w:rsidRPr="00992C93">
        <w:rPr>
          <w:sz w:val="24"/>
        </w:rPr>
        <w:t>Vol. 81, No. 152</w:t>
      </w:r>
      <w:r w:rsidR="00992C93">
        <w:rPr>
          <w:sz w:val="24"/>
        </w:rPr>
        <w:t xml:space="preserve">, </w:t>
      </w:r>
      <w:r w:rsidRPr="007E7385">
        <w:rPr>
          <w:sz w:val="24"/>
        </w:rPr>
        <w:t xml:space="preserve">announcing that </w:t>
      </w:r>
      <w:r w:rsidR="008766E7">
        <w:rPr>
          <w:sz w:val="24"/>
        </w:rPr>
        <w:t>ACL</w:t>
      </w:r>
      <w:r w:rsidRPr="007E7385">
        <w:rPr>
          <w:sz w:val="24"/>
        </w:rPr>
        <w:t xml:space="preserve"> was requesting</w:t>
      </w:r>
      <w:r w:rsidR="008766E7">
        <w:rPr>
          <w:sz w:val="24"/>
        </w:rPr>
        <w:t xml:space="preserve"> comments </w:t>
      </w:r>
      <w:r w:rsidR="00992C93">
        <w:rPr>
          <w:sz w:val="24"/>
        </w:rPr>
        <w:t xml:space="preserve">on </w:t>
      </w:r>
      <w:r w:rsidR="001D34C6">
        <w:rPr>
          <w:sz w:val="24"/>
        </w:rPr>
        <w:t xml:space="preserve">proposed </w:t>
      </w:r>
      <w:r w:rsidR="00474A84">
        <w:rPr>
          <w:sz w:val="24"/>
        </w:rPr>
        <w:t>revis</w:t>
      </w:r>
      <w:r w:rsidR="001D34C6">
        <w:rPr>
          <w:sz w:val="24"/>
        </w:rPr>
        <w:t xml:space="preserve">ions to the </w:t>
      </w:r>
      <w:r w:rsidR="00BB75AD">
        <w:rPr>
          <w:sz w:val="24"/>
        </w:rPr>
        <w:t xml:space="preserve">NORS </w:t>
      </w:r>
      <w:r w:rsidR="00474A84">
        <w:rPr>
          <w:sz w:val="24"/>
        </w:rPr>
        <w:t>template and instructions</w:t>
      </w:r>
      <w:r w:rsidR="00BB75AD">
        <w:rPr>
          <w:sz w:val="24"/>
        </w:rPr>
        <w:t xml:space="preserve"> </w:t>
      </w:r>
      <w:r w:rsidR="00474A84">
        <w:rPr>
          <w:sz w:val="24"/>
        </w:rPr>
        <w:t xml:space="preserve"> </w:t>
      </w:r>
      <w:r w:rsidRPr="007E7385">
        <w:rPr>
          <w:sz w:val="24"/>
        </w:rPr>
        <w:t xml:space="preserve">directing readers to the </w:t>
      </w:r>
      <w:r w:rsidR="00B35E8F">
        <w:rPr>
          <w:sz w:val="24"/>
        </w:rPr>
        <w:t>ACL</w:t>
      </w:r>
      <w:r w:rsidRPr="007E7385">
        <w:rPr>
          <w:sz w:val="24"/>
        </w:rPr>
        <w:t xml:space="preserve"> website where these documents are posted</w:t>
      </w:r>
      <w:r w:rsidR="00BB75AD">
        <w:rPr>
          <w:sz w:val="24"/>
        </w:rPr>
        <w:t>,</w:t>
      </w:r>
      <w:r w:rsidRPr="007E7385">
        <w:rPr>
          <w:sz w:val="24"/>
        </w:rPr>
        <w:t xml:space="preserve"> and providing an opportunity for public comment.  </w:t>
      </w:r>
    </w:p>
    <w:p w:rsidR="00335A6D" w:rsidRDefault="00335A6D" w:rsidP="007E7385">
      <w:pPr>
        <w:ind w:left="720"/>
        <w:rPr>
          <w:sz w:val="24"/>
        </w:rPr>
      </w:pPr>
    </w:p>
    <w:p w:rsidR="000D4F31" w:rsidRPr="007E7385" w:rsidRDefault="000D4F31" w:rsidP="007E7385">
      <w:pPr>
        <w:ind w:left="720"/>
        <w:rPr>
          <w:sz w:val="24"/>
        </w:rPr>
      </w:pPr>
    </w:p>
    <w:p w:rsidR="008A0828" w:rsidRPr="008A0828" w:rsidRDefault="006819CF">
      <w:pPr>
        <w:numPr>
          <w:ilvl w:val="0"/>
          <w:numId w:val="2"/>
        </w:numPr>
        <w:rPr>
          <w:b/>
          <w:sz w:val="24"/>
        </w:rPr>
      </w:pPr>
      <w:r>
        <w:rPr>
          <w:b/>
          <w:sz w:val="24"/>
          <w:u w:val="single"/>
        </w:rPr>
        <w:t>Purpose and Use of Information Collection</w:t>
      </w:r>
    </w:p>
    <w:p w:rsidR="008A0828" w:rsidRDefault="008A0828" w:rsidP="008A0828">
      <w:pPr>
        <w:ind w:left="720"/>
        <w:rPr>
          <w:b/>
          <w:sz w:val="24"/>
        </w:rPr>
      </w:pPr>
    </w:p>
    <w:p w:rsidR="008A0828" w:rsidRDefault="008A0828" w:rsidP="008A0828">
      <w:pPr>
        <w:ind w:left="720"/>
        <w:rPr>
          <w:sz w:val="24"/>
        </w:rPr>
      </w:pPr>
      <w:r w:rsidRPr="008A0828">
        <w:rPr>
          <w:sz w:val="24"/>
        </w:rPr>
        <w:t xml:space="preserve">The information will be provided to the legislative and executive branch officials cited in the OAA, state directors on aging, state </w:t>
      </w:r>
      <w:r w:rsidR="00A2663A">
        <w:rPr>
          <w:sz w:val="24"/>
        </w:rPr>
        <w:t>O</w:t>
      </w:r>
      <w:r w:rsidRPr="008A0828">
        <w:rPr>
          <w:sz w:val="24"/>
        </w:rPr>
        <w:t xml:space="preserve">mbudsmen, national organizations involved </w:t>
      </w:r>
      <w:r w:rsidR="00EB6A8F" w:rsidRPr="008A0828">
        <w:rPr>
          <w:sz w:val="24"/>
        </w:rPr>
        <w:t xml:space="preserve">in </w:t>
      </w:r>
      <w:r w:rsidR="00EB6A8F">
        <w:rPr>
          <w:sz w:val="24"/>
        </w:rPr>
        <w:t>residential</w:t>
      </w:r>
      <w:r w:rsidR="00691703">
        <w:rPr>
          <w:sz w:val="24"/>
        </w:rPr>
        <w:t xml:space="preserve"> </w:t>
      </w:r>
      <w:r w:rsidRPr="008A0828">
        <w:rPr>
          <w:sz w:val="24"/>
        </w:rPr>
        <w:t>long</w:t>
      </w:r>
      <w:r w:rsidR="00691703">
        <w:rPr>
          <w:sz w:val="24"/>
        </w:rPr>
        <w:t>-</w:t>
      </w:r>
      <w:r w:rsidRPr="008A0828">
        <w:rPr>
          <w:sz w:val="24"/>
        </w:rPr>
        <w:t xml:space="preserve">term care issues, and private citizens who request it.  </w:t>
      </w:r>
      <w:r w:rsidR="00CB2E62">
        <w:rPr>
          <w:sz w:val="24"/>
        </w:rPr>
        <w:t xml:space="preserve">Data sets </w:t>
      </w:r>
      <w:r w:rsidRPr="008A0828">
        <w:rPr>
          <w:sz w:val="24"/>
        </w:rPr>
        <w:t xml:space="preserve">will be posted on </w:t>
      </w:r>
      <w:r w:rsidR="00B35E8F">
        <w:rPr>
          <w:sz w:val="24"/>
        </w:rPr>
        <w:t>ACL</w:t>
      </w:r>
      <w:r w:rsidR="00945946">
        <w:rPr>
          <w:sz w:val="24"/>
        </w:rPr>
        <w:t xml:space="preserve">’s </w:t>
      </w:r>
      <w:r w:rsidRPr="008A0828">
        <w:rPr>
          <w:sz w:val="24"/>
        </w:rPr>
        <w:t>website</w:t>
      </w:r>
      <w:r w:rsidR="00CB2E62">
        <w:rPr>
          <w:sz w:val="24"/>
        </w:rPr>
        <w:t>,</w:t>
      </w:r>
      <w:r w:rsidR="002A2496" w:rsidRPr="00CB2E62">
        <w:rPr>
          <w:sz w:val="24"/>
        </w:rPr>
        <w:t xml:space="preserve"> in the A</w:t>
      </w:r>
      <w:r w:rsidR="00D42E1E">
        <w:rPr>
          <w:sz w:val="24"/>
        </w:rPr>
        <w:t>g</w:t>
      </w:r>
      <w:r w:rsidR="002A2496" w:rsidRPr="00CB2E62">
        <w:rPr>
          <w:sz w:val="24"/>
        </w:rPr>
        <w:t>ing Integrated Database (AGID)</w:t>
      </w:r>
      <w:r w:rsidR="00CB2E62">
        <w:rPr>
          <w:sz w:val="24"/>
        </w:rPr>
        <w:t xml:space="preserve"> and the National Ombudsman Resource Center’s website.</w:t>
      </w:r>
    </w:p>
    <w:p w:rsidR="006C1201" w:rsidRPr="008A0828" w:rsidRDefault="006C1201" w:rsidP="008A0828">
      <w:pPr>
        <w:ind w:left="720"/>
        <w:rPr>
          <w:b/>
          <w:sz w:val="24"/>
        </w:rPr>
      </w:pPr>
    </w:p>
    <w:p w:rsidR="008A0828" w:rsidRPr="008A0828" w:rsidRDefault="008A0828" w:rsidP="008A0828">
      <w:pPr>
        <w:ind w:left="720"/>
        <w:rPr>
          <w:sz w:val="24"/>
        </w:rPr>
      </w:pPr>
      <w:r w:rsidRPr="008A0828">
        <w:rPr>
          <w:sz w:val="24"/>
        </w:rPr>
        <w:t>Information from the national reports issued to date has been used:</w:t>
      </w:r>
    </w:p>
    <w:p w:rsidR="008A0828" w:rsidRPr="008A0828" w:rsidRDefault="008A0828" w:rsidP="008A0828">
      <w:pPr>
        <w:ind w:left="720"/>
        <w:rPr>
          <w:sz w:val="24"/>
        </w:rPr>
      </w:pPr>
    </w:p>
    <w:p w:rsidR="008A0828" w:rsidRPr="008A0828" w:rsidRDefault="007965E9" w:rsidP="008A0828">
      <w:pPr>
        <w:numPr>
          <w:ilvl w:val="0"/>
          <w:numId w:val="47"/>
        </w:numPr>
        <w:rPr>
          <w:sz w:val="24"/>
        </w:rPr>
      </w:pPr>
      <w:r>
        <w:rPr>
          <w:sz w:val="24"/>
        </w:rPr>
        <w:t>b</w:t>
      </w:r>
      <w:r w:rsidR="008A0828" w:rsidRPr="008A0828">
        <w:rPr>
          <w:sz w:val="24"/>
        </w:rPr>
        <w:t xml:space="preserve">y </w:t>
      </w:r>
      <w:r w:rsidR="00B35E8F">
        <w:rPr>
          <w:sz w:val="24"/>
        </w:rPr>
        <w:t>ACL</w:t>
      </w:r>
      <w:r w:rsidR="008A0828" w:rsidRPr="008A0828">
        <w:rPr>
          <w:sz w:val="24"/>
        </w:rPr>
        <w:t xml:space="preserve"> to advocate within the Department on specific issues affecting institutionalized elders</w:t>
      </w:r>
      <w:r w:rsidR="00DF206E">
        <w:rPr>
          <w:sz w:val="24"/>
        </w:rPr>
        <w:t xml:space="preserve">, </w:t>
      </w:r>
      <w:r w:rsidR="008A0828" w:rsidRPr="008A0828">
        <w:rPr>
          <w:sz w:val="24"/>
        </w:rPr>
        <w:t xml:space="preserve"> </w:t>
      </w:r>
      <w:r w:rsidR="00623893">
        <w:rPr>
          <w:sz w:val="24"/>
        </w:rPr>
        <w:t xml:space="preserve">for monitoring purposes and </w:t>
      </w:r>
      <w:r w:rsidR="0070245A">
        <w:rPr>
          <w:sz w:val="24"/>
        </w:rPr>
        <w:t xml:space="preserve">to </w:t>
      </w:r>
      <w:r w:rsidR="00D9209B">
        <w:rPr>
          <w:sz w:val="24"/>
        </w:rPr>
        <w:t>identify</w:t>
      </w:r>
      <w:r w:rsidR="008A0828" w:rsidRPr="008A0828">
        <w:rPr>
          <w:sz w:val="24"/>
        </w:rPr>
        <w:t xml:space="preserve"> areas where technical assistance and program direction to the states are indicated, and</w:t>
      </w:r>
      <w:r w:rsidR="0070245A">
        <w:rPr>
          <w:sz w:val="24"/>
        </w:rPr>
        <w:t xml:space="preserve"> to</w:t>
      </w:r>
      <w:r w:rsidR="008A0828" w:rsidRPr="008A0828">
        <w:rPr>
          <w:sz w:val="24"/>
        </w:rPr>
        <w:t xml:space="preserve"> prepare planning and reporting documents, including budgets;</w:t>
      </w:r>
    </w:p>
    <w:p w:rsidR="008A0828" w:rsidRPr="008A0828" w:rsidRDefault="008A0828" w:rsidP="008A0828">
      <w:pPr>
        <w:ind w:left="720"/>
        <w:rPr>
          <w:sz w:val="24"/>
        </w:rPr>
      </w:pPr>
    </w:p>
    <w:p w:rsidR="0070245A" w:rsidRPr="0070245A" w:rsidRDefault="007965E9" w:rsidP="0070245A">
      <w:pPr>
        <w:numPr>
          <w:ilvl w:val="0"/>
          <w:numId w:val="47"/>
        </w:numPr>
        <w:rPr>
          <w:sz w:val="24"/>
        </w:rPr>
      </w:pPr>
      <w:r>
        <w:rPr>
          <w:sz w:val="24"/>
        </w:rPr>
        <w:t>b</w:t>
      </w:r>
      <w:r w:rsidR="0070245A" w:rsidRPr="0070245A">
        <w:rPr>
          <w:sz w:val="24"/>
        </w:rPr>
        <w:t>y ACL, the states and local Ombudsman programs to determine program objectives and outcome measures and to assist the state and local programs to use their data to develop their own objectives, targets and outcomes;</w:t>
      </w:r>
    </w:p>
    <w:p w:rsidR="0070245A" w:rsidRDefault="0070245A" w:rsidP="0070245A">
      <w:pPr>
        <w:pStyle w:val="ListParagraph"/>
        <w:rPr>
          <w:sz w:val="24"/>
        </w:rPr>
      </w:pPr>
    </w:p>
    <w:p w:rsidR="008A0828" w:rsidRPr="008A0828" w:rsidRDefault="007965E9" w:rsidP="008A0828">
      <w:pPr>
        <w:numPr>
          <w:ilvl w:val="0"/>
          <w:numId w:val="47"/>
        </w:numPr>
        <w:rPr>
          <w:sz w:val="24"/>
        </w:rPr>
      </w:pPr>
      <w:r>
        <w:rPr>
          <w:sz w:val="24"/>
        </w:rPr>
        <w:t>b</w:t>
      </w:r>
      <w:r w:rsidR="008A0828" w:rsidRPr="008A0828">
        <w:rPr>
          <w:sz w:val="24"/>
        </w:rPr>
        <w:t xml:space="preserve">y state and local </w:t>
      </w:r>
      <w:r w:rsidR="00945946">
        <w:rPr>
          <w:sz w:val="24"/>
        </w:rPr>
        <w:t>O</w:t>
      </w:r>
      <w:r w:rsidR="008A0828" w:rsidRPr="008A0828">
        <w:rPr>
          <w:sz w:val="24"/>
        </w:rPr>
        <w:t>mbudsm</w:t>
      </w:r>
      <w:r w:rsidR="003F115D">
        <w:rPr>
          <w:sz w:val="24"/>
        </w:rPr>
        <w:t>a</w:t>
      </w:r>
      <w:r w:rsidR="008A0828" w:rsidRPr="008A0828">
        <w:rPr>
          <w:sz w:val="24"/>
        </w:rPr>
        <w:t>n</w:t>
      </w:r>
      <w:r w:rsidR="003F115D">
        <w:rPr>
          <w:sz w:val="24"/>
        </w:rPr>
        <w:t xml:space="preserve"> programs</w:t>
      </w:r>
      <w:r w:rsidR="008A0828" w:rsidRPr="008A0828">
        <w:rPr>
          <w:sz w:val="24"/>
        </w:rPr>
        <w:t xml:space="preserve"> to determine problems</w:t>
      </w:r>
      <w:r w:rsidR="00D9209B">
        <w:rPr>
          <w:sz w:val="24"/>
        </w:rPr>
        <w:t xml:space="preserve"> that</w:t>
      </w:r>
      <w:r w:rsidR="008A0828" w:rsidRPr="008A0828">
        <w:rPr>
          <w:sz w:val="24"/>
        </w:rPr>
        <w:t xml:space="preserve"> residents in their state and other states are experiencing and to plan </w:t>
      </w:r>
      <w:r w:rsidR="003F115D">
        <w:rPr>
          <w:sz w:val="24"/>
        </w:rPr>
        <w:t xml:space="preserve">systems advocacy activities, </w:t>
      </w:r>
      <w:r w:rsidR="008A0828" w:rsidRPr="008A0828">
        <w:rPr>
          <w:sz w:val="24"/>
        </w:rPr>
        <w:t>training, technical assistance and public education programs to address these problems; and</w:t>
      </w:r>
    </w:p>
    <w:p w:rsidR="00D42E1E" w:rsidRDefault="00D42E1E" w:rsidP="00D42E1E">
      <w:pPr>
        <w:pStyle w:val="ListParagraph"/>
        <w:rPr>
          <w:sz w:val="24"/>
        </w:rPr>
      </w:pPr>
    </w:p>
    <w:p w:rsidR="00D42E1E" w:rsidRPr="00D42E1E" w:rsidRDefault="007965E9" w:rsidP="00D42E1E">
      <w:pPr>
        <w:numPr>
          <w:ilvl w:val="0"/>
          <w:numId w:val="47"/>
        </w:numPr>
        <w:rPr>
          <w:sz w:val="24"/>
        </w:rPr>
      </w:pPr>
      <w:r>
        <w:rPr>
          <w:sz w:val="24"/>
        </w:rPr>
        <w:t>b</w:t>
      </w:r>
      <w:r w:rsidR="00D42E1E" w:rsidRPr="00D42E1E">
        <w:rPr>
          <w:sz w:val="24"/>
        </w:rPr>
        <w:t xml:space="preserve">y other agencies, researchers and the general public in all manner of inquiry related to </w:t>
      </w:r>
      <w:r w:rsidR="0070245A">
        <w:rPr>
          <w:sz w:val="24"/>
        </w:rPr>
        <w:t>residential</w:t>
      </w:r>
      <w:r w:rsidR="00D42E1E" w:rsidRPr="00D42E1E">
        <w:rPr>
          <w:sz w:val="24"/>
        </w:rPr>
        <w:t xml:space="preserve"> long</w:t>
      </w:r>
      <w:r w:rsidR="00D127AE">
        <w:rPr>
          <w:sz w:val="24"/>
        </w:rPr>
        <w:t>-</w:t>
      </w:r>
      <w:r w:rsidR="00D42E1E" w:rsidRPr="00D42E1E">
        <w:rPr>
          <w:sz w:val="24"/>
        </w:rPr>
        <w:t xml:space="preserve">term </w:t>
      </w:r>
      <w:r w:rsidR="0070245A">
        <w:rPr>
          <w:sz w:val="24"/>
        </w:rPr>
        <w:t>services and supports</w:t>
      </w:r>
      <w:r w:rsidR="00D42E1E" w:rsidRPr="00D42E1E">
        <w:rPr>
          <w:sz w:val="24"/>
        </w:rPr>
        <w:t>.</w:t>
      </w:r>
    </w:p>
    <w:p w:rsidR="00D42E1E" w:rsidRPr="008A0828" w:rsidRDefault="00D42E1E" w:rsidP="0070245A">
      <w:pPr>
        <w:ind w:left="1440"/>
        <w:rPr>
          <w:sz w:val="24"/>
        </w:rPr>
      </w:pPr>
    </w:p>
    <w:p w:rsidR="008A0828" w:rsidRDefault="008A0828" w:rsidP="008A0828">
      <w:pPr>
        <w:ind w:left="720"/>
        <w:rPr>
          <w:b/>
          <w:sz w:val="24"/>
        </w:rPr>
      </w:pPr>
    </w:p>
    <w:p w:rsidR="006819CF" w:rsidRPr="0070245A" w:rsidRDefault="006819CF">
      <w:pPr>
        <w:numPr>
          <w:ilvl w:val="0"/>
          <w:numId w:val="2"/>
        </w:numPr>
        <w:rPr>
          <w:sz w:val="24"/>
        </w:rPr>
      </w:pPr>
      <w:r>
        <w:rPr>
          <w:b/>
          <w:sz w:val="24"/>
          <w:u w:val="single"/>
        </w:rPr>
        <w:t>Use of Improved Information Technology and Burden Reduction</w:t>
      </w:r>
    </w:p>
    <w:p w:rsidR="00DA4C7B" w:rsidRPr="00B35E8F" w:rsidRDefault="00DA4C7B" w:rsidP="00335A6D">
      <w:pPr>
        <w:ind w:left="1080"/>
        <w:rPr>
          <w:sz w:val="24"/>
        </w:rPr>
      </w:pPr>
    </w:p>
    <w:p w:rsidR="005021DC" w:rsidRDefault="0070245A" w:rsidP="00BB2FD1">
      <w:pPr>
        <w:ind w:left="720"/>
        <w:rPr>
          <w:sz w:val="24"/>
        </w:rPr>
      </w:pPr>
      <w:r>
        <w:rPr>
          <w:sz w:val="24"/>
        </w:rPr>
        <w:t xml:space="preserve">Improved Technology: </w:t>
      </w:r>
      <w:r w:rsidR="00DA4C7B" w:rsidRPr="00BB2FD1">
        <w:rPr>
          <w:sz w:val="24"/>
        </w:rPr>
        <w:t>The NORS Reporting tool</w:t>
      </w:r>
      <w:r w:rsidR="00DD3E99">
        <w:rPr>
          <w:sz w:val="24"/>
        </w:rPr>
        <w:t xml:space="preserve"> (part of the ACL “</w:t>
      </w:r>
      <w:r w:rsidR="00C64F07">
        <w:rPr>
          <w:sz w:val="24"/>
        </w:rPr>
        <w:t>Older Americans Act Performance System</w:t>
      </w:r>
      <w:r w:rsidR="00DD3E99">
        <w:rPr>
          <w:sz w:val="24"/>
        </w:rPr>
        <w:t>”</w:t>
      </w:r>
      <w:r w:rsidR="00C64F07">
        <w:rPr>
          <w:sz w:val="24"/>
        </w:rPr>
        <w:t xml:space="preserve"> (OAAPS</w:t>
      </w:r>
      <w:r w:rsidR="00DD3E99">
        <w:rPr>
          <w:sz w:val="24"/>
        </w:rPr>
        <w:t xml:space="preserve"> </w:t>
      </w:r>
      <w:r w:rsidR="00EB6A8F">
        <w:rPr>
          <w:sz w:val="24"/>
        </w:rPr>
        <w:t>)</w:t>
      </w:r>
      <w:r w:rsidR="00C64F07">
        <w:rPr>
          <w:sz w:val="24"/>
        </w:rPr>
        <w:t>)</w:t>
      </w:r>
      <w:r w:rsidR="00EB6A8F">
        <w:rPr>
          <w:sz w:val="24"/>
        </w:rPr>
        <w:t xml:space="preserve"> </w:t>
      </w:r>
      <w:r w:rsidR="00EB6A8F" w:rsidRPr="00BB2FD1">
        <w:rPr>
          <w:sz w:val="24"/>
        </w:rPr>
        <w:t>will</w:t>
      </w:r>
      <w:r w:rsidR="00DA4C7B" w:rsidRPr="00BB2FD1">
        <w:rPr>
          <w:sz w:val="24"/>
        </w:rPr>
        <w:t xml:space="preserve"> build on the success of</w:t>
      </w:r>
      <w:r w:rsidR="00DF206E">
        <w:rPr>
          <w:sz w:val="24"/>
        </w:rPr>
        <w:t xml:space="preserve"> the</w:t>
      </w:r>
      <w:r w:rsidR="00623893">
        <w:rPr>
          <w:sz w:val="24"/>
        </w:rPr>
        <w:t xml:space="preserve"> National Adult Maltreatment Reporting System</w:t>
      </w:r>
      <w:r w:rsidR="00DA4C7B" w:rsidRPr="00BB2FD1">
        <w:rPr>
          <w:sz w:val="24"/>
        </w:rPr>
        <w:t xml:space="preserve"> </w:t>
      </w:r>
      <w:r w:rsidR="00DF206E">
        <w:rPr>
          <w:sz w:val="24"/>
        </w:rPr>
        <w:t>(</w:t>
      </w:r>
      <w:r w:rsidR="00DA4C7B" w:rsidRPr="00BB2FD1">
        <w:rPr>
          <w:sz w:val="24"/>
        </w:rPr>
        <w:t>NAMRS</w:t>
      </w:r>
      <w:r w:rsidR="00DF206E">
        <w:rPr>
          <w:sz w:val="24"/>
        </w:rPr>
        <w:t>)</w:t>
      </w:r>
      <w:r w:rsidR="00DA4C7B" w:rsidRPr="00BB2FD1">
        <w:rPr>
          <w:sz w:val="24"/>
        </w:rPr>
        <w:t xml:space="preserve"> (OMB #</w:t>
      </w:r>
      <w:r w:rsidR="00BB2FD1" w:rsidRPr="00BB2FD1">
        <w:rPr>
          <w:sz w:val="24"/>
        </w:rPr>
        <w:t xml:space="preserve"> 0085-0054</w:t>
      </w:r>
      <w:r w:rsidR="00DA4C7B" w:rsidRPr="00BB2FD1">
        <w:rPr>
          <w:sz w:val="24"/>
        </w:rPr>
        <w:t>)</w:t>
      </w:r>
      <w:r w:rsidR="00BB2FD1">
        <w:rPr>
          <w:sz w:val="24"/>
        </w:rPr>
        <w:t xml:space="preserve"> and </w:t>
      </w:r>
      <w:r w:rsidR="005021DC">
        <w:rPr>
          <w:sz w:val="24"/>
        </w:rPr>
        <w:t>will</w:t>
      </w:r>
      <w:r w:rsidR="005021DC" w:rsidRPr="005021DC">
        <w:rPr>
          <w:sz w:val="24"/>
        </w:rPr>
        <w:t xml:space="preserve"> employ modern methodologies for data submission, which are efficient, effective, and improve data quality. These methodologies reduce the burden o</w:t>
      </w:r>
      <w:r w:rsidR="00E76298">
        <w:rPr>
          <w:sz w:val="24"/>
        </w:rPr>
        <w:t>n</w:t>
      </w:r>
      <w:r w:rsidR="005021DC" w:rsidRPr="005021DC">
        <w:rPr>
          <w:sz w:val="24"/>
        </w:rPr>
        <w:t xml:space="preserve"> the states and A</w:t>
      </w:r>
      <w:r w:rsidR="00C322B8">
        <w:rPr>
          <w:sz w:val="24"/>
        </w:rPr>
        <w:t xml:space="preserve">CL in collecting </w:t>
      </w:r>
      <w:r w:rsidR="00E76298">
        <w:rPr>
          <w:sz w:val="24"/>
        </w:rPr>
        <w:t xml:space="preserve">this </w:t>
      </w:r>
      <w:r w:rsidR="00C322B8">
        <w:rPr>
          <w:sz w:val="24"/>
        </w:rPr>
        <w:t>essential data</w:t>
      </w:r>
      <w:r w:rsidR="005021DC" w:rsidRPr="005021DC">
        <w:rPr>
          <w:sz w:val="24"/>
        </w:rPr>
        <w:t xml:space="preserve">. </w:t>
      </w:r>
    </w:p>
    <w:p w:rsidR="00094395" w:rsidRDefault="00094395" w:rsidP="00BB2FD1">
      <w:pPr>
        <w:ind w:left="720"/>
        <w:rPr>
          <w:sz w:val="24"/>
        </w:rPr>
      </w:pPr>
    </w:p>
    <w:p w:rsidR="00094395" w:rsidRDefault="00094395" w:rsidP="00BB2FD1">
      <w:pPr>
        <w:ind w:left="720"/>
        <w:rPr>
          <w:sz w:val="24"/>
        </w:rPr>
      </w:pPr>
      <w:r w:rsidRPr="00094395">
        <w:rPr>
          <w:sz w:val="24"/>
        </w:rPr>
        <w:t>States and vendors will be provided with an upload template, a sample file, documents that cross walk the old data collection to the new, and the data element definitions to assist with software transition.  This package of information will define the business rules and their restrictions</w:t>
      </w:r>
      <w:r w:rsidR="00E76298">
        <w:rPr>
          <w:sz w:val="24"/>
        </w:rPr>
        <w:t>,</w:t>
      </w:r>
      <w:r w:rsidRPr="00094395">
        <w:rPr>
          <w:sz w:val="24"/>
        </w:rPr>
        <w:t xml:space="preserve"> such as amount, order, boundaries and relationship; it will enable state IT units and vendors to prepare the data for submission with assurance that the basic file structure is correct.</w:t>
      </w:r>
    </w:p>
    <w:p w:rsidR="00094395" w:rsidRDefault="00094395" w:rsidP="00BB2FD1">
      <w:pPr>
        <w:ind w:left="720"/>
        <w:rPr>
          <w:sz w:val="24"/>
        </w:rPr>
      </w:pPr>
    </w:p>
    <w:p w:rsidR="003D3853" w:rsidRDefault="002A74D2" w:rsidP="009A5963">
      <w:pPr>
        <w:ind w:left="720"/>
        <w:rPr>
          <w:sz w:val="24"/>
        </w:rPr>
      </w:pPr>
      <w:r w:rsidRPr="009A5963">
        <w:rPr>
          <w:sz w:val="24"/>
        </w:rPr>
        <w:t>The Case</w:t>
      </w:r>
      <w:r>
        <w:rPr>
          <w:sz w:val="24"/>
        </w:rPr>
        <w:t xml:space="preserve"> and Complaint c</w:t>
      </w:r>
      <w:r w:rsidRPr="009A5963">
        <w:rPr>
          <w:sz w:val="24"/>
        </w:rPr>
        <w:t>omponent</w:t>
      </w:r>
      <w:r>
        <w:rPr>
          <w:sz w:val="24"/>
        </w:rPr>
        <w:t>s (Tables 1 &amp; 2) are</w:t>
      </w:r>
      <w:r w:rsidRPr="009A5963">
        <w:rPr>
          <w:sz w:val="24"/>
        </w:rPr>
        <w:t xml:space="preserve"> non-identifiable data about residents who received complaint investigation services from the </w:t>
      </w:r>
      <w:r>
        <w:rPr>
          <w:sz w:val="24"/>
        </w:rPr>
        <w:t>S</w:t>
      </w:r>
      <w:r w:rsidRPr="009A5963">
        <w:rPr>
          <w:sz w:val="24"/>
        </w:rPr>
        <w:t xml:space="preserve">tate Ombudsman program during the reporting period (federal fiscal year). </w:t>
      </w:r>
      <w:r w:rsidR="009A5963" w:rsidRPr="009A5963">
        <w:rPr>
          <w:sz w:val="24"/>
        </w:rPr>
        <w:t>These data are extracted from the state system into</w:t>
      </w:r>
      <w:r w:rsidR="00C322B8">
        <w:rPr>
          <w:sz w:val="24"/>
        </w:rPr>
        <w:t xml:space="preserve"> </w:t>
      </w:r>
      <w:r w:rsidR="002A18C1">
        <w:rPr>
          <w:sz w:val="24"/>
        </w:rPr>
        <w:t>a</w:t>
      </w:r>
      <w:r w:rsidR="009A5963" w:rsidRPr="009A5963">
        <w:rPr>
          <w:sz w:val="24"/>
        </w:rPr>
        <w:t xml:space="preserve"> </w:t>
      </w:r>
      <w:r w:rsidR="002A18C1">
        <w:rPr>
          <w:sz w:val="24"/>
        </w:rPr>
        <w:t xml:space="preserve">Comma Separated Values (CSV) </w:t>
      </w:r>
      <w:r w:rsidR="002A18C1" w:rsidRPr="009A5963">
        <w:rPr>
          <w:sz w:val="24"/>
        </w:rPr>
        <w:t>format</w:t>
      </w:r>
      <w:r w:rsidR="009A5963" w:rsidRPr="009A5963">
        <w:rPr>
          <w:sz w:val="24"/>
        </w:rPr>
        <w:t xml:space="preserve">. </w:t>
      </w:r>
      <w:r w:rsidR="003D3853" w:rsidRPr="003D3853">
        <w:rPr>
          <w:sz w:val="24"/>
        </w:rPr>
        <w:t xml:space="preserve">This type of data </w:t>
      </w:r>
      <w:r w:rsidR="00EB6A8F" w:rsidRPr="003D3853">
        <w:rPr>
          <w:sz w:val="24"/>
        </w:rPr>
        <w:t>schema is</w:t>
      </w:r>
      <w:r w:rsidR="003D3853" w:rsidRPr="003D3853">
        <w:rPr>
          <w:sz w:val="24"/>
        </w:rPr>
        <w:t xml:space="preserve"> currently available to states </w:t>
      </w:r>
      <w:r w:rsidR="00EB6A8F" w:rsidRPr="003D3853">
        <w:rPr>
          <w:sz w:val="24"/>
        </w:rPr>
        <w:t xml:space="preserve">in </w:t>
      </w:r>
      <w:r w:rsidR="00EB6A8F">
        <w:rPr>
          <w:sz w:val="24"/>
        </w:rPr>
        <w:t>ACL’s</w:t>
      </w:r>
      <w:r w:rsidR="00094395">
        <w:rPr>
          <w:sz w:val="24"/>
        </w:rPr>
        <w:t xml:space="preserve"> </w:t>
      </w:r>
      <w:r w:rsidR="00EB6A8F">
        <w:rPr>
          <w:sz w:val="24"/>
        </w:rPr>
        <w:t>current NORS</w:t>
      </w:r>
      <w:r w:rsidR="00094395">
        <w:rPr>
          <w:sz w:val="24"/>
        </w:rPr>
        <w:t xml:space="preserve"> reporting tool </w:t>
      </w:r>
      <w:r w:rsidR="003D3853" w:rsidRPr="003D3853">
        <w:rPr>
          <w:sz w:val="24"/>
        </w:rPr>
        <w:t>and will function in a similar manner in the new reporting system.</w:t>
      </w:r>
      <w:r w:rsidR="003D3853">
        <w:rPr>
          <w:sz w:val="24"/>
        </w:rPr>
        <w:t xml:space="preserve">   </w:t>
      </w:r>
      <w:r w:rsidR="00094395" w:rsidRPr="00094395">
        <w:rPr>
          <w:sz w:val="24"/>
        </w:rPr>
        <w:t xml:space="preserve">The website will assist states and </w:t>
      </w:r>
      <w:r w:rsidR="00EB6A8F" w:rsidRPr="00094395">
        <w:rPr>
          <w:sz w:val="24"/>
        </w:rPr>
        <w:t>ACL in</w:t>
      </w:r>
      <w:r w:rsidR="00094395" w:rsidRPr="00094395">
        <w:rPr>
          <w:sz w:val="24"/>
        </w:rPr>
        <w:t xml:space="preserve"> managing their data files and data submission documentation, thus further reducing their reporting burden from year to year.</w:t>
      </w:r>
    </w:p>
    <w:p w:rsidR="00094395" w:rsidRDefault="00094395" w:rsidP="009A5963">
      <w:pPr>
        <w:ind w:left="720"/>
        <w:rPr>
          <w:sz w:val="24"/>
        </w:rPr>
      </w:pPr>
    </w:p>
    <w:p w:rsidR="009A5963" w:rsidRPr="009A5963" w:rsidRDefault="009A5963" w:rsidP="009A5963">
      <w:pPr>
        <w:ind w:left="720"/>
        <w:rPr>
          <w:sz w:val="24"/>
        </w:rPr>
      </w:pPr>
      <w:r w:rsidRPr="009A5963">
        <w:rPr>
          <w:sz w:val="24"/>
        </w:rPr>
        <w:t xml:space="preserve">Once the Case Component file is ready, the state uploads the file through </w:t>
      </w:r>
      <w:r w:rsidR="00C64F07">
        <w:rPr>
          <w:sz w:val="24"/>
        </w:rPr>
        <w:t>the OAAPS</w:t>
      </w:r>
      <w:r w:rsidR="00DD3E99">
        <w:rPr>
          <w:sz w:val="24"/>
        </w:rPr>
        <w:t xml:space="preserve"> </w:t>
      </w:r>
      <w:r w:rsidRPr="009A5963">
        <w:rPr>
          <w:sz w:val="24"/>
        </w:rPr>
        <w:t>secured website.</w:t>
      </w:r>
      <w:r w:rsidR="00DD3E99">
        <w:rPr>
          <w:sz w:val="24"/>
        </w:rPr>
        <w:t xml:space="preserve"> </w:t>
      </w:r>
      <w:r w:rsidRPr="009A5963">
        <w:rPr>
          <w:sz w:val="24"/>
        </w:rPr>
        <w:t xml:space="preserve"> Automatically, additional validation is conducted by the system and the state receives electronic validation and summary data reports. The state can review the results, determine if corrections are needed, and upload a corrected file until satisfied. When ready, the state submits the file to ACL for final validation that includes human review. The online validation lessens the number of resubmissions and the burden on the state and ACL. </w:t>
      </w:r>
    </w:p>
    <w:p w:rsidR="009A5963" w:rsidRDefault="009A5963" w:rsidP="00BB2FD1">
      <w:pPr>
        <w:ind w:left="720"/>
        <w:rPr>
          <w:sz w:val="24"/>
        </w:rPr>
      </w:pPr>
    </w:p>
    <w:p w:rsidR="003D3853" w:rsidRDefault="005021DC" w:rsidP="005021DC">
      <w:pPr>
        <w:widowControl/>
        <w:ind w:left="720"/>
        <w:rPr>
          <w:sz w:val="24"/>
        </w:rPr>
      </w:pPr>
      <w:r w:rsidRPr="005021DC">
        <w:rPr>
          <w:sz w:val="24"/>
        </w:rPr>
        <w:t>The</w:t>
      </w:r>
      <w:r>
        <w:rPr>
          <w:sz w:val="24"/>
        </w:rPr>
        <w:t xml:space="preserve"> State Program</w:t>
      </w:r>
      <w:r w:rsidRPr="005021DC">
        <w:rPr>
          <w:sz w:val="24"/>
        </w:rPr>
        <w:t xml:space="preserve"> Component</w:t>
      </w:r>
      <w:r>
        <w:rPr>
          <w:sz w:val="24"/>
        </w:rPr>
        <w:t xml:space="preserve"> sections</w:t>
      </w:r>
      <w:r w:rsidR="003D3853">
        <w:rPr>
          <w:sz w:val="24"/>
        </w:rPr>
        <w:t xml:space="preserve"> (</w:t>
      </w:r>
      <w:r w:rsidR="009A5963">
        <w:rPr>
          <w:sz w:val="24"/>
        </w:rPr>
        <w:t>Table 3</w:t>
      </w:r>
      <w:r w:rsidR="003D3853">
        <w:rPr>
          <w:sz w:val="24"/>
        </w:rPr>
        <w:t>)</w:t>
      </w:r>
      <w:r>
        <w:rPr>
          <w:sz w:val="24"/>
        </w:rPr>
        <w:t xml:space="preserve"> </w:t>
      </w:r>
      <w:r w:rsidR="00691703" w:rsidRPr="00691703">
        <w:rPr>
          <w:sz w:val="24"/>
        </w:rPr>
        <w:t xml:space="preserve">includes such things as, narratives, funds expended data, program activities, number of facilities and beds, etc. </w:t>
      </w:r>
      <w:r w:rsidR="00691703">
        <w:rPr>
          <w:sz w:val="24"/>
        </w:rPr>
        <w:t xml:space="preserve">This data can be manually entered </w:t>
      </w:r>
      <w:r w:rsidR="00DD3E99">
        <w:rPr>
          <w:sz w:val="24"/>
        </w:rPr>
        <w:t>or</w:t>
      </w:r>
      <w:r w:rsidR="00691703">
        <w:rPr>
          <w:sz w:val="24"/>
        </w:rPr>
        <w:t xml:space="preserve"> provided through </w:t>
      </w:r>
      <w:r w:rsidR="00DD3E99">
        <w:rPr>
          <w:sz w:val="24"/>
        </w:rPr>
        <w:t>an upload file</w:t>
      </w:r>
      <w:r w:rsidRPr="005021DC">
        <w:rPr>
          <w:sz w:val="24"/>
        </w:rPr>
        <w:t>.</w:t>
      </w:r>
      <w:r w:rsidR="00DD3E99">
        <w:rPr>
          <w:sz w:val="24"/>
        </w:rPr>
        <w:t xml:space="preserve"> </w:t>
      </w:r>
      <w:r w:rsidR="002A18C1">
        <w:rPr>
          <w:sz w:val="24"/>
        </w:rPr>
        <w:t>The</w:t>
      </w:r>
      <w:r w:rsidRPr="005021DC">
        <w:rPr>
          <w:sz w:val="24"/>
        </w:rPr>
        <w:t xml:space="preserve"> </w:t>
      </w:r>
      <w:r>
        <w:rPr>
          <w:sz w:val="24"/>
        </w:rPr>
        <w:t>NORS reporting tool</w:t>
      </w:r>
      <w:r w:rsidRPr="005021DC">
        <w:rPr>
          <w:sz w:val="24"/>
        </w:rPr>
        <w:t xml:space="preserve"> </w:t>
      </w:r>
      <w:r w:rsidR="003D3853">
        <w:rPr>
          <w:sz w:val="24"/>
        </w:rPr>
        <w:t xml:space="preserve">will </w:t>
      </w:r>
      <w:r w:rsidRPr="005021DC">
        <w:rPr>
          <w:sz w:val="24"/>
        </w:rPr>
        <w:t xml:space="preserve">instantly validate the data to identify errors and allow states to correct </w:t>
      </w:r>
      <w:r w:rsidR="00176A07">
        <w:rPr>
          <w:sz w:val="24"/>
        </w:rPr>
        <w:t xml:space="preserve">the errors </w:t>
      </w:r>
      <w:r w:rsidRPr="005021DC">
        <w:rPr>
          <w:sz w:val="24"/>
        </w:rPr>
        <w:t xml:space="preserve">before submitting </w:t>
      </w:r>
      <w:r w:rsidR="00176A07">
        <w:rPr>
          <w:sz w:val="24"/>
        </w:rPr>
        <w:t xml:space="preserve">them </w:t>
      </w:r>
      <w:r w:rsidRPr="005021DC">
        <w:rPr>
          <w:sz w:val="24"/>
        </w:rPr>
        <w:t xml:space="preserve">to ACL. </w:t>
      </w:r>
      <w:r w:rsidR="002A18C1">
        <w:rPr>
          <w:sz w:val="24"/>
        </w:rPr>
        <w:t xml:space="preserve"> The reporting tool</w:t>
      </w:r>
      <w:r w:rsidR="00F15AB3">
        <w:rPr>
          <w:sz w:val="24"/>
        </w:rPr>
        <w:t xml:space="preserve"> will </w:t>
      </w:r>
      <w:r w:rsidRPr="005021DC">
        <w:rPr>
          <w:sz w:val="24"/>
        </w:rPr>
        <w:t xml:space="preserve">display helpful instructions for each </w:t>
      </w:r>
      <w:r w:rsidR="003D3853">
        <w:rPr>
          <w:sz w:val="24"/>
        </w:rPr>
        <w:t>data element</w:t>
      </w:r>
      <w:r w:rsidRPr="005021DC">
        <w:rPr>
          <w:sz w:val="24"/>
        </w:rPr>
        <w:t xml:space="preserve"> as it is entered. This helps to improve the consistency and accuracy of the answers. </w:t>
      </w:r>
      <w:r w:rsidR="003D3853" w:rsidRPr="003D3853">
        <w:rPr>
          <w:sz w:val="24"/>
        </w:rPr>
        <w:t>It provides immediate feedback before the file is submitted to ACL; thus, lessen</w:t>
      </w:r>
      <w:r w:rsidR="00176A07">
        <w:rPr>
          <w:sz w:val="24"/>
        </w:rPr>
        <w:t>ing</w:t>
      </w:r>
      <w:r w:rsidR="003D3853" w:rsidRPr="003D3853">
        <w:rPr>
          <w:sz w:val="24"/>
        </w:rPr>
        <w:t xml:space="preserve"> the number of resubmissions.  </w:t>
      </w:r>
    </w:p>
    <w:p w:rsidR="003D3853" w:rsidRDefault="003D3853" w:rsidP="005021DC">
      <w:pPr>
        <w:widowControl/>
        <w:ind w:left="720"/>
        <w:rPr>
          <w:sz w:val="24"/>
        </w:rPr>
      </w:pPr>
    </w:p>
    <w:p w:rsidR="003D3853" w:rsidRDefault="005021DC" w:rsidP="005021DC">
      <w:pPr>
        <w:widowControl/>
        <w:ind w:left="720"/>
        <w:rPr>
          <w:sz w:val="24"/>
        </w:rPr>
      </w:pPr>
      <w:r w:rsidRPr="005021DC">
        <w:rPr>
          <w:sz w:val="24"/>
        </w:rPr>
        <w:t xml:space="preserve">States can begin entering the data, save it, and return to complete the data multiple times. When satisfied with the </w:t>
      </w:r>
      <w:r w:rsidR="00094395">
        <w:rPr>
          <w:sz w:val="24"/>
        </w:rPr>
        <w:t xml:space="preserve">data and having passed all validation checks, </w:t>
      </w:r>
      <w:r w:rsidRPr="005021DC">
        <w:rPr>
          <w:sz w:val="24"/>
        </w:rPr>
        <w:t xml:space="preserve">the state can submit </w:t>
      </w:r>
      <w:r w:rsidR="00176A07">
        <w:rPr>
          <w:sz w:val="24"/>
        </w:rPr>
        <w:t xml:space="preserve">it </w:t>
      </w:r>
      <w:r w:rsidRPr="005021DC">
        <w:rPr>
          <w:sz w:val="24"/>
        </w:rPr>
        <w:t xml:space="preserve">to ACL. For archival purposes, a state may download their data </w:t>
      </w:r>
      <w:r w:rsidR="00EB6A8F" w:rsidRPr="005021DC">
        <w:rPr>
          <w:sz w:val="24"/>
        </w:rPr>
        <w:t xml:space="preserve">in </w:t>
      </w:r>
      <w:r w:rsidR="00EB6A8F">
        <w:rPr>
          <w:sz w:val="24"/>
        </w:rPr>
        <w:t>Excel</w:t>
      </w:r>
      <w:r w:rsidRPr="005021DC">
        <w:rPr>
          <w:sz w:val="24"/>
        </w:rPr>
        <w:t xml:space="preserve"> format. The </w:t>
      </w:r>
      <w:r w:rsidR="00DA4C7B" w:rsidRPr="005021DC">
        <w:rPr>
          <w:sz w:val="24"/>
        </w:rPr>
        <w:t xml:space="preserve">final </w:t>
      </w:r>
      <w:r w:rsidR="003D3853">
        <w:rPr>
          <w:sz w:val="24"/>
        </w:rPr>
        <w:t xml:space="preserve">report is </w:t>
      </w:r>
      <w:r w:rsidRPr="005021DC">
        <w:rPr>
          <w:sz w:val="24"/>
        </w:rPr>
        <w:t>securely saved and only accessible through the</w:t>
      </w:r>
      <w:r w:rsidR="00691703">
        <w:rPr>
          <w:sz w:val="24"/>
        </w:rPr>
        <w:t xml:space="preserve"> Titles </w:t>
      </w:r>
      <w:r w:rsidRPr="005021DC">
        <w:rPr>
          <w:sz w:val="24"/>
        </w:rPr>
        <w:t>website by the submitting state and ACL. The data from the previous reporting period is</w:t>
      </w:r>
      <w:r w:rsidR="003D3853">
        <w:rPr>
          <w:sz w:val="24"/>
        </w:rPr>
        <w:t xml:space="preserve"> accessible to t</w:t>
      </w:r>
      <w:r w:rsidRPr="005021DC">
        <w:rPr>
          <w:sz w:val="24"/>
        </w:rPr>
        <w:t>he same online form for the next reporting period</w:t>
      </w:r>
      <w:r w:rsidR="003D3853">
        <w:rPr>
          <w:sz w:val="24"/>
        </w:rPr>
        <w:t xml:space="preserve">, making them </w:t>
      </w:r>
      <w:r w:rsidRPr="005021DC">
        <w:rPr>
          <w:sz w:val="24"/>
        </w:rPr>
        <w:t>easily updatable</w:t>
      </w:r>
      <w:r w:rsidR="002A18C1">
        <w:rPr>
          <w:sz w:val="24"/>
        </w:rPr>
        <w:t xml:space="preserve"> (when appropriate, such as with organizational conflicts of interest)</w:t>
      </w:r>
      <w:r w:rsidRPr="005021DC">
        <w:rPr>
          <w:sz w:val="24"/>
        </w:rPr>
        <w:t xml:space="preserve"> from the prior year, </w:t>
      </w:r>
      <w:r w:rsidR="003D3853">
        <w:rPr>
          <w:sz w:val="24"/>
        </w:rPr>
        <w:t>thereby reducing</w:t>
      </w:r>
      <w:r w:rsidRPr="005021DC">
        <w:rPr>
          <w:sz w:val="24"/>
        </w:rPr>
        <w:t xml:space="preserve"> the level of effort in subsequent years. </w:t>
      </w:r>
    </w:p>
    <w:p w:rsidR="003D3853" w:rsidRDefault="003D3853" w:rsidP="005021DC">
      <w:pPr>
        <w:widowControl/>
        <w:ind w:left="720"/>
        <w:rPr>
          <w:sz w:val="24"/>
        </w:rPr>
      </w:pPr>
    </w:p>
    <w:p w:rsidR="00176A07" w:rsidRDefault="00AE6CA3" w:rsidP="005021DC">
      <w:pPr>
        <w:widowControl/>
        <w:ind w:left="720"/>
        <w:rPr>
          <w:sz w:val="24"/>
        </w:rPr>
      </w:pPr>
      <w:r w:rsidRPr="00C64F07">
        <w:rPr>
          <w:sz w:val="24"/>
          <w:u w:val="single"/>
        </w:rPr>
        <w:t>Reduction of data collection elements</w:t>
      </w:r>
      <w:r w:rsidR="0070245A">
        <w:rPr>
          <w:sz w:val="24"/>
        </w:rPr>
        <w:t xml:space="preserve">:  </w:t>
      </w:r>
    </w:p>
    <w:p w:rsidR="00176A07" w:rsidRDefault="00176A07" w:rsidP="005021DC">
      <w:pPr>
        <w:widowControl/>
        <w:ind w:left="720"/>
        <w:rPr>
          <w:sz w:val="24"/>
        </w:rPr>
      </w:pPr>
    </w:p>
    <w:p w:rsidR="009D1BB4" w:rsidRDefault="0070245A" w:rsidP="005021DC">
      <w:pPr>
        <w:widowControl/>
        <w:ind w:left="720"/>
        <w:rPr>
          <w:sz w:val="24"/>
        </w:rPr>
      </w:pPr>
      <w:r>
        <w:rPr>
          <w:sz w:val="24"/>
        </w:rPr>
        <w:t xml:space="preserve">The level of burden is greatly reduced because of the streamlining of required data collection elements. </w:t>
      </w:r>
      <w:r w:rsidR="009D1BB4">
        <w:rPr>
          <w:sz w:val="24"/>
        </w:rPr>
        <w:t xml:space="preserve"> </w:t>
      </w:r>
      <w:r w:rsidR="009D1BB4" w:rsidRPr="00C64F07">
        <w:rPr>
          <w:sz w:val="24"/>
          <w:u w:val="single"/>
        </w:rPr>
        <w:t xml:space="preserve">The revised data collection eliminated 82 data elements and </w:t>
      </w:r>
      <w:r w:rsidR="00C52BF4" w:rsidRPr="00C64F07">
        <w:rPr>
          <w:sz w:val="24"/>
          <w:u w:val="single"/>
        </w:rPr>
        <w:t xml:space="preserve">added </w:t>
      </w:r>
      <w:r w:rsidR="00C52BF4">
        <w:rPr>
          <w:sz w:val="24"/>
          <w:u w:val="single"/>
        </w:rPr>
        <w:t>only</w:t>
      </w:r>
      <w:r w:rsidR="0040631D">
        <w:rPr>
          <w:sz w:val="24"/>
          <w:u w:val="single"/>
        </w:rPr>
        <w:t xml:space="preserve"> </w:t>
      </w:r>
      <w:r w:rsidR="0032223D">
        <w:rPr>
          <w:sz w:val="24"/>
          <w:u w:val="single"/>
        </w:rPr>
        <w:t>8</w:t>
      </w:r>
      <w:r w:rsidR="00AE6CA3" w:rsidRPr="00C64F07">
        <w:rPr>
          <w:sz w:val="24"/>
          <w:u w:val="single"/>
        </w:rPr>
        <w:t xml:space="preserve"> new</w:t>
      </w:r>
      <w:r w:rsidR="0032223D">
        <w:rPr>
          <w:sz w:val="24"/>
          <w:u w:val="single"/>
        </w:rPr>
        <w:t xml:space="preserve"> or revised</w:t>
      </w:r>
      <w:r w:rsidR="00AE6CA3" w:rsidRPr="00C64F07">
        <w:rPr>
          <w:sz w:val="24"/>
          <w:u w:val="single"/>
        </w:rPr>
        <w:t xml:space="preserve"> data elements, for a total reduction of 7</w:t>
      </w:r>
      <w:r w:rsidR="00DF206E">
        <w:rPr>
          <w:sz w:val="24"/>
          <w:u w:val="single"/>
        </w:rPr>
        <w:t>4</w:t>
      </w:r>
      <w:r w:rsidR="00AE6CA3" w:rsidRPr="00C64F07">
        <w:rPr>
          <w:sz w:val="24"/>
          <w:u w:val="single"/>
        </w:rPr>
        <w:t xml:space="preserve"> data elements</w:t>
      </w:r>
      <w:r w:rsidR="00AE6CA3">
        <w:rPr>
          <w:sz w:val="24"/>
        </w:rPr>
        <w:t xml:space="preserve">. </w:t>
      </w:r>
      <w:r>
        <w:rPr>
          <w:sz w:val="24"/>
        </w:rPr>
        <w:t xml:space="preserve"> For example, complaint codes are reduced from 119 codes to </w:t>
      </w:r>
      <w:r w:rsidR="00162D73">
        <w:rPr>
          <w:sz w:val="24"/>
        </w:rPr>
        <w:t xml:space="preserve">59 codes.  This </w:t>
      </w:r>
      <w:r w:rsidR="00216846">
        <w:rPr>
          <w:sz w:val="24"/>
        </w:rPr>
        <w:t>reduction of</w:t>
      </w:r>
      <w:r w:rsidR="00162D73">
        <w:rPr>
          <w:sz w:val="24"/>
        </w:rPr>
        <w:t xml:space="preserve"> </w:t>
      </w:r>
      <w:r w:rsidR="00DF206E">
        <w:rPr>
          <w:sz w:val="24"/>
        </w:rPr>
        <w:t xml:space="preserve">60 </w:t>
      </w:r>
      <w:r w:rsidR="00162D73">
        <w:rPr>
          <w:sz w:val="24"/>
        </w:rPr>
        <w:t xml:space="preserve">complaint codes addresses long-standing criticism expressed by the Assistant Secretary for Planning &amp; Evaluation (ASPE) in 2010 </w:t>
      </w:r>
      <w:r w:rsidR="00216846">
        <w:rPr>
          <w:sz w:val="24"/>
        </w:rPr>
        <w:t>and from</w:t>
      </w:r>
      <w:r w:rsidR="00162D73">
        <w:rPr>
          <w:sz w:val="24"/>
        </w:rPr>
        <w:t xml:space="preserve"> the Office of Inspector General Report </w:t>
      </w:r>
      <w:r w:rsidR="00162D73" w:rsidRPr="00162D73">
        <w:rPr>
          <w:i/>
          <w:sz w:val="24"/>
        </w:rPr>
        <w:t>“State Long-Term Care Ombudsman Data: Nursing Home Complaints,” HHS Office of Inspector General,</w:t>
      </w:r>
      <w:r w:rsidR="00162D73" w:rsidRPr="00162D73">
        <w:t xml:space="preserve"> </w:t>
      </w:r>
      <w:r w:rsidR="00162D73" w:rsidRPr="00162D73">
        <w:rPr>
          <w:i/>
          <w:sz w:val="24"/>
        </w:rPr>
        <w:t>OEI-09-02-00160</w:t>
      </w:r>
      <w:r w:rsidR="00162D73">
        <w:rPr>
          <w:i/>
          <w:sz w:val="24"/>
        </w:rPr>
        <w:t>,</w:t>
      </w:r>
      <w:r w:rsidR="00162D73" w:rsidRPr="00162D73">
        <w:rPr>
          <w:i/>
          <w:sz w:val="24"/>
        </w:rPr>
        <w:t xml:space="preserve"> July 2003</w:t>
      </w:r>
      <w:r w:rsidR="00162D73" w:rsidRPr="00216846">
        <w:rPr>
          <w:rStyle w:val="FootnoteReference"/>
          <w:i/>
          <w:sz w:val="16"/>
          <w:szCs w:val="16"/>
        </w:rPr>
        <w:footnoteReference w:id="2"/>
      </w:r>
      <w:r w:rsidR="009D1BB4">
        <w:rPr>
          <w:i/>
          <w:sz w:val="24"/>
        </w:rPr>
        <w:t xml:space="preserve"> </w:t>
      </w:r>
      <w:r w:rsidR="00162D73" w:rsidRPr="00216846">
        <w:rPr>
          <w:i/>
          <w:sz w:val="16"/>
          <w:szCs w:val="16"/>
        </w:rPr>
        <w:t xml:space="preserve"> </w:t>
      </w:r>
      <w:r w:rsidR="009D1BB4">
        <w:rPr>
          <w:i/>
          <w:sz w:val="16"/>
          <w:szCs w:val="16"/>
        </w:rPr>
        <w:t xml:space="preserve"> </w:t>
      </w:r>
      <w:r w:rsidR="009D1BB4" w:rsidRPr="009D1BB4">
        <w:rPr>
          <w:sz w:val="24"/>
        </w:rPr>
        <w:t>Disposition codes are reduced from 8 to 3, providing for a clear measure of the outcome of the complaint</w:t>
      </w:r>
      <w:r w:rsidR="009D1BB4" w:rsidRPr="009D1BB4">
        <w:rPr>
          <w:i/>
          <w:sz w:val="16"/>
          <w:szCs w:val="16"/>
        </w:rPr>
        <w:t>.</w:t>
      </w:r>
      <w:r w:rsidR="009D1BB4">
        <w:rPr>
          <w:i/>
          <w:sz w:val="16"/>
          <w:szCs w:val="16"/>
        </w:rPr>
        <w:t xml:space="preserve"> </w:t>
      </w:r>
      <w:r w:rsidR="009D1BB4">
        <w:rPr>
          <w:sz w:val="24"/>
        </w:rPr>
        <w:t xml:space="preserve"> Activity codes are reduced by 10.</w:t>
      </w:r>
      <w:r w:rsidR="00EC6D1D">
        <w:rPr>
          <w:sz w:val="24"/>
        </w:rPr>
        <w:t xml:space="preserve"> </w:t>
      </w:r>
    </w:p>
    <w:p w:rsidR="00094395" w:rsidRPr="009D1BB4" w:rsidRDefault="00094395" w:rsidP="005021DC">
      <w:pPr>
        <w:widowControl/>
        <w:ind w:left="720"/>
        <w:rPr>
          <w:sz w:val="24"/>
        </w:rPr>
      </w:pPr>
    </w:p>
    <w:p w:rsidR="009D1BB4" w:rsidRDefault="009D1BB4" w:rsidP="005021DC">
      <w:pPr>
        <w:widowControl/>
        <w:ind w:left="720"/>
        <w:rPr>
          <w:i/>
          <w:sz w:val="16"/>
          <w:szCs w:val="16"/>
        </w:rPr>
      </w:pPr>
    </w:p>
    <w:p w:rsidR="006819CF" w:rsidRDefault="006819CF">
      <w:pPr>
        <w:numPr>
          <w:ilvl w:val="0"/>
          <w:numId w:val="2"/>
        </w:numPr>
        <w:rPr>
          <w:b/>
          <w:sz w:val="24"/>
        </w:rPr>
      </w:pPr>
      <w:r>
        <w:rPr>
          <w:b/>
          <w:sz w:val="24"/>
          <w:u w:val="single"/>
        </w:rPr>
        <w:t>Efforts to  Identify Duplication and Use of Similar Information</w:t>
      </w:r>
    </w:p>
    <w:p w:rsidR="006819CF" w:rsidRDefault="006819CF">
      <w:pPr>
        <w:ind w:left="720"/>
        <w:rPr>
          <w:b/>
          <w:sz w:val="24"/>
        </w:rPr>
      </w:pPr>
    </w:p>
    <w:p w:rsidR="006C1201" w:rsidRPr="006C1201" w:rsidRDefault="006C1201" w:rsidP="006C1201">
      <w:pPr>
        <w:ind w:left="720"/>
        <w:rPr>
          <w:sz w:val="24"/>
        </w:rPr>
      </w:pPr>
      <w:r w:rsidRPr="006C1201">
        <w:rPr>
          <w:sz w:val="24"/>
        </w:rPr>
        <w:t xml:space="preserve">All information in the </w:t>
      </w:r>
      <w:r w:rsidR="007F3D5A">
        <w:rPr>
          <w:sz w:val="24"/>
        </w:rPr>
        <w:t>Ombudsman</w:t>
      </w:r>
      <w:r w:rsidRPr="006C1201">
        <w:rPr>
          <w:sz w:val="24"/>
        </w:rPr>
        <w:t xml:space="preserve"> report is unique to the </w:t>
      </w:r>
      <w:r w:rsidR="007F3D5A">
        <w:rPr>
          <w:sz w:val="24"/>
        </w:rPr>
        <w:t>Ombudsman</w:t>
      </w:r>
      <w:r w:rsidRPr="006C1201">
        <w:rPr>
          <w:sz w:val="24"/>
        </w:rPr>
        <w:t xml:space="preserve"> Program</w:t>
      </w:r>
      <w:r w:rsidR="00D33743">
        <w:rPr>
          <w:sz w:val="24"/>
        </w:rPr>
        <w:t xml:space="preserve">. </w:t>
      </w:r>
      <w:r w:rsidRPr="006C1201">
        <w:rPr>
          <w:sz w:val="24"/>
        </w:rPr>
        <w:t xml:space="preserve"> </w:t>
      </w:r>
    </w:p>
    <w:p w:rsidR="000309D5" w:rsidRDefault="00D33743" w:rsidP="006C1201">
      <w:pPr>
        <w:ind w:left="720"/>
        <w:rPr>
          <w:sz w:val="24"/>
        </w:rPr>
      </w:pPr>
      <w:r>
        <w:rPr>
          <w:sz w:val="24"/>
        </w:rPr>
        <w:t xml:space="preserve">Although the number of </w:t>
      </w:r>
      <w:r w:rsidR="006C1201" w:rsidRPr="006C1201">
        <w:rPr>
          <w:sz w:val="24"/>
        </w:rPr>
        <w:t>nursing facilities certified by Medicare and Medicaid is available from the Centers for Medicare and Medicaid Services</w:t>
      </w:r>
      <w:r>
        <w:rPr>
          <w:sz w:val="24"/>
        </w:rPr>
        <w:t>, states may also have licensed only nursing homes</w:t>
      </w:r>
      <w:r w:rsidR="00695E47">
        <w:rPr>
          <w:sz w:val="24"/>
        </w:rPr>
        <w:t>.</w:t>
      </w:r>
      <w:r>
        <w:rPr>
          <w:sz w:val="24"/>
        </w:rPr>
        <w:t xml:space="preserve"> </w:t>
      </w:r>
      <w:r w:rsidR="00695E47">
        <w:rPr>
          <w:sz w:val="24"/>
        </w:rPr>
        <w:t>T</w:t>
      </w:r>
      <w:r>
        <w:rPr>
          <w:sz w:val="24"/>
        </w:rPr>
        <w:t>herefore</w:t>
      </w:r>
      <w:r w:rsidR="00695E47">
        <w:rPr>
          <w:sz w:val="24"/>
        </w:rPr>
        <w:t>,</w:t>
      </w:r>
      <w:r>
        <w:rPr>
          <w:sz w:val="24"/>
        </w:rPr>
        <w:t xml:space="preserve"> NORS requires </w:t>
      </w:r>
      <w:r w:rsidR="007F3D5A">
        <w:rPr>
          <w:sz w:val="24"/>
        </w:rPr>
        <w:t>Ombudsman</w:t>
      </w:r>
      <w:r>
        <w:rPr>
          <w:sz w:val="24"/>
        </w:rPr>
        <w:t xml:space="preserve"> </w:t>
      </w:r>
      <w:r w:rsidR="00DB0F80">
        <w:rPr>
          <w:sz w:val="24"/>
        </w:rPr>
        <w:t>programs</w:t>
      </w:r>
      <w:r>
        <w:rPr>
          <w:sz w:val="24"/>
        </w:rPr>
        <w:t xml:space="preserve"> to report a count of </w:t>
      </w:r>
      <w:r w:rsidR="00DB0F80">
        <w:rPr>
          <w:sz w:val="24"/>
        </w:rPr>
        <w:t>all</w:t>
      </w:r>
      <w:r>
        <w:rPr>
          <w:sz w:val="24"/>
        </w:rPr>
        <w:t xml:space="preserve"> nursing homes and beds licensed or certified in their state. </w:t>
      </w:r>
      <w:r w:rsidR="006C1201" w:rsidRPr="006C1201">
        <w:rPr>
          <w:sz w:val="24"/>
        </w:rPr>
        <w:t xml:space="preserve">While sporadic studies have provided estimates on the number </w:t>
      </w:r>
      <w:r w:rsidR="00EB6A8F" w:rsidRPr="006C1201">
        <w:rPr>
          <w:sz w:val="24"/>
        </w:rPr>
        <w:t>of</w:t>
      </w:r>
      <w:r w:rsidR="00EB6A8F">
        <w:rPr>
          <w:sz w:val="24"/>
        </w:rPr>
        <w:t xml:space="preserve"> residential</w:t>
      </w:r>
      <w:r w:rsidR="00094395">
        <w:rPr>
          <w:sz w:val="24"/>
        </w:rPr>
        <w:t xml:space="preserve"> care community</w:t>
      </w:r>
      <w:r w:rsidR="00094395" w:rsidRPr="00C52BF4">
        <w:rPr>
          <w:rStyle w:val="FootnoteReference"/>
          <w:sz w:val="22"/>
          <w:szCs w:val="22"/>
          <w:vertAlign w:val="superscript"/>
        </w:rPr>
        <w:footnoteReference w:id="3"/>
      </w:r>
      <w:r w:rsidR="00094395" w:rsidRPr="00C52BF4">
        <w:rPr>
          <w:sz w:val="22"/>
          <w:szCs w:val="22"/>
          <w:vertAlign w:val="superscript"/>
        </w:rPr>
        <w:t xml:space="preserve">  </w:t>
      </w:r>
      <w:r w:rsidR="00094395">
        <w:rPr>
          <w:sz w:val="16"/>
          <w:szCs w:val="16"/>
        </w:rPr>
        <w:t xml:space="preserve"> </w:t>
      </w:r>
      <w:r w:rsidR="00094395">
        <w:rPr>
          <w:sz w:val="24"/>
        </w:rPr>
        <w:t>f</w:t>
      </w:r>
      <w:r w:rsidR="006C1201" w:rsidRPr="006C1201">
        <w:rPr>
          <w:sz w:val="24"/>
        </w:rPr>
        <w:t xml:space="preserve">acilities and beds, the annual </w:t>
      </w:r>
      <w:r w:rsidR="00B35E8F">
        <w:rPr>
          <w:sz w:val="24"/>
        </w:rPr>
        <w:t>ACL</w:t>
      </w:r>
      <w:r w:rsidR="006C1201" w:rsidRPr="006C1201">
        <w:rPr>
          <w:sz w:val="24"/>
        </w:rPr>
        <w:t xml:space="preserve"> </w:t>
      </w:r>
      <w:r w:rsidR="007F3D5A">
        <w:rPr>
          <w:sz w:val="24"/>
        </w:rPr>
        <w:t>Ombudsman</w:t>
      </w:r>
      <w:r w:rsidR="006C1201" w:rsidRPr="006C1201">
        <w:rPr>
          <w:sz w:val="24"/>
        </w:rPr>
        <w:t xml:space="preserve"> report</w:t>
      </w:r>
      <w:r w:rsidR="000309D5" w:rsidRPr="006C1201">
        <w:rPr>
          <w:sz w:val="24"/>
        </w:rPr>
        <w:t xml:space="preserve"> provides</w:t>
      </w:r>
      <w:r w:rsidR="006C1201" w:rsidRPr="006C1201">
        <w:rPr>
          <w:sz w:val="24"/>
        </w:rPr>
        <w:t xml:space="preserve"> the only consistent national data on the number of </w:t>
      </w:r>
      <w:r w:rsidR="00695E47">
        <w:rPr>
          <w:sz w:val="24"/>
        </w:rPr>
        <w:t xml:space="preserve">nursing </w:t>
      </w:r>
      <w:r w:rsidR="006C1201" w:rsidRPr="006C1201">
        <w:rPr>
          <w:sz w:val="24"/>
        </w:rPr>
        <w:t xml:space="preserve">homes and beds classified as </w:t>
      </w:r>
      <w:r w:rsidR="00094395">
        <w:rPr>
          <w:sz w:val="24"/>
        </w:rPr>
        <w:t>residential care communit</w:t>
      </w:r>
      <w:r w:rsidR="002D7D97">
        <w:rPr>
          <w:sz w:val="24"/>
        </w:rPr>
        <w:t>ies</w:t>
      </w:r>
      <w:r w:rsidR="00094395">
        <w:rPr>
          <w:sz w:val="24"/>
        </w:rPr>
        <w:t xml:space="preserve">. </w:t>
      </w:r>
    </w:p>
    <w:p w:rsidR="00094395" w:rsidRPr="00695E47" w:rsidRDefault="00094395" w:rsidP="006C1201">
      <w:pPr>
        <w:ind w:left="720"/>
        <w:rPr>
          <w:sz w:val="24"/>
        </w:rPr>
      </w:pPr>
    </w:p>
    <w:p w:rsidR="00766DA9" w:rsidRDefault="000309D5" w:rsidP="006C1201">
      <w:pPr>
        <w:ind w:left="720"/>
        <w:rPr>
          <w:sz w:val="24"/>
        </w:rPr>
      </w:pPr>
      <w:r>
        <w:rPr>
          <w:sz w:val="24"/>
        </w:rPr>
        <w:t>ACL/AoA has re</w:t>
      </w:r>
      <w:r w:rsidR="000B7EFD">
        <w:rPr>
          <w:sz w:val="24"/>
        </w:rPr>
        <w:t xml:space="preserve">cently begun collecting data from states’ adult protective services (APS) agencies. </w:t>
      </w:r>
      <w:r w:rsidR="000B7EFD" w:rsidRPr="000B7EFD">
        <w:rPr>
          <w:sz w:val="24"/>
        </w:rPr>
        <w:t>The National Adult Maltreatment Reporting System (NAMRS) address</w:t>
      </w:r>
      <w:r w:rsidR="000B7EFD">
        <w:rPr>
          <w:sz w:val="24"/>
        </w:rPr>
        <w:t xml:space="preserve">es the requirements of the </w:t>
      </w:r>
      <w:r w:rsidR="000B7EFD" w:rsidRPr="000B7EFD">
        <w:rPr>
          <w:sz w:val="24"/>
        </w:rPr>
        <w:t>Elder Justice Act of 2009, which amends title XX of the Social Security Act (42.U.S.C. 13976 et seq.)</w:t>
      </w:r>
      <w:r w:rsidR="00695E47">
        <w:rPr>
          <w:sz w:val="24"/>
        </w:rPr>
        <w:t xml:space="preserve"> and</w:t>
      </w:r>
      <w:r w:rsidR="000B7EFD" w:rsidRPr="000B7EFD">
        <w:rPr>
          <w:sz w:val="24"/>
        </w:rPr>
        <w:t xml:space="preserve"> requires that the Secretary of the U.S. Department of Health and Human Services “collects and disseminates data annually relating to the abuse, exploitation, and neglect of elders” (Sec. 2041 (a)(1)(B) and “conducts research related to the provision of adult protective services” (Sec.</w:t>
      </w:r>
      <w:r w:rsidR="00094395">
        <w:rPr>
          <w:sz w:val="24"/>
        </w:rPr>
        <w:t xml:space="preserve"> </w:t>
      </w:r>
      <w:r w:rsidR="000B7EFD" w:rsidRPr="000B7EFD">
        <w:rPr>
          <w:sz w:val="24"/>
        </w:rPr>
        <w:t>2041 (a)(1)(D)</w:t>
      </w:r>
      <w:r w:rsidR="00E86AA2">
        <w:rPr>
          <w:sz w:val="24"/>
        </w:rPr>
        <w:t>.</w:t>
      </w:r>
    </w:p>
    <w:p w:rsidR="00766DA9" w:rsidRDefault="00766DA9" w:rsidP="006C1201">
      <w:pPr>
        <w:ind w:left="720"/>
        <w:rPr>
          <w:sz w:val="24"/>
        </w:rPr>
      </w:pPr>
    </w:p>
    <w:p w:rsidR="00766DA9" w:rsidRPr="00766DA9" w:rsidRDefault="00766DA9" w:rsidP="00766DA9">
      <w:pPr>
        <w:ind w:left="720"/>
        <w:rPr>
          <w:sz w:val="24"/>
        </w:rPr>
      </w:pPr>
      <w:r>
        <w:rPr>
          <w:sz w:val="24"/>
        </w:rPr>
        <w:t>NAMRS</w:t>
      </w:r>
      <w:r w:rsidRPr="00766DA9">
        <w:rPr>
          <w:sz w:val="24"/>
        </w:rPr>
        <w:t xml:space="preserve"> differs in several ways from </w:t>
      </w:r>
      <w:r>
        <w:rPr>
          <w:sz w:val="24"/>
        </w:rPr>
        <w:t xml:space="preserve">NORS. </w:t>
      </w:r>
      <w:r w:rsidR="00E86AA2" w:rsidRPr="00E86AA2">
        <w:rPr>
          <w:sz w:val="24"/>
        </w:rPr>
        <w:t>NAMRS collects data on investigations by APS</w:t>
      </w:r>
      <w:r w:rsidR="00695E47">
        <w:rPr>
          <w:sz w:val="24"/>
        </w:rPr>
        <w:t xml:space="preserve"> agencies</w:t>
      </w:r>
      <w:r w:rsidR="00E86AA2" w:rsidRPr="00E86AA2">
        <w:rPr>
          <w:sz w:val="24"/>
        </w:rPr>
        <w:t xml:space="preserve"> into allegations of abuse, neglect, or exploitation of older persons and adults with disabilities, regardless of residence type. The state programs that respond </w:t>
      </w:r>
      <w:r w:rsidR="00E86AA2">
        <w:rPr>
          <w:sz w:val="24"/>
        </w:rPr>
        <w:t>and collect NAMRS data are</w:t>
      </w:r>
      <w:r w:rsidR="00E86AA2" w:rsidRPr="00E86AA2">
        <w:rPr>
          <w:sz w:val="24"/>
        </w:rPr>
        <w:t xml:space="preserve"> different from </w:t>
      </w:r>
      <w:r w:rsidR="00E86AA2">
        <w:rPr>
          <w:sz w:val="24"/>
        </w:rPr>
        <w:t xml:space="preserve">state </w:t>
      </w:r>
      <w:r w:rsidR="007F3D5A">
        <w:rPr>
          <w:sz w:val="24"/>
        </w:rPr>
        <w:t>Ombudsman</w:t>
      </w:r>
      <w:r w:rsidR="00E86AA2">
        <w:rPr>
          <w:sz w:val="24"/>
        </w:rPr>
        <w:t xml:space="preserve"> programs. </w:t>
      </w:r>
      <w:r w:rsidR="00D127AE">
        <w:rPr>
          <w:sz w:val="24"/>
        </w:rPr>
        <w:t xml:space="preserve"> </w:t>
      </w:r>
      <w:r>
        <w:rPr>
          <w:sz w:val="24"/>
        </w:rPr>
        <w:t xml:space="preserve"> NORS collects</w:t>
      </w:r>
      <w:r w:rsidR="00E86AA2">
        <w:rPr>
          <w:sz w:val="24"/>
        </w:rPr>
        <w:t xml:space="preserve"> </w:t>
      </w:r>
      <w:r w:rsidRPr="00766DA9">
        <w:rPr>
          <w:sz w:val="24"/>
        </w:rPr>
        <w:t>complaint</w:t>
      </w:r>
      <w:r w:rsidR="00E86AA2">
        <w:rPr>
          <w:sz w:val="24"/>
        </w:rPr>
        <w:t xml:space="preserve"> data</w:t>
      </w:r>
      <w:r w:rsidRPr="00766DA9">
        <w:rPr>
          <w:sz w:val="24"/>
        </w:rPr>
        <w:t xml:space="preserve"> concerning the</w:t>
      </w:r>
      <w:r>
        <w:rPr>
          <w:sz w:val="24"/>
        </w:rPr>
        <w:t xml:space="preserve"> health, safety, welfare and rights </w:t>
      </w:r>
      <w:r w:rsidRPr="00766DA9">
        <w:rPr>
          <w:sz w:val="24"/>
        </w:rPr>
        <w:t>of residents in long term care facilities</w:t>
      </w:r>
      <w:r w:rsidR="00E86AA2">
        <w:rPr>
          <w:sz w:val="24"/>
        </w:rPr>
        <w:t>, which includes complaints related to abuse, neglect and exploitation</w:t>
      </w:r>
      <w:r w:rsidR="00695E47">
        <w:rPr>
          <w:sz w:val="24"/>
        </w:rPr>
        <w:t>,</w:t>
      </w:r>
      <w:r w:rsidR="00E86AA2">
        <w:rPr>
          <w:sz w:val="24"/>
        </w:rPr>
        <w:t xml:space="preserve"> but is not limited to those types of issues. </w:t>
      </w:r>
      <w:r w:rsidRPr="00766DA9">
        <w:rPr>
          <w:sz w:val="24"/>
        </w:rPr>
        <w:t xml:space="preserve"> </w:t>
      </w:r>
      <w:r w:rsidR="00E86AA2">
        <w:rPr>
          <w:sz w:val="24"/>
        </w:rPr>
        <w:t xml:space="preserve">NORS also collects other information relevant to the </w:t>
      </w:r>
      <w:r w:rsidR="007F3D5A">
        <w:rPr>
          <w:sz w:val="24"/>
        </w:rPr>
        <w:t>Ombudsman</w:t>
      </w:r>
      <w:r w:rsidR="00E86AA2">
        <w:rPr>
          <w:sz w:val="24"/>
        </w:rPr>
        <w:t xml:space="preserve"> program</w:t>
      </w:r>
      <w:r w:rsidR="00695E47">
        <w:rPr>
          <w:sz w:val="24"/>
        </w:rPr>
        <w:t>,</w:t>
      </w:r>
      <w:r w:rsidR="00E86AA2">
        <w:rPr>
          <w:sz w:val="24"/>
        </w:rPr>
        <w:t xml:space="preserve"> such as providing </w:t>
      </w:r>
      <w:r w:rsidR="002A18C1">
        <w:rPr>
          <w:sz w:val="24"/>
        </w:rPr>
        <w:t>facility visits</w:t>
      </w:r>
      <w:r w:rsidR="00E86AA2">
        <w:rPr>
          <w:sz w:val="24"/>
        </w:rPr>
        <w:t>, instances of information and assistance, participation in surv</w:t>
      </w:r>
      <w:r w:rsidR="00695E47">
        <w:rPr>
          <w:sz w:val="24"/>
        </w:rPr>
        <w:t>eys</w:t>
      </w:r>
      <w:r w:rsidR="00E86AA2">
        <w:rPr>
          <w:sz w:val="24"/>
        </w:rPr>
        <w:t xml:space="preserve">, etc. </w:t>
      </w:r>
      <w:r w:rsidRPr="00766DA9">
        <w:rPr>
          <w:sz w:val="24"/>
        </w:rPr>
        <w:t>The definitions in NAMRS have been closely aligned with definitions in NORS, wherever applicable. No duplication of effort will result from the</w:t>
      </w:r>
      <w:r>
        <w:rPr>
          <w:sz w:val="24"/>
        </w:rPr>
        <w:t xml:space="preserve"> revised NORS</w:t>
      </w:r>
      <w:r w:rsidRPr="00766DA9">
        <w:rPr>
          <w:sz w:val="24"/>
        </w:rPr>
        <w:t xml:space="preserve"> data collection.</w:t>
      </w:r>
    </w:p>
    <w:p w:rsidR="006819CF" w:rsidRDefault="006819CF">
      <w:pPr>
        <w:ind w:left="1008"/>
        <w:rPr>
          <w:sz w:val="24"/>
        </w:rPr>
      </w:pPr>
    </w:p>
    <w:p w:rsidR="006819CF" w:rsidRDefault="006819CF">
      <w:pPr>
        <w:numPr>
          <w:ilvl w:val="0"/>
          <w:numId w:val="2"/>
        </w:numPr>
        <w:rPr>
          <w:color w:val="000000"/>
          <w:sz w:val="24"/>
        </w:rPr>
      </w:pPr>
      <w:r>
        <w:rPr>
          <w:b/>
          <w:sz w:val="24"/>
          <w:u w:val="single"/>
        </w:rPr>
        <w:t>Impact on Small Businesses or Other Small Entities</w:t>
      </w:r>
    </w:p>
    <w:p w:rsidR="006819CF" w:rsidRDefault="006819CF">
      <w:pPr>
        <w:ind w:left="720"/>
        <w:rPr>
          <w:color w:val="000000"/>
          <w:sz w:val="24"/>
        </w:rPr>
      </w:pPr>
    </w:p>
    <w:p w:rsidR="006819CF" w:rsidRDefault="006C1201">
      <w:pPr>
        <w:ind w:left="360"/>
        <w:rPr>
          <w:color w:val="000000"/>
          <w:sz w:val="24"/>
        </w:rPr>
      </w:pPr>
      <w:r w:rsidRPr="006C1201">
        <w:rPr>
          <w:color w:val="000000"/>
          <w:sz w:val="24"/>
        </w:rPr>
        <w:tab/>
        <w:t xml:space="preserve">No small businesses </w:t>
      </w:r>
      <w:r w:rsidR="002D7D97">
        <w:rPr>
          <w:color w:val="000000"/>
          <w:sz w:val="24"/>
        </w:rPr>
        <w:t xml:space="preserve">or other small entities </w:t>
      </w:r>
      <w:r w:rsidRPr="006C1201">
        <w:rPr>
          <w:color w:val="000000"/>
          <w:sz w:val="24"/>
        </w:rPr>
        <w:t>will be involved in this study.</w:t>
      </w:r>
    </w:p>
    <w:p w:rsidR="006C1201" w:rsidRPr="006C1201" w:rsidRDefault="006C1201">
      <w:pPr>
        <w:ind w:left="360"/>
        <w:rPr>
          <w:sz w:val="24"/>
        </w:rPr>
      </w:pPr>
    </w:p>
    <w:p w:rsidR="006819CF" w:rsidRDefault="006819CF">
      <w:pPr>
        <w:numPr>
          <w:ilvl w:val="0"/>
          <w:numId w:val="2"/>
        </w:numPr>
        <w:rPr>
          <w:b/>
          <w:sz w:val="24"/>
        </w:rPr>
      </w:pPr>
      <w:r>
        <w:rPr>
          <w:b/>
          <w:sz w:val="24"/>
          <w:u w:val="single"/>
        </w:rPr>
        <w:t>Consequences of Collecting the Information Less Frequent</w:t>
      </w:r>
      <w:r w:rsidR="00D3003F">
        <w:rPr>
          <w:b/>
          <w:sz w:val="24"/>
          <w:u w:val="single"/>
        </w:rPr>
        <w:t>ly</w:t>
      </w:r>
    </w:p>
    <w:p w:rsidR="006819CF" w:rsidRDefault="006819CF">
      <w:pPr>
        <w:ind w:left="720"/>
        <w:rPr>
          <w:b/>
          <w:sz w:val="24"/>
        </w:rPr>
      </w:pPr>
    </w:p>
    <w:p w:rsidR="006C1201" w:rsidRPr="006C1201" w:rsidRDefault="006C1201" w:rsidP="006C1201">
      <w:pPr>
        <w:ind w:left="720"/>
        <w:rPr>
          <w:sz w:val="24"/>
        </w:rPr>
      </w:pPr>
      <w:r w:rsidRPr="006C1201">
        <w:rPr>
          <w:sz w:val="24"/>
        </w:rPr>
        <w:t xml:space="preserve">If collection were less frequent than annual, neither the states nor </w:t>
      </w:r>
      <w:r w:rsidR="00B35E8F">
        <w:rPr>
          <w:sz w:val="24"/>
        </w:rPr>
        <w:t>ACL</w:t>
      </w:r>
      <w:r w:rsidRPr="006C1201">
        <w:rPr>
          <w:sz w:val="24"/>
        </w:rPr>
        <w:t xml:space="preserve"> would be able to meet reporting requirements in the OAA; and both advocacy and program management functions dependent on the information in the NORS would suffer from lack of current data.</w:t>
      </w:r>
    </w:p>
    <w:p w:rsidR="006819CF" w:rsidRDefault="006819CF">
      <w:pPr>
        <w:ind w:left="1080"/>
        <w:rPr>
          <w:sz w:val="24"/>
        </w:rPr>
      </w:pPr>
      <w:r>
        <w:rPr>
          <w:sz w:val="24"/>
        </w:rPr>
        <w:tab/>
      </w:r>
    </w:p>
    <w:p w:rsidR="006819CF" w:rsidRDefault="006819CF">
      <w:pPr>
        <w:numPr>
          <w:ilvl w:val="0"/>
          <w:numId w:val="2"/>
        </w:numPr>
        <w:rPr>
          <w:b/>
          <w:sz w:val="24"/>
        </w:rPr>
      </w:pPr>
      <w:r>
        <w:rPr>
          <w:b/>
          <w:sz w:val="24"/>
          <w:u w:val="single"/>
        </w:rPr>
        <w:t>Special Circumstances Relating to the Guidelines of 5 CFR 1320.5</w:t>
      </w:r>
    </w:p>
    <w:p w:rsidR="00FB485C" w:rsidRDefault="00FB485C" w:rsidP="00FB485C">
      <w:pPr>
        <w:ind w:left="360"/>
        <w:rPr>
          <w:sz w:val="24"/>
        </w:rPr>
      </w:pPr>
    </w:p>
    <w:p w:rsidR="00FB485C" w:rsidRPr="00FB485C" w:rsidRDefault="00FB485C" w:rsidP="00FB485C">
      <w:pPr>
        <w:ind w:left="360"/>
        <w:rPr>
          <w:sz w:val="24"/>
        </w:rPr>
      </w:pPr>
      <w:r>
        <w:rPr>
          <w:sz w:val="24"/>
        </w:rPr>
        <w:tab/>
      </w:r>
      <w:r w:rsidRPr="00FB485C">
        <w:rPr>
          <w:sz w:val="24"/>
        </w:rPr>
        <w:t>None of the listed circumstances appl</w:t>
      </w:r>
      <w:r w:rsidR="00076866">
        <w:rPr>
          <w:sz w:val="24"/>
        </w:rPr>
        <w:t>y</w:t>
      </w:r>
      <w:r w:rsidRPr="00FB485C">
        <w:rPr>
          <w:sz w:val="24"/>
        </w:rPr>
        <w:t xml:space="preserve"> to this submission.</w:t>
      </w:r>
    </w:p>
    <w:p w:rsidR="006819CF" w:rsidRDefault="006819CF">
      <w:pPr>
        <w:ind w:left="360"/>
        <w:rPr>
          <w:sz w:val="24"/>
        </w:rPr>
      </w:pPr>
    </w:p>
    <w:p w:rsidR="006819CF" w:rsidRDefault="006819CF">
      <w:pPr>
        <w:numPr>
          <w:ilvl w:val="0"/>
          <w:numId w:val="2"/>
        </w:numPr>
        <w:rPr>
          <w:b/>
          <w:sz w:val="24"/>
        </w:rPr>
      </w:pPr>
      <w:r>
        <w:rPr>
          <w:b/>
          <w:iCs/>
          <w:sz w:val="24"/>
          <w:u w:val="single"/>
        </w:rPr>
        <w:t>Comments in Response to the Federal Register</w:t>
      </w:r>
      <w:r>
        <w:rPr>
          <w:b/>
          <w:sz w:val="24"/>
          <w:u w:val="single"/>
        </w:rPr>
        <w:t xml:space="preserve"> Notice/Outside Consultation</w:t>
      </w:r>
    </w:p>
    <w:p w:rsidR="006819CF" w:rsidRPr="00DC736D" w:rsidRDefault="006819CF" w:rsidP="00DC736D">
      <w:pPr>
        <w:ind w:left="720"/>
        <w:jc w:val="both"/>
        <w:rPr>
          <w:b/>
          <w:sz w:val="24"/>
        </w:rPr>
      </w:pPr>
    </w:p>
    <w:p w:rsidR="00E35E6F" w:rsidRDefault="00335A6D" w:rsidP="00094395">
      <w:pPr>
        <w:ind w:left="720"/>
        <w:rPr>
          <w:sz w:val="24"/>
        </w:rPr>
      </w:pPr>
      <w:r w:rsidRPr="00335A6D">
        <w:rPr>
          <w:sz w:val="24"/>
        </w:rPr>
        <w:t>A notice was published in Federal Register/Vol. 81, No.</w:t>
      </w:r>
      <w:r>
        <w:rPr>
          <w:sz w:val="24"/>
        </w:rPr>
        <w:t>152</w:t>
      </w:r>
      <w:r w:rsidR="00D55ADD">
        <w:rPr>
          <w:sz w:val="24"/>
        </w:rPr>
        <w:t>/</w:t>
      </w:r>
      <w:r>
        <w:rPr>
          <w:sz w:val="24"/>
        </w:rPr>
        <w:t>Monday, August 8,</w:t>
      </w:r>
      <w:r w:rsidRPr="00335A6D">
        <w:rPr>
          <w:sz w:val="24"/>
        </w:rPr>
        <w:t xml:space="preserve"> 2016</w:t>
      </w:r>
      <w:r w:rsidR="00D55ADD">
        <w:rPr>
          <w:sz w:val="24"/>
        </w:rPr>
        <w:t>,</w:t>
      </w:r>
      <w:r w:rsidRPr="00335A6D">
        <w:rPr>
          <w:sz w:val="24"/>
        </w:rPr>
        <w:t xml:space="preserve"> Page</w:t>
      </w:r>
      <w:r>
        <w:rPr>
          <w:sz w:val="24"/>
        </w:rPr>
        <w:t xml:space="preserve"> 52438</w:t>
      </w:r>
      <w:r w:rsidRPr="00335A6D">
        <w:rPr>
          <w:sz w:val="24"/>
        </w:rPr>
        <w:t xml:space="preserve"> announcing that </w:t>
      </w:r>
      <w:r>
        <w:rPr>
          <w:sz w:val="24"/>
        </w:rPr>
        <w:t>ACL/</w:t>
      </w:r>
      <w:r w:rsidRPr="00335A6D">
        <w:rPr>
          <w:sz w:val="24"/>
        </w:rPr>
        <w:t>AoA was requesting</w:t>
      </w:r>
      <w:r w:rsidR="003F0ADE">
        <w:rPr>
          <w:sz w:val="24"/>
        </w:rPr>
        <w:t xml:space="preserve"> comments on: (1) Whether </w:t>
      </w:r>
      <w:r w:rsidR="00D55ADD" w:rsidRPr="00D55ADD">
        <w:rPr>
          <w:sz w:val="24"/>
        </w:rPr>
        <w:t>the</w:t>
      </w:r>
      <w:r w:rsidR="00D55ADD">
        <w:rPr>
          <w:sz w:val="24"/>
        </w:rPr>
        <w:t xml:space="preserve"> </w:t>
      </w:r>
      <w:r w:rsidR="00D55ADD" w:rsidRPr="00D55ADD">
        <w:rPr>
          <w:sz w:val="24"/>
        </w:rPr>
        <w:t>proposed collection of information is</w:t>
      </w:r>
      <w:r w:rsidR="00D55ADD">
        <w:rPr>
          <w:sz w:val="24"/>
        </w:rPr>
        <w:t xml:space="preserve"> </w:t>
      </w:r>
      <w:r w:rsidR="00D55ADD" w:rsidRPr="00D55ADD">
        <w:rPr>
          <w:sz w:val="24"/>
        </w:rPr>
        <w:t>necessary for the proper performance of</w:t>
      </w:r>
      <w:r w:rsidR="00094395">
        <w:rPr>
          <w:sz w:val="24"/>
        </w:rPr>
        <w:t xml:space="preserve"> </w:t>
      </w:r>
      <w:r w:rsidR="00D55ADD" w:rsidRPr="00D55ADD">
        <w:rPr>
          <w:sz w:val="24"/>
        </w:rPr>
        <w:t>ACL/AoA’s functions, including</w:t>
      </w:r>
      <w:r w:rsidR="00D55ADD">
        <w:rPr>
          <w:sz w:val="24"/>
        </w:rPr>
        <w:t xml:space="preserve"> </w:t>
      </w:r>
      <w:r w:rsidR="00D55ADD" w:rsidRPr="00D55ADD">
        <w:rPr>
          <w:sz w:val="24"/>
        </w:rPr>
        <w:t>whether the information will have</w:t>
      </w:r>
      <w:r w:rsidR="00D55ADD">
        <w:rPr>
          <w:sz w:val="24"/>
        </w:rPr>
        <w:t xml:space="preserve"> </w:t>
      </w:r>
      <w:r w:rsidR="00D55ADD" w:rsidRPr="00D55ADD">
        <w:rPr>
          <w:sz w:val="24"/>
        </w:rPr>
        <w:t>practical utility; (2) the accuracy of</w:t>
      </w:r>
      <w:r w:rsidR="00D55ADD">
        <w:rPr>
          <w:sz w:val="24"/>
        </w:rPr>
        <w:t xml:space="preserve"> </w:t>
      </w:r>
      <w:r w:rsidR="00D55ADD" w:rsidRPr="00D55ADD">
        <w:rPr>
          <w:sz w:val="24"/>
        </w:rPr>
        <w:t>ACL/AoA’s estimate of the burden of</w:t>
      </w:r>
      <w:r w:rsidR="00D55ADD">
        <w:rPr>
          <w:sz w:val="24"/>
        </w:rPr>
        <w:t xml:space="preserve"> </w:t>
      </w:r>
      <w:r w:rsidR="00D55ADD" w:rsidRPr="00D55ADD">
        <w:rPr>
          <w:sz w:val="24"/>
        </w:rPr>
        <w:t>the proposed collection of information,</w:t>
      </w:r>
      <w:r w:rsidR="00D55ADD">
        <w:rPr>
          <w:sz w:val="24"/>
        </w:rPr>
        <w:t xml:space="preserve"> </w:t>
      </w:r>
      <w:r w:rsidR="00D55ADD" w:rsidRPr="00D55ADD">
        <w:rPr>
          <w:sz w:val="24"/>
        </w:rPr>
        <w:t>including the validity of the</w:t>
      </w:r>
      <w:r w:rsidR="00D55ADD">
        <w:rPr>
          <w:sz w:val="24"/>
        </w:rPr>
        <w:t xml:space="preserve"> </w:t>
      </w:r>
      <w:r w:rsidR="00D55ADD" w:rsidRPr="00D55ADD">
        <w:rPr>
          <w:sz w:val="24"/>
        </w:rPr>
        <w:t>methodology and assumptions used; (3)</w:t>
      </w:r>
      <w:r w:rsidR="00D55ADD">
        <w:rPr>
          <w:sz w:val="24"/>
        </w:rPr>
        <w:t xml:space="preserve"> </w:t>
      </w:r>
      <w:r w:rsidR="00D55ADD" w:rsidRPr="00D55ADD">
        <w:rPr>
          <w:sz w:val="24"/>
        </w:rPr>
        <w:t>ways to enhance the quality, utility, and</w:t>
      </w:r>
      <w:r w:rsidR="00D55ADD">
        <w:rPr>
          <w:sz w:val="24"/>
        </w:rPr>
        <w:t xml:space="preserve"> </w:t>
      </w:r>
      <w:r w:rsidR="00D55ADD" w:rsidRPr="00D55ADD">
        <w:rPr>
          <w:sz w:val="24"/>
        </w:rPr>
        <w:t>clarity of the information to be</w:t>
      </w:r>
      <w:r w:rsidR="00D55ADD">
        <w:rPr>
          <w:sz w:val="24"/>
        </w:rPr>
        <w:t xml:space="preserve"> </w:t>
      </w:r>
      <w:r w:rsidR="00D55ADD" w:rsidRPr="00D55ADD">
        <w:rPr>
          <w:sz w:val="24"/>
        </w:rPr>
        <w:t>collected; and (4) ways to minimize the</w:t>
      </w:r>
      <w:r w:rsidR="00D55ADD">
        <w:rPr>
          <w:sz w:val="24"/>
        </w:rPr>
        <w:t xml:space="preserve"> </w:t>
      </w:r>
      <w:r w:rsidR="00D55ADD" w:rsidRPr="00D55ADD">
        <w:rPr>
          <w:sz w:val="24"/>
        </w:rPr>
        <w:t>burden of the collection of information</w:t>
      </w:r>
      <w:r w:rsidR="00D55ADD">
        <w:rPr>
          <w:sz w:val="24"/>
        </w:rPr>
        <w:t xml:space="preserve"> </w:t>
      </w:r>
      <w:r w:rsidR="00D55ADD" w:rsidRPr="00D55ADD">
        <w:rPr>
          <w:sz w:val="24"/>
        </w:rPr>
        <w:t>on respondents, including through the</w:t>
      </w:r>
      <w:r w:rsidR="00D55ADD">
        <w:rPr>
          <w:sz w:val="24"/>
        </w:rPr>
        <w:t xml:space="preserve"> </w:t>
      </w:r>
      <w:r w:rsidR="00D55ADD" w:rsidRPr="00D55ADD">
        <w:rPr>
          <w:sz w:val="24"/>
        </w:rPr>
        <w:t>use of automated collection techniques</w:t>
      </w:r>
      <w:r w:rsidR="00D55ADD">
        <w:rPr>
          <w:sz w:val="24"/>
        </w:rPr>
        <w:t xml:space="preserve"> </w:t>
      </w:r>
      <w:r w:rsidR="00D55ADD" w:rsidRPr="00D55ADD">
        <w:rPr>
          <w:sz w:val="24"/>
        </w:rPr>
        <w:t>when appropriate, and other forms of</w:t>
      </w:r>
      <w:r w:rsidR="00D55ADD">
        <w:rPr>
          <w:sz w:val="24"/>
        </w:rPr>
        <w:t xml:space="preserve"> </w:t>
      </w:r>
      <w:r w:rsidR="00D55ADD" w:rsidRPr="00D55ADD">
        <w:rPr>
          <w:sz w:val="24"/>
        </w:rPr>
        <w:t>information technology</w:t>
      </w:r>
      <w:r w:rsidR="00D55ADD">
        <w:rPr>
          <w:sz w:val="24"/>
        </w:rPr>
        <w:t xml:space="preserve">.   </w:t>
      </w:r>
    </w:p>
    <w:p w:rsidR="00E35E6F" w:rsidRDefault="00E35E6F" w:rsidP="00094395">
      <w:pPr>
        <w:ind w:left="720"/>
        <w:rPr>
          <w:sz w:val="24"/>
        </w:rPr>
      </w:pPr>
    </w:p>
    <w:p w:rsidR="00646ED6" w:rsidRDefault="00D55ADD" w:rsidP="00094395">
      <w:pPr>
        <w:ind w:left="720"/>
        <w:rPr>
          <w:sz w:val="24"/>
        </w:rPr>
      </w:pPr>
      <w:r>
        <w:rPr>
          <w:sz w:val="24"/>
        </w:rPr>
        <w:t>R</w:t>
      </w:r>
      <w:r w:rsidRPr="00335A6D">
        <w:rPr>
          <w:sz w:val="24"/>
        </w:rPr>
        <w:t xml:space="preserve">eaders </w:t>
      </w:r>
      <w:r>
        <w:rPr>
          <w:sz w:val="24"/>
        </w:rPr>
        <w:t xml:space="preserve">were directed </w:t>
      </w:r>
      <w:r w:rsidR="00335A6D" w:rsidRPr="00335A6D">
        <w:rPr>
          <w:sz w:val="24"/>
        </w:rPr>
        <w:t xml:space="preserve">to the </w:t>
      </w:r>
      <w:r>
        <w:rPr>
          <w:sz w:val="24"/>
        </w:rPr>
        <w:t>ACL/</w:t>
      </w:r>
      <w:r w:rsidR="00335A6D" w:rsidRPr="00335A6D">
        <w:rPr>
          <w:sz w:val="24"/>
        </w:rPr>
        <w:t xml:space="preserve">AoA website where the documents </w:t>
      </w:r>
      <w:r>
        <w:rPr>
          <w:sz w:val="24"/>
        </w:rPr>
        <w:t>were</w:t>
      </w:r>
      <w:r w:rsidR="00335A6D" w:rsidRPr="00335A6D">
        <w:rPr>
          <w:sz w:val="24"/>
        </w:rPr>
        <w:t xml:space="preserve"> posted and </w:t>
      </w:r>
      <w:r>
        <w:rPr>
          <w:sz w:val="24"/>
        </w:rPr>
        <w:t xml:space="preserve">provided </w:t>
      </w:r>
      <w:r w:rsidR="00E35E6F">
        <w:rPr>
          <w:sz w:val="24"/>
        </w:rPr>
        <w:t xml:space="preserve">an </w:t>
      </w:r>
      <w:r w:rsidR="00335A6D" w:rsidRPr="00335A6D">
        <w:rPr>
          <w:sz w:val="24"/>
        </w:rPr>
        <w:t xml:space="preserve">opportunity for public comment.  </w:t>
      </w:r>
      <w:r w:rsidR="00914E63">
        <w:rPr>
          <w:sz w:val="24"/>
        </w:rPr>
        <w:t>ACL received comments from 1</w:t>
      </w:r>
      <w:r w:rsidR="003F0ADE">
        <w:rPr>
          <w:sz w:val="24"/>
        </w:rPr>
        <w:t>8</w:t>
      </w:r>
      <w:r w:rsidR="00914E63">
        <w:rPr>
          <w:sz w:val="24"/>
        </w:rPr>
        <w:t xml:space="preserve"> individuals and groups.   </w:t>
      </w:r>
      <w:r w:rsidR="00D34F0E" w:rsidRPr="00F222B3">
        <w:rPr>
          <w:sz w:val="24"/>
          <w:u w:val="single"/>
        </w:rPr>
        <w:t>A</w:t>
      </w:r>
      <w:r w:rsidR="00914E63" w:rsidRPr="00F222B3">
        <w:rPr>
          <w:sz w:val="24"/>
          <w:u w:val="single"/>
        </w:rPr>
        <w:t xml:space="preserve"> list of </w:t>
      </w:r>
      <w:r w:rsidR="00646ED6" w:rsidRPr="00F222B3">
        <w:rPr>
          <w:sz w:val="24"/>
          <w:u w:val="single"/>
        </w:rPr>
        <w:t xml:space="preserve">specific </w:t>
      </w:r>
      <w:r w:rsidR="00914E63" w:rsidRPr="00F222B3">
        <w:rPr>
          <w:sz w:val="24"/>
          <w:u w:val="single"/>
        </w:rPr>
        <w:t xml:space="preserve">comments received during the 60-day public comment period, along with </w:t>
      </w:r>
      <w:r w:rsidR="00E35E6F" w:rsidRPr="00F222B3">
        <w:rPr>
          <w:sz w:val="24"/>
          <w:u w:val="single"/>
        </w:rPr>
        <w:t xml:space="preserve">ACL’s </w:t>
      </w:r>
      <w:r w:rsidR="00914E63" w:rsidRPr="00F222B3">
        <w:rPr>
          <w:sz w:val="24"/>
          <w:u w:val="single"/>
        </w:rPr>
        <w:t>responses</w:t>
      </w:r>
      <w:r w:rsidR="00E35E6F" w:rsidRPr="00F222B3">
        <w:rPr>
          <w:sz w:val="24"/>
          <w:u w:val="single"/>
        </w:rPr>
        <w:t>,</w:t>
      </w:r>
      <w:r w:rsidR="00D34F0E" w:rsidRPr="00F222B3">
        <w:rPr>
          <w:sz w:val="24"/>
          <w:u w:val="single"/>
        </w:rPr>
        <w:t xml:space="preserve"> is </w:t>
      </w:r>
      <w:r w:rsidR="00646ED6" w:rsidRPr="00F222B3">
        <w:rPr>
          <w:sz w:val="24"/>
          <w:u w:val="single"/>
        </w:rPr>
        <w:t>attached</w:t>
      </w:r>
      <w:r w:rsidR="00AE6CA3" w:rsidRPr="00F222B3">
        <w:rPr>
          <w:sz w:val="24"/>
        </w:rPr>
        <w:t>.</w:t>
      </w:r>
      <w:r w:rsidR="00646ED6">
        <w:rPr>
          <w:sz w:val="24"/>
        </w:rPr>
        <w:t xml:space="preserve"> Comments were received by </w:t>
      </w:r>
      <w:r w:rsidR="002A18C1">
        <w:rPr>
          <w:sz w:val="24"/>
        </w:rPr>
        <w:t xml:space="preserve">the following groups and individuals: National Association of State Ombudsman Programs (NASOP); National Association of Local LTC Ombudsman (NALLTCO); </w:t>
      </w:r>
      <w:r w:rsidR="003F0ADE">
        <w:rPr>
          <w:sz w:val="24"/>
        </w:rPr>
        <w:t xml:space="preserve">one software vendor, Peer Place; one local LTC Ombudsman in California; </w:t>
      </w:r>
      <w:r w:rsidR="00E35E6F">
        <w:rPr>
          <w:sz w:val="24"/>
        </w:rPr>
        <w:t>t</w:t>
      </w:r>
      <w:r w:rsidR="003F0ADE">
        <w:rPr>
          <w:sz w:val="24"/>
        </w:rPr>
        <w:t>he C</w:t>
      </w:r>
      <w:r w:rsidR="00AE6CA3">
        <w:rPr>
          <w:sz w:val="24"/>
        </w:rPr>
        <w:t>alifornia</w:t>
      </w:r>
      <w:r w:rsidR="003F0ADE">
        <w:rPr>
          <w:sz w:val="24"/>
        </w:rPr>
        <w:t xml:space="preserve"> Association of Local LTC Ombudsmen; one researcher with expertise in dementia and abuse and neglect; </w:t>
      </w:r>
      <w:r w:rsidR="00E35E6F">
        <w:rPr>
          <w:sz w:val="24"/>
        </w:rPr>
        <w:t>t</w:t>
      </w:r>
      <w:r w:rsidR="003F0ADE">
        <w:rPr>
          <w:sz w:val="24"/>
        </w:rPr>
        <w:t xml:space="preserve">he Consumer Voice for Quality LTC Care; and the </w:t>
      </w:r>
      <w:r w:rsidR="00AE6CA3">
        <w:rPr>
          <w:sz w:val="24"/>
        </w:rPr>
        <w:t xml:space="preserve"> following </w:t>
      </w:r>
      <w:r w:rsidR="003F0ADE">
        <w:rPr>
          <w:sz w:val="24"/>
        </w:rPr>
        <w:t>State Ombudsman programs</w:t>
      </w:r>
      <w:r w:rsidR="00AE6CA3">
        <w:rPr>
          <w:sz w:val="24"/>
        </w:rPr>
        <w:t xml:space="preserve">:  </w:t>
      </w:r>
      <w:r w:rsidR="003F0ADE">
        <w:rPr>
          <w:sz w:val="24"/>
        </w:rPr>
        <w:t xml:space="preserve"> California</w:t>
      </w:r>
      <w:r w:rsidR="00AE6CA3">
        <w:rPr>
          <w:sz w:val="24"/>
        </w:rPr>
        <w:t xml:space="preserve">; </w:t>
      </w:r>
      <w:r w:rsidR="003F0ADE">
        <w:rPr>
          <w:sz w:val="24"/>
        </w:rPr>
        <w:t xml:space="preserve">Florida; Maryland; New York; Iowa; Pennsylvania; Arizona; New Hampshire; Texas; Alaska; </w:t>
      </w:r>
      <w:r w:rsidR="00E35E6F">
        <w:rPr>
          <w:sz w:val="24"/>
        </w:rPr>
        <w:t xml:space="preserve">and </w:t>
      </w:r>
      <w:r w:rsidR="003F0ADE">
        <w:rPr>
          <w:sz w:val="24"/>
        </w:rPr>
        <w:t xml:space="preserve">Virginia. Many of the state Ombudsman comments were identical to NASOP’s comments. </w:t>
      </w:r>
    </w:p>
    <w:p w:rsidR="003F0ADE" w:rsidRDefault="003F0ADE" w:rsidP="003F0ADE">
      <w:pPr>
        <w:ind w:left="720"/>
        <w:rPr>
          <w:sz w:val="24"/>
        </w:rPr>
      </w:pPr>
    </w:p>
    <w:p w:rsidR="00646ED6" w:rsidRDefault="00646ED6" w:rsidP="003F0ADE">
      <w:pPr>
        <w:ind w:left="720"/>
        <w:rPr>
          <w:sz w:val="24"/>
        </w:rPr>
      </w:pPr>
      <w:r>
        <w:rPr>
          <w:sz w:val="24"/>
        </w:rPr>
        <w:t>Globally, there was not significant comment on the data elements to be collected</w:t>
      </w:r>
      <w:r w:rsidR="00E35E6F">
        <w:rPr>
          <w:sz w:val="24"/>
        </w:rPr>
        <w:t>,</w:t>
      </w:r>
      <w:r>
        <w:rPr>
          <w:sz w:val="24"/>
        </w:rPr>
        <w:t xml:space="preserve"> but </w:t>
      </w:r>
      <w:r w:rsidR="00AE6CA3">
        <w:rPr>
          <w:sz w:val="24"/>
        </w:rPr>
        <w:t>rather</w:t>
      </w:r>
      <w:r>
        <w:rPr>
          <w:sz w:val="24"/>
        </w:rPr>
        <w:t xml:space="preserve"> on ways to </w:t>
      </w:r>
      <w:r w:rsidRPr="00646ED6">
        <w:rPr>
          <w:sz w:val="24"/>
        </w:rPr>
        <w:t xml:space="preserve">enhance the quality, utility, and clarity of </w:t>
      </w:r>
      <w:r>
        <w:rPr>
          <w:sz w:val="24"/>
        </w:rPr>
        <w:t xml:space="preserve">the information to be collected.  These comments were very helpful and many of the </w:t>
      </w:r>
      <w:r w:rsidR="003F0ADE">
        <w:rPr>
          <w:sz w:val="24"/>
        </w:rPr>
        <w:t>proposed edits and language suggestions were</w:t>
      </w:r>
      <w:r>
        <w:rPr>
          <w:sz w:val="24"/>
        </w:rPr>
        <w:t xml:space="preserve"> adopted.</w:t>
      </w:r>
    </w:p>
    <w:p w:rsidR="003F0ADE" w:rsidRDefault="003F0ADE" w:rsidP="00914E63">
      <w:pPr>
        <w:rPr>
          <w:sz w:val="24"/>
        </w:rPr>
      </w:pPr>
    </w:p>
    <w:p w:rsidR="003F0ADE" w:rsidRDefault="003F0ADE" w:rsidP="00086F05">
      <w:pPr>
        <w:ind w:left="720"/>
        <w:rPr>
          <w:sz w:val="24"/>
        </w:rPr>
      </w:pPr>
      <w:r>
        <w:rPr>
          <w:sz w:val="24"/>
        </w:rPr>
        <w:t>Concerns regarding burden included: Disagreement about the burden hour</w:t>
      </w:r>
      <w:r w:rsidR="00086F05">
        <w:rPr>
          <w:sz w:val="24"/>
        </w:rPr>
        <w:t>s because of changes in data collection requirements and added structured requirements of narrative complaint examples, systems issues and conflicts of interest reporting</w:t>
      </w:r>
      <w:r w:rsidR="000E31ED">
        <w:rPr>
          <w:sz w:val="24"/>
        </w:rPr>
        <w:t xml:space="preserve">, as discussed above the new reporting system will streamline these current reporting activities, allowing for flexibility and the </w:t>
      </w:r>
      <w:r w:rsidR="0044588C">
        <w:rPr>
          <w:sz w:val="24"/>
        </w:rPr>
        <w:t>ability</w:t>
      </w:r>
      <w:r w:rsidR="000E31ED">
        <w:rPr>
          <w:sz w:val="24"/>
        </w:rPr>
        <w:t xml:space="preserve"> to import data from the previous year for use in the next year, where appropriate. </w:t>
      </w:r>
      <w:r w:rsidR="0044588C">
        <w:rPr>
          <w:sz w:val="24"/>
        </w:rPr>
        <w:t xml:space="preserve">Many responders expressed concern about burden with a data collection item to indicate if a complaint was a complaint on behalf of more than one resident, i.e. a “group complaint”  </w:t>
      </w:r>
      <w:r w:rsidR="00F3690F">
        <w:rPr>
          <w:sz w:val="24"/>
        </w:rPr>
        <w:t xml:space="preserve">(Table 1,code C5 on the 60 day submission.) </w:t>
      </w:r>
      <w:r w:rsidR="0044588C">
        <w:rPr>
          <w:sz w:val="24"/>
        </w:rPr>
        <w:t>ACL agreed and removed this data element.</w:t>
      </w:r>
      <w:r w:rsidR="000E31ED">
        <w:rPr>
          <w:sz w:val="24"/>
        </w:rPr>
        <w:t xml:space="preserve"> State Ombudsmen expressed</w:t>
      </w:r>
      <w:r w:rsidR="00086F05">
        <w:rPr>
          <w:sz w:val="24"/>
        </w:rPr>
        <w:t xml:space="preserve"> concern about </w:t>
      </w:r>
      <w:r w:rsidR="0059247F">
        <w:rPr>
          <w:sz w:val="24"/>
        </w:rPr>
        <w:t xml:space="preserve">the </w:t>
      </w:r>
      <w:r w:rsidR="00086F05">
        <w:rPr>
          <w:sz w:val="24"/>
        </w:rPr>
        <w:t xml:space="preserve">undue burden of a name change from “board and care” to “residential care community.” </w:t>
      </w:r>
      <w:r w:rsidR="003163A5">
        <w:rPr>
          <w:sz w:val="24"/>
        </w:rPr>
        <w:t>However there was no specific estimate of hours or justification</w:t>
      </w:r>
      <w:r w:rsidR="00F3690F">
        <w:rPr>
          <w:sz w:val="24"/>
        </w:rPr>
        <w:t>. M</w:t>
      </w:r>
      <w:r w:rsidR="003163A5">
        <w:rPr>
          <w:sz w:val="24"/>
        </w:rPr>
        <w:t>any State Ombudsmen expressed concern</w:t>
      </w:r>
      <w:r w:rsidR="00F3690F">
        <w:rPr>
          <w:sz w:val="24"/>
        </w:rPr>
        <w:t xml:space="preserve">s </w:t>
      </w:r>
      <w:r w:rsidR="003163A5">
        <w:rPr>
          <w:sz w:val="24"/>
        </w:rPr>
        <w:t>that a</w:t>
      </w:r>
      <w:r w:rsidR="003163A5" w:rsidRPr="003163A5">
        <w:rPr>
          <w:sz w:val="24"/>
        </w:rPr>
        <w:t>doption of this term would require change to state reporting systems and training to every representative of t</w:t>
      </w:r>
      <w:r w:rsidR="003163A5">
        <w:rPr>
          <w:sz w:val="24"/>
        </w:rPr>
        <w:t xml:space="preserve">he Office, with no added value and that it implied that it expanded the jurisdiction of the types of facilities that the program should </w:t>
      </w:r>
      <w:r w:rsidR="000E31ED">
        <w:rPr>
          <w:sz w:val="24"/>
        </w:rPr>
        <w:t>serve.</w:t>
      </w:r>
      <w:r w:rsidR="003163A5">
        <w:rPr>
          <w:sz w:val="24"/>
        </w:rPr>
        <w:t xml:space="preserve">  In response to their concerns</w:t>
      </w:r>
      <w:r w:rsidR="0044588C">
        <w:rPr>
          <w:sz w:val="24"/>
        </w:rPr>
        <w:t xml:space="preserve"> about expanding jurisdiction</w:t>
      </w:r>
      <w:r w:rsidR="003163A5">
        <w:rPr>
          <w:sz w:val="24"/>
        </w:rPr>
        <w:t xml:space="preserve"> the definition was revised </w:t>
      </w:r>
      <w:r w:rsidR="0044588C">
        <w:rPr>
          <w:sz w:val="24"/>
        </w:rPr>
        <w:t xml:space="preserve">while keeping </w:t>
      </w:r>
      <w:r w:rsidR="003163A5">
        <w:rPr>
          <w:sz w:val="24"/>
        </w:rPr>
        <w:t>the term “residential care community</w:t>
      </w:r>
      <w:r w:rsidR="0044588C">
        <w:rPr>
          <w:sz w:val="24"/>
        </w:rPr>
        <w:t>.</w:t>
      </w:r>
      <w:r w:rsidR="003163A5">
        <w:rPr>
          <w:sz w:val="24"/>
        </w:rPr>
        <w:t xml:space="preserve">” </w:t>
      </w:r>
      <w:r w:rsidR="0044588C">
        <w:rPr>
          <w:sz w:val="24"/>
        </w:rPr>
        <w:t xml:space="preserve"> </w:t>
      </w:r>
      <w:r w:rsidR="0044588C" w:rsidRPr="0044588C">
        <w:rPr>
          <w:sz w:val="24"/>
        </w:rPr>
        <w:t xml:space="preserve">ACL does not believe that a change in definition and title will cause confusion at the state and local level because there will not be a change in state level practice. Currently, state Ombudsman programs use their state licensing terms (i.e. assisted living, adult foster home, and personal care home, etc.)  States’ data collection software allows for their residential care data to be entered by state license type which is then combined and reported in NORS as one facility type, currently called board &amp; care. </w:t>
      </w:r>
      <w:r w:rsidR="0044588C">
        <w:rPr>
          <w:sz w:val="24"/>
        </w:rPr>
        <w:t xml:space="preserve"> </w:t>
      </w:r>
      <w:r w:rsidR="003163A5">
        <w:rPr>
          <w:sz w:val="24"/>
        </w:rPr>
        <w:t xml:space="preserve"> </w:t>
      </w:r>
      <w:r w:rsidR="003163A5" w:rsidRPr="003163A5">
        <w:rPr>
          <w:sz w:val="24"/>
        </w:rPr>
        <w:t>ACL</w:t>
      </w:r>
      <w:r w:rsidR="0044588C">
        <w:rPr>
          <w:sz w:val="24"/>
        </w:rPr>
        <w:t xml:space="preserve"> also</w:t>
      </w:r>
      <w:r w:rsidR="003163A5" w:rsidRPr="003163A5">
        <w:rPr>
          <w:sz w:val="24"/>
        </w:rPr>
        <w:t xml:space="preserve"> believes the term </w:t>
      </w:r>
      <w:r w:rsidR="0044588C">
        <w:rPr>
          <w:sz w:val="24"/>
        </w:rPr>
        <w:t>“</w:t>
      </w:r>
      <w:r w:rsidR="00F3690F">
        <w:rPr>
          <w:sz w:val="24"/>
        </w:rPr>
        <w:t>r</w:t>
      </w:r>
      <w:r w:rsidR="003163A5" w:rsidRPr="003163A5">
        <w:rPr>
          <w:sz w:val="24"/>
        </w:rPr>
        <w:t xml:space="preserve">esidential </w:t>
      </w:r>
      <w:r w:rsidR="00F3690F">
        <w:rPr>
          <w:sz w:val="24"/>
        </w:rPr>
        <w:t>c</w:t>
      </w:r>
      <w:r w:rsidR="003163A5" w:rsidRPr="003163A5">
        <w:rPr>
          <w:sz w:val="24"/>
        </w:rPr>
        <w:t xml:space="preserve">are </w:t>
      </w:r>
      <w:r w:rsidR="00F3690F">
        <w:rPr>
          <w:sz w:val="24"/>
        </w:rPr>
        <w:t>c</w:t>
      </w:r>
      <w:r w:rsidR="003163A5" w:rsidRPr="003163A5">
        <w:rPr>
          <w:sz w:val="24"/>
        </w:rPr>
        <w:t>ommunity</w:t>
      </w:r>
      <w:r w:rsidR="0044588C">
        <w:rPr>
          <w:sz w:val="24"/>
        </w:rPr>
        <w:t>”</w:t>
      </w:r>
      <w:r w:rsidR="003163A5" w:rsidRPr="003163A5">
        <w:rPr>
          <w:sz w:val="24"/>
        </w:rPr>
        <w:t xml:space="preserve"> reflects current nomenclature.  The Assistant Secretary for Planning &amp; Evaluation (ASPE) Compendium of Residential Care and Assisted Living Regulations and Policy: 2015 Edition notes that until the mid-1990s, the most frequently used terms were board and care or residential care.  However the popularity of the new assisted living mode</w:t>
      </w:r>
      <w:r w:rsidR="000E31ED">
        <w:rPr>
          <w:sz w:val="24"/>
        </w:rPr>
        <w:t>l</w:t>
      </w:r>
      <w:r w:rsidR="003163A5" w:rsidRPr="003163A5">
        <w:rPr>
          <w:sz w:val="24"/>
        </w:rPr>
        <w:t xml:space="preserve"> led many residential care settings to change their name to assisted living.  Currently 23 states have more than one licensure category. Most states (44) use the term assisted living as a licensing or certification category. The word that follows "assisted living" varies, and includes facility, residence, program, home, and community. The next most commonly used licensure term is residential care, used by 20 states.</w:t>
      </w:r>
      <w:r w:rsidR="003163A5">
        <w:rPr>
          <w:sz w:val="24"/>
        </w:rPr>
        <w:t xml:space="preserve"> </w:t>
      </w:r>
      <w:r w:rsidR="000E31ED">
        <w:rPr>
          <w:sz w:val="24"/>
        </w:rPr>
        <w:t xml:space="preserve"> </w:t>
      </w:r>
      <w:r w:rsidR="0044588C">
        <w:rPr>
          <w:sz w:val="24"/>
        </w:rPr>
        <w:t xml:space="preserve"> Additional concerns</w:t>
      </w:r>
      <w:r w:rsidR="00086F05">
        <w:rPr>
          <w:sz w:val="24"/>
        </w:rPr>
        <w:t xml:space="preserve"> </w:t>
      </w:r>
      <w:r w:rsidR="0044588C">
        <w:rPr>
          <w:sz w:val="24"/>
        </w:rPr>
        <w:t xml:space="preserve">about </w:t>
      </w:r>
      <w:r w:rsidR="00A86D49">
        <w:rPr>
          <w:sz w:val="24"/>
        </w:rPr>
        <w:t xml:space="preserve">the wording in proposed  definitions </w:t>
      </w:r>
      <w:r w:rsidR="0044588C">
        <w:rPr>
          <w:sz w:val="24"/>
        </w:rPr>
        <w:t>and requests to add additional data collection</w:t>
      </w:r>
      <w:r w:rsidR="00A86D49">
        <w:rPr>
          <w:sz w:val="24"/>
        </w:rPr>
        <w:t xml:space="preserve"> elements</w:t>
      </w:r>
      <w:r w:rsidR="0044588C">
        <w:rPr>
          <w:sz w:val="24"/>
        </w:rPr>
        <w:t xml:space="preserve"> </w:t>
      </w:r>
      <w:r w:rsidR="00086F05">
        <w:rPr>
          <w:sz w:val="24"/>
        </w:rPr>
        <w:t>are addressed in the response to comments tables.</w:t>
      </w:r>
    </w:p>
    <w:p w:rsidR="00086F05" w:rsidRDefault="00086F05" w:rsidP="00086F05">
      <w:pPr>
        <w:ind w:left="720"/>
        <w:rPr>
          <w:sz w:val="24"/>
        </w:rPr>
      </w:pPr>
    </w:p>
    <w:p w:rsidR="00EB0307" w:rsidRDefault="00086F05" w:rsidP="00086F05">
      <w:pPr>
        <w:ind w:left="720"/>
        <w:rPr>
          <w:sz w:val="24"/>
        </w:rPr>
      </w:pPr>
      <w:r>
        <w:rPr>
          <w:sz w:val="24"/>
        </w:rPr>
        <w:t>Many commenters expressed concerns about the cost to update and revise their reporting systems.  One State, California, who has developed their own software</w:t>
      </w:r>
      <w:r w:rsidR="007D1B23">
        <w:rPr>
          <w:sz w:val="24"/>
        </w:rPr>
        <w:t xml:space="preserve"> utilizing in-house  IT services, </w:t>
      </w:r>
      <w:r>
        <w:rPr>
          <w:sz w:val="24"/>
        </w:rPr>
        <w:t>estimates</w:t>
      </w:r>
      <w:r w:rsidR="00D127AE">
        <w:rPr>
          <w:sz w:val="24"/>
        </w:rPr>
        <w:t xml:space="preserve"> a </w:t>
      </w:r>
      <w:r>
        <w:rPr>
          <w:sz w:val="24"/>
        </w:rPr>
        <w:t>range from 9-52 days of work for software changes and 5-55 days to update training materials, update their in-house reference guide, provide training, etc. Another state, Florida, estimate that the changes required will cost around $10,000.  One vendor, PeerPlace, commented that they see “no issue” with the proposed changes and that they are committed to keeping all of their customers using PeerPlace Ombudsman product up to date with any NORS reporting changes.</w:t>
      </w:r>
      <w:r w:rsidR="005703E5">
        <w:rPr>
          <w:sz w:val="24"/>
        </w:rPr>
        <w:t xml:space="preserve"> </w:t>
      </w:r>
      <w:r w:rsidR="00F3690F">
        <w:rPr>
          <w:sz w:val="24"/>
        </w:rPr>
        <w:t xml:space="preserve"> </w:t>
      </w:r>
    </w:p>
    <w:p w:rsidR="00EB0307" w:rsidRDefault="00EB0307" w:rsidP="00086F05">
      <w:pPr>
        <w:ind w:left="720"/>
        <w:rPr>
          <w:sz w:val="24"/>
        </w:rPr>
      </w:pPr>
    </w:p>
    <w:p w:rsidR="009708E4" w:rsidRDefault="005703E5" w:rsidP="00086F05">
      <w:pPr>
        <w:ind w:left="720"/>
        <w:rPr>
          <w:sz w:val="24"/>
        </w:rPr>
      </w:pPr>
      <w:r>
        <w:rPr>
          <w:sz w:val="24"/>
        </w:rPr>
        <w:t xml:space="preserve">Many commenters expressed concerns </w:t>
      </w:r>
      <w:r w:rsidR="0060796D">
        <w:rPr>
          <w:sz w:val="24"/>
        </w:rPr>
        <w:t>a</w:t>
      </w:r>
      <w:r>
        <w:rPr>
          <w:sz w:val="24"/>
        </w:rPr>
        <w:t>bout training needs and time to adapt their software.</w:t>
      </w:r>
      <w:r w:rsidR="000461DE">
        <w:rPr>
          <w:sz w:val="24"/>
        </w:rPr>
        <w:t xml:space="preserve">   </w:t>
      </w:r>
      <w:r w:rsidR="000461DE" w:rsidRPr="000461DE">
        <w:rPr>
          <w:sz w:val="24"/>
        </w:rPr>
        <w:t xml:space="preserve">ACL anticipates that states will not need to develop training materials or host training to meet the federal reporting requirements. </w:t>
      </w:r>
      <w:r>
        <w:rPr>
          <w:sz w:val="24"/>
        </w:rPr>
        <w:t xml:space="preserve"> ACL is working with the </w:t>
      </w:r>
      <w:r w:rsidR="000461DE">
        <w:rPr>
          <w:sz w:val="24"/>
        </w:rPr>
        <w:t xml:space="preserve">contractor developing the reporting </w:t>
      </w:r>
      <w:r>
        <w:rPr>
          <w:sz w:val="24"/>
        </w:rPr>
        <w:t xml:space="preserve">software  to develop training modules on how to use the new </w:t>
      </w:r>
      <w:r w:rsidR="000461DE">
        <w:rPr>
          <w:sz w:val="24"/>
        </w:rPr>
        <w:t>reporting system.</w:t>
      </w:r>
      <w:r w:rsidR="00D127AE">
        <w:rPr>
          <w:sz w:val="24"/>
        </w:rPr>
        <w:t>.</w:t>
      </w:r>
      <w:r>
        <w:rPr>
          <w:sz w:val="24"/>
        </w:rPr>
        <w:t xml:space="preserve"> </w:t>
      </w:r>
      <w:r w:rsidR="00D127AE">
        <w:rPr>
          <w:sz w:val="24"/>
        </w:rPr>
        <w:t xml:space="preserve"> </w:t>
      </w:r>
      <w:r w:rsidR="00EB6A8F">
        <w:rPr>
          <w:sz w:val="24"/>
        </w:rPr>
        <w:t>Training will</w:t>
      </w:r>
      <w:r>
        <w:rPr>
          <w:sz w:val="24"/>
        </w:rPr>
        <w:t xml:space="preserve"> b</w:t>
      </w:r>
      <w:r w:rsidR="000569EC">
        <w:rPr>
          <w:sz w:val="24"/>
        </w:rPr>
        <w:t xml:space="preserve">e offered as webinars </w:t>
      </w:r>
      <w:r>
        <w:rPr>
          <w:sz w:val="24"/>
        </w:rPr>
        <w:t>and in person at national conferences when possible.</w:t>
      </w:r>
      <w:r w:rsidR="00D127AE">
        <w:rPr>
          <w:sz w:val="24"/>
        </w:rPr>
        <w:t xml:space="preserve"> </w:t>
      </w:r>
      <w:r w:rsidR="00D127AE" w:rsidRPr="00D127AE">
        <w:rPr>
          <w:sz w:val="24"/>
        </w:rPr>
        <w:t xml:space="preserve">User support materials and recorded webinars will </w:t>
      </w:r>
      <w:r w:rsidR="000569EC">
        <w:rPr>
          <w:sz w:val="24"/>
        </w:rPr>
        <w:t xml:space="preserve">also </w:t>
      </w:r>
      <w:r w:rsidR="00D127AE" w:rsidRPr="00D127AE">
        <w:rPr>
          <w:sz w:val="24"/>
        </w:rPr>
        <w:t xml:space="preserve">be available on the </w:t>
      </w:r>
      <w:r w:rsidR="00F3690F">
        <w:rPr>
          <w:sz w:val="24"/>
        </w:rPr>
        <w:t xml:space="preserve"> reporting </w:t>
      </w:r>
      <w:r w:rsidR="00D127AE" w:rsidRPr="00D127AE">
        <w:rPr>
          <w:sz w:val="24"/>
        </w:rPr>
        <w:t>website</w:t>
      </w:r>
      <w:r w:rsidR="00D127AE">
        <w:rPr>
          <w:sz w:val="24"/>
        </w:rPr>
        <w:t xml:space="preserve">. </w:t>
      </w:r>
      <w:r>
        <w:rPr>
          <w:sz w:val="24"/>
        </w:rPr>
        <w:t xml:space="preserve"> The National Ombudsman Resource </w:t>
      </w:r>
      <w:r w:rsidR="00EB6A8F">
        <w:rPr>
          <w:sz w:val="24"/>
        </w:rPr>
        <w:t>Center will</w:t>
      </w:r>
      <w:r>
        <w:rPr>
          <w:sz w:val="24"/>
        </w:rPr>
        <w:t xml:space="preserve"> develop modules on how to interpret the new definitions and codes similar to past training; they will host webinars and provide in-person training at their annual spring training for state LTC Ombudsmen and will host all tools and modules on their website. </w:t>
      </w:r>
      <w:r w:rsidR="00682CEB">
        <w:rPr>
          <w:sz w:val="24"/>
        </w:rPr>
        <w:t xml:space="preserve"> </w:t>
      </w:r>
      <w:r w:rsidR="000461DE">
        <w:rPr>
          <w:sz w:val="24"/>
        </w:rPr>
        <w:t xml:space="preserve">The contractor is also holding meetings with vendors and state information technology staff on the technical requirements of the new system and will provide  data templates in various formats; and detailed crosswalks of the current data collection to the new data collection. </w:t>
      </w:r>
    </w:p>
    <w:p w:rsidR="009708E4" w:rsidRDefault="009708E4" w:rsidP="00086F05">
      <w:pPr>
        <w:ind w:left="720"/>
        <w:rPr>
          <w:sz w:val="24"/>
        </w:rPr>
      </w:pPr>
      <w:r>
        <w:rPr>
          <w:sz w:val="24"/>
        </w:rPr>
        <w:t xml:space="preserve">Despite the  concerns addressed, there was an overall positive tone to the </w:t>
      </w:r>
      <w:r w:rsidR="00D127AE">
        <w:rPr>
          <w:sz w:val="24"/>
        </w:rPr>
        <w:t>comments</w:t>
      </w:r>
      <w:r>
        <w:rPr>
          <w:sz w:val="24"/>
        </w:rPr>
        <w:t>: “NASOP largely supports the changes made by ACL to NORS. We appreciate ACL’s efforts to incorporate many of the revisions previously recommended by NASOP. We believe that these changes will result in more accurate and consistent reporting as well as more precise identification of trends and the systems advocacy needed to address common complaints.”</w:t>
      </w:r>
    </w:p>
    <w:p w:rsidR="00086F05" w:rsidRDefault="00086F05" w:rsidP="00086F05">
      <w:pPr>
        <w:ind w:left="720"/>
        <w:rPr>
          <w:sz w:val="24"/>
        </w:rPr>
      </w:pPr>
    </w:p>
    <w:p w:rsidR="006819CF" w:rsidRDefault="006819CF" w:rsidP="00900073">
      <w:pPr>
        <w:rPr>
          <w:sz w:val="24"/>
        </w:rPr>
      </w:pPr>
    </w:p>
    <w:p w:rsidR="00A07EE5" w:rsidRPr="00A07EE5" w:rsidRDefault="006819CF">
      <w:pPr>
        <w:numPr>
          <w:ilvl w:val="0"/>
          <w:numId w:val="2"/>
        </w:numPr>
        <w:rPr>
          <w:b/>
          <w:sz w:val="24"/>
        </w:rPr>
      </w:pPr>
      <w:r>
        <w:rPr>
          <w:b/>
          <w:sz w:val="24"/>
          <w:u w:val="single"/>
        </w:rPr>
        <w:t>Explanation of any Payment/Gift to Respondents</w:t>
      </w:r>
      <w:r w:rsidR="00FB485C">
        <w:rPr>
          <w:b/>
          <w:sz w:val="24"/>
          <w:u w:val="single"/>
        </w:rPr>
        <w:t xml:space="preserve"> </w:t>
      </w:r>
    </w:p>
    <w:p w:rsidR="00A07EE5" w:rsidRDefault="00A07EE5" w:rsidP="00A07EE5">
      <w:pPr>
        <w:ind w:left="720"/>
        <w:rPr>
          <w:b/>
          <w:sz w:val="24"/>
        </w:rPr>
      </w:pPr>
    </w:p>
    <w:p w:rsidR="006819CF" w:rsidRPr="00A07EE5" w:rsidRDefault="00A07EE5" w:rsidP="00A07EE5">
      <w:pPr>
        <w:ind w:left="720"/>
        <w:rPr>
          <w:b/>
          <w:sz w:val="24"/>
        </w:rPr>
      </w:pPr>
      <w:r>
        <w:rPr>
          <w:sz w:val="24"/>
        </w:rPr>
        <w:t>N</w:t>
      </w:r>
      <w:r w:rsidR="00FB485C" w:rsidRPr="00A07EE5">
        <w:rPr>
          <w:sz w:val="24"/>
        </w:rPr>
        <w:t>ot applicable</w:t>
      </w:r>
      <w:r>
        <w:rPr>
          <w:sz w:val="24"/>
        </w:rPr>
        <w:t>.</w:t>
      </w:r>
    </w:p>
    <w:p w:rsidR="006819CF" w:rsidRDefault="006819CF">
      <w:pPr>
        <w:ind w:left="1440"/>
        <w:rPr>
          <w:sz w:val="24"/>
        </w:rPr>
      </w:pPr>
    </w:p>
    <w:p w:rsidR="006819CF" w:rsidRDefault="006819CF">
      <w:pPr>
        <w:numPr>
          <w:ilvl w:val="0"/>
          <w:numId w:val="2"/>
        </w:numPr>
        <w:rPr>
          <w:b/>
          <w:sz w:val="24"/>
        </w:rPr>
      </w:pPr>
      <w:r>
        <w:rPr>
          <w:b/>
          <w:sz w:val="24"/>
          <w:u w:val="single"/>
        </w:rPr>
        <w:t>Assurance of Confidentiality Provided to Respondents</w:t>
      </w:r>
    </w:p>
    <w:p w:rsidR="00FB485C" w:rsidRDefault="00FB485C" w:rsidP="00FB485C">
      <w:pPr>
        <w:rPr>
          <w:sz w:val="24"/>
        </w:rPr>
      </w:pPr>
    </w:p>
    <w:p w:rsidR="00FB485C" w:rsidRPr="00FB485C" w:rsidRDefault="00FB485C" w:rsidP="00FB485C">
      <w:pPr>
        <w:ind w:left="720"/>
        <w:rPr>
          <w:sz w:val="24"/>
        </w:rPr>
      </w:pPr>
      <w:r w:rsidRPr="004B42A3">
        <w:rPr>
          <w:sz w:val="24"/>
        </w:rPr>
        <w:t>Individuals are not identified in the report</w:t>
      </w:r>
      <w:r w:rsidR="004B42A3">
        <w:rPr>
          <w:sz w:val="24"/>
        </w:rPr>
        <w:t xml:space="preserve"> and</w:t>
      </w:r>
      <w:r w:rsidR="005134AD">
        <w:rPr>
          <w:sz w:val="24"/>
        </w:rPr>
        <w:t>,</w:t>
      </w:r>
      <w:r w:rsidR="004B42A3">
        <w:rPr>
          <w:sz w:val="24"/>
        </w:rPr>
        <w:t xml:space="preserve"> since </w:t>
      </w:r>
      <w:r w:rsidR="004B42A3" w:rsidRPr="004B42A3">
        <w:rPr>
          <w:sz w:val="24"/>
        </w:rPr>
        <w:t>no individual is identified in the data collection process, no assurance of confidentiality will be needed.</w:t>
      </w:r>
      <w:r w:rsidR="004B42A3">
        <w:rPr>
          <w:sz w:val="24"/>
        </w:rPr>
        <w:t xml:space="preserve"> </w:t>
      </w:r>
      <w:r w:rsidR="007F3D5A">
        <w:rPr>
          <w:sz w:val="24"/>
        </w:rPr>
        <w:t>Ombudsman</w:t>
      </w:r>
      <w:r w:rsidRPr="004B42A3">
        <w:rPr>
          <w:sz w:val="24"/>
        </w:rPr>
        <w:t xml:space="preserve"> data collection </w:t>
      </w:r>
      <w:r w:rsidR="00E6661D" w:rsidRPr="004B42A3">
        <w:rPr>
          <w:sz w:val="24"/>
        </w:rPr>
        <w:t xml:space="preserve">programs </w:t>
      </w:r>
      <w:r w:rsidRPr="004B42A3">
        <w:rPr>
          <w:sz w:val="24"/>
        </w:rPr>
        <w:t xml:space="preserve">are designed to guarantee the confidentiality of residents and complainants, which </w:t>
      </w:r>
      <w:r w:rsidR="004B42A3" w:rsidRPr="004B42A3">
        <w:rPr>
          <w:sz w:val="24"/>
        </w:rPr>
        <w:t>are</w:t>
      </w:r>
      <w:r w:rsidRPr="004B42A3">
        <w:rPr>
          <w:sz w:val="24"/>
        </w:rPr>
        <w:t xml:space="preserve"> requirement</w:t>
      </w:r>
      <w:r w:rsidR="005134AD">
        <w:rPr>
          <w:sz w:val="24"/>
        </w:rPr>
        <w:t>s</w:t>
      </w:r>
      <w:r w:rsidRPr="004B42A3">
        <w:rPr>
          <w:sz w:val="24"/>
        </w:rPr>
        <w:t xml:space="preserve"> of the </w:t>
      </w:r>
      <w:r w:rsidR="007F3D5A">
        <w:rPr>
          <w:sz w:val="24"/>
        </w:rPr>
        <w:t>Ombudsman</w:t>
      </w:r>
      <w:r w:rsidR="004B42A3">
        <w:rPr>
          <w:sz w:val="24"/>
        </w:rPr>
        <w:t xml:space="preserve"> federal rule at 1324.11(e) (3.) and the </w:t>
      </w:r>
      <w:r w:rsidR="007F3D5A">
        <w:rPr>
          <w:sz w:val="24"/>
        </w:rPr>
        <w:t>Ombudsman</w:t>
      </w:r>
      <w:r w:rsidRPr="004B42A3">
        <w:rPr>
          <w:sz w:val="24"/>
        </w:rPr>
        <w:t xml:space="preserve"> provision</w:t>
      </w:r>
      <w:r w:rsidR="004B42A3">
        <w:rPr>
          <w:sz w:val="24"/>
        </w:rPr>
        <w:t>s</w:t>
      </w:r>
      <w:r w:rsidRPr="004B42A3">
        <w:rPr>
          <w:sz w:val="24"/>
        </w:rPr>
        <w:t xml:space="preserve"> of the OAA.</w:t>
      </w:r>
    </w:p>
    <w:p w:rsidR="00FB485C" w:rsidRPr="00FB485C" w:rsidRDefault="00FB485C" w:rsidP="00FB485C">
      <w:pPr>
        <w:ind w:left="720"/>
        <w:rPr>
          <w:b/>
          <w:sz w:val="24"/>
        </w:rPr>
      </w:pPr>
    </w:p>
    <w:p w:rsidR="006819CF" w:rsidRDefault="006819CF">
      <w:pPr>
        <w:numPr>
          <w:ilvl w:val="0"/>
          <w:numId w:val="2"/>
        </w:numPr>
        <w:rPr>
          <w:b/>
          <w:sz w:val="24"/>
        </w:rPr>
      </w:pPr>
      <w:r>
        <w:rPr>
          <w:b/>
          <w:sz w:val="24"/>
          <w:u w:val="single"/>
        </w:rPr>
        <w:t>Justification for Sensitive Questions</w:t>
      </w:r>
    </w:p>
    <w:p w:rsidR="00FB485C" w:rsidRDefault="00FB485C" w:rsidP="00FB485C">
      <w:pPr>
        <w:ind w:left="360"/>
        <w:rPr>
          <w:sz w:val="24"/>
        </w:rPr>
      </w:pPr>
    </w:p>
    <w:p w:rsidR="004B42A3" w:rsidRDefault="004B42A3" w:rsidP="004B42A3">
      <w:pPr>
        <w:ind w:left="360" w:firstLine="360"/>
        <w:rPr>
          <w:sz w:val="24"/>
        </w:rPr>
      </w:pPr>
      <w:r w:rsidRPr="004B42A3">
        <w:rPr>
          <w:sz w:val="24"/>
        </w:rPr>
        <w:t>The data collection instruments will not collect any data of a sensitive nature.</w:t>
      </w:r>
    </w:p>
    <w:p w:rsidR="006819CF" w:rsidRDefault="006819CF" w:rsidP="004B42A3">
      <w:pPr>
        <w:ind w:left="720"/>
        <w:rPr>
          <w:sz w:val="24"/>
        </w:rPr>
      </w:pPr>
    </w:p>
    <w:p w:rsidR="00E16260" w:rsidRPr="00784328" w:rsidRDefault="006819CF" w:rsidP="00E16260">
      <w:pPr>
        <w:numPr>
          <w:ilvl w:val="0"/>
          <w:numId w:val="2"/>
        </w:numPr>
        <w:rPr>
          <w:sz w:val="24"/>
        </w:rPr>
      </w:pPr>
      <w:r w:rsidRPr="00784328">
        <w:rPr>
          <w:b/>
          <w:sz w:val="24"/>
          <w:u w:val="single"/>
        </w:rPr>
        <w:t xml:space="preserve">Estimates of Annualized Burden Hours </w:t>
      </w:r>
      <w:r w:rsidRPr="00784328">
        <w:rPr>
          <w:b/>
          <w:sz w:val="24"/>
        </w:rPr>
        <w:t xml:space="preserve">(Total Hours &amp; </w:t>
      </w:r>
      <w:r w:rsidR="00D3003F">
        <w:rPr>
          <w:b/>
          <w:sz w:val="24"/>
        </w:rPr>
        <w:t>Costs</w:t>
      </w:r>
      <w:r w:rsidRPr="00784328">
        <w:rPr>
          <w:sz w:val="24"/>
        </w:rPr>
        <w:t>)</w:t>
      </w:r>
    </w:p>
    <w:p w:rsidR="00E16260" w:rsidRDefault="00E16260" w:rsidP="00E16260">
      <w:pPr>
        <w:ind w:left="720"/>
        <w:rPr>
          <w:sz w:val="24"/>
        </w:rPr>
      </w:pPr>
    </w:p>
    <w:p w:rsidR="00E16260" w:rsidRDefault="00E16260" w:rsidP="00E16260">
      <w:pPr>
        <w:ind w:left="720"/>
        <w:rPr>
          <w:sz w:val="24"/>
        </w:rPr>
      </w:pPr>
      <w:r>
        <w:rPr>
          <w:sz w:val="24"/>
        </w:rPr>
        <w:t>12A. Estimated Annualized Burden Hours</w:t>
      </w:r>
    </w:p>
    <w:p w:rsidR="00762216" w:rsidRDefault="00762216" w:rsidP="00E16260">
      <w:pPr>
        <w:ind w:left="720"/>
        <w:rPr>
          <w:sz w:val="24"/>
        </w:rPr>
      </w:pPr>
    </w:p>
    <w:p w:rsidR="00762216" w:rsidRPr="00762216" w:rsidRDefault="00762216" w:rsidP="00B31E94">
      <w:pPr>
        <w:ind w:left="720"/>
        <w:rPr>
          <w:sz w:val="24"/>
        </w:rPr>
      </w:pPr>
      <w:r w:rsidRPr="00762216">
        <w:rPr>
          <w:sz w:val="24"/>
        </w:rPr>
        <w:t>The hour burden is based on the number of cases managed by the nationwide Long-Term Care Ombudsman Program (</w:t>
      </w:r>
      <w:r w:rsidR="0052631F">
        <w:rPr>
          <w:sz w:val="24"/>
        </w:rPr>
        <w:t xml:space="preserve">LTCOP), </w:t>
      </w:r>
      <w:r w:rsidRPr="00762216">
        <w:rPr>
          <w:sz w:val="24"/>
        </w:rPr>
        <w:t xml:space="preserve">consisting of </w:t>
      </w:r>
      <w:r w:rsidR="0052631F">
        <w:rPr>
          <w:sz w:val="24"/>
        </w:rPr>
        <w:t xml:space="preserve">the </w:t>
      </w:r>
      <w:r w:rsidRPr="00762216">
        <w:rPr>
          <w:sz w:val="24"/>
        </w:rPr>
        <w:t xml:space="preserve">50 states plus </w:t>
      </w:r>
      <w:r w:rsidR="000011EA">
        <w:rPr>
          <w:sz w:val="24"/>
        </w:rPr>
        <w:t xml:space="preserve">the </w:t>
      </w:r>
      <w:r w:rsidRPr="00762216">
        <w:rPr>
          <w:sz w:val="24"/>
        </w:rPr>
        <w:t>D</w:t>
      </w:r>
      <w:r w:rsidR="000569EC">
        <w:rPr>
          <w:sz w:val="24"/>
        </w:rPr>
        <w:t xml:space="preserve">istrict of </w:t>
      </w:r>
      <w:r w:rsidRPr="00762216">
        <w:rPr>
          <w:sz w:val="24"/>
        </w:rPr>
        <w:t>C</w:t>
      </w:r>
      <w:r w:rsidR="000569EC">
        <w:rPr>
          <w:sz w:val="24"/>
        </w:rPr>
        <w:t>olumbia</w:t>
      </w:r>
      <w:r w:rsidRPr="00762216">
        <w:rPr>
          <w:sz w:val="24"/>
        </w:rPr>
        <w:t xml:space="preserve"> and Puerto Rico</w:t>
      </w:r>
      <w:r w:rsidR="0052631F">
        <w:rPr>
          <w:sz w:val="24"/>
        </w:rPr>
        <w:t>,</w:t>
      </w:r>
      <w:r w:rsidRPr="00762216">
        <w:rPr>
          <w:sz w:val="24"/>
        </w:rPr>
        <w:t xml:space="preserve"> in the most recent year for which data is available.  Closed cases reported by the 52 state</w:t>
      </w:r>
      <w:r w:rsidR="0052631F">
        <w:rPr>
          <w:sz w:val="24"/>
        </w:rPr>
        <w:t xml:space="preserve"> </w:t>
      </w:r>
      <w:r w:rsidR="00F222B3">
        <w:rPr>
          <w:sz w:val="24"/>
        </w:rPr>
        <w:t>Ombudsman programs</w:t>
      </w:r>
      <w:r w:rsidRPr="00762216">
        <w:rPr>
          <w:sz w:val="24"/>
        </w:rPr>
        <w:t xml:space="preserve"> for FFY 201</w:t>
      </w:r>
      <w:r>
        <w:rPr>
          <w:sz w:val="24"/>
        </w:rPr>
        <w:t xml:space="preserve">5 </w:t>
      </w:r>
      <w:r w:rsidR="00B31E94" w:rsidRPr="00B31E94">
        <w:rPr>
          <w:sz w:val="24"/>
        </w:rPr>
        <w:t>was 129,559</w:t>
      </w:r>
      <w:r w:rsidR="00B31E94">
        <w:rPr>
          <w:sz w:val="24"/>
        </w:rPr>
        <w:t>.</w:t>
      </w:r>
      <w:r w:rsidRPr="00762216">
        <w:rPr>
          <w:sz w:val="24"/>
        </w:rPr>
        <w:t xml:space="preserve"> Based on average time required by early pilot states to document a case by computer (10 minutes), total documentation time is calculated by multiplying total cases by 10 minutes, totaling </w:t>
      </w:r>
      <w:r w:rsidRPr="00FD3731">
        <w:rPr>
          <w:sz w:val="24"/>
        </w:rPr>
        <w:t>1</w:t>
      </w:r>
      <w:r w:rsidR="0040631D">
        <w:rPr>
          <w:sz w:val="24"/>
        </w:rPr>
        <w:t>,</w:t>
      </w:r>
      <w:r w:rsidR="00FD3731">
        <w:rPr>
          <w:sz w:val="24"/>
        </w:rPr>
        <w:t>295</w:t>
      </w:r>
      <w:r w:rsidR="0040631D">
        <w:rPr>
          <w:sz w:val="24"/>
        </w:rPr>
        <w:t>,</w:t>
      </w:r>
      <w:r w:rsidR="0032223D">
        <w:rPr>
          <w:sz w:val="24"/>
        </w:rPr>
        <w:t>5</w:t>
      </w:r>
      <w:r w:rsidR="00FD3731">
        <w:rPr>
          <w:sz w:val="24"/>
        </w:rPr>
        <w:t>9</w:t>
      </w:r>
      <w:r w:rsidR="0040631D">
        <w:rPr>
          <w:sz w:val="24"/>
        </w:rPr>
        <w:t>0</w:t>
      </w:r>
      <w:r w:rsidR="00FD3731">
        <w:rPr>
          <w:sz w:val="24"/>
        </w:rPr>
        <w:t xml:space="preserve"> </w:t>
      </w:r>
      <w:r w:rsidRPr="00FD3731">
        <w:rPr>
          <w:sz w:val="24"/>
        </w:rPr>
        <w:t xml:space="preserve">minutes, divided by 60 = </w:t>
      </w:r>
      <w:r w:rsidR="00FD3731">
        <w:rPr>
          <w:sz w:val="24"/>
        </w:rPr>
        <w:t xml:space="preserve"> 21,</w:t>
      </w:r>
      <w:r w:rsidR="0052631F">
        <w:rPr>
          <w:sz w:val="24"/>
        </w:rPr>
        <w:t>593</w:t>
      </w:r>
      <w:r w:rsidRPr="00FD3731">
        <w:rPr>
          <w:sz w:val="24"/>
        </w:rPr>
        <w:t xml:space="preserve"> hours of</w:t>
      </w:r>
      <w:r w:rsidRPr="00762216">
        <w:rPr>
          <w:sz w:val="24"/>
        </w:rPr>
        <w:t xml:space="preserve"> paid ombudsman</w:t>
      </w:r>
      <w:r w:rsidR="00FD3731">
        <w:rPr>
          <w:sz w:val="24"/>
        </w:rPr>
        <w:t xml:space="preserve"> program </w:t>
      </w:r>
      <w:r w:rsidRPr="00762216">
        <w:rPr>
          <w:sz w:val="24"/>
        </w:rPr>
        <w:t>time.</w:t>
      </w:r>
      <w:r w:rsidR="00817D38">
        <w:rPr>
          <w:sz w:val="24"/>
        </w:rPr>
        <w:t xml:space="preserve"> Previous estimates determined that about</w:t>
      </w:r>
      <w:r w:rsidRPr="00762216">
        <w:rPr>
          <w:sz w:val="24"/>
        </w:rPr>
        <w:t>, about two-thirds of the information entered for a typical case is for use at the state level and is not required for the AoA report</w:t>
      </w:r>
      <w:r w:rsidR="00605970">
        <w:rPr>
          <w:sz w:val="24"/>
        </w:rPr>
        <w:t>.  However, in light of changes to the case and complaint data collection</w:t>
      </w:r>
      <w:r w:rsidR="000011EA">
        <w:rPr>
          <w:sz w:val="24"/>
        </w:rPr>
        <w:t>,</w:t>
      </w:r>
      <w:r w:rsidR="00605970">
        <w:rPr>
          <w:sz w:val="24"/>
        </w:rPr>
        <w:t xml:space="preserve"> we will assume th</w:t>
      </w:r>
      <w:r w:rsidR="00FD3731">
        <w:rPr>
          <w:sz w:val="24"/>
        </w:rPr>
        <w:t>at half of the</w:t>
      </w:r>
      <w:r w:rsidR="00605970">
        <w:rPr>
          <w:sz w:val="24"/>
        </w:rPr>
        <w:t xml:space="preserve"> estimate of 10 minutes is needed to </w:t>
      </w:r>
      <w:r w:rsidRPr="00762216">
        <w:rPr>
          <w:sz w:val="24"/>
        </w:rPr>
        <w:t xml:space="preserve">document data needed for the AoA report.  </w:t>
      </w:r>
      <w:r w:rsidR="00617AA5">
        <w:rPr>
          <w:sz w:val="24"/>
        </w:rPr>
        <w:t xml:space="preserve">It should be noted that, while the proposed data collection adds </w:t>
      </w:r>
      <w:r w:rsidR="00D61104">
        <w:rPr>
          <w:sz w:val="24"/>
        </w:rPr>
        <w:t>8</w:t>
      </w:r>
      <w:r w:rsidR="00617AA5">
        <w:rPr>
          <w:sz w:val="24"/>
        </w:rPr>
        <w:t xml:space="preserve"> new data elements, </w:t>
      </w:r>
      <w:r w:rsidR="00F222B3">
        <w:rPr>
          <w:sz w:val="24"/>
        </w:rPr>
        <w:t>14</w:t>
      </w:r>
      <w:r w:rsidR="00617AA5">
        <w:rPr>
          <w:sz w:val="24"/>
        </w:rPr>
        <w:t xml:space="preserve"> data elements were eliminated from the old form.  In addition, a large number of NORS</w:t>
      </w:r>
      <w:r w:rsidR="00DF206E">
        <w:rPr>
          <w:sz w:val="24"/>
        </w:rPr>
        <w:t xml:space="preserve"> complaint</w:t>
      </w:r>
      <w:r w:rsidR="00617AA5">
        <w:rPr>
          <w:sz w:val="24"/>
        </w:rPr>
        <w:t xml:space="preserve"> codes </w:t>
      </w:r>
      <w:r w:rsidR="00DF206E">
        <w:rPr>
          <w:sz w:val="24"/>
        </w:rPr>
        <w:t xml:space="preserve">(60) </w:t>
      </w:r>
      <w:r w:rsidR="00617AA5">
        <w:rPr>
          <w:sz w:val="24"/>
        </w:rPr>
        <w:t xml:space="preserve">were eliminated or consolidated.  Detailed crosswalks showing the changes are attached to this summary.  </w:t>
      </w:r>
      <w:r w:rsidR="00D61104">
        <w:rPr>
          <w:sz w:val="24"/>
        </w:rPr>
        <w:t>New data collection includes, items such as if a complaint was referred and to what type of agency.  This will better inform ACL on what other entities Ombudsman programs use to achieve satisfactory complaint resolution.  In the current NORS if a complaint was referred it was counted as a disposition</w:t>
      </w:r>
      <w:r w:rsidR="00342355">
        <w:rPr>
          <w:sz w:val="24"/>
        </w:rPr>
        <w:t>,</w:t>
      </w:r>
      <w:r w:rsidR="00D61104">
        <w:rPr>
          <w:sz w:val="24"/>
        </w:rPr>
        <w:t xml:space="preserve"> with no certainty as to what type of entity received the referral and the outcome of the complaint</w:t>
      </w:r>
      <w:r w:rsidR="00342355">
        <w:rPr>
          <w:sz w:val="24"/>
        </w:rPr>
        <w:t xml:space="preserve">. </w:t>
      </w:r>
      <w:r w:rsidR="00D61104">
        <w:rPr>
          <w:sz w:val="24"/>
        </w:rPr>
        <w:t xml:space="preserve"> States will also report on the organizational location of their program</w:t>
      </w:r>
      <w:r w:rsidR="00342355">
        <w:rPr>
          <w:sz w:val="24"/>
        </w:rPr>
        <w:t>,</w:t>
      </w:r>
      <w:r w:rsidR="00D61104">
        <w:rPr>
          <w:sz w:val="24"/>
        </w:rPr>
        <w:t xml:space="preserve"> thereby eliminating the need for grantees, such as the National Ombudsman Resource Center to separately collect this information in a survey.</w:t>
      </w:r>
    </w:p>
    <w:p w:rsidR="00762216" w:rsidRPr="00762216" w:rsidRDefault="00762216" w:rsidP="00762216">
      <w:pPr>
        <w:ind w:left="720"/>
        <w:rPr>
          <w:sz w:val="24"/>
        </w:rPr>
      </w:pPr>
    </w:p>
    <w:p w:rsidR="00723305" w:rsidRDefault="00605970" w:rsidP="00762216">
      <w:pPr>
        <w:ind w:left="720"/>
        <w:rPr>
          <w:sz w:val="24"/>
        </w:rPr>
      </w:pPr>
      <w:r>
        <w:rPr>
          <w:sz w:val="24"/>
        </w:rPr>
        <w:t xml:space="preserve">Estimates on completion of other parts of the report are based on past experiences from </w:t>
      </w:r>
      <w:r w:rsidR="00762216" w:rsidRPr="00762216">
        <w:rPr>
          <w:sz w:val="24"/>
        </w:rPr>
        <w:t>state Ombudsman programs obtained in 1995 and 2005</w:t>
      </w:r>
      <w:r w:rsidR="0052631F">
        <w:rPr>
          <w:sz w:val="24"/>
        </w:rPr>
        <w:t>.</w:t>
      </w:r>
      <w:r w:rsidR="00342355">
        <w:rPr>
          <w:sz w:val="24"/>
        </w:rPr>
        <w:t xml:space="preserve">For example, </w:t>
      </w:r>
      <w:r w:rsidR="00FD3731">
        <w:rPr>
          <w:sz w:val="24"/>
        </w:rPr>
        <w:t xml:space="preserve"> </w:t>
      </w:r>
      <w:r w:rsidR="0052631F">
        <w:rPr>
          <w:sz w:val="24"/>
        </w:rPr>
        <w:t xml:space="preserve"> </w:t>
      </w:r>
      <w:r w:rsidR="00762216" w:rsidRPr="00762216">
        <w:rPr>
          <w:sz w:val="24"/>
        </w:rPr>
        <w:t>states estimate that they spend anywhere from 4 hours to 4 days checking and verifying data from the local programs and compil</w:t>
      </w:r>
      <w:r w:rsidR="00723305">
        <w:rPr>
          <w:sz w:val="24"/>
        </w:rPr>
        <w:t xml:space="preserve">ing their annual report to AoA; the current burden estimate is 17 hours per state Office. </w:t>
      </w:r>
      <w:r w:rsidR="00762216" w:rsidRPr="00762216">
        <w:rPr>
          <w:sz w:val="24"/>
        </w:rPr>
        <w:t xml:space="preserve"> </w:t>
      </w:r>
      <w:r w:rsidR="00EB6A8F">
        <w:rPr>
          <w:sz w:val="24"/>
        </w:rPr>
        <w:t>Improved technology</w:t>
      </w:r>
      <w:r w:rsidR="0052631F">
        <w:rPr>
          <w:sz w:val="24"/>
        </w:rPr>
        <w:t>,</w:t>
      </w:r>
      <w:r>
        <w:rPr>
          <w:sz w:val="24"/>
        </w:rPr>
        <w:t xml:space="preserve"> which either allows for or requires the uploading of data </w:t>
      </w:r>
      <w:r w:rsidR="00F222B3">
        <w:rPr>
          <w:sz w:val="24"/>
        </w:rPr>
        <w:t>files</w:t>
      </w:r>
      <w:r>
        <w:rPr>
          <w:sz w:val="24"/>
        </w:rPr>
        <w:t xml:space="preserve"> will populate the case and complaint data </w:t>
      </w:r>
      <w:r w:rsidR="00A00308">
        <w:rPr>
          <w:sz w:val="24"/>
        </w:rPr>
        <w:t xml:space="preserve">and </w:t>
      </w:r>
      <w:r>
        <w:rPr>
          <w:sz w:val="24"/>
        </w:rPr>
        <w:t>increase the consistency and reliability of data</w:t>
      </w:r>
      <w:r w:rsidR="00A00308">
        <w:rPr>
          <w:sz w:val="24"/>
        </w:rPr>
        <w:t>,</w:t>
      </w:r>
      <w:r>
        <w:rPr>
          <w:sz w:val="24"/>
        </w:rPr>
        <w:t xml:space="preserve"> </w:t>
      </w:r>
      <w:r w:rsidR="00FD3731">
        <w:rPr>
          <w:sz w:val="24"/>
        </w:rPr>
        <w:t xml:space="preserve">thereby </w:t>
      </w:r>
      <w:r>
        <w:rPr>
          <w:sz w:val="24"/>
        </w:rPr>
        <w:t xml:space="preserve">reducing burden </w:t>
      </w:r>
      <w:r w:rsidR="00A00308">
        <w:rPr>
          <w:sz w:val="24"/>
        </w:rPr>
        <w:t xml:space="preserve">associated with </w:t>
      </w:r>
      <w:r>
        <w:rPr>
          <w:sz w:val="24"/>
        </w:rPr>
        <w:t xml:space="preserve">manually entering data.   </w:t>
      </w:r>
      <w:r w:rsidR="00EB6A8F">
        <w:rPr>
          <w:sz w:val="24"/>
        </w:rPr>
        <w:t>Thus, a</w:t>
      </w:r>
      <w:r w:rsidR="00EB6A8F" w:rsidRPr="00762216">
        <w:rPr>
          <w:sz w:val="24"/>
        </w:rPr>
        <w:t xml:space="preserve"> fair e</w:t>
      </w:r>
      <w:r w:rsidR="00EB6A8F">
        <w:rPr>
          <w:sz w:val="24"/>
        </w:rPr>
        <w:t xml:space="preserve">stimate </w:t>
      </w:r>
      <w:r w:rsidR="00A00308">
        <w:rPr>
          <w:sz w:val="24"/>
        </w:rPr>
        <w:t xml:space="preserve">of the </w:t>
      </w:r>
      <w:r w:rsidR="00EB6A8F">
        <w:rPr>
          <w:sz w:val="24"/>
        </w:rPr>
        <w:t xml:space="preserve">average </w:t>
      </w:r>
      <w:r w:rsidR="00A00308">
        <w:rPr>
          <w:sz w:val="24"/>
        </w:rPr>
        <w:t xml:space="preserve">burden for a </w:t>
      </w:r>
      <w:r w:rsidR="00EB6A8F">
        <w:rPr>
          <w:sz w:val="24"/>
        </w:rPr>
        <w:t xml:space="preserve">state is </w:t>
      </w:r>
      <w:r w:rsidR="00EB6A8F" w:rsidRPr="00762216">
        <w:rPr>
          <w:sz w:val="24"/>
        </w:rPr>
        <w:t>1</w:t>
      </w:r>
      <w:r w:rsidR="00EB6A8F">
        <w:rPr>
          <w:sz w:val="24"/>
        </w:rPr>
        <w:t>6</w:t>
      </w:r>
      <w:r w:rsidR="00EB6A8F" w:rsidRPr="00762216">
        <w:rPr>
          <w:sz w:val="24"/>
        </w:rPr>
        <w:t xml:space="preserve"> hours of staff time</w:t>
      </w:r>
      <w:r w:rsidR="00EB6A8F">
        <w:rPr>
          <w:sz w:val="24"/>
        </w:rPr>
        <w:t xml:space="preserve"> at the Office of </w:t>
      </w:r>
      <w:r w:rsidR="00A00308">
        <w:rPr>
          <w:sz w:val="24"/>
        </w:rPr>
        <w:t xml:space="preserve">the </w:t>
      </w:r>
      <w:r w:rsidR="00EB6A8F">
        <w:rPr>
          <w:sz w:val="24"/>
        </w:rPr>
        <w:t>State Ombudsman</w:t>
      </w:r>
      <w:r w:rsidR="00EB6A8F" w:rsidRPr="00762216">
        <w:rPr>
          <w:sz w:val="24"/>
        </w:rPr>
        <w:t xml:space="preserve">.  </w:t>
      </w:r>
    </w:p>
    <w:p w:rsidR="00723305" w:rsidRDefault="00723305" w:rsidP="00762216">
      <w:pPr>
        <w:ind w:left="720"/>
        <w:rPr>
          <w:sz w:val="24"/>
        </w:rPr>
      </w:pPr>
    </w:p>
    <w:p w:rsidR="00762216" w:rsidRPr="00762216" w:rsidRDefault="00723305" w:rsidP="00762216">
      <w:pPr>
        <w:ind w:left="720"/>
        <w:rPr>
          <w:sz w:val="24"/>
        </w:rPr>
      </w:pPr>
      <w:r w:rsidRPr="00723305">
        <w:rPr>
          <w:sz w:val="24"/>
        </w:rPr>
        <w:t>The annual burden estimates are shown below.</w:t>
      </w:r>
    </w:p>
    <w:p w:rsidR="00E16260" w:rsidRDefault="00E16260" w:rsidP="00E16260">
      <w:pPr>
        <w:ind w:left="720"/>
        <w:rPr>
          <w:sz w:val="24"/>
        </w:rPr>
      </w:pPr>
    </w:p>
    <w:tbl>
      <w:tblPr>
        <w:tblW w:w="855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1350"/>
        <w:gridCol w:w="1440"/>
        <w:gridCol w:w="2700"/>
      </w:tblGrid>
      <w:tr w:rsidR="00762216" w:rsidRPr="00E72AB0" w:rsidTr="00723305">
        <w:trPr>
          <w:trHeight w:val="1059"/>
        </w:trPr>
        <w:tc>
          <w:tcPr>
            <w:tcW w:w="1620" w:type="dxa"/>
          </w:tcPr>
          <w:p w:rsidR="00762216" w:rsidRPr="00E72AB0" w:rsidRDefault="00762216" w:rsidP="00677E9F">
            <w:pPr>
              <w:widowControl/>
              <w:rPr>
                <w:b/>
                <w:bCs/>
                <w:sz w:val="24"/>
              </w:rPr>
            </w:pPr>
            <w:r>
              <w:rPr>
                <w:b/>
                <w:bCs/>
                <w:sz w:val="24"/>
              </w:rPr>
              <w:t>Instrument</w:t>
            </w:r>
          </w:p>
        </w:tc>
        <w:tc>
          <w:tcPr>
            <w:tcW w:w="1440" w:type="dxa"/>
          </w:tcPr>
          <w:p w:rsidR="00762216" w:rsidRPr="00E72AB0" w:rsidRDefault="00762216" w:rsidP="00E72AB0">
            <w:pPr>
              <w:widowControl/>
              <w:rPr>
                <w:b/>
                <w:bCs/>
                <w:sz w:val="22"/>
                <w:szCs w:val="22"/>
              </w:rPr>
            </w:pPr>
            <w:r w:rsidRPr="00E72AB0">
              <w:rPr>
                <w:b/>
                <w:bCs/>
                <w:sz w:val="22"/>
                <w:szCs w:val="22"/>
              </w:rPr>
              <w:t>No. of</w:t>
            </w:r>
          </w:p>
          <w:p w:rsidR="00762216" w:rsidRPr="00E72AB0" w:rsidRDefault="00762216" w:rsidP="00E72AB0">
            <w:pPr>
              <w:widowControl/>
              <w:rPr>
                <w:b/>
                <w:bCs/>
                <w:sz w:val="24"/>
              </w:rPr>
            </w:pPr>
            <w:r w:rsidRPr="00E72AB0">
              <w:rPr>
                <w:b/>
                <w:bCs/>
                <w:sz w:val="22"/>
                <w:szCs w:val="22"/>
              </w:rPr>
              <w:t>Respondents</w:t>
            </w:r>
          </w:p>
        </w:tc>
        <w:tc>
          <w:tcPr>
            <w:tcW w:w="1350" w:type="dxa"/>
          </w:tcPr>
          <w:p w:rsidR="00762216" w:rsidRPr="00E72AB0" w:rsidRDefault="00762216" w:rsidP="00E72AB0">
            <w:pPr>
              <w:widowControl/>
              <w:rPr>
                <w:b/>
                <w:bCs/>
                <w:sz w:val="22"/>
                <w:szCs w:val="22"/>
              </w:rPr>
            </w:pPr>
            <w:r w:rsidRPr="00E72AB0">
              <w:rPr>
                <w:b/>
                <w:bCs/>
                <w:sz w:val="22"/>
                <w:szCs w:val="22"/>
              </w:rPr>
              <w:t>No.</w:t>
            </w:r>
          </w:p>
          <w:p w:rsidR="00762216" w:rsidRPr="00E72AB0" w:rsidRDefault="00762216" w:rsidP="00E72AB0">
            <w:pPr>
              <w:widowControl/>
              <w:rPr>
                <w:b/>
                <w:bCs/>
                <w:sz w:val="22"/>
                <w:szCs w:val="22"/>
              </w:rPr>
            </w:pPr>
            <w:r w:rsidRPr="00E72AB0">
              <w:rPr>
                <w:b/>
                <w:bCs/>
                <w:sz w:val="22"/>
                <w:szCs w:val="22"/>
              </w:rPr>
              <w:t>Responses</w:t>
            </w:r>
          </w:p>
          <w:p w:rsidR="00762216" w:rsidRPr="00E72AB0" w:rsidRDefault="00762216" w:rsidP="00E72AB0">
            <w:pPr>
              <w:widowControl/>
              <w:rPr>
                <w:b/>
                <w:bCs/>
                <w:sz w:val="22"/>
                <w:szCs w:val="22"/>
              </w:rPr>
            </w:pPr>
            <w:r w:rsidRPr="00E72AB0">
              <w:rPr>
                <w:b/>
                <w:bCs/>
                <w:sz w:val="22"/>
                <w:szCs w:val="22"/>
              </w:rPr>
              <w:t>per</w:t>
            </w:r>
          </w:p>
          <w:p w:rsidR="00762216" w:rsidRPr="00E72AB0" w:rsidRDefault="00762216" w:rsidP="00E72AB0">
            <w:pPr>
              <w:widowControl/>
              <w:rPr>
                <w:b/>
                <w:bCs/>
                <w:sz w:val="22"/>
                <w:szCs w:val="22"/>
              </w:rPr>
            </w:pPr>
            <w:r w:rsidRPr="00E72AB0">
              <w:rPr>
                <w:b/>
                <w:bCs/>
                <w:sz w:val="22"/>
                <w:szCs w:val="22"/>
              </w:rPr>
              <w:t>Respondent</w:t>
            </w:r>
          </w:p>
        </w:tc>
        <w:tc>
          <w:tcPr>
            <w:tcW w:w="1440" w:type="dxa"/>
          </w:tcPr>
          <w:p w:rsidR="00762216" w:rsidRPr="00E72AB0" w:rsidRDefault="00762216" w:rsidP="00E72AB0">
            <w:pPr>
              <w:widowControl/>
              <w:rPr>
                <w:b/>
                <w:bCs/>
                <w:sz w:val="22"/>
                <w:szCs w:val="22"/>
              </w:rPr>
            </w:pPr>
            <w:r w:rsidRPr="00E72AB0">
              <w:rPr>
                <w:b/>
                <w:bCs/>
                <w:sz w:val="22"/>
                <w:szCs w:val="22"/>
              </w:rPr>
              <w:t>Average</w:t>
            </w:r>
          </w:p>
          <w:p w:rsidR="00762216" w:rsidRPr="00E72AB0" w:rsidRDefault="00762216" w:rsidP="00E72AB0">
            <w:pPr>
              <w:widowControl/>
              <w:rPr>
                <w:b/>
                <w:bCs/>
                <w:sz w:val="22"/>
                <w:szCs w:val="22"/>
              </w:rPr>
            </w:pPr>
            <w:r w:rsidRPr="00E72AB0">
              <w:rPr>
                <w:b/>
                <w:bCs/>
                <w:sz w:val="22"/>
                <w:szCs w:val="22"/>
              </w:rPr>
              <w:t>Burden per Response</w:t>
            </w:r>
          </w:p>
          <w:p w:rsidR="00762216" w:rsidRPr="00E72AB0" w:rsidRDefault="00762216" w:rsidP="00E72AB0">
            <w:pPr>
              <w:widowControl/>
              <w:rPr>
                <w:b/>
                <w:bCs/>
                <w:sz w:val="22"/>
                <w:szCs w:val="22"/>
              </w:rPr>
            </w:pPr>
            <w:r w:rsidRPr="00E72AB0">
              <w:rPr>
                <w:b/>
                <w:bCs/>
                <w:sz w:val="22"/>
                <w:szCs w:val="22"/>
              </w:rPr>
              <w:t>(in hours)</w:t>
            </w:r>
          </w:p>
        </w:tc>
        <w:tc>
          <w:tcPr>
            <w:tcW w:w="2700" w:type="dxa"/>
          </w:tcPr>
          <w:p w:rsidR="00762216" w:rsidRPr="00E72AB0" w:rsidRDefault="00762216" w:rsidP="00E72AB0">
            <w:pPr>
              <w:widowControl/>
              <w:rPr>
                <w:b/>
                <w:bCs/>
                <w:sz w:val="22"/>
                <w:szCs w:val="22"/>
              </w:rPr>
            </w:pPr>
            <w:r w:rsidRPr="00E72AB0">
              <w:rPr>
                <w:b/>
                <w:bCs/>
                <w:sz w:val="22"/>
                <w:szCs w:val="22"/>
              </w:rPr>
              <w:t>Total Burden Hours</w:t>
            </w:r>
          </w:p>
        </w:tc>
      </w:tr>
      <w:tr w:rsidR="00762216" w:rsidRPr="00E72AB0" w:rsidTr="00723305">
        <w:tc>
          <w:tcPr>
            <w:tcW w:w="1620" w:type="dxa"/>
          </w:tcPr>
          <w:p w:rsidR="00762216" w:rsidRPr="00DC736D" w:rsidRDefault="00762216" w:rsidP="00E72AB0">
            <w:pPr>
              <w:widowControl/>
              <w:rPr>
                <w:b/>
                <w:bCs/>
                <w:sz w:val="22"/>
                <w:szCs w:val="22"/>
              </w:rPr>
            </w:pPr>
            <w:r w:rsidRPr="00873E95">
              <w:rPr>
                <w:sz w:val="22"/>
                <w:szCs w:val="22"/>
              </w:rPr>
              <w:t xml:space="preserve">Annual State </w:t>
            </w:r>
            <w:r>
              <w:rPr>
                <w:sz w:val="22"/>
                <w:szCs w:val="22"/>
              </w:rPr>
              <w:t>Ombudsman</w:t>
            </w:r>
            <w:r w:rsidRPr="00873E95">
              <w:rPr>
                <w:sz w:val="22"/>
                <w:szCs w:val="22"/>
              </w:rPr>
              <w:t xml:space="preserve"> Report</w:t>
            </w:r>
          </w:p>
        </w:tc>
        <w:tc>
          <w:tcPr>
            <w:tcW w:w="1440" w:type="dxa"/>
          </w:tcPr>
          <w:p w:rsidR="00762216" w:rsidRPr="00E72AB0" w:rsidRDefault="00762216" w:rsidP="00E72AB0">
            <w:pPr>
              <w:widowControl/>
              <w:rPr>
                <w:b/>
                <w:bCs/>
                <w:sz w:val="24"/>
              </w:rPr>
            </w:pPr>
            <w:r w:rsidRPr="00E72AB0">
              <w:rPr>
                <w:sz w:val="24"/>
              </w:rPr>
              <w:t>52</w:t>
            </w:r>
          </w:p>
        </w:tc>
        <w:tc>
          <w:tcPr>
            <w:tcW w:w="1350" w:type="dxa"/>
          </w:tcPr>
          <w:p w:rsidR="00762216" w:rsidRPr="00E72AB0" w:rsidRDefault="00762216" w:rsidP="00E72AB0">
            <w:pPr>
              <w:widowControl/>
              <w:rPr>
                <w:b/>
                <w:bCs/>
                <w:sz w:val="24"/>
              </w:rPr>
            </w:pPr>
            <w:r w:rsidRPr="00E72AB0">
              <w:rPr>
                <w:sz w:val="24"/>
              </w:rPr>
              <w:t>1</w:t>
            </w:r>
          </w:p>
        </w:tc>
        <w:tc>
          <w:tcPr>
            <w:tcW w:w="1440" w:type="dxa"/>
          </w:tcPr>
          <w:p w:rsidR="00762216" w:rsidRPr="000D2527" w:rsidRDefault="00FD3731" w:rsidP="00762216">
            <w:pPr>
              <w:widowControl/>
              <w:rPr>
                <w:bCs/>
                <w:sz w:val="24"/>
              </w:rPr>
            </w:pPr>
            <w:r>
              <w:rPr>
                <w:bCs/>
                <w:sz w:val="24"/>
              </w:rPr>
              <w:t>223.</w:t>
            </w:r>
            <w:r w:rsidR="00342355">
              <w:rPr>
                <w:bCs/>
                <w:sz w:val="24"/>
              </w:rPr>
              <w:t>6</w:t>
            </w:r>
          </w:p>
        </w:tc>
        <w:tc>
          <w:tcPr>
            <w:tcW w:w="2700" w:type="dxa"/>
          </w:tcPr>
          <w:p w:rsidR="00762216" w:rsidRPr="000D2527" w:rsidRDefault="00FD3731" w:rsidP="00342355">
            <w:pPr>
              <w:widowControl/>
              <w:rPr>
                <w:bCs/>
                <w:sz w:val="24"/>
              </w:rPr>
            </w:pPr>
            <w:r>
              <w:rPr>
                <w:bCs/>
                <w:sz w:val="24"/>
              </w:rPr>
              <w:t>11,</w:t>
            </w:r>
            <w:r w:rsidR="00342355">
              <w:rPr>
                <w:bCs/>
                <w:sz w:val="24"/>
              </w:rPr>
              <w:t>628.6</w:t>
            </w:r>
          </w:p>
        </w:tc>
      </w:tr>
    </w:tbl>
    <w:p w:rsidR="004F091F" w:rsidRPr="00E16260" w:rsidRDefault="004F091F" w:rsidP="00E16260">
      <w:pPr>
        <w:ind w:left="720"/>
        <w:rPr>
          <w:sz w:val="24"/>
        </w:rPr>
      </w:pPr>
    </w:p>
    <w:p w:rsidR="007326DD" w:rsidRDefault="006819CF" w:rsidP="007326DD">
      <w:pPr>
        <w:tabs>
          <w:tab w:val="left" w:pos="480"/>
          <w:tab w:val="left" w:pos="2520"/>
        </w:tabs>
        <w:ind w:firstLine="720"/>
        <w:rPr>
          <w:sz w:val="24"/>
        </w:rPr>
      </w:pPr>
      <w:r w:rsidRPr="007326DD">
        <w:rPr>
          <w:sz w:val="24"/>
        </w:rPr>
        <w:t>12B</w:t>
      </w:r>
      <w:r w:rsidR="00B36B5D" w:rsidRPr="007326DD">
        <w:rPr>
          <w:sz w:val="24"/>
        </w:rPr>
        <w:t>. Costs</w:t>
      </w:r>
      <w:r w:rsidR="007326DD" w:rsidRPr="007326DD">
        <w:rPr>
          <w:sz w:val="24"/>
        </w:rPr>
        <w:t xml:space="preserve"> to Respondents</w:t>
      </w:r>
    </w:p>
    <w:p w:rsidR="006819CF" w:rsidRDefault="007326DD">
      <w:pPr>
        <w:widowControl/>
        <w:rPr>
          <w:sz w:val="24"/>
        </w:rPr>
      </w:pPr>
      <w:r>
        <w:rPr>
          <w:sz w:val="24"/>
        </w:rPr>
        <w:tab/>
      </w:r>
      <w:r>
        <w:rPr>
          <w:b/>
          <w:sz w:val="24"/>
        </w:rPr>
        <w:tab/>
      </w:r>
    </w:p>
    <w:tbl>
      <w:tblPr>
        <w:tblW w:w="855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350"/>
        <w:gridCol w:w="1350"/>
        <w:gridCol w:w="2700"/>
      </w:tblGrid>
      <w:tr w:rsidR="006819CF" w:rsidRPr="00E72AB0" w:rsidTr="005F1E83">
        <w:trPr>
          <w:trHeight w:val="773"/>
        </w:trPr>
        <w:tc>
          <w:tcPr>
            <w:tcW w:w="3150" w:type="dxa"/>
          </w:tcPr>
          <w:p w:rsidR="006819CF" w:rsidRPr="00E72AB0" w:rsidRDefault="006819CF" w:rsidP="00E72AB0">
            <w:pPr>
              <w:widowControl/>
              <w:rPr>
                <w:b/>
                <w:bCs/>
                <w:sz w:val="22"/>
                <w:szCs w:val="22"/>
              </w:rPr>
            </w:pPr>
            <w:r w:rsidRPr="00E72AB0">
              <w:rPr>
                <w:b/>
                <w:bCs/>
                <w:sz w:val="22"/>
                <w:szCs w:val="22"/>
              </w:rPr>
              <w:t>Type of</w:t>
            </w:r>
          </w:p>
          <w:p w:rsidR="006819CF" w:rsidRPr="00E72AB0" w:rsidRDefault="006819CF" w:rsidP="005F1E83">
            <w:pPr>
              <w:widowControl/>
              <w:rPr>
                <w:b/>
                <w:bCs/>
                <w:sz w:val="22"/>
                <w:szCs w:val="22"/>
              </w:rPr>
            </w:pPr>
            <w:r w:rsidRPr="00E72AB0">
              <w:rPr>
                <w:b/>
                <w:bCs/>
                <w:sz w:val="22"/>
                <w:szCs w:val="22"/>
              </w:rPr>
              <w:t>Respondent</w:t>
            </w:r>
          </w:p>
        </w:tc>
        <w:tc>
          <w:tcPr>
            <w:tcW w:w="1350" w:type="dxa"/>
          </w:tcPr>
          <w:p w:rsidR="006819CF" w:rsidRPr="00E72AB0" w:rsidRDefault="006819CF" w:rsidP="00E72AB0">
            <w:pPr>
              <w:widowControl/>
              <w:rPr>
                <w:b/>
                <w:bCs/>
                <w:sz w:val="22"/>
                <w:szCs w:val="22"/>
              </w:rPr>
            </w:pPr>
            <w:r w:rsidRPr="00E72AB0">
              <w:rPr>
                <w:b/>
                <w:bCs/>
                <w:sz w:val="22"/>
                <w:szCs w:val="22"/>
              </w:rPr>
              <w:t>Total Burden</w:t>
            </w:r>
          </w:p>
          <w:p w:rsidR="006819CF" w:rsidRPr="00E72AB0" w:rsidRDefault="006819CF" w:rsidP="005F1E83">
            <w:pPr>
              <w:widowControl/>
              <w:rPr>
                <w:b/>
                <w:bCs/>
                <w:sz w:val="22"/>
                <w:szCs w:val="22"/>
              </w:rPr>
            </w:pPr>
            <w:r w:rsidRPr="00E72AB0">
              <w:rPr>
                <w:b/>
                <w:bCs/>
                <w:sz w:val="22"/>
                <w:szCs w:val="22"/>
              </w:rPr>
              <w:t>Hours</w:t>
            </w:r>
          </w:p>
        </w:tc>
        <w:tc>
          <w:tcPr>
            <w:tcW w:w="1350" w:type="dxa"/>
          </w:tcPr>
          <w:p w:rsidR="006819CF" w:rsidRPr="00E72AB0" w:rsidRDefault="006819CF" w:rsidP="00E72AB0">
            <w:pPr>
              <w:widowControl/>
              <w:rPr>
                <w:b/>
                <w:bCs/>
                <w:sz w:val="22"/>
                <w:szCs w:val="22"/>
              </w:rPr>
            </w:pPr>
            <w:r w:rsidRPr="00E72AB0">
              <w:rPr>
                <w:b/>
                <w:bCs/>
                <w:sz w:val="22"/>
                <w:szCs w:val="22"/>
              </w:rPr>
              <w:t>Hourly</w:t>
            </w:r>
          </w:p>
          <w:p w:rsidR="006819CF" w:rsidRPr="00E72AB0" w:rsidRDefault="006819CF" w:rsidP="00E72AB0">
            <w:pPr>
              <w:widowControl/>
              <w:rPr>
                <w:sz w:val="22"/>
                <w:szCs w:val="22"/>
              </w:rPr>
            </w:pPr>
            <w:r w:rsidRPr="00E72AB0">
              <w:rPr>
                <w:b/>
                <w:bCs/>
                <w:sz w:val="22"/>
                <w:szCs w:val="22"/>
              </w:rPr>
              <w:t>Wage Rate</w:t>
            </w:r>
          </w:p>
          <w:p w:rsidR="006819CF" w:rsidRPr="00E72AB0" w:rsidRDefault="006819CF" w:rsidP="00E72AB0">
            <w:pPr>
              <w:widowControl/>
              <w:rPr>
                <w:b/>
                <w:bCs/>
                <w:sz w:val="22"/>
                <w:szCs w:val="22"/>
              </w:rPr>
            </w:pPr>
          </w:p>
        </w:tc>
        <w:tc>
          <w:tcPr>
            <w:tcW w:w="2700" w:type="dxa"/>
          </w:tcPr>
          <w:p w:rsidR="006819CF" w:rsidRPr="00E72AB0" w:rsidRDefault="006819CF" w:rsidP="00E72AB0">
            <w:pPr>
              <w:widowControl/>
              <w:rPr>
                <w:sz w:val="22"/>
                <w:szCs w:val="22"/>
              </w:rPr>
            </w:pPr>
            <w:r w:rsidRPr="00E72AB0">
              <w:rPr>
                <w:b/>
                <w:bCs/>
                <w:sz w:val="22"/>
                <w:szCs w:val="22"/>
              </w:rPr>
              <w:t>Total Respondent Costs</w:t>
            </w:r>
          </w:p>
          <w:p w:rsidR="006819CF" w:rsidRPr="00E72AB0" w:rsidRDefault="006819CF" w:rsidP="00E72AB0">
            <w:pPr>
              <w:widowControl/>
              <w:rPr>
                <w:b/>
                <w:bCs/>
                <w:sz w:val="22"/>
                <w:szCs w:val="22"/>
              </w:rPr>
            </w:pPr>
          </w:p>
        </w:tc>
      </w:tr>
      <w:tr w:rsidR="006819CF" w:rsidRPr="00E72AB0" w:rsidTr="005F1E83">
        <w:trPr>
          <w:trHeight w:val="151"/>
        </w:trPr>
        <w:tc>
          <w:tcPr>
            <w:tcW w:w="3150" w:type="dxa"/>
          </w:tcPr>
          <w:p w:rsidR="006819CF" w:rsidRPr="00E72AB0" w:rsidRDefault="007326DD" w:rsidP="00AF0164">
            <w:pPr>
              <w:rPr>
                <w:sz w:val="24"/>
              </w:rPr>
            </w:pPr>
            <w:r w:rsidRPr="00E72AB0">
              <w:rPr>
                <w:sz w:val="24"/>
              </w:rPr>
              <w:t xml:space="preserve">Local </w:t>
            </w:r>
            <w:r w:rsidR="00AF0164">
              <w:rPr>
                <w:sz w:val="24"/>
              </w:rPr>
              <w:t>level</w:t>
            </w:r>
          </w:p>
        </w:tc>
        <w:tc>
          <w:tcPr>
            <w:tcW w:w="1350" w:type="dxa"/>
          </w:tcPr>
          <w:p w:rsidR="006819CF" w:rsidRPr="00E72AB0" w:rsidRDefault="00AF0164" w:rsidP="003B449B">
            <w:pPr>
              <w:rPr>
                <w:sz w:val="24"/>
              </w:rPr>
            </w:pPr>
            <w:r>
              <w:rPr>
                <w:sz w:val="24"/>
              </w:rPr>
              <w:t>207.</w:t>
            </w:r>
            <w:r w:rsidR="00342355">
              <w:rPr>
                <w:sz w:val="24"/>
              </w:rPr>
              <w:t>6</w:t>
            </w:r>
          </w:p>
        </w:tc>
        <w:tc>
          <w:tcPr>
            <w:tcW w:w="1350" w:type="dxa"/>
          </w:tcPr>
          <w:p w:rsidR="006819CF" w:rsidRPr="00E72AB0" w:rsidRDefault="00AF0164" w:rsidP="003B449B">
            <w:pPr>
              <w:jc w:val="right"/>
              <w:rPr>
                <w:sz w:val="24"/>
              </w:rPr>
            </w:pPr>
            <w:r>
              <w:rPr>
                <w:sz w:val="24"/>
              </w:rPr>
              <w:t>$22.70</w:t>
            </w:r>
          </w:p>
        </w:tc>
        <w:tc>
          <w:tcPr>
            <w:tcW w:w="2700" w:type="dxa"/>
          </w:tcPr>
          <w:p w:rsidR="006819CF" w:rsidRPr="00E72AB0" w:rsidRDefault="00AF0164" w:rsidP="003B449B">
            <w:pPr>
              <w:jc w:val="right"/>
              <w:rPr>
                <w:sz w:val="24"/>
              </w:rPr>
            </w:pPr>
            <w:r>
              <w:rPr>
                <w:sz w:val="24"/>
              </w:rPr>
              <w:t>$471</w:t>
            </w:r>
            <w:r w:rsidR="003B449B">
              <w:rPr>
                <w:sz w:val="24"/>
              </w:rPr>
              <w:t>3</w:t>
            </w:r>
            <w:r>
              <w:rPr>
                <w:sz w:val="24"/>
              </w:rPr>
              <w:t>.</w:t>
            </w:r>
            <w:r w:rsidR="003B449B">
              <w:rPr>
                <w:sz w:val="24"/>
              </w:rPr>
              <w:t>12</w:t>
            </w:r>
          </w:p>
        </w:tc>
      </w:tr>
      <w:tr w:rsidR="006819CF" w:rsidRPr="00E72AB0" w:rsidTr="005F1E83">
        <w:trPr>
          <w:trHeight w:val="151"/>
        </w:trPr>
        <w:tc>
          <w:tcPr>
            <w:tcW w:w="3150" w:type="dxa"/>
          </w:tcPr>
          <w:p w:rsidR="006819CF" w:rsidRPr="00E72AB0" w:rsidRDefault="00B36B5D">
            <w:pPr>
              <w:rPr>
                <w:sz w:val="24"/>
              </w:rPr>
            </w:pPr>
            <w:r w:rsidRPr="00E72AB0">
              <w:rPr>
                <w:sz w:val="24"/>
              </w:rPr>
              <w:t xml:space="preserve">State </w:t>
            </w:r>
            <w:r w:rsidR="007F3D5A">
              <w:rPr>
                <w:sz w:val="24"/>
              </w:rPr>
              <w:t>Ombudsman</w:t>
            </w:r>
            <w:r w:rsidRPr="00E72AB0">
              <w:rPr>
                <w:sz w:val="24"/>
              </w:rPr>
              <w:t xml:space="preserve"> Staff</w:t>
            </w:r>
          </w:p>
        </w:tc>
        <w:tc>
          <w:tcPr>
            <w:tcW w:w="1350" w:type="dxa"/>
          </w:tcPr>
          <w:p w:rsidR="006819CF" w:rsidRPr="00E72AB0" w:rsidRDefault="00B36B5D">
            <w:pPr>
              <w:rPr>
                <w:sz w:val="24"/>
              </w:rPr>
            </w:pPr>
            <w:r w:rsidRPr="00E72AB0">
              <w:rPr>
                <w:sz w:val="24"/>
              </w:rPr>
              <w:t>16</w:t>
            </w:r>
          </w:p>
        </w:tc>
        <w:tc>
          <w:tcPr>
            <w:tcW w:w="1350" w:type="dxa"/>
          </w:tcPr>
          <w:p w:rsidR="006819CF" w:rsidRPr="00E72AB0" w:rsidRDefault="006819CF" w:rsidP="003B449B">
            <w:pPr>
              <w:jc w:val="right"/>
              <w:rPr>
                <w:sz w:val="24"/>
              </w:rPr>
            </w:pPr>
            <w:r w:rsidRPr="00E72AB0">
              <w:rPr>
                <w:sz w:val="24"/>
              </w:rPr>
              <w:t xml:space="preserve"> </w:t>
            </w:r>
            <w:r w:rsidR="00B36B5D" w:rsidRPr="00E72AB0">
              <w:rPr>
                <w:sz w:val="24"/>
              </w:rPr>
              <w:t>$</w:t>
            </w:r>
            <w:r w:rsidR="00AF0164">
              <w:rPr>
                <w:sz w:val="24"/>
              </w:rPr>
              <w:t>34.0</w:t>
            </w:r>
            <w:r w:rsidR="003B449B">
              <w:rPr>
                <w:sz w:val="24"/>
              </w:rPr>
              <w:t>8</w:t>
            </w:r>
            <w:r w:rsidR="00D61104" w:rsidRPr="007E1EA2">
              <w:rPr>
                <w:rStyle w:val="FootnoteReference"/>
                <w:sz w:val="16"/>
                <w:szCs w:val="16"/>
              </w:rPr>
              <w:footnoteReference w:id="4"/>
            </w:r>
            <w:r w:rsidRPr="007E1EA2">
              <w:rPr>
                <w:sz w:val="16"/>
                <w:szCs w:val="16"/>
              </w:rPr>
              <w:t xml:space="preserve"> </w:t>
            </w:r>
          </w:p>
        </w:tc>
        <w:tc>
          <w:tcPr>
            <w:tcW w:w="2700" w:type="dxa"/>
          </w:tcPr>
          <w:p w:rsidR="006819CF" w:rsidRPr="00E72AB0" w:rsidRDefault="00723305" w:rsidP="00AF0164">
            <w:pPr>
              <w:jc w:val="right"/>
              <w:rPr>
                <w:sz w:val="24"/>
              </w:rPr>
            </w:pPr>
            <w:r>
              <w:rPr>
                <w:sz w:val="24"/>
              </w:rPr>
              <w:t>$545</w:t>
            </w:r>
            <w:r w:rsidR="003B449B">
              <w:rPr>
                <w:sz w:val="24"/>
              </w:rPr>
              <w:t>.28</w:t>
            </w:r>
          </w:p>
        </w:tc>
      </w:tr>
      <w:tr w:rsidR="006819CF" w:rsidRPr="00E72AB0" w:rsidTr="005F1E83">
        <w:trPr>
          <w:trHeight w:val="323"/>
        </w:trPr>
        <w:tc>
          <w:tcPr>
            <w:tcW w:w="3150" w:type="dxa"/>
          </w:tcPr>
          <w:p w:rsidR="006819CF" w:rsidRPr="00E72AB0" w:rsidRDefault="005F1E83" w:rsidP="00E72AB0">
            <w:pPr>
              <w:widowControl/>
              <w:rPr>
                <w:sz w:val="24"/>
              </w:rPr>
            </w:pPr>
            <w:r>
              <w:rPr>
                <w:sz w:val="24"/>
              </w:rPr>
              <w:t>Sub-total program cost</w:t>
            </w:r>
          </w:p>
        </w:tc>
        <w:tc>
          <w:tcPr>
            <w:tcW w:w="1350" w:type="dxa"/>
          </w:tcPr>
          <w:p w:rsidR="006819CF" w:rsidRPr="00E72AB0" w:rsidRDefault="00723305" w:rsidP="00E72AB0">
            <w:pPr>
              <w:widowControl/>
              <w:rPr>
                <w:sz w:val="24"/>
              </w:rPr>
            </w:pPr>
            <w:r>
              <w:rPr>
                <w:sz w:val="24"/>
              </w:rPr>
              <w:t>223.</w:t>
            </w:r>
            <w:r w:rsidR="003B449B">
              <w:rPr>
                <w:sz w:val="24"/>
              </w:rPr>
              <w:t>6</w:t>
            </w:r>
          </w:p>
        </w:tc>
        <w:tc>
          <w:tcPr>
            <w:tcW w:w="1350" w:type="dxa"/>
          </w:tcPr>
          <w:p w:rsidR="006819CF" w:rsidRPr="00E72AB0" w:rsidRDefault="006819CF" w:rsidP="00E72AB0">
            <w:pPr>
              <w:widowControl/>
              <w:jc w:val="right"/>
              <w:rPr>
                <w:sz w:val="24"/>
              </w:rPr>
            </w:pPr>
          </w:p>
        </w:tc>
        <w:tc>
          <w:tcPr>
            <w:tcW w:w="2700" w:type="dxa"/>
          </w:tcPr>
          <w:p w:rsidR="006819CF" w:rsidRPr="00E72AB0" w:rsidRDefault="00723305" w:rsidP="003B449B">
            <w:pPr>
              <w:widowControl/>
              <w:jc w:val="right"/>
              <w:rPr>
                <w:sz w:val="24"/>
              </w:rPr>
            </w:pPr>
            <w:r>
              <w:rPr>
                <w:sz w:val="24"/>
              </w:rPr>
              <w:t>$525</w:t>
            </w:r>
            <w:r w:rsidR="003B449B">
              <w:rPr>
                <w:sz w:val="24"/>
              </w:rPr>
              <w:t>8.4</w:t>
            </w:r>
          </w:p>
        </w:tc>
      </w:tr>
      <w:tr w:rsidR="005F1E83" w:rsidRPr="00E72AB0" w:rsidTr="005F1E83">
        <w:trPr>
          <w:trHeight w:val="359"/>
        </w:trPr>
        <w:tc>
          <w:tcPr>
            <w:tcW w:w="3150" w:type="dxa"/>
          </w:tcPr>
          <w:p w:rsidR="005F1E83" w:rsidRPr="00E72AB0" w:rsidRDefault="005F1E83" w:rsidP="002B7B9B">
            <w:pPr>
              <w:rPr>
                <w:sz w:val="24"/>
              </w:rPr>
            </w:pPr>
            <w:r w:rsidRPr="005F1E83">
              <w:rPr>
                <w:sz w:val="24"/>
              </w:rPr>
              <w:t>Benefits &amp; overhead</w:t>
            </w:r>
          </w:p>
        </w:tc>
        <w:tc>
          <w:tcPr>
            <w:tcW w:w="1350" w:type="dxa"/>
          </w:tcPr>
          <w:p w:rsidR="005F1E83" w:rsidRPr="00E72AB0" w:rsidRDefault="005F1E83" w:rsidP="002B7B9B">
            <w:pPr>
              <w:rPr>
                <w:sz w:val="24"/>
              </w:rPr>
            </w:pPr>
          </w:p>
        </w:tc>
        <w:tc>
          <w:tcPr>
            <w:tcW w:w="1350" w:type="dxa"/>
          </w:tcPr>
          <w:p w:rsidR="005F1E83" w:rsidRPr="00E72AB0" w:rsidRDefault="005F1E83" w:rsidP="002B7B9B">
            <w:pPr>
              <w:jc w:val="right"/>
              <w:rPr>
                <w:sz w:val="24"/>
              </w:rPr>
            </w:pPr>
          </w:p>
        </w:tc>
        <w:tc>
          <w:tcPr>
            <w:tcW w:w="2700" w:type="dxa"/>
          </w:tcPr>
          <w:p w:rsidR="005F1E83" w:rsidRDefault="005F1E83" w:rsidP="003B449B">
            <w:pPr>
              <w:jc w:val="right"/>
              <w:rPr>
                <w:sz w:val="24"/>
              </w:rPr>
            </w:pPr>
            <w:r w:rsidRPr="005F1E83">
              <w:rPr>
                <w:sz w:val="24"/>
              </w:rPr>
              <w:t>$525</w:t>
            </w:r>
            <w:r w:rsidR="003B449B">
              <w:rPr>
                <w:sz w:val="24"/>
              </w:rPr>
              <w:t>8.4</w:t>
            </w:r>
            <w:r w:rsidRPr="005F1E83">
              <w:rPr>
                <w:sz w:val="24"/>
              </w:rPr>
              <w:t>.74</w:t>
            </w:r>
          </w:p>
        </w:tc>
      </w:tr>
      <w:tr w:rsidR="005F1E83" w:rsidRPr="00E72AB0" w:rsidTr="005F1E83">
        <w:trPr>
          <w:trHeight w:val="461"/>
        </w:trPr>
        <w:tc>
          <w:tcPr>
            <w:tcW w:w="3150" w:type="dxa"/>
          </w:tcPr>
          <w:p w:rsidR="005F1E83" w:rsidRPr="00E72AB0" w:rsidRDefault="005F1E83" w:rsidP="00E72AB0">
            <w:pPr>
              <w:widowControl/>
              <w:rPr>
                <w:sz w:val="24"/>
              </w:rPr>
            </w:pPr>
            <w:r w:rsidRPr="005F1E83">
              <w:rPr>
                <w:sz w:val="24"/>
              </w:rPr>
              <w:t>Total State Program cost</w:t>
            </w:r>
          </w:p>
        </w:tc>
        <w:tc>
          <w:tcPr>
            <w:tcW w:w="1350" w:type="dxa"/>
          </w:tcPr>
          <w:p w:rsidR="005F1E83" w:rsidRDefault="005F1E83" w:rsidP="00E72AB0">
            <w:pPr>
              <w:widowControl/>
              <w:rPr>
                <w:sz w:val="24"/>
              </w:rPr>
            </w:pPr>
          </w:p>
        </w:tc>
        <w:tc>
          <w:tcPr>
            <w:tcW w:w="1350" w:type="dxa"/>
          </w:tcPr>
          <w:p w:rsidR="005F1E83" w:rsidRPr="00E72AB0" w:rsidRDefault="005F1E83" w:rsidP="00E72AB0">
            <w:pPr>
              <w:widowControl/>
              <w:jc w:val="right"/>
              <w:rPr>
                <w:sz w:val="24"/>
              </w:rPr>
            </w:pPr>
          </w:p>
        </w:tc>
        <w:tc>
          <w:tcPr>
            <w:tcW w:w="2700" w:type="dxa"/>
          </w:tcPr>
          <w:p w:rsidR="005F1E83" w:rsidRDefault="005F1E83" w:rsidP="003B449B">
            <w:pPr>
              <w:widowControl/>
              <w:jc w:val="right"/>
              <w:rPr>
                <w:sz w:val="24"/>
              </w:rPr>
            </w:pPr>
            <w:r>
              <w:rPr>
                <w:sz w:val="24"/>
              </w:rPr>
              <w:t>$10,51</w:t>
            </w:r>
            <w:r w:rsidR="003B449B">
              <w:rPr>
                <w:sz w:val="24"/>
              </w:rPr>
              <w:t>6.81</w:t>
            </w:r>
          </w:p>
        </w:tc>
      </w:tr>
    </w:tbl>
    <w:p w:rsidR="006819CF" w:rsidRDefault="006819CF">
      <w:pPr>
        <w:pStyle w:val="BodyTextIndent"/>
        <w:ind w:left="1080"/>
        <w:rPr>
          <w:rFonts w:ascii="Times New Roman" w:hAnsi="Times New Roman"/>
        </w:rPr>
      </w:pPr>
    </w:p>
    <w:p w:rsidR="006819CF" w:rsidRDefault="006819CF">
      <w:pPr>
        <w:ind w:left="360"/>
        <w:rPr>
          <w:sz w:val="24"/>
        </w:rPr>
      </w:pPr>
    </w:p>
    <w:p w:rsidR="006819CF" w:rsidRDefault="006819CF">
      <w:pPr>
        <w:numPr>
          <w:ilvl w:val="0"/>
          <w:numId w:val="2"/>
        </w:numPr>
        <w:rPr>
          <w:b/>
          <w:sz w:val="24"/>
        </w:rPr>
      </w:pPr>
      <w:r>
        <w:rPr>
          <w:b/>
          <w:sz w:val="24"/>
          <w:u w:val="single"/>
        </w:rPr>
        <w:t xml:space="preserve">Estimates of </w:t>
      </w:r>
      <w:r w:rsidR="006E2DAD">
        <w:rPr>
          <w:b/>
          <w:sz w:val="24"/>
          <w:u w:val="single"/>
        </w:rPr>
        <w:t>O</w:t>
      </w:r>
      <w:r>
        <w:rPr>
          <w:b/>
          <w:sz w:val="24"/>
          <w:u w:val="single"/>
        </w:rPr>
        <w:t xml:space="preserve">ther Total Annual Cost Burden to Respondents </w:t>
      </w:r>
      <w:r w:rsidR="00D3003F">
        <w:rPr>
          <w:b/>
          <w:sz w:val="24"/>
          <w:u w:val="single"/>
        </w:rPr>
        <w:t>and</w:t>
      </w:r>
      <w:r>
        <w:rPr>
          <w:b/>
          <w:sz w:val="24"/>
          <w:u w:val="single"/>
        </w:rPr>
        <w:t xml:space="preserve"> </w:t>
      </w:r>
      <w:r w:rsidR="00974AC0">
        <w:rPr>
          <w:b/>
          <w:sz w:val="24"/>
          <w:u w:val="single"/>
        </w:rPr>
        <w:t>Record keepers</w:t>
      </w:r>
      <w:r>
        <w:rPr>
          <w:b/>
          <w:sz w:val="24"/>
          <w:u w:val="single"/>
        </w:rPr>
        <w:t>/Capital Costs</w:t>
      </w:r>
    </w:p>
    <w:p w:rsidR="006819CF" w:rsidRDefault="00D3003F">
      <w:pPr>
        <w:ind w:left="720"/>
        <w:rPr>
          <w:b/>
          <w:sz w:val="24"/>
        </w:rPr>
      </w:pPr>
      <w:r>
        <w:rPr>
          <w:b/>
          <w:sz w:val="24"/>
        </w:rPr>
        <w:t xml:space="preserve">                                                                                                                                                                                                                                                                                                                                                                                                                                                                                                                                                 </w:t>
      </w:r>
    </w:p>
    <w:p w:rsidR="006819CF" w:rsidRDefault="00A76ADD" w:rsidP="00A76ADD">
      <w:pPr>
        <w:ind w:left="360" w:firstLine="360"/>
        <w:rPr>
          <w:sz w:val="24"/>
        </w:rPr>
      </w:pPr>
      <w:r>
        <w:rPr>
          <w:sz w:val="24"/>
        </w:rPr>
        <w:t xml:space="preserve">There are no </w:t>
      </w:r>
      <w:r w:rsidR="00D3003F">
        <w:rPr>
          <w:sz w:val="24"/>
        </w:rPr>
        <w:t xml:space="preserve">capital or </w:t>
      </w:r>
      <w:r>
        <w:rPr>
          <w:sz w:val="24"/>
        </w:rPr>
        <w:t>other costs to respondents or record keepers.</w:t>
      </w:r>
    </w:p>
    <w:p w:rsidR="006D1F9F" w:rsidRDefault="006D1F9F" w:rsidP="00A76ADD">
      <w:pPr>
        <w:ind w:left="360" w:firstLine="360"/>
        <w:rPr>
          <w:sz w:val="24"/>
        </w:rPr>
      </w:pPr>
    </w:p>
    <w:p w:rsidR="006819CF" w:rsidRDefault="006819CF">
      <w:pPr>
        <w:numPr>
          <w:ilvl w:val="0"/>
          <w:numId w:val="2"/>
        </w:numPr>
        <w:rPr>
          <w:b/>
          <w:sz w:val="24"/>
        </w:rPr>
      </w:pPr>
      <w:r>
        <w:rPr>
          <w:b/>
          <w:sz w:val="24"/>
          <w:u w:val="single"/>
        </w:rPr>
        <w:t>Annualized Cost to Federal Government</w:t>
      </w:r>
    </w:p>
    <w:p w:rsidR="006819CF" w:rsidRDefault="006819CF">
      <w:pPr>
        <w:ind w:left="720"/>
        <w:rPr>
          <w:sz w:val="24"/>
        </w:rPr>
      </w:pPr>
    </w:p>
    <w:p w:rsidR="006D1F9F" w:rsidRDefault="006D1F9F">
      <w:pPr>
        <w:ind w:left="720"/>
        <w:rPr>
          <w:sz w:val="24"/>
        </w:rPr>
      </w:pPr>
      <w:r>
        <w:rPr>
          <w:sz w:val="24"/>
        </w:rPr>
        <w:t>The table below describes the annualized cost to the federal government.</w:t>
      </w:r>
      <w:r w:rsidR="000824C6">
        <w:rPr>
          <w:sz w:val="24"/>
        </w:rPr>
        <w:t xml:space="preserve"> It is based on the General Schedule Locality Pay Table for </w:t>
      </w:r>
      <w:r w:rsidR="00A90C34">
        <w:rPr>
          <w:sz w:val="24"/>
        </w:rPr>
        <w:t xml:space="preserve">the Seattle, Washington area, which is the location of the Ombudsman Program Specialist. </w:t>
      </w:r>
      <w:r w:rsidR="000824C6">
        <w:rPr>
          <w:sz w:val="24"/>
        </w:rPr>
        <w:t xml:space="preserve"> </w:t>
      </w:r>
    </w:p>
    <w:tbl>
      <w:tblPr>
        <w:tblW w:w="603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2010"/>
        <w:gridCol w:w="2010"/>
      </w:tblGrid>
      <w:tr w:rsidR="0024482E" w:rsidRPr="00E72AB0" w:rsidTr="00F61041">
        <w:trPr>
          <w:trHeight w:val="341"/>
        </w:trPr>
        <w:tc>
          <w:tcPr>
            <w:tcW w:w="2010" w:type="dxa"/>
          </w:tcPr>
          <w:p w:rsidR="0024482E" w:rsidRPr="00F61041" w:rsidRDefault="0024482E" w:rsidP="007123B1">
            <w:pPr>
              <w:widowControl/>
              <w:rPr>
                <w:b/>
                <w:bCs/>
                <w:sz w:val="22"/>
                <w:szCs w:val="22"/>
              </w:rPr>
            </w:pPr>
            <w:r w:rsidRPr="00F61041">
              <w:rPr>
                <w:b/>
                <w:bCs/>
                <w:sz w:val="22"/>
                <w:szCs w:val="22"/>
              </w:rPr>
              <w:t>GS Grade/Step</w:t>
            </w:r>
          </w:p>
        </w:tc>
        <w:tc>
          <w:tcPr>
            <w:tcW w:w="2010" w:type="dxa"/>
          </w:tcPr>
          <w:p w:rsidR="0024482E" w:rsidRPr="00F61041" w:rsidRDefault="0024482E" w:rsidP="007123B1">
            <w:pPr>
              <w:widowControl/>
              <w:rPr>
                <w:b/>
                <w:bCs/>
                <w:sz w:val="22"/>
                <w:szCs w:val="22"/>
              </w:rPr>
            </w:pPr>
            <w:r w:rsidRPr="00F61041">
              <w:rPr>
                <w:b/>
                <w:bCs/>
                <w:sz w:val="22"/>
                <w:szCs w:val="22"/>
              </w:rPr>
              <w:t>Percent Time</w:t>
            </w:r>
          </w:p>
        </w:tc>
        <w:tc>
          <w:tcPr>
            <w:tcW w:w="2010" w:type="dxa"/>
          </w:tcPr>
          <w:p w:rsidR="0024482E" w:rsidRPr="00F61041" w:rsidRDefault="0024482E" w:rsidP="007123B1">
            <w:pPr>
              <w:widowControl/>
              <w:rPr>
                <w:b/>
                <w:bCs/>
                <w:sz w:val="22"/>
                <w:szCs w:val="22"/>
              </w:rPr>
            </w:pPr>
            <w:r w:rsidRPr="00F61041">
              <w:rPr>
                <w:b/>
                <w:bCs/>
                <w:sz w:val="22"/>
                <w:szCs w:val="22"/>
              </w:rPr>
              <w:t>Estimated Cost</w:t>
            </w:r>
          </w:p>
        </w:tc>
      </w:tr>
      <w:tr w:rsidR="0024482E" w:rsidRPr="00E72AB0" w:rsidTr="0024482E">
        <w:trPr>
          <w:trHeight w:val="461"/>
        </w:trPr>
        <w:tc>
          <w:tcPr>
            <w:tcW w:w="2010" w:type="dxa"/>
          </w:tcPr>
          <w:p w:rsidR="0024482E" w:rsidRPr="00F61041" w:rsidRDefault="0024482E" w:rsidP="007123B1">
            <w:pPr>
              <w:widowControl/>
              <w:rPr>
                <w:sz w:val="24"/>
              </w:rPr>
            </w:pPr>
            <w:r w:rsidRPr="00F61041">
              <w:rPr>
                <w:sz w:val="24"/>
              </w:rPr>
              <w:t>GS 13-</w:t>
            </w:r>
            <w:r w:rsidR="00F61041">
              <w:rPr>
                <w:sz w:val="24"/>
              </w:rPr>
              <w:t>5</w:t>
            </w:r>
          </w:p>
        </w:tc>
        <w:tc>
          <w:tcPr>
            <w:tcW w:w="2010" w:type="dxa"/>
          </w:tcPr>
          <w:p w:rsidR="0024482E" w:rsidRPr="00F61041" w:rsidRDefault="00F61041" w:rsidP="007123B1">
            <w:pPr>
              <w:widowControl/>
              <w:rPr>
                <w:sz w:val="24"/>
              </w:rPr>
            </w:pPr>
            <w:r>
              <w:rPr>
                <w:sz w:val="24"/>
              </w:rPr>
              <w:t>15</w:t>
            </w:r>
            <w:r w:rsidR="0024482E" w:rsidRPr="00F61041">
              <w:rPr>
                <w:sz w:val="24"/>
              </w:rPr>
              <w:t xml:space="preserve">% </w:t>
            </w:r>
          </w:p>
        </w:tc>
        <w:tc>
          <w:tcPr>
            <w:tcW w:w="2010" w:type="dxa"/>
          </w:tcPr>
          <w:p w:rsidR="0024482E" w:rsidRPr="00F61041" w:rsidRDefault="00326B3F" w:rsidP="000824C6">
            <w:pPr>
              <w:widowControl/>
              <w:jc w:val="right"/>
              <w:rPr>
                <w:sz w:val="24"/>
              </w:rPr>
            </w:pPr>
            <w:r>
              <w:rPr>
                <w:sz w:val="24"/>
              </w:rPr>
              <w:t>$15,700</w:t>
            </w:r>
          </w:p>
        </w:tc>
      </w:tr>
      <w:tr w:rsidR="00F61041" w:rsidRPr="00E72AB0" w:rsidTr="00F61041">
        <w:trPr>
          <w:trHeight w:val="152"/>
        </w:trPr>
        <w:tc>
          <w:tcPr>
            <w:tcW w:w="2010" w:type="dxa"/>
            <w:shd w:val="clear" w:color="auto" w:fill="EEECE1" w:themeFill="background2"/>
          </w:tcPr>
          <w:p w:rsidR="00F61041" w:rsidRPr="00F61041" w:rsidRDefault="00F61041" w:rsidP="007123B1">
            <w:pPr>
              <w:widowControl/>
              <w:rPr>
                <w:sz w:val="24"/>
              </w:rPr>
            </w:pPr>
          </w:p>
        </w:tc>
        <w:tc>
          <w:tcPr>
            <w:tcW w:w="2010" w:type="dxa"/>
            <w:shd w:val="clear" w:color="auto" w:fill="EEECE1" w:themeFill="background2"/>
          </w:tcPr>
          <w:p w:rsidR="00F61041" w:rsidRPr="00F61041" w:rsidRDefault="00F61041" w:rsidP="007123B1">
            <w:pPr>
              <w:widowControl/>
              <w:rPr>
                <w:sz w:val="24"/>
              </w:rPr>
            </w:pPr>
          </w:p>
        </w:tc>
        <w:tc>
          <w:tcPr>
            <w:tcW w:w="2010" w:type="dxa"/>
            <w:shd w:val="clear" w:color="auto" w:fill="EEECE1" w:themeFill="background2"/>
          </w:tcPr>
          <w:p w:rsidR="00F61041" w:rsidRPr="00F61041" w:rsidRDefault="00F61041" w:rsidP="007123B1">
            <w:pPr>
              <w:widowControl/>
              <w:jc w:val="right"/>
              <w:rPr>
                <w:sz w:val="24"/>
              </w:rPr>
            </w:pPr>
          </w:p>
        </w:tc>
      </w:tr>
      <w:tr w:rsidR="0024482E" w:rsidRPr="00E72AB0" w:rsidTr="0024482E">
        <w:trPr>
          <w:trHeight w:val="461"/>
        </w:trPr>
        <w:tc>
          <w:tcPr>
            <w:tcW w:w="2010" w:type="dxa"/>
          </w:tcPr>
          <w:p w:rsidR="0024482E" w:rsidRPr="00F61041" w:rsidRDefault="0024482E" w:rsidP="007123B1">
            <w:pPr>
              <w:widowControl/>
              <w:rPr>
                <w:sz w:val="24"/>
              </w:rPr>
            </w:pPr>
          </w:p>
        </w:tc>
        <w:tc>
          <w:tcPr>
            <w:tcW w:w="2010" w:type="dxa"/>
          </w:tcPr>
          <w:p w:rsidR="0024482E" w:rsidRPr="00F61041" w:rsidRDefault="0024482E" w:rsidP="007123B1">
            <w:pPr>
              <w:widowControl/>
              <w:rPr>
                <w:sz w:val="24"/>
              </w:rPr>
            </w:pPr>
            <w:r w:rsidRPr="00F61041">
              <w:rPr>
                <w:sz w:val="24"/>
              </w:rPr>
              <w:t>Contract Cost</w:t>
            </w:r>
          </w:p>
        </w:tc>
        <w:tc>
          <w:tcPr>
            <w:tcW w:w="2010" w:type="dxa"/>
          </w:tcPr>
          <w:p w:rsidR="0024482E" w:rsidRPr="00F61041" w:rsidRDefault="0024482E" w:rsidP="00F61041">
            <w:pPr>
              <w:widowControl/>
              <w:jc w:val="right"/>
              <w:rPr>
                <w:sz w:val="24"/>
              </w:rPr>
            </w:pPr>
            <w:r w:rsidRPr="00F61041">
              <w:rPr>
                <w:sz w:val="24"/>
              </w:rPr>
              <w:t>$</w:t>
            </w:r>
            <w:r w:rsidR="00F61041">
              <w:rPr>
                <w:sz w:val="24"/>
              </w:rPr>
              <w:t>386,512</w:t>
            </w:r>
          </w:p>
        </w:tc>
      </w:tr>
      <w:tr w:rsidR="00326B3F" w:rsidRPr="00E72AB0" w:rsidTr="0024482E">
        <w:trPr>
          <w:trHeight w:val="461"/>
        </w:trPr>
        <w:tc>
          <w:tcPr>
            <w:tcW w:w="2010" w:type="dxa"/>
          </w:tcPr>
          <w:p w:rsidR="00326B3F" w:rsidRPr="00F61041" w:rsidRDefault="00326B3F" w:rsidP="007123B1">
            <w:pPr>
              <w:widowControl/>
              <w:rPr>
                <w:sz w:val="24"/>
              </w:rPr>
            </w:pPr>
          </w:p>
        </w:tc>
        <w:tc>
          <w:tcPr>
            <w:tcW w:w="2010" w:type="dxa"/>
          </w:tcPr>
          <w:p w:rsidR="00326B3F" w:rsidRPr="00F61041" w:rsidRDefault="00326B3F" w:rsidP="007123B1">
            <w:pPr>
              <w:widowControl/>
              <w:rPr>
                <w:sz w:val="24"/>
              </w:rPr>
            </w:pPr>
            <w:r>
              <w:rPr>
                <w:sz w:val="24"/>
              </w:rPr>
              <w:t>Training cost</w:t>
            </w:r>
          </w:p>
        </w:tc>
        <w:tc>
          <w:tcPr>
            <w:tcW w:w="2010" w:type="dxa"/>
          </w:tcPr>
          <w:p w:rsidR="00326B3F" w:rsidRPr="00F61041" w:rsidRDefault="00326B3F" w:rsidP="00F61041">
            <w:pPr>
              <w:widowControl/>
              <w:jc w:val="right"/>
              <w:rPr>
                <w:sz w:val="24"/>
              </w:rPr>
            </w:pPr>
            <w:r>
              <w:rPr>
                <w:sz w:val="24"/>
              </w:rPr>
              <w:t>$1,500</w:t>
            </w:r>
          </w:p>
        </w:tc>
      </w:tr>
      <w:tr w:rsidR="0024482E" w:rsidRPr="00E72AB0" w:rsidTr="0024482E">
        <w:trPr>
          <w:trHeight w:val="461"/>
        </w:trPr>
        <w:tc>
          <w:tcPr>
            <w:tcW w:w="2010" w:type="dxa"/>
          </w:tcPr>
          <w:p w:rsidR="0024482E" w:rsidRPr="0042056A" w:rsidRDefault="0042056A" w:rsidP="007123B1">
            <w:pPr>
              <w:widowControl/>
              <w:rPr>
                <w:b/>
                <w:sz w:val="24"/>
              </w:rPr>
            </w:pPr>
            <w:r w:rsidRPr="0042056A">
              <w:rPr>
                <w:b/>
                <w:sz w:val="24"/>
              </w:rPr>
              <w:t>Total</w:t>
            </w:r>
          </w:p>
        </w:tc>
        <w:tc>
          <w:tcPr>
            <w:tcW w:w="2010" w:type="dxa"/>
          </w:tcPr>
          <w:p w:rsidR="0024482E" w:rsidRPr="00F61041" w:rsidRDefault="0024482E" w:rsidP="007123B1">
            <w:pPr>
              <w:widowControl/>
              <w:rPr>
                <w:sz w:val="24"/>
              </w:rPr>
            </w:pPr>
            <w:r w:rsidRPr="00F61041">
              <w:rPr>
                <w:sz w:val="24"/>
              </w:rPr>
              <w:t>Annualized Cost to Federal Government</w:t>
            </w:r>
          </w:p>
        </w:tc>
        <w:tc>
          <w:tcPr>
            <w:tcW w:w="2010" w:type="dxa"/>
          </w:tcPr>
          <w:p w:rsidR="0024482E" w:rsidRPr="00F61041" w:rsidRDefault="000824C6" w:rsidP="00326B3F">
            <w:pPr>
              <w:widowControl/>
              <w:jc w:val="right"/>
              <w:rPr>
                <w:sz w:val="24"/>
              </w:rPr>
            </w:pPr>
            <w:r w:rsidRPr="00F61041">
              <w:rPr>
                <w:sz w:val="24"/>
              </w:rPr>
              <w:t>$</w:t>
            </w:r>
            <w:r w:rsidR="00326B3F">
              <w:rPr>
                <w:sz w:val="24"/>
              </w:rPr>
              <w:t>403,712</w:t>
            </w:r>
          </w:p>
        </w:tc>
      </w:tr>
    </w:tbl>
    <w:p w:rsidR="00AA6414" w:rsidRPr="00A76ADD" w:rsidRDefault="00AA6414" w:rsidP="0024482E">
      <w:pPr>
        <w:rPr>
          <w:sz w:val="24"/>
        </w:rPr>
      </w:pPr>
    </w:p>
    <w:p w:rsidR="00BF247A" w:rsidRDefault="00A76ADD" w:rsidP="0024482E">
      <w:pPr>
        <w:keepNext/>
        <w:keepLines/>
        <w:tabs>
          <w:tab w:val="left" w:pos="1200"/>
        </w:tabs>
        <w:ind w:left="6480" w:hanging="6000"/>
        <w:rPr>
          <w:sz w:val="24"/>
        </w:rPr>
      </w:pPr>
      <w:r w:rsidRPr="00A76ADD">
        <w:rPr>
          <w:sz w:val="24"/>
        </w:rPr>
        <w:tab/>
      </w:r>
      <w:r w:rsidRPr="00BF247A">
        <w:rPr>
          <w:sz w:val="24"/>
        </w:rPr>
        <w:t xml:space="preserve"> </w:t>
      </w:r>
    </w:p>
    <w:p w:rsidR="006819CF" w:rsidRPr="00A12021" w:rsidRDefault="006819CF">
      <w:pPr>
        <w:numPr>
          <w:ilvl w:val="0"/>
          <w:numId w:val="2"/>
        </w:numPr>
        <w:rPr>
          <w:b/>
          <w:sz w:val="24"/>
        </w:rPr>
      </w:pPr>
      <w:r w:rsidRPr="00A12021">
        <w:rPr>
          <w:b/>
          <w:sz w:val="24"/>
          <w:u w:val="single"/>
        </w:rPr>
        <w:t>Explanation for Program Changes or Adjustments</w:t>
      </w:r>
    </w:p>
    <w:p w:rsidR="00A12021" w:rsidRDefault="00A12021" w:rsidP="00A12021">
      <w:pPr>
        <w:ind w:left="720"/>
        <w:rPr>
          <w:b/>
          <w:sz w:val="24"/>
          <w:u w:val="single"/>
        </w:rPr>
      </w:pPr>
    </w:p>
    <w:p w:rsidR="00880792" w:rsidRPr="00880792" w:rsidRDefault="00900073" w:rsidP="00880792">
      <w:pPr>
        <w:ind w:left="720"/>
        <w:rPr>
          <w:sz w:val="24"/>
        </w:rPr>
      </w:pPr>
      <w:r>
        <w:rPr>
          <w:sz w:val="24"/>
        </w:rPr>
        <w:t xml:space="preserve">Not applicable. </w:t>
      </w:r>
    </w:p>
    <w:p w:rsidR="006819CF" w:rsidRDefault="006819CF">
      <w:pPr>
        <w:ind w:left="720"/>
        <w:rPr>
          <w:b/>
          <w:sz w:val="24"/>
        </w:rPr>
      </w:pPr>
    </w:p>
    <w:p w:rsidR="006819CF" w:rsidRPr="00A76ADD" w:rsidRDefault="006819CF">
      <w:pPr>
        <w:numPr>
          <w:ilvl w:val="0"/>
          <w:numId w:val="2"/>
        </w:numPr>
        <w:rPr>
          <w:b/>
          <w:sz w:val="24"/>
        </w:rPr>
      </w:pPr>
      <w:r>
        <w:rPr>
          <w:b/>
          <w:sz w:val="24"/>
          <w:u w:val="single"/>
        </w:rPr>
        <w:t>Plans for Tabulation and Publication and Project Time Schedule</w:t>
      </w:r>
    </w:p>
    <w:p w:rsidR="00A76ADD" w:rsidRPr="00801E41" w:rsidRDefault="00A76ADD" w:rsidP="00A76ADD">
      <w:pPr>
        <w:rPr>
          <w:sz w:val="24"/>
        </w:rPr>
      </w:pPr>
    </w:p>
    <w:p w:rsidR="007C5FFC" w:rsidRPr="007C5FFC" w:rsidRDefault="007C5FFC" w:rsidP="007C5FFC">
      <w:pPr>
        <w:ind w:left="720"/>
        <w:rPr>
          <w:sz w:val="24"/>
        </w:rPr>
      </w:pPr>
      <w:r w:rsidRPr="007C5FFC">
        <w:rPr>
          <w:sz w:val="24"/>
        </w:rPr>
        <w:t xml:space="preserve">The highlights of </w:t>
      </w:r>
      <w:r w:rsidR="00EB6A8F" w:rsidRPr="007C5FFC">
        <w:rPr>
          <w:sz w:val="24"/>
        </w:rPr>
        <w:t xml:space="preserve">the </w:t>
      </w:r>
      <w:r w:rsidR="00EB6A8F">
        <w:rPr>
          <w:sz w:val="24"/>
        </w:rPr>
        <w:t>typical</w:t>
      </w:r>
      <w:r w:rsidR="000569EC">
        <w:rPr>
          <w:sz w:val="24"/>
        </w:rPr>
        <w:t xml:space="preserve"> </w:t>
      </w:r>
      <w:r w:rsidRPr="007C5FFC">
        <w:rPr>
          <w:sz w:val="24"/>
        </w:rPr>
        <w:t xml:space="preserve">annual data collection schedule are as follows: </w:t>
      </w:r>
    </w:p>
    <w:p w:rsidR="007C5FFC" w:rsidRPr="007C5FFC" w:rsidRDefault="000569EC" w:rsidP="007C5FFC">
      <w:pPr>
        <w:numPr>
          <w:ilvl w:val="0"/>
          <w:numId w:val="49"/>
        </w:numPr>
        <w:rPr>
          <w:sz w:val="24"/>
        </w:rPr>
      </w:pPr>
      <w:r>
        <w:rPr>
          <w:sz w:val="24"/>
        </w:rPr>
        <w:t xml:space="preserve">September 30 - </w:t>
      </w:r>
      <w:r w:rsidR="007C5FFC" w:rsidRPr="007C5FFC">
        <w:rPr>
          <w:sz w:val="24"/>
        </w:rPr>
        <w:t>federal fiscal year closes</w:t>
      </w:r>
    </w:p>
    <w:p w:rsidR="000569EC" w:rsidRDefault="007C5FFC" w:rsidP="00306D06">
      <w:pPr>
        <w:numPr>
          <w:ilvl w:val="0"/>
          <w:numId w:val="49"/>
        </w:numPr>
        <w:rPr>
          <w:sz w:val="24"/>
        </w:rPr>
      </w:pPr>
      <w:r>
        <w:rPr>
          <w:sz w:val="24"/>
        </w:rPr>
        <w:t xml:space="preserve">Early </w:t>
      </w:r>
      <w:r w:rsidRPr="007C5FFC">
        <w:rPr>
          <w:sz w:val="24"/>
        </w:rPr>
        <w:t xml:space="preserve">October </w:t>
      </w:r>
      <w:r>
        <w:rPr>
          <w:sz w:val="24"/>
        </w:rPr>
        <w:t xml:space="preserve">– training schedule and reminder of NORS reporting due </w:t>
      </w:r>
    </w:p>
    <w:p w:rsidR="007C5FFC" w:rsidRDefault="000569EC" w:rsidP="000569EC">
      <w:pPr>
        <w:ind w:left="1080"/>
        <w:rPr>
          <w:sz w:val="24"/>
        </w:rPr>
      </w:pPr>
      <w:r>
        <w:rPr>
          <w:sz w:val="24"/>
        </w:rPr>
        <w:t xml:space="preserve">      </w:t>
      </w:r>
      <w:r w:rsidR="007C5FFC">
        <w:rPr>
          <w:sz w:val="24"/>
        </w:rPr>
        <w:t>date sent to all states</w:t>
      </w:r>
      <w:r w:rsidR="007C5FFC" w:rsidRPr="007C5FFC">
        <w:rPr>
          <w:sz w:val="24"/>
        </w:rPr>
        <w:t xml:space="preserve"> </w:t>
      </w:r>
    </w:p>
    <w:p w:rsidR="00306D06" w:rsidRDefault="00306D06" w:rsidP="00306D06">
      <w:pPr>
        <w:numPr>
          <w:ilvl w:val="0"/>
          <w:numId w:val="49"/>
        </w:numPr>
        <w:rPr>
          <w:sz w:val="24"/>
        </w:rPr>
      </w:pPr>
      <w:r>
        <w:rPr>
          <w:sz w:val="24"/>
        </w:rPr>
        <w:t xml:space="preserve">October – December training sessions provided </w:t>
      </w:r>
    </w:p>
    <w:p w:rsidR="00306D06" w:rsidRDefault="00306D06" w:rsidP="00306D06">
      <w:pPr>
        <w:numPr>
          <w:ilvl w:val="0"/>
          <w:numId w:val="49"/>
        </w:numPr>
        <w:rPr>
          <w:sz w:val="24"/>
        </w:rPr>
      </w:pPr>
      <w:r>
        <w:rPr>
          <w:sz w:val="24"/>
        </w:rPr>
        <w:t>January 31 final due date to submit report</w:t>
      </w:r>
    </w:p>
    <w:p w:rsidR="00306D06" w:rsidRDefault="00306D06" w:rsidP="00306D06">
      <w:pPr>
        <w:numPr>
          <w:ilvl w:val="0"/>
          <w:numId w:val="49"/>
        </w:numPr>
        <w:rPr>
          <w:sz w:val="24"/>
        </w:rPr>
      </w:pPr>
      <w:r>
        <w:rPr>
          <w:sz w:val="24"/>
        </w:rPr>
        <w:t>February –May  data analysis and approval of reports</w:t>
      </w:r>
    </w:p>
    <w:p w:rsidR="00306D06" w:rsidRDefault="00306D06" w:rsidP="00306D06">
      <w:pPr>
        <w:numPr>
          <w:ilvl w:val="0"/>
          <w:numId w:val="49"/>
        </w:numPr>
        <w:rPr>
          <w:sz w:val="24"/>
        </w:rPr>
      </w:pPr>
      <w:r>
        <w:rPr>
          <w:sz w:val="24"/>
        </w:rPr>
        <w:t>June-August- data analysis.</w:t>
      </w:r>
    </w:p>
    <w:p w:rsidR="00306D06" w:rsidRPr="007C5FFC" w:rsidRDefault="00306D06" w:rsidP="00306D06">
      <w:pPr>
        <w:numPr>
          <w:ilvl w:val="0"/>
          <w:numId w:val="49"/>
        </w:numPr>
        <w:rPr>
          <w:sz w:val="24"/>
        </w:rPr>
      </w:pPr>
      <w:r>
        <w:rPr>
          <w:sz w:val="24"/>
        </w:rPr>
        <w:t>August –September – post data</w:t>
      </w:r>
    </w:p>
    <w:p w:rsidR="00CE66D8" w:rsidRDefault="00CE66D8" w:rsidP="0095615D">
      <w:pPr>
        <w:ind w:left="720"/>
        <w:rPr>
          <w:sz w:val="24"/>
        </w:rPr>
      </w:pPr>
    </w:p>
    <w:p w:rsidR="00CE66D8" w:rsidRDefault="00B35E8F" w:rsidP="00CE66D8">
      <w:pPr>
        <w:ind w:left="720"/>
        <w:rPr>
          <w:sz w:val="24"/>
        </w:rPr>
      </w:pPr>
      <w:r>
        <w:rPr>
          <w:sz w:val="24"/>
        </w:rPr>
        <w:t>ACL</w:t>
      </w:r>
      <w:r w:rsidR="00CE66D8" w:rsidRPr="00CE66D8">
        <w:rPr>
          <w:sz w:val="24"/>
        </w:rPr>
        <w:t xml:space="preserve"> prepares reports, a fact sheet</w:t>
      </w:r>
      <w:r w:rsidR="007B28BC">
        <w:rPr>
          <w:sz w:val="24"/>
        </w:rPr>
        <w:t>,</w:t>
      </w:r>
      <w:r w:rsidR="00CE66D8" w:rsidRPr="00CE66D8">
        <w:rPr>
          <w:sz w:val="24"/>
        </w:rPr>
        <w:t xml:space="preserve"> and other information based on the data and posts the data tables on its website at:</w:t>
      </w:r>
      <w:r>
        <w:rPr>
          <w:sz w:val="24"/>
        </w:rPr>
        <w:t xml:space="preserve"> </w:t>
      </w:r>
      <w:hyperlink r:id="rId9" w:history="1">
        <w:r w:rsidRPr="0032527B">
          <w:rPr>
            <w:rStyle w:val="Hyperlink"/>
            <w:sz w:val="24"/>
          </w:rPr>
          <w:t>https://www.acl.gov/node/68</w:t>
        </w:r>
      </w:hyperlink>
      <w:r w:rsidR="00306D06">
        <w:rPr>
          <w:sz w:val="24"/>
        </w:rPr>
        <w:t>, in the Aging Integrated Database (AGID) and on the National Ombudsman Resource Center (NORC) website.</w:t>
      </w:r>
    </w:p>
    <w:p w:rsidR="0095615D" w:rsidRDefault="0095615D" w:rsidP="00375859">
      <w:pPr>
        <w:rPr>
          <w:sz w:val="24"/>
        </w:rPr>
      </w:pPr>
    </w:p>
    <w:p w:rsidR="006819CF" w:rsidRDefault="006819CF">
      <w:pPr>
        <w:ind w:left="1080"/>
        <w:rPr>
          <w:sz w:val="24"/>
        </w:rPr>
      </w:pPr>
    </w:p>
    <w:p w:rsidR="006819CF" w:rsidRPr="00DA7FF5" w:rsidRDefault="006819CF">
      <w:pPr>
        <w:numPr>
          <w:ilvl w:val="0"/>
          <w:numId w:val="2"/>
        </w:numPr>
        <w:rPr>
          <w:b/>
          <w:sz w:val="24"/>
        </w:rPr>
      </w:pPr>
      <w:r>
        <w:rPr>
          <w:b/>
          <w:sz w:val="24"/>
          <w:u w:val="single"/>
        </w:rPr>
        <w:t>Reason(s) Display of OMB Expiration Date is Inappropriate</w:t>
      </w:r>
    </w:p>
    <w:p w:rsidR="00DA7FF5" w:rsidRDefault="00DA7FF5" w:rsidP="00DA7FF5">
      <w:pPr>
        <w:ind w:left="720"/>
        <w:rPr>
          <w:b/>
          <w:sz w:val="24"/>
          <w:u w:val="single"/>
        </w:rPr>
      </w:pPr>
    </w:p>
    <w:p w:rsidR="006819CF" w:rsidRDefault="00306D06" w:rsidP="00306D06">
      <w:pPr>
        <w:ind w:left="720"/>
        <w:rPr>
          <w:sz w:val="24"/>
        </w:rPr>
      </w:pPr>
      <w:r w:rsidRPr="00306D06">
        <w:rPr>
          <w:sz w:val="24"/>
        </w:rPr>
        <w:t xml:space="preserve">The expiration date will be displayed on </w:t>
      </w:r>
      <w:r w:rsidR="007B28BC">
        <w:rPr>
          <w:sz w:val="24"/>
        </w:rPr>
        <w:t xml:space="preserve">all of </w:t>
      </w:r>
      <w:r w:rsidRPr="00306D06">
        <w:rPr>
          <w:sz w:val="24"/>
        </w:rPr>
        <w:t>the data collection instructions and instruments.</w:t>
      </w:r>
    </w:p>
    <w:p w:rsidR="00306D06" w:rsidRDefault="00306D06" w:rsidP="00306D06">
      <w:pPr>
        <w:ind w:left="720"/>
        <w:rPr>
          <w:sz w:val="24"/>
        </w:rPr>
      </w:pPr>
    </w:p>
    <w:p w:rsidR="006819CF" w:rsidRDefault="006819CF">
      <w:pPr>
        <w:numPr>
          <w:ilvl w:val="0"/>
          <w:numId w:val="2"/>
        </w:numPr>
        <w:rPr>
          <w:b/>
          <w:sz w:val="24"/>
        </w:rPr>
      </w:pPr>
      <w:r>
        <w:rPr>
          <w:b/>
          <w:sz w:val="24"/>
          <w:u w:val="single"/>
        </w:rPr>
        <w:t>Exceptions to Certification for Paperwork Reduction Act Submissions</w:t>
      </w:r>
    </w:p>
    <w:p w:rsidR="00DA7FF5" w:rsidRDefault="00DA7FF5">
      <w:pPr>
        <w:pStyle w:val="BodyTextIndent"/>
        <w:ind w:left="1080"/>
        <w:rPr>
          <w:rFonts w:ascii="Times New Roman" w:hAnsi="Times New Roman"/>
        </w:rPr>
      </w:pPr>
    </w:p>
    <w:p w:rsidR="006819CF" w:rsidRDefault="002E4DA4" w:rsidP="00DA7FF5">
      <w:pPr>
        <w:pStyle w:val="BodyTextIndent"/>
        <w:ind w:left="1080" w:hanging="360"/>
        <w:rPr>
          <w:rFonts w:ascii="Times New Roman" w:hAnsi="Times New Roman"/>
        </w:rPr>
      </w:pPr>
      <w:r>
        <w:rPr>
          <w:rFonts w:ascii="Times New Roman" w:hAnsi="Times New Roman"/>
        </w:rPr>
        <w:t xml:space="preserve"> </w:t>
      </w:r>
      <w:r w:rsidR="006819CF">
        <w:rPr>
          <w:rFonts w:ascii="Times New Roman" w:hAnsi="Times New Roman"/>
        </w:rPr>
        <w:t>There are no e</w:t>
      </w:r>
      <w:r>
        <w:rPr>
          <w:rFonts w:ascii="Times New Roman" w:hAnsi="Times New Roman"/>
        </w:rPr>
        <w:t>xceptions to the certification</w:t>
      </w:r>
      <w:r w:rsidR="007B28BC">
        <w:rPr>
          <w:rFonts w:ascii="Times New Roman" w:hAnsi="Times New Roman"/>
        </w:rPr>
        <w:t xml:space="preserve"> statement</w:t>
      </w:r>
      <w:r>
        <w:rPr>
          <w:rFonts w:ascii="Times New Roman" w:hAnsi="Times New Roman"/>
        </w:rPr>
        <w:t>.</w:t>
      </w:r>
    </w:p>
    <w:p w:rsidR="006819CF" w:rsidRDefault="006819CF">
      <w:pPr>
        <w:pStyle w:val="BodyTextIndent"/>
        <w:ind w:left="1080"/>
        <w:rPr>
          <w:rFonts w:ascii="Times New Roman" w:hAnsi="Times New Roman"/>
        </w:rPr>
      </w:pPr>
    </w:p>
    <w:p w:rsidR="006819CF" w:rsidRDefault="006819CF">
      <w:pPr>
        <w:pStyle w:val="Heading1"/>
        <w:ind w:left="720"/>
      </w:pPr>
      <w:r>
        <w:t>B.</w:t>
      </w:r>
      <w:r>
        <w:tab/>
        <w:t>Collection of Informatio</w:t>
      </w:r>
      <w:r w:rsidR="004717F0">
        <w:t>n Employing Statistical Methods. If st</w:t>
      </w:r>
      <w:r>
        <w:t xml:space="preserve">atistical methods will not be used to select respondents and item 17 on Form 83-I is checked “No” use this section to describe data collection procedures.  </w:t>
      </w:r>
    </w:p>
    <w:p w:rsidR="006819CF" w:rsidRPr="00DA7FF5" w:rsidRDefault="006819CF">
      <w:pPr>
        <w:pStyle w:val="Heading1"/>
        <w:ind w:left="720"/>
        <w:rPr>
          <w:b w:val="0"/>
        </w:rPr>
      </w:pPr>
    </w:p>
    <w:p w:rsidR="004717F0" w:rsidRPr="004717F0" w:rsidRDefault="00DA7FF5" w:rsidP="004717F0">
      <w:pPr>
        <w:ind w:left="720"/>
      </w:pPr>
      <w:r w:rsidRPr="004717F0">
        <w:rPr>
          <w:bCs/>
          <w:sz w:val="24"/>
        </w:rPr>
        <w:t xml:space="preserve">These collections do not employ statistical methods.  The Older Americans Act requires all states to submit an annual </w:t>
      </w:r>
      <w:r w:rsidR="007F3D5A">
        <w:rPr>
          <w:bCs/>
          <w:sz w:val="24"/>
        </w:rPr>
        <w:t>Ombudsman</w:t>
      </w:r>
      <w:r w:rsidRPr="004717F0">
        <w:rPr>
          <w:bCs/>
          <w:sz w:val="24"/>
        </w:rPr>
        <w:t xml:space="preserve"> report to </w:t>
      </w:r>
      <w:r w:rsidR="00B35E8F">
        <w:rPr>
          <w:bCs/>
          <w:sz w:val="24"/>
        </w:rPr>
        <w:t>ACL</w:t>
      </w:r>
      <w:r w:rsidRPr="004717F0">
        <w:rPr>
          <w:bCs/>
          <w:sz w:val="24"/>
        </w:rPr>
        <w:t xml:space="preserve"> and </w:t>
      </w:r>
      <w:r w:rsidR="00B35E8F">
        <w:rPr>
          <w:bCs/>
          <w:sz w:val="24"/>
        </w:rPr>
        <w:t>ACL</w:t>
      </w:r>
      <w:r w:rsidRPr="004717F0">
        <w:rPr>
          <w:bCs/>
          <w:sz w:val="24"/>
        </w:rPr>
        <w:t xml:space="preserve"> to submit an annual report to Congress and others.</w:t>
      </w:r>
      <w:r w:rsidRPr="004717F0">
        <w:t xml:space="preserve">  </w:t>
      </w:r>
    </w:p>
    <w:p w:rsidR="004717F0" w:rsidRDefault="004717F0" w:rsidP="004717F0">
      <w:pPr>
        <w:ind w:left="720"/>
        <w:rPr>
          <w:sz w:val="24"/>
        </w:rPr>
      </w:pPr>
    </w:p>
    <w:p w:rsidR="00DA7FF5" w:rsidRPr="00DA7FF5" w:rsidRDefault="00DA7FF5" w:rsidP="00D412CE">
      <w:pPr>
        <w:pStyle w:val="Heading1"/>
        <w:rPr>
          <w:b w:val="0"/>
        </w:rPr>
      </w:pPr>
    </w:p>
    <w:p w:rsidR="000569EC" w:rsidRDefault="00DA7FF5" w:rsidP="00DA7FF5">
      <w:pPr>
        <w:pStyle w:val="Heading1"/>
        <w:ind w:left="720"/>
        <w:rPr>
          <w:b w:val="0"/>
        </w:rPr>
      </w:pPr>
      <w:r w:rsidRPr="00DA7FF5">
        <w:rPr>
          <w:b w:val="0"/>
        </w:rPr>
        <w:t>Attachments</w:t>
      </w:r>
      <w:r w:rsidR="000569EC">
        <w:rPr>
          <w:b w:val="0"/>
        </w:rPr>
        <w:t>:</w:t>
      </w:r>
    </w:p>
    <w:p w:rsidR="000569EC" w:rsidRDefault="000569EC" w:rsidP="00DA7FF5">
      <w:pPr>
        <w:pStyle w:val="Heading1"/>
        <w:ind w:left="720"/>
        <w:rPr>
          <w:b w:val="0"/>
        </w:rPr>
      </w:pPr>
      <w:r>
        <w:rPr>
          <w:b w:val="0"/>
        </w:rPr>
        <w:t>Tables 1, 2, and 3 submi</w:t>
      </w:r>
      <w:r w:rsidR="00BC0E6E">
        <w:rPr>
          <w:b w:val="0"/>
        </w:rPr>
        <w:t xml:space="preserve">ssion </w:t>
      </w:r>
      <w:r>
        <w:rPr>
          <w:b w:val="0"/>
        </w:rPr>
        <w:t>for approval</w:t>
      </w:r>
    </w:p>
    <w:p w:rsidR="000569EC" w:rsidRDefault="000569EC" w:rsidP="00DA7FF5">
      <w:pPr>
        <w:pStyle w:val="Heading1"/>
        <w:ind w:left="720"/>
        <w:rPr>
          <w:b w:val="0"/>
        </w:rPr>
      </w:pPr>
      <w:r>
        <w:rPr>
          <w:b w:val="0"/>
        </w:rPr>
        <w:t>Crosswalk from current NORS to new</w:t>
      </w:r>
    </w:p>
    <w:p w:rsidR="000569EC" w:rsidRDefault="000569EC" w:rsidP="000569EC">
      <w:pPr>
        <w:ind w:firstLine="720"/>
        <w:rPr>
          <w:sz w:val="24"/>
        </w:rPr>
      </w:pPr>
      <w:r w:rsidRPr="000569EC">
        <w:rPr>
          <w:sz w:val="24"/>
        </w:rPr>
        <w:t>Tables 1, 2 and 3 – response to comments</w:t>
      </w:r>
    </w:p>
    <w:p w:rsidR="000569EC" w:rsidRPr="000569EC" w:rsidRDefault="000569EC" w:rsidP="000569EC">
      <w:pPr>
        <w:rPr>
          <w:sz w:val="24"/>
        </w:rPr>
      </w:pPr>
    </w:p>
    <w:p w:rsidR="00DA7FF5" w:rsidRPr="000569EC" w:rsidRDefault="00DA7FF5" w:rsidP="00DA7FF5">
      <w:pPr>
        <w:pStyle w:val="Heading1"/>
        <w:ind w:left="720"/>
        <w:rPr>
          <w:b w:val="0"/>
        </w:rPr>
      </w:pPr>
    </w:p>
    <w:p w:rsidR="006819CF" w:rsidRDefault="006819CF" w:rsidP="00DA7FF5">
      <w:pPr>
        <w:pStyle w:val="Heading1"/>
        <w:ind w:left="720"/>
      </w:pPr>
    </w:p>
    <w:sectPr w:rsidR="006819CF">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C4E" w:rsidRDefault="00462C4E">
      <w:r>
        <w:separator/>
      </w:r>
    </w:p>
  </w:endnote>
  <w:endnote w:type="continuationSeparator" w:id="0">
    <w:p w:rsidR="00462C4E" w:rsidRDefault="0046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CB" w:rsidRDefault="001704CB">
    <w:pPr>
      <w:spacing w:line="240" w:lineRule="exact"/>
    </w:pPr>
  </w:p>
  <w:p w:rsidR="001704CB" w:rsidRDefault="001704C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6A3D41">
      <w:rPr>
        <w:noProof/>
        <w:sz w:val="24"/>
      </w:rPr>
      <w:t>1</w:t>
    </w:r>
    <w:r>
      <w:rPr>
        <w:sz w:val="24"/>
      </w:rPr>
      <w:fldChar w:fldCharType="end"/>
    </w:r>
  </w:p>
  <w:p w:rsidR="001704CB" w:rsidRDefault="001704CB">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C4E" w:rsidRDefault="00462C4E">
      <w:r>
        <w:separator/>
      </w:r>
    </w:p>
  </w:footnote>
  <w:footnote w:type="continuationSeparator" w:id="0">
    <w:p w:rsidR="00462C4E" w:rsidRDefault="00462C4E">
      <w:r>
        <w:continuationSeparator/>
      </w:r>
    </w:p>
  </w:footnote>
  <w:footnote w:id="1">
    <w:p w:rsidR="000F075C" w:rsidRDefault="000F075C">
      <w:pPr>
        <w:pStyle w:val="FootnoteText"/>
      </w:pPr>
      <w:r w:rsidRPr="00C64F07">
        <w:rPr>
          <w:rStyle w:val="FootnoteReference"/>
          <w:vertAlign w:val="superscript"/>
        </w:rPr>
        <w:footnoteRef/>
      </w:r>
      <w:r>
        <w:t xml:space="preserve"> </w:t>
      </w:r>
      <w:r w:rsidRPr="000F075C">
        <w:t>The Ombudsman shall identify organizational conflicts of interest in the Ombudsman program and describe steps taken to remove or remedy conflicts within the annual report submitted to the Assistant Secretary through the National Ombudsman Reporting System. Assure that the Ombudsman has disclosed such conflicts and described steps taken to remove or remedy conflicts within the annual report submitted to the Assistant Secretary through the National Ombudsman Reporting System.</w:t>
      </w:r>
    </w:p>
  </w:footnote>
  <w:footnote w:id="2">
    <w:p w:rsidR="00162D73" w:rsidRPr="009D1BB4" w:rsidRDefault="00162D73" w:rsidP="00162D73">
      <w:pPr>
        <w:pStyle w:val="FootnoteText"/>
        <w:rPr>
          <w:sz w:val="16"/>
          <w:szCs w:val="16"/>
        </w:rPr>
      </w:pPr>
      <w:r w:rsidRPr="009D1BB4">
        <w:rPr>
          <w:rStyle w:val="FootnoteReference"/>
          <w:sz w:val="16"/>
          <w:szCs w:val="16"/>
        </w:rPr>
        <w:footnoteRef/>
      </w:r>
      <w:r w:rsidRPr="009D1BB4">
        <w:rPr>
          <w:sz w:val="16"/>
          <w:szCs w:val="16"/>
        </w:rPr>
        <w:t xml:space="preserve"> Ombudsman</w:t>
      </w:r>
      <w:r w:rsidR="0060796D">
        <w:rPr>
          <w:sz w:val="16"/>
          <w:szCs w:val="16"/>
        </w:rPr>
        <w:t xml:space="preserve"> programs </w:t>
      </w:r>
      <w:r w:rsidRPr="009D1BB4">
        <w:rPr>
          <w:sz w:val="16"/>
          <w:szCs w:val="16"/>
        </w:rPr>
        <w:t>do not always use the same NORS categories to classify complaints.</w:t>
      </w:r>
      <w:r w:rsidR="00216846" w:rsidRPr="009D1BB4">
        <w:rPr>
          <w:sz w:val="16"/>
          <w:szCs w:val="16"/>
        </w:rPr>
        <w:t xml:space="preserve"> </w:t>
      </w:r>
      <w:r w:rsidRPr="009D1BB4">
        <w:rPr>
          <w:sz w:val="16"/>
          <w:szCs w:val="16"/>
        </w:rPr>
        <w:t>Thirty-nine of the 46 surveyed ombudsmen told us that they do not consistently follow the NORS categories in reporting complaints. AoA provides definitions of complaint</w:t>
      </w:r>
      <w:r w:rsidR="00216846" w:rsidRPr="009D1BB4">
        <w:rPr>
          <w:sz w:val="16"/>
          <w:szCs w:val="16"/>
        </w:rPr>
        <w:t xml:space="preserve"> categories and instructions to ombudsmen for reporting NORS data. However, it is sometimes difficult for ombudsmen to categorize complaints when several definitions apply. Despite AoA’s instructions, ombudsmen sometimes report a single complaint in several different categories.</w:t>
      </w:r>
    </w:p>
  </w:footnote>
  <w:footnote w:id="3">
    <w:p w:rsidR="00094395" w:rsidRDefault="00094395">
      <w:pPr>
        <w:pStyle w:val="FootnoteText"/>
      </w:pPr>
      <w:r w:rsidRPr="00C64F07">
        <w:rPr>
          <w:rStyle w:val="FootnoteReference"/>
          <w:vertAlign w:val="superscript"/>
        </w:rPr>
        <w:footnoteRef/>
      </w:r>
      <w:r>
        <w:t xml:space="preserve"> </w:t>
      </w:r>
      <w:r w:rsidR="00695E47">
        <w:rPr>
          <w:rStyle w:val="FootnoteReference"/>
          <w:vertAlign w:val="superscript"/>
        </w:rPr>
        <w:t>2</w:t>
      </w:r>
      <w:r w:rsidR="00695E47">
        <w:t xml:space="preserve"> </w:t>
      </w:r>
      <w:r>
        <w:t>Previously called “Board and Care, Assisted living and similar facilities”</w:t>
      </w:r>
    </w:p>
  </w:footnote>
  <w:footnote w:id="4">
    <w:p w:rsidR="00D61104" w:rsidRDefault="00D61104">
      <w:pPr>
        <w:pStyle w:val="FootnoteText"/>
      </w:pPr>
      <w:r>
        <w:rPr>
          <w:rStyle w:val="FootnoteReference"/>
        </w:rPr>
        <w:footnoteRef/>
      </w:r>
      <w:r>
        <w:t xml:space="preserve"> </w:t>
      </w:r>
      <w:r w:rsidRPr="00D61104">
        <w:t>Based on the Bureau of Labor Statistics (BLS) mean hourly wage for</w:t>
      </w:r>
      <w:r w:rsidR="00B9328A">
        <w:t xml:space="preserve"> Other Community and Social Service Specialist for staff Ombudsmen (occupation code 21-1000)</w:t>
      </w:r>
      <w:r w:rsidRPr="00D61104">
        <w:t xml:space="preserve"> Social and Community Services Managers (occupation code</w:t>
      </w:r>
      <w:r>
        <w:t xml:space="preserve"> </w:t>
      </w:r>
      <w:r w:rsidRPr="00D61104">
        <w:t>11-9151)</w:t>
      </w:r>
      <w:r w:rsidR="00B9328A">
        <w:t xml:space="preserve"> for State LTC Ombudsmen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1DF"/>
    <w:multiLevelType w:val="hybridMultilevel"/>
    <w:tmpl w:val="AC9C776C"/>
    <w:lvl w:ilvl="0" w:tplc="04090001">
      <w:start w:val="1"/>
      <w:numFmt w:val="bullet"/>
      <w:lvlText w:val=""/>
      <w:lvlJc w:val="left"/>
      <w:pPr>
        <w:tabs>
          <w:tab w:val="num" w:pos="1890"/>
        </w:tabs>
        <w:ind w:left="1890"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8E63273"/>
    <w:multiLevelType w:val="hybridMultilevel"/>
    <w:tmpl w:val="599AD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0964ED"/>
    <w:multiLevelType w:val="hybridMultilevel"/>
    <w:tmpl w:val="67B62C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94D02E0"/>
    <w:multiLevelType w:val="hybridMultilevel"/>
    <w:tmpl w:val="FE000F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0203C5"/>
    <w:multiLevelType w:val="hybridMultilevel"/>
    <w:tmpl w:val="F60A9390"/>
    <w:lvl w:ilvl="0" w:tplc="F96AF9AC">
      <w:start w:val="1"/>
      <w:numFmt w:val="bullet"/>
      <w:lvlText w:val=""/>
      <w:lvlJc w:val="left"/>
      <w:pPr>
        <w:tabs>
          <w:tab w:val="num" w:pos="1296"/>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0006362"/>
    <w:multiLevelType w:val="hybridMultilevel"/>
    <w:tmpl w:val="1E0E6AD8"/>
    <w:lvl w:ilvl="0" w:tplc="233070F6">
      <w:start w:val="1"/>
      <w:numFmt w:val="bullet"/>
      <w:lvlText w:val=""/>
      <w:lvlJc w:val="left"/>
      <w:pPr>
        <w:ind w:left="720" w:firstLine="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1">
    <w:nsid w:val="56DB523C"/>
    <w:multiLevelType w:val="hybridMultilevel"/>
    <w:tmpl w:val="31E8E8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AA94C4C"/>
    <w:multiLevelType w:val="hybridMultilevel"/>
    <w:tmpl w:val="876CC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5F70268D"/>
    <w:multiLevelType w:val="hybridMultilevel"/>
    <w:tmpl w:val="8B0CC9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62343938"/>
    <w:multiLevelType w:val="hybridMultilevel"/>
    <w:tmpl w:val="B486FC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1">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7">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8">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8"/>
  </w:num>
  <w:num w:numId="2">
    <w:abstractNumId w:val="25"/>
  </w:num>
  <w:num w:numId="3">
    <w:abstractNumId w:val="15"/>
  </w:num>
  <w:num w:numId="4">
    <w:abstractNumId w:val="44"/>
  </w:num>
  <w:num w:numId="5">
    <w:abstractNumId w:val="47"/>
  </w:num>
  <w:num w:numId="6">
    <w:abstractNumId w:val="9"/>
  </w:num>
  <w:num w:numId="7">
    <w:abstractNumId w:val="40"/>
  </w:num>
  <w:num w:numId="8">
    <w:abstractNumId w:val="20"/>
  </w:num>
  <w:num w:numId="9">
    <w:abstractNumId w:val="30"/>
  </w:num>
  <w:num w:numId="10">
    <w:abstractNumId w:val="22"/>
  </w:num>
  <w:num w:numId="11">
    <w:abstractNumId w:val="8"/>
  </w:num>
  <w:num w:numId="12">
    <w:abstractNumId w:val="28"/>
  </w:num>
  <w:num w:numId="13">
    <w:abstractNumId w:val="23"/>
  </w:num>
  <w:num w:numId="14">
    <w:abstractNumId w:val="26"/>
  </w:num>
  <w:num w:numId="15">
    <w:abstractNumId w:val="7"/>
  </w:num>
  <w:num w:numId="16">
    <w:abstractNumId w:val="1"/>
  </w:num>
  <w:num w:numId="17">
    <w:abstractNumId w:val="2"/>
  </w:num>
  <w:num w:numId="18">
    <w:abstractNumId w:val="16"/>
  </w:num>
  <w:num w:numId="19">
    <w:abstractNumId w:val="39"/>
  </w:num>
  <w:num w:numId="20">
    <w:abstractNumId w:val="37"/>
  </w:num>
  <w:num w:numId="21">
    <w:abstractNumId w:val="21"/>
  </w:num>
  <w:num w:numId="22">
    <w:abstractNumId w:val="43"/>
  </w:num>
  <w:num w:numId="23">
    <w:abstractNumId w:val="35"/>
  </w:num>
  <w:num w:numId="24">
    <w:abstractNumId w:val="36"/>
  </w:num>
  <w:num w:numId="25">
    <w:abstractNumId w:val="46"/>
  </w:num>
  <w:num w:numId="26">
    <w:abstractNumId w:val="42"/>
  </w:num>
  <w:num w:numId="27">
    <w:abstractNumId w:val="4"/>
  </w:num>
  <w:num w:numId="28">
    <w:abstractNumId w:val="18"/>
  </w:num>
  <w:num w:numId="29">
    <w:abstractNumId w:val="45"/>
  </w:num>
  <w:num w:numId="30">
    <w:abstractNumId w:val="41"/>
  </w:num>
  <w:num w:numId="31">
    <w:abstractNumId w:val="38"/>
  </w:num>
  <w:num w:numId="32">
    <w:abstractNumId w:val="10"/>
  </w:num>
  <w:num w:numId="33">
    <w:abstractNumId w:val="3"/>
  </w:num>
  <w:num w:numId="34">
    <w:abstractNumId w:val="32"/>
  </w:num>
  <w:num w:numId="35">
    <w:abstractNumId w:val="12"/>
  </w:num>
  <w:num w:numId="36">
    <w:abstractNumId w:val="11"/>
  </w:num>
  <w:num w:numId="37">
    <w:abstractNumId w:val="14"/>
  </w:num>
  <w:num w:numId="38">
    <w:abstractNumId w:val="5"/>
  </w:num>
  <w:num w:numId="39">
    <w:abstractNumId w:val="34"/>
  </w:num>
  <w:num w:numId="40">
    <w:abstractNumId w:val="6"/>
  </w:num>
  <w:num w:numId="41">
    <w:abstractNumId w:val="33"/>
  </w:num>
  <w:num w:numId="42">
    <w:abstractNumId w:val="27"/>
  </w:num>
  <w:num w:numId="43">
    <w:abstractNumId w:val="24"/>
  </w:num>
  <w:num w:numId="44">
    <w:abstractNumId w:val="31"/>
  </w:num>
  <w:num w:numId="45">
    <w:abstractNumId w:val="0"/>
  </w:num>
  <w:num w:numId="46">
    <w:abstractNumId w:val="19"/>
  </w:num>
  <w:num w:numId="47">
    <w:abstractNumId w:val="17"/>
  </w:num>
  <w:num w:numId="48">
    <w:abstractNumId w:val="13"/>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85"/>
    <w:rsid w:val="000011EA"/>
    <w:rsid w:val="000309D5"/>
    <w:rsid w:val="000461DE"/>
    <w:rsid w:val="00056896"/>
    <w:rsid w:val="000569EC"/>
    <w:rsid w:val="00076866"/>
    <w:rsid w:val="00077A32"/>
    <w:rsid w:val="000824C6"/>
    <w:rsid w:val="00086F05"/>
    <w:rsid w:val="00093834"/>
    <w:rsid w:val="00094395"/>
    <w:rsid w:val="000955D1"/>
    <w:rsid w:val="000A2E6D"/>
    <w:rsid w:val="000B7EFD"/>
    <w:rsid w:val="000D2527"/>
    <w:rsid w:val="000D4F31"/>
    <w:rsid w:val="000E0F29"/>
    <w:rsid w:val="000E240E"/>
    <w:rsid w:val="000E31ED"/>
    <w:rsid w:val="000F075C"/>
    <w:rsid w:val="000F5533"/>
    <w:rsid w:val="00116118"/>
    <w:rsid w:val="00121A87"/>
    <w:rsid w:val="001417F5"/>
    <w:rsid w:val="00145F0D"/>
    <w:rsid w:val="00156DA9"/>
    <w:rsid w:val="001608C5"/>
    <w:rsid w:val="00162D73"/>
    <w:rsid w:val="00162FE2"/>
    <w:rsid w:val="001704CB"/>
    <w:rsid w:val="00170DC9"/>
    <w:rsid w:val="00176A07"/>
    <w:rsid w:val="00182B74"/>
    <w:rsid w:val="00192427"/>
    <w:rsid w:val="001A01C3"/>
    <w:rsid w:val="001A4E8D"/>
    <w:rsid w:val="001A6FD1"/>
    <w:rsid w:val="001C1F2B"/>
    <w:rsid w:val="001D34C6"/>
    <w:rsid w:val="001E5CF5"/>
    <w:rsid w:val="002055DE"/>
    <w:rsid w:val="00210367"/>
    <w:rsid w:val="0021217C"/>
    <w:rsid w:val="002155B4"/>
    <w:rsid w:val="00216846"/>
    <w:rsid w:val="0022208A"/>
    <w:rsid w:val="002246B4"/>
    <w:rsid w:val="002430FC"/>
    <w:rsid w:val="0024482E"/>
    <w:rsid w:val="00245FC9"/>
    <w:rsid w:val="00265525"/>
    <w:rsid w:val="0026773B"/>
    <w:rsid w:val="00273C29"/>
    <w:rsid w:val="00287568"/>
    <w:rsid w:val="002A18C1"/>
    <w:rsid w:val="002A1ABF"/>
    <w:rsid w:val="002A2496"/>
    <w:rsid w:val="002A74D2"/>
    <w:rsid w:val="002C1EEB"/>
    <w:rsid w:val="002D7D97"/>
    <w:rsid w:val="002E4DA4"/>
    <w:rsid w:val="002F4FEE"/>
    <w:rsid w:val="002F6E46"/>
    <w:rsid w:val="00305053"/>
    <w:rsid w:val="00306D06"/>
    <w:rsid w:val="003163A5"/>
    <w:rsid w:val="0032223D"/>
    <w:rsid w:val="00326B3F"/>
    <w:rsid w:val="00330BFC"/>
    <w:rsid w:val="00335A6D"/>
    <w:rsid w:val="003363D7"/>
    <w:rsid w:val="00342355"/>
    <w:rsid w:val="00343C0D"/>
    <w:rsid w:val="00363A86"/>
    <w:rsid w:val="003705B4"/>
    <w:rsid w:val="00375859"/>
    <w:rsid w:val="00380A82"/>
    <w:rsid w:val="00397C5D"/>
    <w:rsid w:val="003A1D96"/>
    <w:rsid w:val="003B449B"/>
    <w:rsid w:val="003C21AD"/>
    <w:rsid w:val="003C27FE"/>
    <w:rsid w:val="003D3853"/>
    <w:rsid w:val="003F0ADE"/>
    <w:rsid w:val="003F115D"/>
    <w:rsid w:val="003F3E19"/>
    <w:rsid w:val="003F625E"/>
    <w:rsid w:val="004062F1"/>
    <w:rsid w:val="0040631D"/>
    <w:rsid w:val="004117F3"/>
    <w:rsid w:val="0042056A"/>
    <w:rsid w:val="0043593B"/>
    <w:rsid w:val="004377B1"/>
    <w:rsid w:val="0044588C"/>
    <w:rsid w:val="00462C4E"/>
    <w:rsid w:val="004635A7"/>
    <w:rsid w:val="004717F0"/>
    <w:rsid w:val="00474A84"/>
    <w:rsid w:val="00490F75"/>
    <w:rsid w:val="0049797B"/>
    <w:rsid w:val="004A549E"/>
    <w:rsid w:val="004A6F26"/>
    <w:rsid w:val="004B42A3"/>
    <w:rsid w:val="004C2C6D"/>
    <w:rsid w:val="004C7536"/>
    <w:rsid w:val="004C76C4"/>
    <w:rsid w:val="004F091F"/>
    <w:rsid w:val="004F51B2"/>
    <w:rsid w:val="005021DC"/>
    <w:rsid w:val="005134AD"/>
    <w:rsid w:val="00520509"/>
    <w:rsid w:val="0052631F"/>
    <w:rsid w:val="00564E8D"/>
    <w:rsid w:val="005670FC"/>
    <w:rsid w:val="005703E5"/>
    <w:rsid w:val="0059247F"/>
    <w:rsid w:val="005939F5"/>
    <w:rsid w:val="005F1E83"/>
    <w:rsid w:val="0060402D"/>
    <w:rsid w:val="00605970"/>
    <w:rsid w:val="006063F9"/>
    <w:rsid w:val="0060796D"/>
    <w:rsid w:val="00617AA5"/>
    <w:rsid w:val="006226EA"/>
    <w:rsid w:val="00623893"/>
    <w:rsid w:val="00635FCC"/>
    <w:rsid w:val="00646ED6"/>
    <w:rsid w:val="00654747"/>
    <w:rsid w:val="006766E3"/>
    <w:rsid w:val="00677E9F"/>
    <w:rsid w:val="006819CF"/>
    <w:rsid w:val="00682CEB"/>
    <w:rsid w:val="00686504"/>
    <w:rsid w:val="00690EBE"/>
    <w:rsid w:val="00691502"/>
    <w:rsid w:val="00691703"/>
    <w:rsid w:val="00695E47"/>
    <w:rsid w:val="006A3D41"/>
    <w:rsid w:val="006C1201"/>
    <w:rsid w:val="006D1F9F"/>
    <w:rsid w:val="006D1FDA"/>
    <w:rsid w:val="006E2DAD"/>
    <w:rsid w:val="0070245A"/>
    <w:rsid w:val="00705E76"/>
    <w:rsid w:val="007123B1"/>
    <w:rsid w:val="00723305"/>
    <w:rsid w:val="00726836"/>
    <w:rsid w:val="0072688F"/>
    <w:rsid w:val="007326DD"/>
    <w:rsid w:val="0075495F"/>
    <w:rsid w:val="00756605"/>
    <w:rsid w:val="00762216"/>
    <w:rsid w:val="00766057"/>
    <w:rsid w:val="00766DA9"/>
    <w:rsid w:val="0077213F"/>
    <w:rsid w:val="00784328"/>
    <w:rsid w:val="00790EEB"/>
    <w:rsid w:val="007965E9"/>
    <w:rsid w:val="007B28BC"/>
    <w:rsid w:val="007C4C4A"/>
    <w:rsid w:val="007C5FFC"/>
    <w:rsid w:val="007D06F8"/>
    <w:rsid w:val="007D1B23"/>
    <w:rsid w:val="007E1EA2"/>
    <w:rsid w:val="007E7385"/>
    <w:rsid w:val="007F3D5A"/>
    <w:rsid w:val="007F5D8F"/>
    <w:rsid w:val="00801E41"/>
    <w:rsid w:val="00803466"/>
    <w:rsid w:val="00817D38"/>
    <w:rsid w:val="00863784"/>
    <w:rsid w:val="00873E95"/>
    <w:rsid w:val="008766E7"/>
    <w:rsid w:val="00880792"/>
    <w:rsid w:val="00894200"/>
    <w:rsid w:val="008A0828"/>
    <w:rsid w:val="008C6797"/>
    <w:rsid w:val="00900073"/>
    <w:rsid w:val="00910A9D"/>
    <w:rsid w:val="00914E63"/>
    <w:rsid w:val="00945946"/>
    <w:rsid w:val="0095615D"/>
    <w:rsid w:val="009708E4"/>
    <w:rsid w:val="00974AC0"/>
    <w:rsid w:val="00986AF1"/>
    <w:rsid w:val="00992C93"/>
    <w:rsid w:val="009A4FCB"/>
    <w:rsid w:val="009A5963"/>
    <w:rsid w:val="009B1B0A"/>
    <w:rsid w:val="009B49F4"/>
    <w:rsid w:val="009C04DE"/>
    <w:rsid w:val="009C466E"/>
    <w:rsid w:val="009C6D70"/>
    <w:rsid w:val="009D1BB4"/>
    <w:rsid w:val="009E531F"/>
    <w:rsid w:val="009F478D"/>
    <w:rsid w:val="009F4D64"/>
    <w:rsid w:val="00A00308"/>
    <w:rsid w:val="00A07EE5"/>
    <w:rsid w:val="00A12021"/>
    <w:rsid w:val="00A20CB0"/>
    <w:rsid w:val="00A2663A"/>
    <w:rsid w:val="00A40331"/>
    <w:rsid w:val="00A63948"/>
    <w:rsid w:val="00A70FC5"/>
    <w:rsid w:val="00A76ADD"/>
    <w:rsid w:val="00A819A7"/>
    <w:rsid w:val="00A83B13"/>
    <w:rsid w:val="00A86D49"/>
    <w:rsid w:val="00A90C34"/>
    <w:rsid w:val="00AA6414"/>
    <w:rsid w:val="00AB274C"/>
    <w:rsid w:val="00AB31F6"/>
    <w:rsid w:val="00AB70A7"/>
    <w:rsid w:val="00AC22F5"/>
    <w:rsid w:val="00AC38D3"/>
    <w:rsid w:val="00AE6CA3"/>
    <w:rsid w:val="00AF0164"/>
    <w:rsid w:val="00B07440"/>
    <w:rsid w:val="00B07F85"/>
    <w:rsid w:val="00B15DC0"/>
    <w:rsid w:val="00B17D89"/>
    <w:rsid w:val="00B220F0"/>
    <w:rsid w:val="00B24182"/>
    <w:rsid w:val="00B31E94"/>
    <w:rsid w:val="00B35E8F"/>
    <w:rsid w:val="00B36B5D"/>
    <w:rsid w:val="00B43C50"/>
    <w:rsid w:val="00B46CEB"/>
    <w:rsid w:val="00B54C72"/>
    <w:rsid w:val="00B66E45"/>
    <w:rsid w:val="00B838A1"/>
    <w:rsid w:val="00B9328A"/>
    <w:rsid w:val="00B96494"/>
    <w:rsid w:val="00BB2FD1"/>
    <w:rsid w:val="00BB75AD"/>
    <w:rsid w:val="00BC0E6E"/>
    <w:rsid w:val="00BD1B87"/>
    <w:rsid w:val="00BE1960"/>
    <w:rsid w:val="00BE3B26"/>
    <w:rsid w:val="00BF247A"/>
    <w:rsid w:val="00BF24D3"/>
    <w:rsid w:val="00C0035F"/>
    <w:rsid w:val="00C054B9"/>
    <w:rsid w:val="00C13B2F"/>
    <w:rsid w:val="00C322B8"/>
    <w:rsid w:val="00C34910"/>
    <w:rsid w:val="00C44F6C"/>
    <w:rsid w:val="00C52BF4"/>
    <w:rsid w:val="00C53F8B"/>
    <w:rsid w:val="00C56068"/>
    <w:rsid w:val="00C60DA6"/>
    <w:rsid w:val="00C62741"/>
    <w:rsid w:val="00C6392E"/>
    <w:rsid w:val="00C64F07"/>
    <w:rsid w:val="00C7013D"/>
    <w:rsid w:val="00C85A54"/>
    <w:rsid w:val="00C9325D"/>
    <w:rsid w:val="00CB2E62"/>
    <w:rsid w:val="00CC0EF0"/>
    <w:rsid w:val="00CE66D8"/>
    <w:rsid w:val="00D07295"/>
    <w:rsid w:val="00D127AE"/>
    <w:rsid w:val="00D3003F"/>
    <w:rsid w:val="00D33743"/>
    <w:rsid w:val="00D34F0E"/>
    <w:rsid w:val="00D355E8"/>
    <w:rsid w:val="00D412CE"/>
    <w:rsid w:val="00D42E1E"/>
    <w:rsid w:val="00D443CC"/>
    <w:rsid w:val="00D55ADD"/>
    <w:rsid w:val="00D61104"/>
    <w:rsid w:val="00D77AB8"/>
    <w:rsid w:val="00D9209B"/>
    <w:rsid w:val="00D9230C"/>
    <w:rsid w:val="00DA32E3"/>
    <w:rsid w:val="00DA4C7B"/>
    <w:rsid w:val="00DA7FF5"/>
    <w:rsid w:val="00DB0F80"/>
    <w:rsid w:val="00DB6C36"/>
    <w:rsid w:val="00DC736D"/>
    <w:rsid w:val="00DD3E99"/>
    <w:rsid w:val="00DE5CD3"/>
    <w:rsid w:val="00DF206E"/>
    <w:rsid w:val="00E12F54"/>
    <w:rsid w:val="00E13AC3"/>
    <w:rsid w:val="00E16260"/>
    <w:rsid w:val="00E264F2"/>
    <w:rsid w:val="00E35E6F"/>
    <w:rsid w:val="00E4380C"/>
    <w:rsid w:val="00E46EA3"/>
    <w:rsid w:val="00E6661D"/>
    <w:rsid w:val="00E72AB0"/>
    <w:rsid w:val="00E76298"/>
    <w:rsid w:val="00E86AA2"/>
    <w:rsid w:val="00EB0307"/>
    <w:rsid w:val="00EB6A8F"/>
    <w:rsid w:val="00EC2772"/>
    <w:rsid w:val="00EC36E3"/>
    <w:rsid w:val="00EC6D1D"/>
    <w:rsid w:val="00ED00C9"/>
    <w:rsid w:val="00EE0582"/>
    <w:rsid w:val="00F15AB3"/>
    <w:rsid w:val="00F222B3"/>
    <w:rsid w:val="00F32248"/>
    <w:rsid w:val="00F3690F"/>
    <w:rsid w:val="00F61041"/>
    <w:rsid w:val="00F730A8"/>
    <w:rsid w:val="00FB485C"/>
    <w:rsid w:val="00FB4D1C"/>
    <w:rsid w:val="00FD3731"/>
    <w:rsid w:val="00FD52AE"/>
    <w:rsid w:val="00FD7522"/>
    <w:rsid w:val="00FE5246"/>
    <w:rsid w:val="00FF2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7385"/>
    <w:rPr>
      <w:color w:val="0000FF"/>
      <w:u w:val="single"/>
    </w:rPr>
  </w:style>
  <w:style w:type="paragraph" w:styleId="Footer">
    <w:name w:val="footer"/>
    <w:basedOn w:val="Normal"/>
    <w:rsid w:val="009C04DE"/>
    <w:pPr>
      <w:tabs>
        <w:tab w:val="center" w:pos="4320"/>
        <w:tab w:val="right" w:pos="8640"/>
      </w:tabs>
    </w:pPr>
  </w:style>
  <w:style w:type="character" w:styleId="PageNumber">
    <w:name w:val="page number"/>
    <w:basedOn w:val="DefaultParagraphFont"/>
    <w:rsid w:val="009C04DE"/>
  </w:style>
  <w:style w:type="character" w:styleId="FollowedHyperlink">
    <w:name w:val="FollowedHyperlink"/>
    <w:rsid w:val="00093834"/>
    <w:rPr>
      <w:color w:val="954F72"/>
      <w:u w:val="single"/>
    </w:rPr>
  </w:style>
  <w:style w:type="character" w:styleId="CommentReference">
    <w:name w:val="annotation reference"/>
    <w:rsid w:val="00093834"/>
    <w:rPr>
      <w:sz w:val="16"/>
      <w:szCs w:val="16"/>
    </w:rPr>
  </w:style>
  <w:style w:type="paragraph" w:styleId="CommentText">
    <w:name w:val="annotation text"/>
    <w:basedOn w:val="Normal"/>
    <w:link w:val="CommentTextChar"/>
    <w:rsid w:val="00093834"/>
    <w:rPr>
      <w:szCs w:val="20"/>
    </w:rPr>
  </w:style>
  <w:style w:type="character" w:customStyle="1" w:styleId="CommentTextChar">
    <w:name w:val="Comment Text Char"/>
    <w:basedOn w:val="DefaultParagraphFont"/>
    <w:link w:val="CommentText"/>
    <w:rsid w:val="00093834"/>
  </w:style>
  <w:style w:type="paragraph" w:styleId="CommentSubject">
    <w:name w:val="annotation subject"/>
    <w:basedOn w:val="CommentText"/>
    <w:next w:val="CommentText"/>
    <w:link w:val="CommentSubjectChar"/>
    <w:rsid w:val="00093834"/>
    <w:rPr>
      <w:b/>
      <w:bCs/>
    </w:rPr>
  </w:style>
  <w:style w:type="character" w:customStyle="1" w:styleId="CommentSubjectChar">
    <w:name w:val="Comment Subject Char"/>
    <w:link w:val="CommentSubject"/>
    <w:rsid w:val="00093834"/>
    <w:rPr>
      <w:b/>
      <w:bCs/>
    </w:rPr>
  </w:style>
  <w:style w:type="paragraph" w:styleId="BalloonText">
    <w:name w:val="Balloon Text"/>
    <w:basedOn w:val="Normal"/>
    <w:link w:val="BalloonTextChar"/>
    <w:rsid w:val="00093834"/>
    <w:rPr>
      <w:rFonts w:ascii="Segoe UI" w:hAnsi="Segoe UI" w:cs="Segoe UI"/>
      <w:sz w:val="18"/>
      <w:szCs w:val="18"/>
    </w:rPr>
  </w:style>
  <w:style w:type="character" w:customStyle="1" w:styleId="BalloonTextChar">
    <w:name w:val="Balloon Text Char"/>
    <w:link w:val="BalloonText"/>
    <w:rsid w:val="00093834"/>
    <w:rPr>
      <w:rFonts w:ascii="Segoe UI" w:hAnsi="Segoe UI" w:cs="Segoe UI"/>
      <w:sz w:val="18"/>
      <w:szCs w:val="18"/>
    </w:rPr>
  </w:style>
  <w:style w:type="paragraph" w:styleId="FootnoteText">
    <w:name w:val="footnote text"/>
    <w:basedOn w:val="Normal"/>
    <w:link w:val="FootnoteTextChar"/>
    <w:rsid w:val="000F075C"/>
    <w:rPr>
      <w:szCs w:val="20"/>
    </w:rPr>
  </w:style>
  <w:style w:type="character" w:customStyle="1" w:styleId="FootnoteTextChar">
    <w:name w:val="Footnote Text Char"/>
    <w:basedOn w:val="DefaultParagraphFont"/>
    <w:link w:val="FootnoteText"/>
    <w:rsid w:val="000F075C"/>
  </w:style>
  <w:style w:type="paragraph" w:styleId="ListParagraph">
    <w:name w:val="List Paragraph"/>
    <w:basedOn w:val="Normal"/>
    <w:uiPriority w:val="34"/>
    <w:qFormat/>
    <w:rsid w:val="000F075C"/>
    <w:pPr>
      <w:ind w:left="720"/>
    </w:pPr>
  </w:style>
  <w:style w:type="paragraph" w:styleId="BodyText">
    <w:name w:val="Body Text"/>
    <w:basedOn w:val="Normal"/>
    <w:link w:val="BodyTextChar"/>
    <w:rsid w:val="00766DA9"/>
    <w:pPr>
      <w:spacing w:after="120"/>
    </w:pPr>
  </w:style>
  <w:style w:type="character" w:customStyle="1" w:styleId="BodyTextChar">
    <w:name w:val="Body Text Char"/>
    <w:link w:val="BodyText"/>
    <w:rsid w:val="00766DA9"/>
    <w:rPr>
      <w:szCs w:val="24"/>
    </w:rPr>
  </w:style>
  <w:style w:type="paragraph" w:styleId="EndnoteText">
    <w:name w:val="endnote text"/>
    <w:basedOn w:val="Normal"/>
    <w:link w:val="EndnoteTextChar"/>
    <w:rsid w:val="00162D73"/>
    <w:rPr>
      <w:szCs w:val="20"/>
    </w:rPr>
  </w:style>
  <w:style w:type="character" w:customStyle="1" w:styleId="EndnoteTextChar">
    <w:name w:val="Endnote Text Char"/>
    <w:basedOn w:val="DefaultParagraphFont"/>
    <w:link w:val="EndnoteText"/>
    <w:rsid w:val="00162D73"/>
  </w:style>
  <w:style w:type="character" w:styleId="EndnoteReference">
    <w:name w:val="endnote reference"/>
    <w:rsid w:val="00162D73"/>
    <w:rPr>
      <w:vertAlign w:val="superscript"/>
    </w:rPr>
  </w:style>
  <w:style w:type="paragraph" w:styleId="Revision">
    <w:name w:val="Revision"/>
    <w:hidden/>
    <w:uiPriority w:val="99"/>
    <w:semiHidden/>
    <w:rsid w:val="00A00308"/>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7385"/>
    <w:rPr>
      <w:color w:val="0000FF"/>
      <w:u w:val="single"/>
    </w:rPr>
  </w:style>
  <w:style w:type="paragraph" w:styleId="Footer">
    <w:name w:val="footer"/>
    <w:basedOn w:val="Normal"/>
    <w:rsid w:val="009C04DE"/>
    <w:pPr>
      <w:tabs>
        <w:tab w:val="center" w:pos="4320"/>
        <w:tab w:val="right" w:pos="8640"/>
      </w:tabs>
    </w:pPr>
  </w:style>
  <w:style w:type="character" w:styleId="PageNumber">
    <w:name w:val="page number"/>
    <w:basedOn w:val="DefaultParagraphFont"/>
    <w:rsid w:val="009C04DE"/>
  </w:style>
  <w:style w:type="character" w:styleId="FollowedHyperlink">
    <w:name w:val="FollowedHyperlink"/>
    <w:rsid w:val="00093834"/>
    <w:rPr>
      <w:color w:val="954F72"/>
      <w:u w:val="single"/>
    </w:rPr>
  </w:style>
  <w:style w:type="character" w:styleId="CommentReference">
    <w:name w:val="annotation reference"/>
    <w:rsid w:val="00093834"/>
    <w:rPr>
      <w:sz w:val="16"/>
      <w:szCs w:val="16"/>
    </w:rPr>
  </w:style>
  <w:style w:type="paragraph" w:styleId="CommentText">
    <w:name w:val="annotation text"/>
    <w:basedOn w:val="Normal"/>
    <w:link w:val="CommentTextChar"/>
    <w:rsid w:val="00093834"/>
    <w:rPr>
      <w:szCs w:val="20"/>
    </w:rPr>
  </w:style>
  <w:style w:type="character" w:customStyle="1" w:styleId="CommentTextChar">
    <w:name w:val="Comment Text Char"/>
    <w:basedOn w:val="DefaultParagraphFont"/>
    <w:link w:val="CommentText"/>
    <w:rsid w:val="00093834"/>
  </w:style>
  <w:style w:type="paragraph" w:styleId="CommentSubject">
    <w:name w:val="annotation subject"/>
    <w:basedOn w:val="CommentText"/>
    <w:next w:val="CommentText"/>
    <w:link w:val="CommentSubjectChar"/>
    <w:rsid w:val="00093834"/>
    <w:rPr>
      <w:b/>
      <w:bCs/>
    </w:rPr>
  </w:style>
  <w:style w:type="character" w:customStyle="1" w:styleId="CommentSubjectChar">
    <w:name w:val="Comment Subject Char"/>
    <w:link w:val="CommentSubject"/>
    <w:rsid w:val="00093834"/>
    <w:rPr>
      <w:b/>
      <w:bCs/>
    </w:rPr>
  </w:style>
  <w:style w:type="paragraph" w:styleId="BalloonText">
    <w:name w:val="Balloon Text"/>
    <w:basedOn w:val="Normal"/>
    <w:link w:val="BalloonTextChar"/>
    <w:rsid w:val="00093834"/>
    <w:rPr>
      <w:rFonts w:ascii="Segoe UI" w:hAnsi="Segoe UI" w:cs="Segoe UI"/>
      <w:sz w:val="18"/>
      <w:szCs w:val="18"/>
    </w:rPr>
  </w:style>
  <w:style w:type="character" w:customStyle="1" w:styleId="BalloonTextChar">
    <w:name w:val="Balloon Text Char"/>
    <w:link w:val="BalloonText"/>
    <w:rsid w:val="00093834"/>
    <w:rPr>
      <w:rFonts w:ascii="Segoe UI" w:hAnsi="Segoe UI" w:cs="Segoe UI"/>
      <w:sz w:val="18"/>
      <w:szCs w:val="18"/>
    </w:rPr>
  </w:style>
  <w:style w:type="paragraph" w:styleId="FootnoteText">
    <w:name w:val="footnote text"/>
    <w:basedOn w:val="Normal"/>
    <w:link w:val="FootnoteTextChar"/>
    <w:rsid w:val="000F075C"/>
    <w:rPr>
      <w:szCs w:val="20"/>
    </w:rPr>
  </w:style>
  <w:style w:type="character" w:customStyle="1" w:styleId="FootnoteTextChar">
    <w:name w:val="Footnote Text Char"/>
    <w:basedOn w:val="DefaultParagraphFont"/>
    <w:link w:val="FootnoteText"/>
    <w:rsid w:val="000F075C"/>
  </w:style>
  <w:style w:type="paragraph" w:styleId="ListParagraph">
    <w:name w:val="List Paragraph"/>
    <w:basedOn w:val="Normal"/>
    <w:uiPriority w:val="34"/>
    <w:qFormat/>
    <w:rsid w:val="000F075C"/>
    <w:pPr>
      <w:ind w:left="720"/>
    </w:pPr>
  </w:style>
  <w:style w:type="paragraph" w:styleId="BodyText">
    <w:name w:val="Body Text"/>
    <w:basedOn w:val="Normal"/>
    <w:link w:val="BodyTextChar"/>
    <w:rsid w:val="00766DA9"/>
    <w:pPr>
      <w:spacing w:after="120"/>
    </w:pPr>
  </w:style>
  <w:style w:type="character" w:customStyle="1" w:styleId="BodyTextChar">
    <w:name w:val="Body Text Char"/>
    <w:link w:val="BodyText"/>
    <w:rsid w:val="00766DA9"/>
    <w:rPr>
      <w:szCs w:val="24"/>
    </w:rPr>
  </w:style>
  <w:style w:type="paragraph" w:styleId="EndnoteText">
    <w:name w:val="endnote text"/>
    <w:basedOn w:val="Normal"/>
    <w:link w:val="EndnoteTextChar"/>
    <w:rsid w:val="00162D73"/>
    <w:rPr>
      <w:szCs w:val="20"/>
    </w:rPr>
  </w:style>
  <w:style w:type="character" w:customStyle="1" w:styleId="EndnoteTextChar">
    <w:name w:val="Endnote Text Char"/>
    <w:basedOn w:val="DefaultParagraphFont"/>
    <w:link w:val="EndnoteText"/>
    <w:rsid w:val="00162D73"/>
  </w:style>
  <w:style w:type="character" w:styleId="EndnoteReference">
    <w:name w:val="endnote reference"/>
    <w:rsid w:val="00162D73"/>
    <w:rPr>
      <w:vertAlign w:val="superscript"/>
    </w:rPr>
  </w:style>
  <w:style w:type="paragraph" w:styleId="Revision">
    <w:name w:val="Revision"/>
    <w:hidden/>
    <w:uiPriority w:val="99"/>
    <w:semiHidden/>
    <w:rsid w:val="00A0030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8663">
      <w:bodyDiv w:val="1"/>
      <w:marLeft w:val="0"/>
      <w:marRight w:val="0"/>
      <w:marTop w:val="0"/>
      <w:marBottom w:val="0"/>
      <w:divBdr>
        <w:top w:val="none" w:sz="0" w:space="0" w:color="auto"/>
        <w:left w:val="none" w:sz="0" w:space="0" w:color="auto"/>
        <w:bottom w:val="none" w:sz="0" w:space="0" w:color="auto"/>
        <w:right w:val="none" w:sz="0" w:space="0" w:color="auto"/>
      </w:divBdr>
    </w:div>
    <w:div w:id="83684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cl.gov/node/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8B2B8-DB5C-4589-9322-C98BD663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4278</Words>
  <Characters>24385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28606</CharactersWithSpaces>
  <SharedDoc>false</SharedDoc>
  <HLinks>
    <vt:vector size="6" baseType="variant">
      <vt:variant>
        <vt:i4>7929977</vt:i4>
      </vt:variant>
      <vt:variant>
        <vt:i4>2</vt:i4>
      </vt:variant>
      <vt:variant>
        <vt:i4>0</vt:i4>
      </vt:variant>
      <vt:variant>
        <vt:i4>5</vt:i4>
      </vt:variant>
      <vt:variant>
        <vt:lpwstr>https://www.acl.gov/node/68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SYSTEM</cp:lastModifiedBy>
  <cp:revision>2</cp:revision>
  <cp:lastPrinted>2017-12-15T22:03:00Z</cp:lastPrinted>
  <dcterms:created xsi:type="dcterms:W3CDTF">2018-02-23T13:44:00Z</dcterms:created>
  <dcterms:modified xsi:type="dcterms:W3CDTF">2018-02-23T13:44:00Z</dcterms:modified>
</cp:coreProperties>
</file>