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51193" w14:textId="77777777" w:rsidR="00B370B2" w:rsidRDefault="00B370B2" w:rsidP="00A97439">
      <w:pPr>
        <w:pStyle w:val="CoverTextRed16pt"/>
        <w:ind w:left="6210"/>
        <w:rPr>
          <w:noProof/>
        </w:rPr>
      </w:pPr>
      <w:bookmarkStart w:id="0" w:name="_Toc322083614"/>
      <w:bookmarkStart w:id="1" w:name="_GoBack"/>
      <w:bookmarkEnd w:id="1"/>
      <w:r>
        <w:rPr>
          <w:noProof/>
        </w:rPr>
        <w:t>Supporting Statement for OMB Clearance Request</w:t>
      </w:r>
    </w:p>
    <w:p w14:paraId="07B01510" w14:textId="77777777" w:rsidR="00B370B2" w:rsidRDefault="00B370B2" w:rsidP="00A97439">
      <w:pPr>
        <w:pStyle w:val="CoverTextRed16pt"/>
        <w:ind w:left="6210"/>
        <w:rPr>
          <w:noProof/>
        </w:rPr>
      </w:pPr>
    </w:p>
    <w:p w14:paraId="0924C66E" w14:textId="77777777" w:rsidR="00B370B2" w:rsidRDefault="00B370B2" w:rsidP="00A97439">
      <w:pPr>
        <w:pStyle w:val="CoverTextRed16pt"/>
        <w:ind w:left="6210"/>
        <w:rPr>
          <w:noProof/>
        </w:rPr>
      </w:pPr>
      <w:r>
        <w:rPr>
          <w:noProof/>
        </w:rPr>
        <w:t>Part B</w:t>
      </w:r>
    </w:p>
    <w:p w14:paraId="62DD259A" w14:textId="77777777" w:rsidR="00B370B2" w:rsidRDefault="00B370B2" w:rsidP="00A97439">
      <w:pPr>
        <w:pStyle w:val="CoverTextRed16pt"/>
        <w:rPr>
          <w:noProof/>
        </w:rPr>
      </w:pPr>
    </w:p>
    <w:p w14:paraId="58F87543" w14:textId="33B84091" w:rsidR="004C3BA4" w:rsidRDefault="00F61665" w:rsidP="004C3BA4">
      <w:pPr>
        <w:pStyle w:val="CoverText-Address"/>
        <w:rPr>
          <w:b/>
          <w:noProof/>
          <w:color w:val="DA291C"/>
          <w:sz w:val="32"/>
          <w:szCs w:val="32"/>
        </w:rPr>
      </w:pPr>
      <w:r>
        <w:rPr>
          <w:b/>
          <w:noProof/>
          <w:color w:val="DA291C"/>
          <w:sz w:val="32"/>
          <w:szCs w:val="32"/>
        </w:rPr>
        <w:t>National and Tribal Evaluation of the 2nd Generation</w:t>
      </w:r>
      <w:r w:rsidRPr="00F61665">
        <w:rPr>
          <w:b/>
          <w:noProof/>
          <w:color w:val="DA291C"/>
          <w:sz w:val="32"/>
          <w:szCs w:val="32"/>
        </w:rPr>
        <w:t xml:space="preserve"> </w:t>
      </w:r>
      <w:r>
        <w:rPr>
          <w:b/>
          <w:noProof/>
          <w:color w:val="DA291C"/>
          <w:sz w:val="32"/>
          <w:szCs w:val="32"/>
        </w:rPr>
        <w:t>of the Health Profession Opportunity Grants</w:t>
      </w:r>
    </w:p>
    <w:p w14:paraId="4EB76FE5" w14:textId="77777777" w:rsidR="00B370B2" w:rsidRDefault="00B370B2" w:rsidP="00A97439">
      <w:pPr>
        <w:pStyle w:val="CoverText-Address"/>
        <w:rPr>
          <w:noProof/>
        </w:rPr>
      </w:pPr>
    </w:p>
    <w:p w14:paraId="6E4C74E3" w14:textId="77777777" w:rsidR="00B370B2" w:rsidRDefault="000249BB" w:rsidP="00A97439">
      <w:pPr>
        <w:pStyle w:val="CoverText-Address"/>
        <w:rPr>
          <w:noProof/>
        </w:rPr>
      </w:pPr>
      <w:r>
        <w:rPr>
          <w:noProof/>
        </w:rPr>
        <w:t>0970-0462</w:t>
      </w:r>
    </w:p>
    <w:p w14:paraId="062D1A5C" w14:textId="77777777" w:rsidR="00B370B2" w:rsidRDefault="00B370B2" w:rsidP="00A97439">
      <w:pPr>
        <w:pStyle w:val="CoverText-Address"/>
      </w:pPr>
    </w:p>
    <w:p w14:paraId="14892836" w14:textId="13905E74" w:rsidR="00941194" w:rsidRPr="001E2CF1" w:rsidRDefault="00B70BEA" w:rsidP="00941194">
      <w:pPr>
        <w:pStyle w:val="CoverText-Address"/>
      </w:pPr>
      <w:r>
        <w:t xml:space="preserve">Revised </w:t>
      </w:r>
      <w:r w:rsidR="00E91C32">
        <w:t>January 2018</w:t>
      </w:r>
    </w:p>
    <w:p w14:paraId="6E5BB904" w14:textId="77777777" w:rsidR="00B370B2" w:rsidRPr="001E2CF1" w:rsidRDefault="00B370B2" w:rsidP="00A97439">
      <w:pPr>
        <w:pStyle w:val="CoverText-Address"/>
      </w:pPr>
    </w:p>
    <w:p w14:paraId="4FD5C836" w14:textId="77777777" w:rsidR="00B370B2" w:rsidRDefault="00B370B2" w:rsidP="00A97439">
      <w:pPr>
        <w:pStyle w:val="CoverText11pt"/>
      </w:pPr>
      <w:r>
        <w:t xml:space="preserve">Submitted by: </w:t>
      </w:r>
    </w:p>
    <w:p w14:paraId="576E9FE6" w14:textId="77777777" w:rsidR="00B370B2" w:rsidRDefault="00B370B2" w:rsidP="00A97439">
      <w:pPr>
        <w:pStyle w:val="CoverText-Address"/>
        <w:ind w:left="5760"/>
      </w:pPr>
      <w:r>
        <w:t xml:space="preserve">Office of Planning, </w:t>
      </w:r>
      <w:r>
        <w:br/>
        <w:t>Research &amp; Evaluation</w:t>
      </w:r>
    </w:p>
    <w:p w14:paraId="49F9240E" w14:textId="77777777" w:rsidR="00B370B2" w:rsidRDefault="00B370B2" w:rsidP="00A97439">
      <w:pPr>
        <w:pStyle w:val="CoverText-Address"/>
        <w:ind w:left="5760"/>
      </w:pPr>
      <w:r>
        <w:t>Administration for Children &amp; Families</w:t>
      </w:r>
    </w:p>
    <w:p w14:paraId="75E8FD55" w14:textId="77777777" w:rsidR="00B370B2" w:rsidRDefault="00B370B2" w:rsidP="00A97439">
      <w:pPr>
        <w:pStyle w:val="CoverText-Address"/>
        <w:ind w:left="5760"/>
      </w:pPr>
      <w:r>
        <w:t xml:space="preserve">U.S. Department of Health </w:t>
      </w:r>
      <w:r>
        <w:br/>
        <w:t>and Human Services</w:t>
      </w:r>
    </w:p>
    <w:p w14:paraId="064B9454" w14:textId="77777777" w:rsidR="00B370B2" w:rsidRPr="001E2CF1" w:rsidRDefault="00B370B2" w:rsidP="00A97439">
      <w:pPr>
        <w:pStyle w:val="CoverText-Address"/>
      </w:pPr>
    </w:p>
    <w:p w14:paraId="1C86041A" w14:textId="77777777" w:rsidR="00B370B2" w:rsidRPr="001E2CF1" w:rsidRDefault="00B370B2" w:rsidP="00A97439">
      <w:pPr>
        <w:pStyle w:val="CoverText11pt"/>
      </w:pPr>
      <w:r>
        <w:t>Federal Project Officer</w:t>
      </w:r>
      <w:r w:rsidR="00A65EDB">
        <w:t>s</w:t>
      </w:r>
      <w:r>
        <w:t>:</w:t>
      </w:r>
    </w:p>
    <w:p w14:paraId="5C582C04" w14:textId="77777777" w:rsidR="00B370B2" w:rsidRDefault="00A80E60" w:rsidP="00A97439">
      <w:pPr>
        <w:pStyle w:val="CoverText-Address"/>
        <w:rPr>
          <w:b/>
          <w:color w:val="FF0000"/>
        </w:rPr>
      </w:pPr>
      <w:r>
        <w:rPr>
          <w:b/>
          <w:color w:val="FF0000"/>
        </w:rPr>
        <w:t>Hilary Forster</w:t>
      </w:r>
    </w:p>
    <w:p w14:paraId="3D9D75BD" w14:textId="77777777" w:rsidR="00A65EDB" w:rsidRDefault="00A65EDB" w:rsidP="00A97439">
      <w:pPr>
        <w:pStyle w:val="CoverText-Address"/>
        <w:rPr>
          <w:b/>
          <w:color w:val="FF0000"/>
        </w:rPr>
      </w:pPr>
      <w:r>
        <w:rPr>
          <w:b/>
          <w:color w:val="FF0000"/>
        </w:rPr>
        <w:t>Nicole Constance</w:t>
      </w:r>
    </w:p>
    <w:p w14:paraId="5CBA96CB" w14:textId="77777777" w:rsidR="00F61665" w:rsidRPr="001E2CF1" w:rsidRDefault="00F61665" w:rsidP="00A97439">
      <w:pPr>
        <w:pStyle w:val="CoverText-Address"/>
      </w:pPr>
      <w:r>
        <w:rPr>
          <w:b/>
          <w:color w:val="FF0000"/>
        </w:rPr>
        <w:t>Amelia Popham</w:t>
      </w:r>
    </w:p>
    <w:p w14:paraId="7D37E05B" w14:textId="77777777" w:rsidR="00B370B2" w:rsidRDefault="00B370B2" w:rsidP="00A97439">
      <w:pPr>
        <w:sectPr w:rsidR="00B370B2">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14:paraId="24A22BEC" w14:textId="77777777" w:rsidR="00E466DD" w:rsidRDefault="00E466DD"/>
    <w:sdt>
      <w:sdtPr>
        <w:rPr>
          <w:rFonts w:ascii="Times New Roman" w:eastAsia="Times New Roman" w:hAnsi="Times New Roman" w:cs="Times New Roman"/>
          <w:b w:val="0"/>
          <w:bCs w:val="0"/>
          <w:color w:val="auto"/>
          <w:sz w:val="22"/>
          <w:szCs w:val="20"/>
          <w:lang w:eastAsia="en-US"/>
        </w:rPr>
        <w:id w:val="542944752"/>
        <w:docPartObj>
          <w:docPartGallery w:val="Table of Contents"/>
          <w:docPartUnique/>
        </w:docPartObj>
      </w:sdtPr>
      <w:sdtEndPr>
        <w:rPr>
          <w:noProof/>
        </w:rPr>
      </w:sdtEndPr>
      <w:sdtContent>
        <w:p w14:paraId="7C7BD24D" w14:textId="5C99B7D4" w:rsidR="00E466DD" w:rsidRPr="00E466DD" w:rsidRDefault="00E466DD">
          <w:pPr>
            <w:pStyle w:val="TOCHeading"/>
            <w:rPr>
              <w:rFonts w:ascii="Arial" w:hAnsi="Arial" w:cs="Arial"/>
              <w:color w:val="A6A6A6" w:themeColor="background1" w:themeShade="A6"/>
              <w:sz w:val="24"/>
            </w:rPr>
          </w:pPr>
          <w:r w:rsidRPr="00E466DD">
            <w:rPr>
              <w:rFonts w:ascii="Arial" w:hAnsi="Arial" w:cs="Arial"/>
              <w:color w:val="A6A6A6" w:themeColor="background1" w:themeShade="A6"/>
              <w:sz w:val="24"/>
            </w:rPr>
            <w:t>Table of Contents</w:t>
          </w:r>
        </w:p>
        <w:p w14:paraId="63E260A2" w14:textId="77777777" w:rsidR="00ED4E94" w:rsidRDefault="00E466DD">
          <w:pPr>
            <w:pStyle w:val="TOC1"/>
            <w:tabs>
              <w:tab w:val="right" w:leader="dot" w:pos="9350"/>
            </w:tabs>
            <w:rPr>
              <w:rFonts w:asciiTheme="minorHAnsi" w:eastAsiaTheme="minorEastAsia" w:hAnsiTheme="minorHAnsi" w:cstheme="minorBidi"/>
              <w:b w:val="0"/>
              <w:noProof/>
              <w:szCs w:val="22"/>
            </w:rPr>
          </w:pPr>
          <w:r w:rsidRPr="00634F4D">
            <w:fldChar w:fldCharType="begin"/>
          </w:r>
          <w:r w:rsidRPr="00634F4D">
            <w:instrText xml:space="preserve"> TOC \o "1-3" \h \z \u </w:instrText>
          </w:r>
          <w:r w:rsidRPr="00634F4D">
            <w:fldChar w:fldCharType="separate"/>
          </w:r>
          <w:hyperlink w:anchor="_Toc503256228" w:history="1">
            <w:r w:rsidR="00ED4E94" w:rsidRPr="009F3A72">
              <w:rPr>
                <w:rStyle w:val="Hyperlink"/>
                <w:noProof/>
              </w:rPr>
              <w:t>Part B: Statistical Methods</w:t>
            </w:r>
            <w:r w:rsidR="00ED4E94">
              <w:rPr>
                <w:noProof/>
                <w:webHidden/>
              </w:rPr>
              <w:tab/>
            </w:r>
            <w:r w:rsidR="00ED4E94">
              <w:rPr>
                <w:noProof/>
                <w:webHidden/>
              </w:rPr>
              <w:fldChar w:fldCharType="begin"/>
            </w:r>
            <w:r w:rsidR="00ED4E94">
              <w:rPr>
                <w:noProof/>
                <w:webHidden/>
              </w:rPr>
              <w:instrText xml:space="preserve"> PAGEREF _Toc503256228 \h </w:instrText>
            </w:r>
            <w:r w:rsidR="00ED4E94">
              <w:rPr>
                <w:noProof/>
                <w:webHidden/>
              </w:rPr>
            </w:r>
            <w:r w:rsidR="00ED4E94">
              <w:rPr>
                <w:noProof/>
                <w:webHidden/>
              </w:rPr>
              <w:fldChar w:fldCharType="separate"/>
            </w:r>
            <w:r w:rsidR="00ED4E94">
              <w:rPr>
                <w:noProof/>
                <w:webHidden/>
              </w:rPr>
              <w:t>1</w:t>
            </w:r>
            <w:r w:rsidR="00ED4E94">
              <w:rPr>
                <w:noProof/>
                <w:webHidden/>
              </w:rPr>
              <w:fldChar w:fldCharType="end"/>
            </w:r>
          </w:hyperlink>
        </w:p>
        <w:p w14:paraId="7EA20C73" w14:textId="77777777" w:rsidR="00ED4E94" w:rsidRDefault="00587439">
          <w:pPr>
            <w:pStyle w:val="TOC2"/>
            <w:rPr>
              <w:rFonts w:asciiTheme="minorHAnsi" w:eastAsiaTheme="minorEastAsia" w:hAnsiTheme="minorHAnsi" w:cstheme="minorBidi"/>
              <w:szCs w:val="22"/>
            </w:rPr>
          </w:pPr>
          <w:hyperlink w:anchor="_Toc503256229" w:history="1">
            <w:r w:rsidR="00ED4E94" w:rsidRPr="009F3A72">
              <w:rPr>
                <w:rStyle w:val="Hyperlink"/>
              </w:rPr>
              <w:t>B.1 Respondent Universe and Sampling Methods</w:t>
            </w:r>
            <w:r w:rsidR="00ED4E94">
              <w:rPr>
                <w:webHidden/>
              </w:rPr>
              <w:tab/>
            </w:r>
            <w:r w:rsidR="00ED4E94">
              <w:rPr>
                <w:webHidden/>
              </w:rPr>
              <w:fldChar w:fldCharType="begin"/>
            </w:r>
            <w:r w:rsidR="00ED4E94">
              <w:rPr>
                <w:webHidden/>
              </w:rPr>
              <w:instrText xml:space="preserve"> PAGEREF _Toc503256229 \h </w:instrText>
            </w:r>
            <w:r w:rsidR="00ED4E94">
              <w:rPr>
                <w:webHidden/>
              </w:rPr>
            </w:r>
            <w:r w:rsidR="00ED4E94">
              <w:rPr>
                <w:webHidden/>
              </w:rPr>
              <w:fldChar w:fldCharType="separate"/>
            </w:r>
            <w:r w:rsidR="00ED4E94">
              <w:rPr>
                <w:webHidden/>
              </w:rPr>
              <w:t>1</w:t>
            </w:r>
            <w:r w:rsidR="00ED4E94">
              <w:rPr>
                <w:webHidden/>
              </w:rPr>
              <w:fldChar w:fldCharType="end"/>
            </w:r>
          </w:hyperlink>
        </w:p>
        <w:p w14:paraId="29C4A3AC" w14:textId="77777777" w:rsidR="00ED4E94" w:rsidRDefault="00587439">
          <w:pPr>
            <w:pStyle w:val="TOC2"/>
            <w:rPr>
              <w:rFonts w:asciiTheme="minorHAnsi" w:eastAsiaTheme="minorEastAsia" w:hAnsiTheme="minorHAnsi" w:cstheme="minorBidi"/>
              <w:szCs w:val="22"/>
            </w:rPr>
          </w:pPr>
          <w:hyperlink w:anchor="_Toc503256230" w:history="1">
            <w:r w:rsidR="00ED4E94" w:rsidRPr="009F3A72">
              <w:rPr>
                <w:rStyle w:val="Hyperlink"/>
              </w:rPr>
              <w:t>B.2 Procedures for Collection of Information</w:t>
            </w:r>
            <w:r w:rsidR="00ED4E94">
              <w:rPr>
                <w:webHidden/>
              </w:rPr>
              <w:tab/>
            </w:r>
            <w:r w:rsidR="00ED4E94">
              <w:rPr>
                <w:webHidden/>
              </w:rPr>
              <w:fldChar w:fldCharType="begin"/>
            </w:r>
            <w:r w:rsidR="00ED4E94">
              <w:rPr>
                <w:webHidden/>
              </w:rPr>
              <w:instrText xml:space="preserve"> PAGEREF _Toc503256230 \h </w:instrText>
            </w:r>
            <w:r w:rsidR="00ED4E94">
              <w:rPr>
                <w:webHidden/>
              </w:rPr>
            </w:r>
            <w:r w:rsidR="00ED4E94">
              <w:rPr>
                <w:webHidden/>
              </w:rPr>
              <w:fldChar w:fldCharType="separate"/>
            </w:r>
            <w:r w:rsidR="00ED4E94">
              <w:rPr>
                <w:webHidden/>
              </w:rPr>
              <w:t>5</w:t>
            </w:r>
            <w:r w:rsidR="00ED4E94">
              <w:rPr>
                <w:webHidden/>
              </w:rPr>
              <w:fldChar w:fldCharType="end"/>
            </w:r>
          </w:hyperlink>
        </w:p>
        <w:p w14:paraId="77C7B5C1" w14:textId="77777777" w:rsidR="00ED4E94" w:rsidRDefault="00587439">
          <w:pPr>
            <w:pStyle w:val="TOC2"/>
            <w:tabs>
              <w:tab w:val="left" w:pos="1152"/>
            </w:tabs>
            <w:rPr>
              <w:rFonts w:asciiTheme="minorHAnsi" w:eastAsiaTheme="minorEastAsia" w:hAnsiTheme="minorHAnsi" w:cstheme="minorBidi"/>
              <w:szCs w:val="22"/>
            </w:rPr>
          </w:pPr>
          <w:hyperlink w:anchor="_Toc503256231" w:history="1">
            <w:r w:rsidR="00ED4E94" w:rsidRPr="009F3A72">
              <w:rPr>
                <w:rStyle w:val="Hyperlink"/>
              </w:rPr>
              <w:t>B.3</w:t>
            </w:r>
            <w:r w:rsidR="00ED4E94">
              <w:rPr>
                <w:rFonts w:asciiTheme="minorHAnsi" w:eastAsiaTheme="minorEastAsia" w:hAnsiTheme="minorHAnsi" w:cstheme="minorBidi"/>
                <w:szCs w:val="22"/>
              </w:rPr>
              <w:tab/>
            </w:r>
            <w:r w:rsidR="00ED4E94" w:rsidRPr="009F3A72">
              <w:rPr>
                <w:rStyle w:val="Hyperlink"/>
              </w:rPr>
              <w:t>Methods to Maximize Response Rates and Deal with Non-response</w:t>
            </w:r>
            <w:r w:rsidR="00ED4E94">
              <w:rPr>
                <w:webHidden/>
              </w:rPr>
              <w:tab/>
            </w:r>
            <w:r w:rsidR="00ED4E94">
              <w:rPr>
                <w:webHidden/>
              </w:rPr>
              <w:fldChar w:fldCharType="begin"/>
            </w:r>
            <w:r w:rsidR="00ED4E94">
              <w:rPr>
                <w:webHidden/>
              </w:rPr>
              <w:instrText xml:space="preserve"> PAGEREF _Toc503256231 \h </w:instrText>
            </w:r>
            <w:r w:rsidR="00ED4E94">
              <w:rPr>
                <w:webHidden/>
              </w:rPr>
            </w:r>
            <w:r w:rsidR="00ED4E94">
              <w:rPr>
                <w:webHidden/>
              </w:rPr>
              <w:fldChar w:fldCharType="separate"/>
            </w:r>
            <w:r w:rsidR="00ED4E94">
              <w:rPr>
                <w:webHidden/>
              </w:rPr>
              <w:t>9</w:t>
            </w:r>
            <w:r w:rsidR="00ED4E94">
              <w:rPr>
                <w:webHidden/>
              </w:rPr>
              <w:fldChar w:fldCharType="end"/>
            </w:r>
          </w:hyperlink>
        </w:p>
        <w:p w14:paraId="439496C3" w14:textId="77777777" w:rsidR="00ED4E94" w:rsidRDefault="00587439">
          <w:pPr>
            <w:pStyle w:val="TOC2"/>
            <w:tabs>
              <w:tab w:val="left" w:pos="1152"/>
            </w:tabs>
            <w:rPr>
              <w:rFonts w:asciiTheme="minorHAnsi" w:eastAsiaTheme="minorEastAsia" w:hAnsiTheme="minorHAnsi" w:cstheme="minorBidi"/>
              <w:szCs w:val="22"/>
            </w:rPr>
          </w:pPr>
          <w:hyperlink w:anchor="_Toc503256232" w:history="1">
            <w:r w:rsidR="00ED4E94" w:rsidRPr="009F3A72">
              <w:rPr>
                <w:rStyle w:val="Hyperlink"/>
              </w:rPr>
              <w:t>B.4</w:t>
            </w:r>
            <w:r w:rsidR="00ED4E94">
              <w:rPr>
                <w:rFonts w:asciiTheme="minorHAnsi" w:eastAsiaTheme="minorEastAsia" w:hAnsiTheme="minorHAnsi" w:cstheme="minorBidi"/>
                <w:szCs w:val="22"/>
              </w:rPr>
              <w:tab/>
            </w:r>
            <w:r w:rsidR="00ED4E94" w:rsidRPr="009F3A72">
              <w:rPr>
                <w:rStyle w:val="Hyperlink"/>
              </w:rPr>
              <w:t>Tests of Procedures</w:t>
            </w:r>
            <w:r w:rsidR="00ED4E94">
              <w:rPr>
                <w:webHidden/>
              </w:rPr>
              <w:tab/>
            </w:r>
            <w:r w:rsidR="00ED4E94">
              <w:rPr>
                <w:webHidden/>
              </w:rPr>
              <w:fldChar w:fldCharType="begin"/>
            </w:r>
            <w:r w:rsidR="00ED4E94">
              <w:rPr>
                <w:webHidden/>
              </w:rPr>
              <w:instrText xml:space="preserve"> PAGEREF _Toc503256232 \h </w:instrText>
            </w:r>
            <w:r w:rsidR="00ED4E94">
              <w:rPr>
                <w:webHidden/>
              </w:rPr>
            </w:r>
            <w:r w:rsidR="00ED4E94">
              <w:rPr>
                <w:webHidden/>
              </w:rPr>
              <w:fldChar w:fldCharType="separate"/>
            </w:r>
            <w:r w:rsidR="00ED4E94">
              <w:rPr>
                <w:webHidden/>
              </w:rPr>
              <w:t>12</w:t>
            </w:r>
            <w:r w:rsidR="00ED4E94">
              <w:rPr>
                <w:webHidden/>
              </w:rPr>
              <w:fldChar w:fldCharType="end"/>
            </w:r>
          </w:hyperlink>
        </w:p>
        <w:p w14:paraId="36689507" w14:textId="77777777" w:rsidR="00ED4E94" w:rsidRDefault="00587439">
          <w:pPr>
            <w:pStyle w:val="TOC2"/>
            <w:tabs>
              <w:tab w:val="left" w:pos="1152"/>
            </w:tabs>
            <w:rPr>
              <w:rFonts w:asciiTheme="minorHAnsi" w:eastAsiaTheme="minorEastAsia" w:hAnsiTheme="minorHAnsi" w:cstheme="minorBidi"/>
              <w:szCs w:val="22"/>
            </w:rPr>
          </w:pPr>
          <w:hyperlink w:anchor="_Toc503256233" w:history="1">
            <w:r w:rsidR="00ED4E94" w:rsidRPr="009F3A72">
              <w:rPr>
                <w:rStyle w:val="Hyperlink"/>
              </w:rPr>
              <w:t>B.5</w:t>
            </w:r>
            <w:r w:rsidR="00ED4E94">
              <w:rPr>
                <w:rFonts w:asciiTheme="minorHAnsi" w:eastAsiaTheme="minorEastAsia" w:hAnsiTheme="minorHAnsi" w:cstheme="minorBidi"/>
                <w:szCs w:val="22"/>
              </w:rPr>
              <w:tab/>
            </w:r>
            <w:r w:rsidR="00ED4E94" w:rsidRPr="009F3A72">
              <w:rPr>
                <w:rStyle w:val="Hyperlink"/>
              </w:rPr>
              <w:t>Individuals Consulted on Statistical Aspects and Individuals Collecting and/or Analyzing Data</w:t>
            </w:r>
            <w:r w:rsidR="00ED4E94">
              <w:rPr>
                <w:webHidden/>
              </w:rPr>
              <w:tab/>
            </w:r>
            <w:r w:rsidR="00ED4E94">
              <w:rPr>
                <w:webHidden/>
              </w:rPr>
              <w:fldChar w:fldCharType="begin"/>
            </w:r>
            <w:r w:rsidR="00ED4E94">
              <w:rPr>
                <w:webHidden/>
              </w:rPr>
              <w:instrText xml:space="preserve"> PAGEREF _Toc503256233 \h </w:instrText>
            </w:r>
            <w:r w:rsidR="00ED4E94">
              <w:rPr>
                <w:webHidden/>
              </w:rPr>
            </w:r>
            <w:r w:rsidR="00ED4E94">
              <w:rPr>
                <w:webHidden/>
              </w:rPr>
              <w:fldChar w:fldCharType="separate"/>
            </w:r>
            <w:r w:rsidR="00ED4E94">
              <w:rPr>
                <w:webHidden/>
              </w:rPr>
              <w:t>14</w:t>
            </w:r>
            <w:r w:rsidR="00ED4E94">
              <w:rPr>
                <w:webHidden/>
              </w:rPr>
              <w:fldChar w:fldCharType="end"/>
            </w:r>
          </w:hyperlink>
        </w:p>
        <w:p w14:paraId="353FBE72" w14:textId="3E54F722" w:rsidR="00E466DD" w:rsidRDefault="00E466DD">
          <w:r w:rsidRPr="00634F4D">
            <w:rPr>
              <w:b/>
              <w:bCs/>
              <w:noProof/>
            </w:rPr>
            <w:fldChar w:fldCharType="end"/>
          </w:r>
        </w:p>
      </w:sdtContent>
    </w:sdt>
    <w:p w14:paraId="3D71825F" w14:textId="77777777" w:rsidR="00691C16" w:rsidRPr="003C42D3" w:rsidRDefault="00691C16" w:rsidP="00691C16">
      <w:pPr>
        <w:pStyle w:val="BodyText"/>
        <w:rPr>
          <w:b/>
        </w:rPr>
      </w:pPr>
      <w:r w:rsidRPr="003C42D3">
        <w:rPr>
          <w:b/>
        </w:rPr>
        <w:t xml:space="preserve">Attachments: </w:t>
      </w:r>
    </w:p>
    <w:p w14:paraId="46A33A06" w14:textId="77777777" w:rsidR="00691C16" w:rsidRPr="003C42D3" w:rsidRDefault="00691C16" w:rsidP="00691C16">
      <w:pPr>
        <w:pStyle w:val="TOC2"/>
        <w:ind w:left="0"/>
        <w:rPr>
          <w:b/>
        </w:rPr>
      </w:pPr>
      <w:r w:rsidRPr="003C42D3">
        <w:rPr>
          <w:b/>
        </w:rPr>
        <w:t>Previously Approved Instruments</w:t>
      </w:r>
    </w:p>
    <w:p w14:paraId="7EF5C4E7" w14:textId="1E712C57" w:rsidR="00691C16" w:rsidRDefault="00691C16" w:rsidP="00691C16">
      <w:pPr>
        <w:pStyle w:val="TOC2"/>
        <w:ind w:left="0"/>
      </w:pPr>
      <w:r>
        <w:t>Instrument 1: PAGES Grantee- and Participant-Level Data Items List</w:t>
      </w:r>
    </w:p>
    <w:p w14:paraId="20507BA6" w14:textId="77777777" w:rsidR="00525856" w:rsidRDefault="00525856" w:rsidP="00525856">
      <w:pPr>
        <w:spacing w:after="40"/>
      </w:pPr>
      <w:r>
        <w:t xml:space="preserve">Instrument 2: HPOG 2.0 National Evaluation Screening Interview </w:t>
      </w:r>
    </w:p>
    <w:p w14:paraId="4AA4573C" w14:textId="77777777" w:rsidR="00525856" w:rsidRDefault="00525856" w:rsidP="00525856">
      <w:pPr>
        <w:spacing w:after="40"/>
      </w:pPr>
      <w:r>
        <w:t>Instrument 3: HPOG 2.0 National Evaluation first-round telephone interview Protocol</w:t>
      </w:r>
    </w:p>
    <w:p w14:paraId="1DB38106" w14:textId="77777777" w:rsidR="00525856" w:rsidRPr="005042DE" w:rsidRDefault="00525856" w:rsidP="00525856">
      <w:pPr>
        <w:spacing w:after="40"/>
      </w:pPr>
      <w:r>
        <w:t xml:space="preserve">Instrument 4: HPOG 2.0 </w:t>
      </w:r>
      <w:r w:rsidRPr="005042DE">
        <w:t>National Evaluation in-person implementation interviews</w:t>
      </w:r>
    </w:p>
    <w:p w14:paraId="0A69900F" w14:textId="77777777" w:rsidR="00525856" w:rsidRDefault="00525856" w:rsidP="00525856">
      <w:pPr>
        <w:pStyle w:val="ListParagraph"/>
        <w:numPr>
          <w:ilvl w:val="0"/>
          <w:numId w:val="26"/>
        </w:numPr>
        <w:spacing w:after="40"/>
        <w:rPr>
          <w:rFonts w:ascii="Times New Roman" w:hAnsi="Times New Roman"/>
        </w:rPr>
      </w:pPr>
      <w:r w:rsidRPr="00F24EDC">
        <w:rPr>
          <w:rFonts w:ascii="Times New Roman" w:hAnsi="Times New Roman"/>
        </w:rPr>
        <w:t>Instru</w:t>
      </w:r>
      <w:r>
        <w:rPr>
          <w:rFonts w:ascii="Times New Roman" w:hAnsi="Times New Roman"/>
        </w:rPr>
        <w:t>ment 4A HPOG 2.0 National Evaluation In-Person Implementation Interview</w:t>
      </w:r>
    </w:p>
    <w:p w14:paraId="0EC850DD" w14:textId="77777777" w:rsidR="00525856" w:rsidRDefault="00525856" w:rsidP="00525856">
      <w:pPr>
        <w:pStyle w:val="ListParagraph"/>
        <w:numPr>
          <w:ilvl w:val="0"/>
          <w:numId w:val="26"/>
        </w:numPr>
        <w:spacing w:after="40"/>
        <w:rPr>
          <w:rFonts w:ascii="Times New Roman" w:hAnsi="Times New Roman"/>
        </w:rPr>
      </w:pPr>
      <w:r>
        <w:rPr>
          <w:rFonts w:ascii="Times New Roman" w:hAnsi="Times New Roman"/>
        </w:rPr>
        <w:t xml:space="preserve">Instrument 4B HPOG 2.0 National Evaluation In-Person Implementation Interviews Basic Skills Training </w:t>
      </w:r>
    </w:p>
    <w:p w14:paraId="35D2F7B7" w14:textId="77777777" w:rsidR="00525856" w:rsidRDefault="00525856" w:rsidP="00525856">
      <w:pPr>
        <w:pStyle w:val="ListParagraph"/>
        <w:numPr>
          <w:ilvl w:val="0"/>
          <w:numId w:val="26"/>
        </w:numPr>
        <w:spacing w:after="40"/>
        <w:rPr>
          <w:rFonts w:ascii="Times New Roman" w:hAnsi="Times New Roman"/>
        </w:rPr>
      </w:pPr>
      <w:r>
        <w:rPr>
          <w:rFonts w:ascii="Times New Roman" w:hAnsi="Times New Roman"/>
        </w:rPr>
        <w:t>Instrument 4C HPOG 2.0 National Evaluation In-Person Implementation Interviews Career Pathways</w:t>
      </w:r>
    </w:p>
    <w:p w14:paraId="7976019E" w14:textId="77777777" w:rsidR="00525856" w:rsidRDefault="00525856" w:rsidP="00525856">
      <w:pPr>
        <w:pStyle w:val="ListParagraph"/>
        <w:numPr>
          <w:ilvl w:val="0"/>
          <w:numId w:val="26"/>
        </w:numPr>
        <w:spacing w:after="40"/>
        <w:rPr>
          <w:rFonts w:ascii="Times New Roman" w:hAnsi="Times New Roman"/>
        </w:rPr>
      </w:pPr>
      <w:r>
        <w:rPr>
          <w:rFonts w:ascii="Times New Roman" w:hAnsi="Times New Roman"/>
        </w:rPr>
        <w:t>Instrument 4D HPOG 2.0 National Evaluation In-Person Implementation Interviews Work-Readiness</w:t>
      </w:r>
    </w:p>
    <w:p w14:paraId="3F28F7F2" w14:textId="77777777" w:rsidR="00525856" w:rsidRPr="00F24EDC" w:rsidRDefault="00525856" w:rsidP="00525856">
      <w:pPr>
        <w:pStyle w:val="ListParagraph"/>
        <w:numPr>
          <w:ilvl w:val="0"/>
          <w:numId w:val="26"/>
        </w:numPr>
        <w:spacing w:after="40"/>
        <w:rPr>
          <w:rFonts w:ascii="Times New Roman" w:hAnsi="Times New Roman"/>
        </w:rPr>
      </w:pPr>
      <w:r>
        <w:rPr>
          <w:rFonts w:ascii="Times New Roman" w:hAnsi="Times New Roman"/>
        </w:rPr>
        <w:t>Instrument 4E HPOG 2.0 National Evaluation In-Person Implementation Interviews Sustainability</w:t>
      </w:r>
    </w:p>
    <w:p w14:paraId="21BCC7F9" w14:textId="77777777" w:rsidR="00525856" w:rsidRDefault="00525856" w:rsidP="00525856">
      <w:pPr>
        <w:spacing w:after="40"/>
      </w:pPr>
      <w:r>
        <w:t>Instrument 5: HPOG 2.0 National Evaluation welcome packet and participant contact update forms</w:t>
      </w:r>
    </w:p>
    <w:p w14:paraId="625052C1" w14:textId="77777777" w:rsidR="00525856" w:rsidRPr="00B414FE" w:rsidRDefault="00525856" w:rsidP="00525856">
      <w:pPr>
        <w:pStyle w:val="ListParagraph"/>
        <w:numPr>
          <w:ilvl w:val="0"/>
          <w:numId w:val="24"/>
        </w:numPr>
        <w:spacing w:after="40"/>
      </w:pPr>
      <w:r>
        <w:rPr>
          <w:rFonts w:ascii="Times New Roman" w:hAnsi="Times New Roman"/>
        </w:rPr>
        <w:t xml:space="preserve">Instrument 5a: HPOG 2.0 National Evaluation welcome packet and contact update form </w:t>
      </w:r>
    </w:p>
    <w:p w14:paraId="3E8391E7" w14:textId="77777777" w:rsidR="00525856" w:rsidRDefault="00525856" w:rsidP="00525856">
      <w:pPr>
        <w:pStyle w:val="ListParagraph"/>
        <w:numPr>
          <w:ilvl w:val="0"/>
          <w:numId w:val="24"/>
        </w:numPr>
        <w:spacing w:after="40"/>
      </w:pPr>
      <w:r>
        <w:rPr>
          <w:rFonts w:ascii="Times New Roman" w:hAnsi="Times New Roman"/>
        </w:rPr>
        <w:t xml:space="preserve">Instrument 5b: HPOG 2.0 National Evaluation participant contact update letter and form </w:t>
      </w:r>
    </w:p>
    <w:p w14:paraId="588111F3" w14:textId="77777777" w:rsidR="00525856" w:rsidRDefault="00525856" w:rsidP="00525856">
      <w:pPr>
        <w:spacing w:after="40"/>
      </w:pPr>
      <w:r>
        <w:t>Instrument 6: HPOG 2.0 Tribal Evaluation grantee and partner administrative staff interviews</w:t>
      </w:r>
    </w:p>
    <w:p w14:paraId="6A9A789B" w14:textId="77777777" w:rsidR="00525856" w:rsidRDefault="00525856" w:rsidP="00525856">
      <w:pPr>
        <w:spacing w:after="40"/>
      </w:pPr>
      <w:r>
        <w:t>Instrument 7: HPOG 2.0 Tribal Evaluation program implementation staff interviews</w:t>
      </w:r>
    </w:p>
    <w:p w14:paraId="4311D0A3" w14:textId="77777777" w:rsidR="00525856" w:rsidRDefault="00525856" w:rsidP="00525856">
      <w:pPr>
        <w:spacing w:after="40"/>
      </w:pPr>
      <w:r>
        <w:t>Instrument 8: HPOG 2.0 Tribal Evaluation employer interviews</w:t>
      </w:r>
    </w:p>
    <w:p w14:paraId="1D7DE07F" w14:textId="77777777" w:rsidR="00525856" w:rsidRDefault="00525856" w:rsidP="00525856">
      <w:pPr>
        <w:spacing w:after="40"/>
      </w:pPr>
      <w:r>
        <w:t>Instrument 9: HPOG 2.0 Tribal Evaluation program participant focus groups</w:t>
      </w:r>
    </w:p>
    <w:p w14:paraId="011A3578" w14:textId="77777777" w:rsidR="00525856" w:rsidRDefault="00525856" w:rsidP="00525856">
      <w:pPr>
        <w:spacing w:after="40"/>
      </w:pPr>
      <w:r>
        <w:t>Instrument 10: HPOG 2.0 Tribal Evaluation program participant completer interviews</w:t>
      </w:r>
    </w:p>
    <w:p w14:paraId="6581DB16" w14:textId="77777777" w:rsidR="00525856" w:rsidRDefault="00525856" w:rsidP="00525856">
      <w:pPr>
        <w:spacing w:after="40"/>
      </w:pPr>
      <w:r>
        <w:t>Instrument 11: HPOG 2.0 Tribal Evaluation program participant non-completer interviews</w:t>
      </w:r>
    </w:p>
    <w:p w14:paraId="358FD21F" w14:textId="77777777" w:rsidR="00691C16" w:rsidRPr="003C42D3" w:rsidRDefault="00691C16" w:rsidP="00691C16">
      <w:pPr>
        <w:pStyle w:val="TOC2"/>
        <w:ind w:left="0"/>
        <w:rPr>
          <w:b/>
        </w:rPr>
      </w:pPr>
      <w:r w:rsidRPr="003C42D3">
        <w:rPr>
          <w:b/>
        </w:rPr>
        <w:t xml:space="preserve">New Instruments Included in this Request </w:t>
      </w:r>
    </w:p>
    <w:p w14:paraId="748916FA" w14:textId="7C50C735" w:rsidR="00FE2867" w:rsidRDefault="00FE2867" w:rsidP="00FE2867">
      <w:pPr>
        <w:spacing w:after="40"/>
      </w:pPr>
      <w:r>
        <w:t xml:space="preserve">Instrument 12: HPOG 2.0 National Evaluation </w:t>
      </w:r>
      <w:r w:rsidR="00D12DEB">
        <w:t>Short-Term</w:t>
      </w:r>
      <w:r>
        <w:t xml:space="preserve"> Follow-up Survey</w:t>
      </w:r>
    </w:p>
    <w:p w14:paraId="55A34B35" w14:textId="77777777" w:rsidR="00FE2867" w:rsidRDefault="00FE2867" w:rsidP="00691C16">
      <w:pPr>
        <w:spacing w:after="40"/>
      </w:pPr>
    </w:p>
    <w:p w14:paraId="7CD9BB52" w14:textId="77777777" w:rsidR="0035288D" w:rsidRPr="009D3C7F" w:rsidRDefault="0035288D" w:rsidP="0035288D">
      <w:pPr>
        <w:pStyle w:val="TOC2"/>
        <w:ind w:left="0"/>
      </w:pPr>
      <w:r w:rsidRPr="00842BE7">
        <w:lastRenderedPageBreak/>
        <w:t>Attachment A: References</w:t>
      </w:r>
    </w:p>
    <w:p w14:paraId="47F43EE9" w14:textId="183BDC5F" w:rsidR="0035288D" w:rsidRDefault="0035288D" w:rsidP="0035288D">
      <w:pPr>
        <w:pStyle w:val="TOC2"/>
        <w:ind w:left="0"/>
      </w:pPr>
      <w:r w:rsidRPr="009D3C7F">
        <w:t xml:space="preserve">Attachment B: </w:t>
      </w:r>
      <w:r>
        <w:t xml:space="preserve">Previously Approved </w:t>
      </w:r>
      <w:r w:rsidRPr="009D3C7F">
        <w:t>Informed Consent Forms</w:t>
      </w:r>
    </w:p>
    <w:p w14:paraId="001E4FBC" w14:textId="77777777" w:rsidR="0035288D" w:rsidRDefault="0035288D" w:rsidP="0035288D">
      <w:pPr>
        <w:pStyle w:val="BodyText"/>
        <w:numPr>
          <w:ilvl w:val="0"/>
          <w:numId w:val="25"/>
        </w:numPr>
        <w:spacing w:after="0"/>
      </w:pPr>
      <w:r>
        <w:t>Attachment B2: Tribal Evaluation informed consent form A (SSNs)</w:t>
      </w:r>
    </w:p>
    <w:p w14:paraId="25E57FAB" w14:textId="77777777" w:rsidR="0035288D" w:rsidRPr="00F43669" w:rsidRDefault="0035288D" w:rsidP="0035288D">
      <w:pPr>
        <w:pStyle w:val="BodyText"/>
        <w:numPr>
          <w:ilvl w:val="0"/>
          <w:numId w:val="25"/>
        </w:numPr>
        <w:spacing w:after="0"/>
      </w:pPr>
      <w:r>
        <w:t>Attachment B3:  Tribal Evaluation informed consent form B (Unique identifiers)</w:t>
      </w:r>
    </w:p>
    <w:p w14:paraId="705F8894" w14:textId="77777777" w:rsidR="0035288D" w:rsidRPr="009D3C7F" w:rsidRDefault="0035288D" w:rsidP="0035288D">
      <w:pPr>
        <w:pStyle w:val="TOC2"/>
        <w:ind w:left="0"/>
      </w:pPr>
      <w:r w:rsidRPr="009D3C7F">
        <w:t>Attachment C: 60 Day Federal Register Notice</w:t>
      </w:r>
    </w:p>
    <w:p w14:paraId="1C078C9B" w14:textId="38DEA36F" w:rsidR="0035288D" w:rsidRPr="009D3C7F" w:rsidRDefault="0035288D" w:rsidP="0035288D">
      <w:pPr>
        <w:pStyle w:val="TOC2"/>
        <w:ind w:left="0"/>
      </w:pPr>
      <w:r w:rsidRPr="009D3C7F">
        <w:t xml:space="preserve">Attachment D: </w:t>
      </w:r>
      <w:r>
        <w:t xml:space="preserve">Previously Approved  </w:t>
      </w:r>
      <w:r w:rsidRPr="009D3C7F">
        <w:t xml:space="preserve">Sources and Justification for PAGES </w:t>
      </w:r>
      <w:r>
        <w:t>Grantee</w:t>
      </w:r>
      <w:r w:rsidRPr="009D3C7F">
        <w:t>- and Participant-Level Data Items</w:t>
      </w:r>
    </w:p>
    <w:p w14:paraId="68A9CCEE" w14:textId="1B8CD82C" w:rsidR="0035288D" w:rsidRDefault="0035288D" w:rsidP="0035288D">
      <w:pPr>
        <w:pStyle w:val="BodyText"/>
        <w:spacing w:after="40"/>
        <w:contextualSpacing/>
      </w:pPr>
      <w:r w:rsidRPr="009D3C7F">
        <w:t xml:space="preserve">Attachment E: </w:t>
      </w:r>
      <w:r>
        <w:t xml:space="preserve"> Previously Approved Final Updated Attachment E PPR </w:t>
      </w:r>
      <w:r w:rsidRPr="009D3C7F">
        <w:t>Data List and Mockup</w:t>
      </w:r>
    </w:p>
    <w:p w14:paraId="5527B042" w14:textId="77777777" w:rsidR="0035288D" w:rsidRDefault="0035288D" w:rsidP="0035288D">
      <w:pPr>
        <w:pStyle w:val="TOC2"/>
        <w:ind w:left="0"/>
      </w:pPr>
      <w:r>
        <w:t>Attachment F: First Round of HPOG Grantees Research Portfolio</w:t>
      </w:r>
    </w:p>
    <w:p w14:paraId="6EA1C018" w14:textId="38BC575C" w:rsidR="0035288D" w:rsidRDefault="0035288D" w:rsidP="0035288D">
      <w:pPr>
        <w:pStyle w:val="BodyText"/>
        <w:spacing w:after="40"/>
        <w:contextualSpacing/>
      </w:pPr>
      <w:r>
        <w:t>Attachment G: Previously Approved Participant Contact Information Update Letter and Form</w:t>
      </w:r>
    </w:p>
    <w:p w14:paraId="4E535D0B" w14:textId="77777777" w:rsidR="0035288D" w:rsidRDefault="0035288D" w:rsidP="0035288D">
      <w:pPr>
        <w:pStyle w:val="BodyText"/>
        <w:spacing w:after="40"/>
      </w:pPr>
      <w:r>
        <w:t>Attachment H: HPOG Logic Model</w:t>
      </w:r>
    </w:p>
    <w:p w14:paraId="6F25404A" w14:textId="4768896A" w:rsidR="0035288D" w:rsidRDefault="0035288D" w:rsidP="0035288D">
      <w:pPr>
        <w:pStyle w:val="BodyText"/>
        <w:spacing w:after="40"/>
      </w:pPr>
      <w:r>
        <w:t>Attachment I: Previously Approved Focus group participant consent form</w:t>
      </w:r>
    </w:p>
    <w:p w14:paraId="03205A29" w14:textId="2CBC69AB" w:rsidR="0035288D" w:rsidRDefault="0035288D" w:rsidP="0035288D">
      <w:pPr>
        <w:pStyle w:val="BodyText"/>
        <w:spacing w:after="40"/>
      </w:pPr>
      <w:r w:rsidRPr="007809D9">
        <w:t>Attachment J:</w:t>
      </w:r>
      <w:r>
        <w:t xml:space="preserve"> Previously Approved </w:t>
      </w:r>
      <w:r w:rsidRPr="007809D9">
        <w:t>Interview Verbal Informed Consent Form</w:t>
      </w:r>
    </w:p>
    <w:p w14:paraId="38B3C18C" w14:textId="6CCE8DF4" w:rsidR="0035288D" w:rsidRDefault="0035288D" w:rsidP="0035288D">
      <w:pPr>
        <w:pStyle w:val="BodyText"/>
        <w:spacing w:after="40"/>
      </w:pPr>
      <w:r>
        <w:t xml:space="preserve">Attachment K:  NEW HPOG 2.0 National Evaluation </w:t>
      </w:r>
      <w:r w:rsidR="00127966">
        <w:t xml:space="preserve">Short-Term Follow-up Survey </w:t>
      </w:r>
      <w:r>
        <w:t>Advance Letter</w:t>
      </w:r>
    </w:p>
    <w:p w14:paraId="6314F1EC" w14:textId="538F5925" w:rsidR="0035288D" w:rsidRDefault="0035288D" w:rsidP="0035288D">
      <w:pPr>
        <w:pStyle w:val="BodyText"/>
        <w:spacing w:after="40"/>
      </w:pPr>
      <w:r>
        <w:t xml:space="preserve">Attachment L: </w:t>
      </w:r>
      <w:r>
        <w:tab/>
        <w:t xml:space="preserve">NEW HPOG 2.0 National Evaluation </w:t>
      </w:r>
      <w:r w:rsidR="00127966">
        <w:t xml:space="preserve">Short-Term Follow-up </w:t>
      </w:r>
      <w:r w:rsidR="00C15953">
        <w:t>Survey Sources</w:t>
      </w:r>
    </w:p>
    <w:p w14:paraId="3591D150" w14:textId="5983EE5B" w:rsidR="0035288D" w:rsidRDefault="0035288D" w:rsidP="0035288D">
      <w:pPr>
        <w:pStyle w:val="BodyText"/>
        <w:spacing w:after="40"/>
      </w:pPr>
      <w:r>
        <w:t>Attachment M:</w:t>
      </w:r>
      <w:r>
        <w:tab/>
        <w:t xml:space="preserve">NEW HPOG 2.0 National Evaluation </w:t>
      </w:r>
      <w:r w:rsidR="00127966">
        <w:t xml:space="preserve">Short-Term Follow-up Survey </w:t>
      </w:r>
      <w:r>
        <w:t>Trying to Reach You Flyer</w:t>
      </w:r>
    </w:p>
    <w:p w14:paraId="3617B717" w14:textId="34A45110" w:rsidR="0035288D" w:rsidRDefault="0035288D" w:rsidP="0035288D">
      <w:pPr>
        <w:pStyle w:val="BodyText"/>
        <w:spacing w:after="40"/>
      </w:pPr>
      <w:r>
        <w:t>Attachment N:</w:t>
      </w:r>
      <w:r>
        <w:tab/>
        <w:t xml:space="preserve">NEW HPOG 2.0 National Evaluation </w:t>
      </w:r>
      <w:r w:rsidR="00127966">
        <w:t xml:space="preserve">Short-Term Follow-up Survey </w:t>
      </w:r>
      <w:r>
        <w:t>Email Reminder</w:t>
      </w:r>
    </w:p>
    <w:p w14:paraId="4544DBAA" w14:textId="5BDC594F" w:rsidR="00B70BEA" w:rsidRPr="007066F5" w:rsidRDefault="00B70BEA" w:rsidP="0035288D">
      <w:pPr>
        <w:pStyle w:val="BodyText"/>
        <w:spacing w:after="40"/>
      </w:pPr>
      <w:r>
        <w:t>Attachment O:</w:t>
      </w:r>
      <w:r>
        <w:tab/>
      </w:r>
      <w:r w:rsidR="00102889">
        <w:t>NEW</w:t>
      </w:r>
      <w:r w:rsidR="009D51FD">
        <w:t xml:space="preserve"> </w:t>
      </w:r>
      <w:r>
        <w:t>Research Questions for Previously Approved Data Collection</w:t>
      </w:r>
      <w:r w:rsidR="00C87D17">
        <w:t xml:space="preserve"> Efforts (National Evaluation and Tribal Evaluation)</w:t>
      </w:r>
      <w:r>
        <w:t xml:space="preserve"> </w:t>
      </w:r>
    </w:p>
    <w:p w14:paraId="129AC74A" w14:textId="77777777" w:rsidR="00691C16" w:rsidRDefault="00691C16" w:rsidP="005042DE">
      <w:pPr>
        <w:pStyle w:val="BodyText"/>
      </w:pPr>
    </w:p>
    <w:p w14:paraId="43F8B152" w14:textId="77777777" w:rsidR="00133325" w:rsidRDefault="00133325" w:rsidP="00AC3110">
      <w:pPr>
        <w:pStyle w:val="BodyText"/>
        <w:spacing w:after="40"/>
        <w:contextualSpacing/>
      </w:pPr>
    </w:p>
    <w:p w14:paraId="36B76ECB" w14:textId="77777777" w:rsidR="003D108C" w:rsidRPr="00A80E60" w:rsidRDefault="003D108C" w:rsidP="00A80E60">
      <w:pPr>
        <w:pStyle w:val="BodyText"/>
        <w:sectPr w:rsidR="003D108C" w:rsidRPr="00A80E60">
          <w:footerReference w:type="default" r:id="rId11"/>
          <w:pgSz w:w="12240" w:h="15840" w:code="1"/>
          <w:pgMar w:top="1440" w:right="1440" w:bottom="1440" w:left="1440" w:header="1080" w:footer="720" w:gutter="0"/>
          <w:pgNumType w:fmt="lowerRoman" w:start="1"/>
          <w:cols w:space="720"/>
          <w:docGrid w:linePitch="299"/>
        </w:sectPr>
      </w:pPr>
    </w:p>
    <w:p w14:paraId="3622355E" w14:textId="77777777" w:rsidR="00B370B2" w:rsidRPr="004F1FB4" w:rsidRDefault="00B370B2" w:rsidP="00137474">
      <w:pPr>
        <w:pStyle w:val="Heading1"/>
        <w:numPr>
          <w:ilvl w:val="0"/>
          <w:numId w:val="0"/>
        </w:numPr>
        <w:rPr>
          <w:rFonts w:ascii="Calibri" w:hAnsi="Calibri" w:cs="Calibri"/>
          <w:sz w:val="22"/>
        </w:rPr>
      </w:pPr>
      <w:bookmarkStart w:id="2" w:name="_Toc324166959"/>
      <w:bookmarkStart w:id="3" w:name="_Toc494352174"/>
      <w:bookmarkStart w:id="4" w:name="_Toc480466120"/>
      <w:bookmarkStart w:id="5" w:name="_Toc499718101"/>
      <w:bookmarkStart w:id="6" w:name="_Toc503256228"/>
      <w:r w:rsidRPr="001034D3">
        <w:t>Part</w:t>
      </w:r>
      <w:r>
        <w:t xml:space="preserve"> B: Statistical Methods</w:t>
      </w:r>
      <w:bookmarkEnd w:id="0"/>
      <w:bookmarkEnd w:id="2"/>
      <w:bookmarkEnd w:id="3"/>
      <w:bookmarkEnd w:id="4"/>
      <w:bookmarkEnd w:id="5"/>
      <w:bookmarkEnd w:id="6"/>
    </w:p>
    <w:p w14:paraId="596625E6" w14:textId="77777777" w:rsidR="009C069C" w:rsidRDefault="009C069C" w:rsidP="009C069C">
      <w:r w:rsidRPr="00793145">
        <w:rPr>
          <w:rFonts w:cs="Calibri"/>
        </w:rPr>
        <w:t xml:space="preserve">Part B of the Supporting Statement for </w:t>
      </w:r>
      <w:r w:rsidRPr="00524430">
        <w:rPr>
          <w:i/>
        </w:rPr>
        <w:t xml:space="preserve">The </w:t>
      </w:r>
      <w:r>
        <w:rPr>
          <w:i/>
        </w:rPr>
        <w:t xml:space="preserve">Health Profession Opportunity Grants 2.0 (HPOG 2.0) National and Tribal </w:t>
      </w:r>
      <w:r w:rsidRPr="00A669F7">
        <w:rPr>
          <w:i/>
        </w:rPr>
        <w:t>Evaluation</w:t>
      </w:r>
      <w:r>
        <w:t xml:space="preserve"> </w:t>
      </w:r>
      <w:r>
        <w:rPr>
          <w:rFonts w:cs="Calibri"/>
        </w:rPr>
        <w:t>—</w:t>
      </w:r>
      <w:r w:rsidRPr="00793145">
        <w:rPr>
          <w:rFonts w:cs="Calibri"/>
        </w:rPr>
        <w:t>sponsored by the Administration for Children and Families (ACF) in the U.S. Department of He</w:t>
      </w:r>
      <w:r>
        <w:rPr>
          <w:rFonts w:cs="Calibri"/>
        </w:rPr>
        <w:t>alth and Human Services (HHS)—</w:t>
      </w:r>
      <w:r w:rsidRPr="00793145">
        <w:rPr>
          <w:rFonts w:cs="Calibri"/>
        </w:rPr>
        <w:t>considers the issues pertaining to Collections of Information Employing Statistical Methods. Abt Associates (</w:t>
      </w:r>
      <w:r>
        <w:rPr>
          <w:rFonts w:cs="Calibri"/>
        </w:rPr>
        <w:t>Abt)</w:t>
      </w:r>
      <w:r w:rsidRPr="00793145">
        <w:rPr>
          <w:rFonts w:cs="Calibri"/>
        </w:rPr>
        <w:t xml:space="preserve"> is the prime contractor for the study</w:t>
      </w:r>
      <w:r>
        <w:rPr>
          <w:rFonts w:cs="Calibri"/>
        </w:rPr>
        <w:t xml:space="preserve">. </w:t>
      </w:r>
      <w:r>
        <w:t xml:space="preserve">Abt and its partners MEF Associates, the Urban Institute and Insight Policy Research are conducting the HPOG 2.0 National Evaluation and partner NORC is conducting the Tribal Evaluation. </w:t>
      </w:r>
      <w:r>
        <w:rPr>
          <w:rFonts w:cs="Calibri"/>
        </w:rPr>
        <w:t>Abt and partners the Urban Institute and Green Beacon are responsible for the Participant Accomplishment and Grantee Evaluation System (PAGES) design and implementation</w:t>
      </w:r>
      <w:r w:rsidRPr="00793145">
        <w:rPr>
          <w:rFonts w:cs="Calibri"/>
        </w:rPr>
        <w:t xml:space="preserve">. </w:t>
      </w:r>
      <w:r>
        <w:rPr>
          <w:rFonts w:cs="Calibri"/>
        </w:rPr>
        <w:t xml:space="preserve">PAGES is a data collection system for collecting </w:t>
      </w:r>
      <w:r w:rsidRPr="003B495D">
        <w:t xml:space="preserve">information from all </w:t>
      </w:r>
      <w:r>
        <w:t xml:space="preserve">HPOG </w:t>
      </w:r>
      <w:r w:rsidRPr="003B495D">
        <w:t xml:space="preserve">grantees on their </w:t>
      </w:r>
      <w:r w:rsidRPr="00C0421C">
        <w:t>program</w:t>
      </w:r>
      <w:r>
        <w:t xml:space="preserve"> design</w:t>
      </w:r>
      <w:r w:rsidRPr="00C0421C">
        <w:t>s</w:t>
      </w:r>
      <w:r>
        <w:t xml:space="preserve"> and offerings, intake information on eligible applicants (both treatment and control group members) through baseline data collection, and a record of participants’ activities and outcomes.</w:t>
      </w:r>
    </w:p>
    <w:p w14:paraId="4C7DE549" w14:textId="01764402" w:rsidR="004F0529" w:rsidRDefault="004F0529" w:rsidP="009C069C">
      <w:pPr>
        <w:rPr>
          <w:rFonts w:cs="Calibri"/>
        </w:rPr>
      </w:pPr>
      <w:r w:rsidRPr="004F0529">
        <w:rPr>
          <w:rFonts w:cs="Calibri"/>
        </w:rPr>
        <w:t xml:space="preserve">The federal evaluations of the HPOG 2.0 National and Tribal grantees will evaluate postsecondary career pathway programs, focused on the healthcare sector, that target Temporary Assistance for Needy Families (TANF) recipients and other low-income individuals. This submission seeks clearance for the HPOG 2.0 National </w:t>
      </w:r>
      <w:r w:rsidR="004C23F4" w:rsidRPr="004F0529">
        <w:rPr>
          <w:rFonts w:cs="Calibri"/>
        </w:rPr>
        <w:t>Evaluation</w:t>
      </w:r>
      <w:r w:rsidR="004C23F4">
        <w:rPr>
          <w:rFonts w:cs="Calibri"/>
        </w:rPr>
        <w:t>’s</w:t>
      </w:r>
      <w:r w:rsidR="004C23F4" w:rsidRPr="004F0529">
        <w:rPr>
          <w:rFonts w:cs="Calibri"/>
        </w:rPr>
        <w:t xml:space="preserve"> </w:t>
      </w:r>
      <w:r w:rsidR="004C23F4">
        <w:rPr>
          <w:rFonts w:cs="Calibri"/>
        </w:rPr>
        <w:t>Short</w:t>
      </w:r>
      <w:r w:rsidR="00127966">
        <w:rPr>
          <w:rFonts w:cs="Calibri"/>
        </w:rPr>
        <w:t xml:space="preserve">-Term Follow-up Survey </w:t>
      </w:r>
      <w:r w:rsidR="00C23443">
        <w:rPr>
          <w:rFonts w:cs="Calibri"/>
        </w:rPr>
        <w:t>(instrument 12)</w:t>
      </w:r>
      <w:r w:rsidR="00E82648">
        <w:rPr>
          <w:rFonts w:cs="Calibri"/>
        </w:rPr>
        <w:t>;</w:t>
      </w:r>
      <w:r w:rsidR="00525856">
        <w:rPr>
          <w:rFonts w:cs="Calibri"/>
        </w:rPr>
        <w:t xml:space="preserve"> </w:t>
      </w:r>
      <w:r w:rsidRPr="004F0529">
        <w:rPr>
          <w:rFonts w:cs="Calibri"/>
        </w:rPr>
        <w:t xml:space="preserve">beyond the previously approved information collection instruments (Instruments </w:t>
      </w:r>
      <w:r w:rsidR="009A06B4">
        <w:rPr>
          <w:rFonts w:cs="Calibri"/>
        </w:rPr>
        <w:t>1</w:t>
      </w:r>
      <w:r w:rsidRPr="004F0529">
        <w:rPr>
          <w:rFonts w:cs="Calibri"/>
        </w:rPr>
        <w:t>-11).</w:t>
      </w:r>
    </w:p>
    <w:p w14:paraId="3B9B95A3" w14:textId="3BA1E293" w:rsidR="00B370B2" w:rsidRPr="004F1FB4" w:rsidRDefault="00B370B2" w:rsidP="00137474">
      <w:pPr>
        <w:pStyle w:val="Heading2"/>
      </w:pPr>
      <w:bookmarkStart w:id="7" w:name="_Toc322083615"/>
      <w:bookmarkStart w:id="8" w:name="_Toc324166960"/>
      <w:bookmarkStart w:id="9" w:name="_Toc494352175"/>
      <w:bookmarkStart w:id="10" w:name="_Toc480466121"/>
      <w:bookmarkStart w:id="11" w:name="_Toc499718102"/>
      <w:bookmarkStart w:id="12" w:name="_Toc503256229"/>
      <w:r>
        <w:t xml:space="preserve">B.1 </w:t>
      </w:r>
      <w:r w:rsidRPr="004F1FB4">
        <w:t>Respondent Universe and Sampl</w:t>
      </w:r>
      <w:bookmarkEnd w:id="7"/>
      <w:r>
        <w:t>ing Methods</w:t>
      </w:r>
      <w:bookmarkEnd w:id="8"/>
      <w:bookmarkEnd w:id="9"/>
      <w:bookmarkEnd w:id="10"/>
      <w:bookmarkEnd w:id="11"/>
      <w:bookmarkEnd w:id="12"/>
      <w:r w:rsidRPr="004F1FB4">
        <w:t xml:space="preserve"> </w:t>
      </w:r>
    </w:p>
    <w:p w14:paraId="5AC86D13" w14:textId="77777777" w:rsidR="00CF2FCA" w:rsidRDefault="00CF2FCA" w:rsidP="00CF2FCA">
      <w:r w:rsidRPr="001A2F23">
        <w:t xml:space="preserve">Thirty-two HPOG grants were awarded to government agencies, community-based organizations, post-secondary educational institutions, and tribal-affiliated organizations </w:t>
      </w:r>
      <w:r>
        <w:t>in September 2015</w:t>
      </w:r>
      <w:r w:rsidRPr="001A2F23">
        <w:t>. Of these, 27 were awarded to</w:t>
      </w:r>
      <w:r>
        <w:t xml:space="preserve"> non-tribal entities and five were awarded to tribal organizations. </w:t>
      </w:r>
    </w:p>
    <w:p w14:paraId="560D4A18" w14:textId="11A5C2D3" w:rsidR="00CF2FCA" w:rsidRDefault="00CF2FCA" w:rsidP="00CF2FCA">
      <w:r>
        <w:t xml:space="preserve">All 32 grantees will participate in this federally sponsored evaluation. There is no statistical sampling required for the HPOG 2.0 National Evaluation </w:t>
      </w:r>
      <w:r w:rsidR="006D13C3">
        <w:t>d</w:t>
      </w:r>
      <w:r w:rsidR="00986007">
        <w:t xml:space="preserve">escriptive </w:t>
      </w:r>
      <w:r w:rsidR="006D13C3">
        <w:t>evaluation</w:t>
      </w:r>
      <w:r>
        <w:t xml:space="preserve"> or the HPOG 2.0 Tribal Evaluation. Evaluators will work closely with grantees to identify participants in the respective studies. Under the National Evaluation </w:t>
      </w:r>
      <w:r w:rsidR="006D13C3">
        <w:t>i</w:t>
      </w:r>
      <w:r>
        <w:t>mpact</w:t>
      </w:r>
      <w:r w:rsidR="006D13C3">
        <w:t xml:space="preserve"> evaluation</w:t>
      </w:r>
      <w:r>
        <w:t xml:space="preserve">, </w:t>
      </w:r>
      <w:r w:rsidR="00FD41D1">
        <w:t xml:space="preserve">the evaluators will select up to </w:t>
      </w:r>
      <w:r w:rsidR="00F87671">
        <w:t>13,000</w:t>
      </w:r>
      <w:r w:rsidR="00FD41D1">
        <w:t xml:space="preserve"> study participants beginning with the cohort of participants enrolled in March 2017 for inclusion in the follow-up survey sample. </w:t>
      </w:r>
      <w:r w:rsidR="008D0DF2">
        <w:t>R</w:t>
      </w:r>
      <w:r w:rsidR="008D0DF2" w:rsidRPr="00A93C27">
        <w:t xml:space="preserve">ather than randomly sampling from everyone randomized, the surveys will sample only those randomized in a narrow time period. To ensure that programs have gotten over initial implementation issues and to ensure that survey results are available as soon as possible, the </w:t>
      </w:r>
      <w:r w:rsidR="00127966">
        <w:t xml:space="preserve">Short-Term Follow-up Survey </w:t>
      </w:r>
      <w:r w:rsidR="008D0DF2" w:rsidRPr="00A93C27">
        <w:t>will sample all of the projected 13,</w:t>
      </w:r>
      <w:r w:rsidR="008D0DF2">
        <w:t>000</w:t>
      </w:r>
      <w:r w:rsidR="008D0DF2" w:rsidRPr="00A93C27">
        <w:t xml:space="preserve"> people randomized from March 2017 through </w:t>
      </w:r>
      <w:r w:rsidR="008D0DF2">
        <w:t>March</w:t>
      </w:r>
      <w:r w:rsidR="008D0DF2" w:rsidRPr="00A93C27">
        <w:t xml:space="preserve"> 2018 (i.e., </w:t>
      </w:r>
      <w:r w:rsidR="008D0DF2">
        <w:t>13</w:t>
      </w:r>
      <w:r w:rsidR="008D0DF2" w:rsidRPr="00A93C27">
        <w:t xml:space="preserve"> monthly cohorts </w:t>
      </w:r>
      <w:r w:rsidR="00891025">
        <w:t>of</w:t>
      </w:r>
      <w:r w:rsidR="008D0DF2" w:rsidRPr="00A93C27">
        <w:t xml:space="preserve"> approximately 1,000 cases per month)</w:t>
      </w:r>
      <w:r w:rsidR="00EF7A96">
        <w:t xml:space="preserve">. </w:t>
      </w:r>
      <w:r w:rsidR="00FD41D1">
        <w:t>The evaluators waited to begin survey sample selection until the March 2017 cohort i</w:t>
      </w:r>
      <w:r>
        <w:t>n order to maximize efficiency for the survey data collection effort</w:t>
      </w:r>
      <w:r w:rsidR="00CA38E4">
        <w:t xml:space="preserve"> </w:t>
      </w:r>
      <w:r w:rsidR="009A06B4">
        <w:t>(i.e., to lower survey costs relative to taking a true random sample of everyone randomized)</w:t>
      </w:r>
      <w:r>
        <w:t xml:space="preserve"> and </w:t>
      </w:r>
      <w:r w:rsidR="00891025">
        <w:t xml:space="preserve">to </w:t>
      </w:r>
      <w:r>
        <w:t>allow all programs time to complete start-up activities and reach steady-state operations</w:t>
      </w:r>
      <w:r w:rsidR="00FD41D1">
        <w:t>.</w:t>
      </w:r>
      <w:r>
        <w:t xml:space="preserve"> Allowing time for all programs to mature helps to alleviate some of the challenges typically associated with early enrollment cohorts on random assignment studies, such as very small monthly enrollment cohorts, or grantees modifying eligibility criteria or intake processes. Compressing the length of the field period was the most efficient way to ensure that evaluators could meet the survey sample size requirements within the available resources. The evaluators will rely on baseline equivalency testing to </w:t>
      </w:r>
      <w:r w:rsidR="009A06B4">
        <w:t xml:space="preserve">determine whether </w:t>
      </w:r>
      <w:r>
        <w:t xml:space="preserve">there are significant differences in participant characteristics between those enrolled prior to March 2017 and those enrolled after. </w:t>
      </w:r>
      <w:r w:rsidR="009A06B4">
        <w:t xml:space="preserve">The evaluators will also use post-randomization administrative data from </w:t>
      </w:r>
      <w:r w:rsidR="00891025">
        <w:t xml:space="preserve">the </w:t>
      </w:r>
      <w:r w:rsidR="009A06B4">
        <w:t>National Student Clearinghouse (NSC) and National Directory of New Hires (NDNH) to determine if impact on college persistence and earnings vary by period</w:t>
      </w:r>
      <w:r w:rsidR="00FB0E93">
        <w:t xml:space="preserve">. </w:t>
      </w:r>
      <w:r w:rsidR="009A06B4">
        <w:t>If noteworthy differences by enrollment period are discovered, then appropriate caveats will be added to impact findings based on survey outcomes.</w:t>
      </w:r>
    </w:p>
    <w:p w14:paraId="63212747" w14:textId="175ED93F" w:rsidR="004C10C7" w:rsidRDefault="005449EE" w:rsidP="006A4DF7">
      <w:r>
        <w:t xml:space="preserve">Study participants will receive contact update requests every three months leading up to </w:t>
      </w:r>
      <w:r w:rsidR="000F766C">
        <w:t xml:space="preserve">the </w:t>
      </w:r>
      <w:r>
        <w:t xml:space="preserve">Short-Term Follow-up Survey. </w:t>
      </w:r>
      <w:r w:rsidR="00CD28AF">
        <w:t xml:space="preserve">Once the Short-Term </w:t>
      </w:r>
      <w:r w:rsidR="009A06B4">
        <w:t xml:space="preserve">Follow-up </w:t>
      </w:r>
      <w:r w:rsidR="00891025">
        <w:t>S</w:t>
      </w:r>
      <w:r w:rsidR="00CD28AF">
        <w:t xml:space="preserve">urvey data collection period ends, the contact update requests will resume in preparation for the Intermediate </w:t>
      </w:r>
      <w:r w:rsidR="00891025">
        <w:t xml:space="preserve">Follow-up </w:t>
      </w:r>
      <w:r w:rsidR="00CD28AF">
        <w:t xml:space="preserve">Survey (to be conducted </w:t>
      </w:r>
      <w:r w:rsidR="00EA3DA3">
        <w:t xml:space="preserve">36-months after randomization, </w:t>
      </w:r>
      <w:r w:rsidR="00CD28AF">
        <w:t xml:space="preserve">under a later OMB </w:t>
      </w:r>
      <w:r w:rsidR="00B3566E">
        <w:t xml:space="preserve">information collection </w:t>
      </w:r>
      <w:r w:rsidR="00CD28AF">
        <w:t>request</w:t>
      </w:r>
      <w:r w:rsidR="00E91C32">
        <w:t>.</w:t>
      </w:r>
      <w:r w:rsidR="00C15953">
        <w:t xml:space="preserve"> </w:t>
      </w:r>
    </w:p>
    <w:p w14:paraId="75E53175" w14:textId="2CC0F984" w:rsidR="006A4DF7" w:rsidRDefault="006A4DF7" w:rsidP="006A4DF7">
      <w:r>
        <w:t>All five tribal grantees will participate in the federally sponsored HPOG 2.0 Tribal Evaluation. For the HPOG 2.0 Tribal Evaluation, there are two major respondent universes: (1) Tribal HPOG 2.0 grantees, partners, and employers; and (2) Tribal HPOG participants, including program completers and non-completers. Exhibit B</w:t>
      </w:r>
      <w:r w:rsidR="00C0704D">
        <w:t>-</w:t>
      </w:r>
      <w:r>
        <w:t>1 presents the sampling methods and target response rates for each of the HPOG 2.0 National and Tribal Evaluation respondent subgroups.</w:t>
      </w:r>
      <w:r w:rsidR="00C15953">
        <w:t xml:space="preserve"> The </w:t>
      </w:r>
      <w:r w:rsidR="009D5CC5">
        <w:t xml:space="preserve">respondent </w:t>
      </w:r>
      <w:r w:rsidR="00C15953">
        <w:t>subgroup</w:t>
      </w:r>
      <w:r w:rsidR="009D5CC5">
        <w:t xml:space="preserve"> and instrument (the Short-Term Follow-up Survey) shown in bold font </w:t>
      </w:r>
      <w:r w:rsidR="00C15953">
        <w:t>are the subject</w:t>
      </w:r>
      <w:r w:rsidR="009D5CC5">
        <w:t>s</w:t>
      </w:r>
      <w:r w:rsidR="00C15953">
        <w:t xml:space="preserve"> of this information collect</w:t>
      </w:r>
      <w:r w:rsidR="001B13A2">
        <w:t>ion</w:t>
      </w:r>
      <w:r w:rsidR="00C15953">
        <w:t xml:space="preserve"> request</w:t>
      </w:r>
      <w:r w:rsidR="00EF7A96">
        <w:t xml:space="preserve">. </w:t>
      </w:r>
      <w:r w:rsidR="009D5CC5">
        <w:t>All other instruments and their corresponding subgroups were previously approved under this OMB control number.</w:t>
      </w:r>
    </w:p>
    <w:p w14:paraId="74A741D9" w14:textId="2B61D3AD" w:rsidR="00CC49D4" w:rsidRDefault="006A4DF7" w:rsidP="006A4DF7">
      <w:pPr>
        <w:pStyle w:val="Caption"/>
      </w:pPr>
      <w:r>
        <w:t>Exhibit B</w:t>
      </w:r>
      <w:r w:rsidR="00C0704D">
        <w:t>-</w:t>
      </w:r>
      <w:r>
        <w:t>1</w:t>
      </w:r>
      <w:r w:rsidR="006403A3">
        <w:t>:</w:t>
      </w:r>
      <w:r>
        <w:t xml:space="preserve"> HPOG 2.0 National and Tribal Evaluation Respondents</w:t>
      </w:r>
    </w:p>
    <w:tbl>
      <w:tblPr>
        <w:tblStyle w:val="TableGrid"/>
        <w:tblW w:w="0" w:type="auto"/>
        <w:tblLook w:val="04A0" w:firstRow="1" w:lastRow="0" w:firstColumn="1" w:lastColumn="0" w:noHBand="0" w:noVBand="1"/>
      </w:tblPr>
      <w:tblGrid>
        <w:gridCol w:w="2104"/>
        <w:gridCol w:w="1966"/>
        <w:gridCol w:w="3167"/>
        <w:gridCol w:w="2113"/>
      </w:tblGrid>
      <w:tr w:rsidR="00A07D12" w:rsidRPr="001B13A2" w14:paraId="13EFF662" w14:textId="77777777" w:rsidTr="005042DE">
        <w:trPr>
          <w:tblHeader/>
        </w:trPr>
        <w:tc>
          <w:tcPr>
            <w:tcW w:w="2104" w:type="dxa"/>
          </w:tcPr>
          <w:p w14:paraId="4F9614D9" w14:textId="77777777" w:rsidR="00A07D12" w:rsidRPr="001B13A2" w:rsidRDefault="00A07D12" w:rsidP="000064F6">
            <w:pPr>
              <w:jc w:val="center"/>
              <w:rPr>
                <w:rFonts w:ascii="Arial Narrow" w:hAnsi="Arial Narrow"/>
                <w:b/>
                <w:sz w:val="20"/>
              </w:rPr>
            </w:pPr>
            <w:r w:rsidRPr="001B13A2">
              <w:rPr>
                <w:rFonts w:ascii="Arial Narrow" w:hAnsi="Arial Narrow"/>
                <w:b/>
                <w:sz w:val="20"/>
              </w:rPr>
              <w:t>Respondent Universe</w:t>
            </w:r>
          </w:p>
        </w:tc>
        <w:tc>
          <w:tcPr>
            <w:tcW w:w="1966" w:type="dxa"/>
          </w:tcPr>
          <w:p w14:paraId="4BAA9BC7" w14:textId="77777777" w:rsidR="00A07D12" w:rsidRPr="001B13A2" w:rsidRDefault="00A07D12" w:rsidP="000064F6">
            <w:pPr>
              <w:jc w:val="center"/>
              <w:rPr>
                <w:rFonts w:ascii="Arial Narrow" w:hAnsi="Arial Narrow"/>
                <w:b/>
                <w:sz w:val="20"/>
              </w:rPr>
            </w:pPr>
            <w:r w:rsidRPr="001B13A2">
              <w:rPr>
                <w:rFonts w:ascii="Arial Narrow" w:hAnsi="Arial Narrow"/>
                <w:b/>
                <w:sz w:val="20"/>
              </w:rPr>
              <w:t>Respondent Subgroup</w:t>
            </w:r>
          </w:p>
        </w:tc>
        <w:tc>
          <w:tcPr>
            <w:tcW w:w="3167" w:type="dxa"/>
          </w:tcPr>
          <w:p w14:paraId="6B26FE0D" w14:textId="77777777" w:rsidR="00A07D12" w:rsidRPr="001B13A2" w:rsidRDefault="00A07D12" w:rsidP="000064F6">
            <w:pPr>
              <w:jc w:val="center"/>
              <w:rPr>
                <w:rFonts w:ascii="Arial Narrow" w:hAnsi="Arial Narrow"/>
                <w:b/>
                <w:sz w:val="20"/>
              </w:rPr>
            </w:pPr>
            <w:r w:rsidRPr="001B13A2">
              <w:rPr>
                <w:rFonts w:ascii="Arial Narrow" w:hAnsi="Arial Narrow"/>
                <w:b/>
                <w:sz w:val="20"/>
              </w:rPr>
              <w:t>Sampling Methods and Target Response Rates</w:t>
            </w:r>
            <w:r w:rsidRPr="001B13A2">
              <w:rPr>
                <w:rStyle w:val="FootnoteReference"/>
                <w:rFonts w:ascii="Arial Narrow" w:hAnsi="Arial Narrow"/>
                <w:b/>
                <w:sz w:val="20"/>
              </w:rPr>
              <w:footnoteReference w:id="2"/>
            </w:r>
          </w:p>
        </w:tc>
        <w:tc>
          <w:tcPr>
            <w:tcW w:w="2113" w:type="dxa"/>
          </w:tcPr>
          <w:p w14:paraId="51ED33FB" w14:textId="77777777" w:rsidR="00A07D12" w:rsidRPr="001B13A2" w:rsidRDefault="00A07D12" w:rsidP="000064F6">
            <w:pPr>
              <w:jc w:val="center"/>
              <w:rPr>
                <w:rFonts w:ascii="Arial Narrow" w:hAnsi="Arial Narrow"/>
                <w:b/>
                <w:sz w:val="20"/>
              </w:rPr>
            </w:pPr>
            <w:r w:rsidRPr="001B13A2">
              <w:rPr>
                <w:rFonts w:ascii="Arial Narrow" w:hAnsi="Arial Narrow"/>
                <w:b/>
                <w:sz w:val="20"/>
              </w:rPr>
              <w:t>Data Collection Strategies</w:t>
            </w:r>
          </w:p>
        </w:tc>
      </w:tr>
      <w:tr w:rsidR="00A07D12" w:rsidRPr="001B13A2" w14:paraId="0EDBED1D" w14:textId="77777777" w:rsidTr="005042DE">
        <w:tc>
          <w:tcPr>
            <w:tcW w:w="7237" w:type="dxa"/>
            <w:gridSpan w:val="3"/>
            <w:shd w:val="clear" w:color="auto" w:fill="C6D9F1" w:themeFill="text2" w:themeFillTint="33"/>
          </w:tcPr>
          <w:p w14:paraId="77CBCB0A" w14:textId="77777777" w:rsidR="00A07D12" w:rsidRPr="001B13A2" w:rsidRDefault="00A07D12" w:rsidP="000064F6">
            <w:pPr>
              <w:rPr>
                <w:rFonts w:ascii="Arial Narrow" w:hAnsi="Arial Narrow"/>
                <w:sz w:val="20"/>
              </w:rPr>
            </w:pPr>
            <w:r w:rsidRPr="001B13A2">
              <w:rPr>
                <w:rFonts w:ascii="Arial Narrow" w:hAnsi="Arial Narrow"/>
                <w:b/>
                <w:sz w:val="20"/>
              </w:rPr>
              <w:t>National HPOG 2.0 Evaluation</w:t>
            </w:r>
          </w:p>
        </w:tc>
        <w:tc>
          <w:tcPr>
            <w:tcW w:w="2113" w:type="dxa"/>
            <w:shd w:val="clear" w:color="auto" w:fill="C6D9F1" w:themeFill="text2" w:themeFillTint="33"/>
          </w:tcPr>
          <w:p w14:paraId="60393CBC" w14:textId="77777777" w:rsidR="00A07D12" w:rsidRPr="001B13A2" w:rsidRDefault="00A07D12" w:rsidP="000064F6">
            <w:pPr>
              <w:rPr>
                <w:rFonts w:ascii="Arial Narrow" w:hAnsi="Arial Narrow"/>
                <w:b/>
                <w:sz w:val="20"/>
              </w:rPr>
            </w:pPr>
          </w:p>
        </w:tc>
      </w:tr>
      <w:tr w:rsidR="00A07D12" w:rsidRPr="001B13A2" w14:paraId="5F643544" w14:textId="77777777" w:rsidTr="000064F6">
        <w:tc>
          <w:tcPr>
            <w:tcW w:w="2104" w:type="dxa"/>
          </w:tcPr>
          <w:p w14:paraId="26242BD5" w14:textId="77777777" w:rsidR="00A07D12" w:rsidRPr="001B13A2" w:rsidRDefault="00A07D12" w:rsidP="000064F6">
            <w:pPr>
              <w:rPr>
                <w:rFonts w:ascii="Arial Narrow" w:hAnsi="Arial Narrow"/>
                <w:sz w:val="20"/>
              </w:rPr>
            </w:pPr>
            <w:r w:rsidRPr="001B13A2">
              <w:rPr>
                <w:rFonts w:ascii="Arial Narrow" w:hAnsi="Arial Narrow"/>
                <w:sz w:val="20"/>
              </w:rPr>
              <w:t>Grantees, partners, and employers</w:t>
            </w:r>
          </w:p>
        </w:tc>
        <w:tc>
          <w:tcPr>
            <w:tcW w:w="1966" w:type="dxa"/>
          </w:tcPr>
          <w:p w14:paraId="54B249FE" w14:textId="77777777" w:rsidR="00A07D12" w:rsidRPr="001B13A2" w:rsidRDefault="00A07D12" w:rsidP="000064F6">
            <w:pPr>
              <w:rPr>
                <w:rFonts w:ascii="Arial Narrow" w:hAnsi="Arial Narrow"/>
                <w:sz w:val="20"/>
              </w:rPr>
            </w:pPr>
            <w:r w:rsidRPr="001B13A2">
              <w:rPr>
                <w:rFonts w:ascii="Arial Narrow" w:hAnsi="Arial Narrow"/>
                <w:sz w:val="20"/>
              </w:rPr>
              <w:t>Grantees</w:t>
            </w:r>
          </w:p>
        </w:tc>
        <w:tc>
          <w:tcPr>
            <w:tcW w:w="3167" w:type="dxa"/>
          </w:tcPr>
          <w:p w14:paraId="56CD7747" w14:textId="059C8846" w:rsidR="00A07D12" w:rsidRPr="001B13A2" w:rsidRDefault="00A07D12" w:rsidP="000064F6">
            <w:pPr>
              <w:rPr>
                <w:rFonts w:ascii="Arial Narrow" w:hAnsi="Arial Narrow"/>
                <w:sz w:val="20"/>
              </w:rPr>
            </w:pPr>
            <w:r w:rsidRPr="001B13A2">
              <w:rPr>
                <w:rFonts w:ascii="Arial Narrow" w:hAnsi="Arial Narrow"/>
                <w:sz w:val="20"/>
              </w:rPr>
              <w:t>Evaluation team members review the topics of interest with grantee</w:t>
            </w:r>
            <w:r w:rsidR="003B305F" w:rsidRPr="001B13A2">
              <w:rPr>
                <w:rFonts w:ascii="Arial Narrow" w:hAnsi="Arial Narrow"/>
                <w:sz w:val="20"/>
              </w:rPr>
              <w:t>s</w:t>
            </w:r>
            <w:r w:rsidRPr="001B13A2">
              <w:rPr>
                <w:rFonts w:ascii="Arial Narrow" w:hAnsi="Arial Narrow"/>
                <w:sz w:val="20"/>
              </w:rPr>
              <w:t xml:space="preserve"> using the HPOG 2.0 Screening </w:t>
            </w:r>
            <w:r w:rsidR="003B305F" w:rsidRPr="001B13A2">
              <w:rPr>
                <w:rFonts w:ascii="Arial Narrow" w:hAnsi="Arial Narrow"/>
                <w:sz w:val="20"/>
              </w:rPr>
              <w:t xml:space="preserve">Interview </w:t>
            </w:r>
            <w:r w:rsidRPr="001B13A2">
              <w:rPr>
                <w:rFonts w:ascii="Arial Narrow" w:hAnsi="Arial Narrow"/>
                <w:sz w:val="20"/>
              </w:rPr>
              <w:t>to identify appropriate respondent(s) based on who is most knowledgeable about the topics of interest. (See Instrument 2).</w:t>
            </w:r>
          </w:p>
          <w:p w14:paraId="2365CF1D" w14:textId="77777777" w:rsidR="00A07D12" w:rsidRPr="001B13A2" w:rsidRDefault="00A07D12" w:rsidP="000064F6">
            <w:pPr>
              <w:rPr>
                <w:rFonts w:ascii="Arial Narrow" w:hAnsi="Arial Narrow"/>
                <w:sz w:val="20"/>
              </w:rPr>
            </w:pPr>
            <w:r w:rsidRPr="001B13A2">
              <w:rPr>
                <w:rFonts w:ascii="Arial Narrow" w:hAnsi="Arial Narrow"/>
                <w:sz w:val="20"/>
              </w:rPr>
              <w:t>Grantees have agreed to participate in the evaluation as a condition of receiving HPOG grant funding. Therefore, the team expects a 100 percent response rate.</w:t>
            </w:r>
          </w:p>
        </w:tc>
        <w:tc>
          <w:tcPr>
            <w:tcW w:w="2113" w:type="dxa"/>
          </w:tcPr>
          <w:p w14:paraId="7AC75A6D" w14:textId="77777777" w:rsidR="00A07D12" w:rsidRPr="001B13A2" w:rsidRDefault="00A07D12" w:rsidP="000064F6">
            <w:pPr>
              <w:rPr>
                <w:rFonts w:ascii="Arial Narrow" w:hAnsi="Arial Narrow"/>
                <w:sz w:val="20"/>
              </w:rPr>
            </w:pPr>
            <w:r w:rsidRPr="001B13A2">
              <w:rPr>
                <w:rFonts w:ascii="Arial Narrow" w:hAnsi="Arial Narrow"/>
                <w:sz w:val="20"/>
              </w:rPr>
              <w:t>Semi-structured telephone interviews</w:t>
            </w:r>
          </w:p>
          <w:p w14:paraId="13C749BB" w14:textId="4CE4FEF5" w:rsidR="00C0704D" w:rsidRPr="001B13A2" w:rsidRDefault="00C0704D" w:rsidP="000064F6">
            <w:pPr>
              <w:rPr>
                <w:rFonts w:ascii="Arial Narrow" w:hAnsi="Arial Narrow"/>
                <w:sz w:val="20"/>
              </w:rPr>
            </w:pPr>
            <w:r w:rsidRPr="001B13A2">
              <w:rPr>
                <w:rFonts w:ascii="Arial Narrow" w:hAnsi="Arial Narrow"/>
                <w:sz w:val="20"/>
              </w:rPr>
              <w:t>(Instruments 2, 3 and 4)</w:t>
            </w:r>
          </w:p>
        </w:tc>
      </w:tr>
      <w:tr w:rsidR="00A07D12" w:rsidRPr="001B13A2" w14:paraId="5EA0F5A0" w14:textId="77777777" w:rsidTr="009D5CC5">
        <w:trPr>
          <w:cantSplit/>
        </w:trPr>
        <w:tc>
          <w:tcPr>
            <w:tcW w:w="2104" w:type="dxa"/>
          </w:tcPr>
          <w:p w14:paraId="225C6399" w14:textId="77777777" w:rsidR="00A07D12" w:rsidRPr="001B13A2" w:rsidRDefault="00A07D12" w:rsidP="000064F6">
            <w:pPr>
              <w:rPr>
                <w:rFonts w:ascii="Arial Narrow" w:hAnsi="Arial Narrow"/>
                <w:sz w:val="20"/>
              </w:rPr>
            </w:pPr>
          </w:p>
        </w:tc>
        <w:tc>
          <w:tcPr>
            <w:tcW w:w="1966" w:type="dxa"/>
          </w:tcPr>
          <w:p w14:paraId="4D659BA7" w14:textId="77777777" w:rsidR="00A07D12" w:rsidRPr="001B13A2" w:rsidRDefault="00A07D12" w:rsidP="000064F6">
            <w:pPr>
              <w:rPr>
                <w:rFonts w:ascii="Arial Narrow" w:hAnsi="Arial Narrow"/>
                <w:sz w:val="20"/>
              </w:rPr>
            </w:pPr>
            <w:r w:rsidRPr="001B13A2">
              <w:rPr>
                <w:rFonts w:ascii="Arial Narrow" w:hAnsi="Arial Narrow"/>
                <w:sz w:val="20"/>
              </w:rPr>
              <w:t>Managers and staff</w:t>
            </w:r>
          </w:p>
        </w:tc>
        <w:tc>
          <w:tcPr>
            <w:tcW w:w="3167" w:type="dxa"/>
          </w:tcPr>
          <w:p w14:paraId="4E1142EA" w14:textId="77777777" w:rsidR="00A07D12" w:rsidRPr="001B13A2" w:rsidRDefault="00A07D12" w:rsidP="000064F6">
            <w:pPr>
              <w:rPr>
                <w:rFonts w:ascii="Arial Narrow" w:hAnsi="Arial Narrow"/>
                <w:sz w:val="20"/>
              </w:rPr>
            </w:pPr>
            <w:r w:rsidRPr="001B13A2">
              <w:rPr>
                <w:rFonts w:ascii="Arial Narrow" w:hAnsi="Arial Narrow"/>
                <w:sz w:val="20"/>
              </w:rPr>
              <w:t>A very high response rate (at least 80 percent) is expected among grantee managers and staff.</w:t>
            </w:r>
          </w:p>
        </w:tc>
        <w:tc>
          <w:tcPr>
            <w:tcW w:w="2113" w:type="dxa"/>
          </w:tcPr>
          <w:p w14:paraId="4AEB169A" w14:textId="77777777" w:rsidR="00A07D12" w:rsidRPr="001B13A2" w:rsidRDefault="00A07D12" w:rsidP="000064F6">
            <w:pPr>
              <w:rPr>
                <w:rFonts w:ascii="Arial Narrow" w:hAnsi="Arial Narrow"/>
                <w:sz w:val="20"/>
              </w:rPr>
            </w:pPr>
            <w:r w:rsidRPr="001B13A2">
              <w:rPr>
                <w:rFonts w:ascii="Arial Narrow" w:hAnsi="Arial Narrow"/>
                <w:sz w:val="20"/>
              </w:rPr>
              <w:t>Semi-structured in-person interviews</w:t>
            </w:r>
          </w:p>
          <w:p w14:paraId="0740DE68" w14:textId="37CEFC92" w:rsidR="00C0704D" w:rsidRPr="001B13A2" w:rsidRDefault="00C0704D" w:rsidP="000064F6">
            <w:pPr>
              <w:rPr>
                <w:rFonts w:ascii="Arial Narrow" w:hAnsi="Arial Narrow"/>
                <w:sz w:val="20"/>
              </w:rPr>
            </w:pPr>
            <w:r w:rsidRPr="001B13A2">
              <w:rPr>
                <w:rFonts w:ascii="Arial Narrow" w:hAnsi="Arial Narrow"/>
                <w:sz w:val="20"/>
              </w:rPr>
              <w:t>(Instruments 2, 3 and 4)</w:t>
            </w:r>
          </w:p>
        </w:tc>
      </w:tr>
      <w:tr w:rsidR="00A07D12" w:rsidRPr="001B13A2" w14:paraId="12DE2428" w14:textId="77777777" w:rsidTr="005042DE">
        <w:trPr>
          <w:cantSplit/>
        </w:trPr>
        <w:tc>
          <w:tcPr>
            <w:tcW w:w="2104" w:type="dxa"/>
          </w:tcPr>
          <w:p w14:paraId="5FFBDDA7" w14:textId="77777777" w:rsidR="00A07D12" w:rsidRPr="001B13A2" w:rsidRDefault="00A07D12" w:rsidP="000064F6">
            <w:pPr>
              <w:rPr>
                <w:rFonts w:ascii="Arial Narrow" w:hAnsi="Arial Narrow"/>
                <w:sz w:val="20"/>
              </w:rPr>
            </w:pPr>
          </w:p>
        </w:tc>
        <w:tc>
          <w:tcPr>
            <w:tcW w:w="1966" w:type="dxa"/>
          </w:tcPr>
          <w:p w14:paraId="5C734A66" w14:textId="77777777" w:rsidR="00A07D12" w:rsidRPr="001B13A2" w:rsidRDefault="00A07D12" w:rsidP="000064F6">
            <w:pPr>
              <w:rPr>
                <w:rFonts w:ascii="Arial Narrow" w:hAnsi="Arial Narrow"/>
                <w:sz w:val="20"/>
              </w:rPr>
            </w:pPr>
            <w:r w:rsidRPr="001B13A2">
              <w:rPr>
                <w:rFonts w:ascii="Arial Narrow" w:hAnsi="Arial Narrow"/>
                <w:sz w:val="20"/>
              </w:rPr>
              <w:t>Partners</w:t>
            </w:r>
          </w:p>
        </w:tc>
        <w:tc>
          <w:tcPr>
            <w:tcW w:w="3167" w:type="dxa"/>
          </w:tcPr>
          <w:p w14:paraId="4DFA1920" w14:textId="77777777" w:rsidR="00A07D12" w:rsidRPr="001B13A2" w:rsidRDefault="00A07D12" w:rsidP="000064F6">
            <w:pPr>
              <w:rPr>
                <w:rFonts w:ascii="Arial Narrow" w:hAnsi="Arial Narrow"/>
                <w:sz w:val="20"/>
              </w:rPr>
            </w:pPr>
            <w:r w:rsidRPr="001B13A2">
              <w:rPr>
                <w:rFonts w:ascii="Arial Narrow" w:hAnsi="Arial Narrow"/>
                <w:sz w:val="20"/>
              </w:rPr>
              <w:t>A very high response rate (at least 80 percent) is expected among grantee partners.</w:t>
            </w:r>
          </w:p>
        </w:tc>
        <w:tc>
          <w:tcPr>
            <w:tcW w:w="2113" w:type="dxa"/>
          </w:tcPr>
          <w:p w14:paraId="1ABC32BA" w14:textId="77777777" w:rsidR="00A07D12" w:rsidRPr="001B13A2" w:rsidRDefault="00A07D12" w:rsidP="000064F6">
            <w:pPr>
              <w:rPr>
                <w:rFonts w:ascii="Arial Narrow" w:hAnsi="Arial Narrow"/>
                <w:sz w:val="20"/>
              </w:rPr>
            </w:pPr>
            <w:r w:rsidRPr="001B13A2">
              <w:rPr>
                <w:rFonts w:ascii="Arial Narrow" w:hAnsi="Arial Narrow"/>
                <w:sz w:val="20"/>
              </w:rPr>
              <w:t>Semi-structured in-person interviews</w:t>
            </w:r>
          </w:p>
          <w:p w14:paraId="0EA2B3F3" w14:textId="40F2BA33" w:rsidR="00C0704D" w:rsidRPr="001B13A2" w:rsidRDefault="00C0704D" w:rsidP="000064F6">
            <w:pPr>
              <w:rPr>
                <w:rFonts w:ascii="Arial Narrow" w:hAnsi="Arial Narrow"/>
                <w:sz w:val="20"/>
              </w:rPr>
            </w:pPr>
            <w:r w:rsidRPr="001B13A2">
              <w:rPr>
                <w:rFonts w:ascii="Arial Narrow" w:hAnsi="Arial Narrow"/>
                <w:sz w:val="20"/>
              </w:rPr>
              <w:t>(Instruments 2, 3 and 4)</w:t>
            </w:r>
          </w:p>
        </w:tc>
      </w:tr>
      <w:tr w:rsidR="00A07D12" w:rsidRPr="001B13A2" w14:paraId="1F440A52" w14:textId="77777777" w:rsidTr="000064F6">
        <w:tc>
          <w:tcPr>
            <w:tcW w:w="2104" w:type="dxa"/>
          </w:tcPr>
          <w:p w14:paraId="6F1DD2D1" w14:textId="77777777" w:rsidR="00A07D12" w:rsidRPr="001B13A2" w:rsidRDefault="00A07D12" w:rsidP="000064F6">
            <w:pPr>
              <w:rPr>
                <w:rFonts w:ascii="Arial Narrow" w:hAnsi="Arial Narrow"/>
                <w:sz w:val="20"/>
              </w:rPr>
            </w:pPr>
          </w:p>
        </w:tc>
        <w:tc>
          <w:tcPr>
            <w:tcW w:w="1966" w:type="dxa"/>
          </w:tcPr>
          <w:p w14:paraId="662D9648" w14:textId="77777777" w:rsidR="00A07D12" w:rsidRPr="001B13A2" w:rsidRDefault="00A07D12" w:rsidP="000064F6">
            <w:pPr>
              <w:rPr>
                <w:rFonts w:ascii="Arial Narrow" w:hAnsi="Arial Narrow"/>
                <w:sz w:val="20"/>
              </w:rPr>
            </w:pPr>
            <w:r w:rsidRPr="001B13A2">
              <w:rPr>
                <w:rFonts w:ascii="Arial Narrow" w:hAnsi="Arial Narrow"/>
                <w:sz w:val="20"/>
              </w:rPr>
              <w:t xml:space="preserve">Employers </w:t>
            </w:r>
          </w:p>
        </w:tc>
        <w:tc>
          <w:tcPr>
            <w:tcW w:w="3167" w:type="dxa"/>
          </w:tcPr>
          <w:p w14:paraId="7DEB39D2" w14:textId="77777777" w:rsidR="00A07D12" w:rsidRPr="001B13A2" w:rsidRDefault="00A07D12" w:rsidP="000064F6">
            <w:pPr>
              <w:rPr>
                <w:rFonts w:ascii="Arial Narrow" w:hAnsi="Arial Narrow"/>
                <w:sz w:val="20"/>
              </w:rPr>
            </w:pPr>
            <w:r w:rsidRPr="001B13A2">
              <w:rPr>
                <w:rFonts w:ascii="Arial Narrow" w:hAnsi="Arial Narrow"/>
                <w:sz w:val="20"/>
              </w:rPr>
              <w:t>A very high response rate (at least 80 percent) is expected among employers.</w:t>
            </w:r>
          </w:p>
        </w:tc>
        <w:tc>
          <w:tcPr>
            <w:tcW w:w="2113" w:type="dxa"/>
          </w:tcPr>
          <w:p w14:paraId="44161C2F" w14:textId="707FEC06" w:rsidR="00A07D12" w:rsidRPr="001B13A2" w:rsidRDefault="00A07D12" w:rsidP="000064F6">
            <w:pPr>
              <w:rPr>
                <w:rFonts w:ascii="Arial Narrow" w:hAnsi="Arial Narrow"/>
                <w:sz w:val="20"/>
              </w:rPr>
            </w:pPr>
            <w:r w:rsidRPr="001B13A2">
              <w:rPr>
                <w:rFonts w:ascii="Arial Narrow" w:hAnsi="Arial Narrow"/>
                <w:sz w:val="20"/>
              </w:rPr>
              <w:t>Semi-structured in-person interviews</w:t>
            </w:r>
            <w:r w:rsidR="00C0704D" w:rsidRPr="001B13A2">
              <w:rPr>
                <w:rFonts w:ascii="Arial Narrow" w:hAnsi="Arial Narrow"/>
                <w:sz w:val="20"/>
              </w:rPr>
              <w:t xml:space="preserve"> (Instruments 2, 3 and 4)</w:t>
            </w:r>
          </w:p>
        </w:tc>
      </w:tr>
      <w:tr w:rsidR="00A07D12" w:rsidRPr="001B13A2" w14:paraId="79A6C180" w14:textId="77777777" w:rsidTr="000064F6">
        <w:tc>
          <w:tcPr>
            <w:tcW w:w="2104" w:type="dxa"/>
          </w:tcPr>
          <w:p w14:paraId="104CBE10" w14:textId="11A9A057" w:rsidR="00A07D12" w:rsidRPr="001B13A2" w:rsidRDefault="00A07D12" w:rsidP="00891025">
            <w:pPr>
              <w:rPr>
                <w:rFonts w:ascii="Arial Narrow" w:hAnsi="Arial Narrow"/>
                <w:sz w:val="20"/>
              </w:rPr>
            </w:pPr>
            <w:r w:rsidRPr="001B13A2">
              <w:rPr>
                <w:rFonts w:ascii="Arial Narrow" w:hAnsi="Arial Narrow"/>
                <w:sz w:val="20"/>
              </w:rPr>
              <w:t xml:space="preserve">Impact </w:t>
            </w:r>
            <w:r w:rsidR="006D13C3" w:rsidRPr="001B13A2">
              <w:rPr>
                <w:rFonts w:ascii="Arial Narrow" w:hAnsi="Arial Narrow"/>
                <w:sz w:val="20"/>
              </w:rPr>
              <w:t xml:space="preserve">evaluation </w:t>
            </w:r>
            <w:r w:rsidRPr="001B13A2">
              <w:rPr>
                <w:rFonts w:ascii="Arial Narrow" w:hAnsi="Arial Narrow"/>
                <w:sz w:val="20"/>
              </w:rPr>
              <w:t xml:space="preserve">participants selected for </w:t>
            </w:r>
            <w:r w:rsidR="00A35926" w:rsidRPr="001B13A2">
              <w:rPr>
                <w:rFonts w:ascii="Arial Narrow" w:hAnsi="Arial Narrow"/>
                <w:sz w:val="20"/>
              </w:rPr>
              <w:t xml:space="preserve">Short-Term </w:t>
            </w:r>
            <w:r w:rsidR="00EB2EDE" w:rsidRPr="001B13A2">
              <w:rPr>
                <w:rFonts w:ascii="Arial Narrow" w:hAnsi="Arial Narrow"/>
                <w:sz w:val="20"/>
              </w:rPr>
              <w:t xml:space="preserve">Follow-up </w:t>
            </w:r>
            <w:r w:rsidR="00891025" w:rsidRPr="001B13A2">
              <w:rPr>
                <w:rFonts w:ascii="Arial Narrow" w:hAnsi="Arial Narrow"/>
                <w:sz w:val="20"/>
              </w:rPr>
              <w:t>S</w:t>
            </w:r>
            <w:r w:rsidRPr="001B13A2">
              <w:rPr>
                <w:rFonts w:ascii="Arial Narrow" w:hAnsi="Arial Narrow"/>
                <w:sz w:val="20"/>
              </w:rPr>
              <w:t>urvey sample</w:t>
            </w:r>
          </w:p>
        </w:tc>
        <w:tc>
          <w:tcPr>
            <w:tcW w:w="1966" w:type="dxa"/>
          </w:tcPr>
          <w:p w14:paraId="6B243038" w14:textId="630262D3" w:rsidR="00A07D12" w:rsidRPr="001B13A2" w:rsidRDefault="00735F23" w:rsidP="00F457F6">
            <w:pPr>
              <w:rPr>
                <w:rFonts w:ascii="Arial Narrow" w:hAnsi="Arial Narrow"/>
                <w:sz w:val="20"/>
              </w:rPr>
            </w:pPr>
            <w:r w:rsidRPr="001B13A2">
              <w:rPr>
                <w:rFonts w:ascii="Arial Narrow" w:hAnsi="Arial Narrow"/>
                <w:sz w:val="20"/>
              </w:rPr>
              <w:t>A sample of p</w:t>
            </w:r>
            <w:r w:rsidR="00A07D12" w:rsidRPr="001B13A2">
              <w:rPr>
                <w:rFonts w:ascii="Arial Narrow" w:hAnsi="Arial Narrow"/>
                <w:sz w:val="20"/>
              </w:rPr>
              <w:t xml:space="preserve">articipants </w:t>
            </w:r>
            <w:r w:rsidRPr="001B13A2">
              <w:rPr>
                <w:rFonts w:ascii="Arial Narrow" w:hAnsi="Arial Narrow"/>
                <w:sz w:val="20"/>
              </w:rPr>
              <w:t xml:space="preserve">(up to </w:t>
            </w:r>
            <w:r w:rsidR="00F457F6" w:rsidRPr="001B13A2">
              <w:rPr>
                <w:rFonts w:ascii="Arial Narrow" w:hAnsi="Arial Narrow"/>
                <w:sz w:val="20"/>
              </w:rPr>
              <w:t>13</w:t>
            </w:r>
            <w:r w:rsidRPr="001B13A2">
              <w:rPr>
                <w:rFonts w:ascii="Arial Narrow" w:hAnsi="Arial Narrow"/>
                <w:sz w:val="20"/>
              </w:rPr>
              <w:t xml:space="preserve">,000) beginning with those </w:t>
            </w:r>
            <w:r w:rsidR="00A07D12" w:rsidRPr="001B13A2">
              <w:rPr>
                <w:rFonts w:ascii="Arial Narrow" w:hAnsi="Arial Narrow"/>
                <w:sz w:val="20"/>
              </w:rPr>
              <w:t xml:space="preserve">enrolled </w:t>
            </w:r>
            <w:r w:rsidRPr="001B13A2">
              <w:rPr>
                <w:rFonts w:ascii="Arial Narrow" w:hAnsi="Arial Narrow"/>
                <w:sz w:val="20"/>
              </w:rPr>
              <w:t xml:space="preserve">in </w:t>
            </w:r>
            <w:r w:rsidR="00A07D12" w:rsidRPr="001B13A2">
              <w:rPr>
                <w:rFonts w:ascii="Arial Narrow" w:hAnsi="Arial Narrow"/>
                <w:sz w:val="20"/>
              </w:rPr>
              <w:t xml:space="preserve">March 2017 </w:t>
            </w:r>
          </w:p>
        </w:tc>
        <w:tc>
          <w:tcPr>
            <w:tcW w:w="3167" w:type="dxa"/>
          </w:tcPr>
          <w:p w14:paraId="665ACE53" w14:textId="6D96145D" w:rsidR="00A07D12" w:rsidRPr="001B13A2" w:rsidRDefault="00735F23" w:rsidP="000064F6">
            <w:pPr>
              <w:rPr>
                <w:rFonts w:ascii="Arial Narrow" w:hAnsi="Arial Narrow"/>
                <w:sz w:val="20"/>
              </w:rPr>
            </w:pPr>
            <w:r w:rsidRPr="001B13A2">
              <w:rPr>
                <w:rFonts w:ascii="Arial Narrow" w:hAnsi="Arial Narrow"/>
                <w:sz w:val="20"/>
              </w:rPr>
              <w:t xml:space="preserve">Up to </w:t>
            </w:r>
            <w:r w:rsidR="00F457F6" w:rsidRPr="001B13A2">
              <w:rPr>
                <w:rFonts w:ascii="Arial Narrow" w:hAnsi="Arial Narrow"/>
                <w:sz w:val="20"/>
              </w:rPr>
              <w:t>13</w:t>
            </w:r>
            <w:r w:rsidRPr="001B13A2">
              <w:rPr>
                <w:rFonts w:ascii="Arial Narrow" w:hAnsi="Arial Narrow"/>
                <w:sz w:val="20"/>
              </w:rPr>
              <w:t xml:space="preserve">,000 </w:t>
            </w:r>
            <w:r w:rsidR="00A07D12" w:rsidRPr="001B13A2">
              <w:rPr>
                <w:rFonts w:ascii="Arial Narrow" w:hAnsi="Arial Narrow"/>
                <w:sz w:val="20"/>
              </w:rPr>
              <w:t>study participants</w:t>
            </w:r>
            <w:r w:rsidRPr="001B13A2">
              <w:rPr>
                <w:rFonts w:ascii="Arial Narrow" w:hAnsi="Arial Narrow"/>
                <w:sz w:val="20"/>
              </w:rPr>
              <w:t>, beginning with those</w:t>
            </w:r>
            <w:r w:rsidR="00A07D12" w:rsidRPr="001B13A2">
              <w:rPr>
                <w:rFonts w:ascii="Arial Narrow" w:hAnsi="Arial Narrow"/>
                <w:sz w:val="20"/>
              </w:rPr>
              <w:t xml:space="preserve"> enrolled </w:t>
            </w:r>
            <w:r w:rsidRPr="001B13A2">
              <w:rPr>
                <w:rFonts w:ascii="Arial Narrow" w:hAnsi="Arial Narrow"/>
                <w:sz w:val="20"/>
              </w:rPr>
              <w:t xml:space="preserve">in </w:t>
            </w:r>
            <w:r w:rsidR="00A07D12" w:rsidRPr="001B13A2">
              <w:rPr>
                <w:rFonts w:ascii="Arial Narrow" w:hAnsi="Arial Narrow"/>
                <w:sz w:val="20"/>
              </w:rPr>
              <w:t xml:space="preserve">March 2017 will be part of the participant </w:t>
            </w:r>
            <w:r w:rsidR="00225DC8" w:rsidRPr="001B13A2">
              <w:rPr>
                <w:rFonts w:ascii="Arial Narrow" w:hAnsi="Arial Narrow"/>
                <w:sz w:val="20"/>
              </w:rPr>
              <w:t xml:space="preserve">contact </w:t>
            </w:r>
            <w:r w:rsidR="00165517" w:rsidRPr="001B13A2">
              <w:rPr>
                <w:rFonts w:ascii="Arial Narrow" w:hAnsi="Arial Narrow"/>
                <w:sz w:val="20"/>
              </w:rPr>
              <w:t>update efforts</w:t>
            </w:r>
            <w:r w:rsidR="00A07D12" w:rsidRPr="001B13A2">
              <w:rPr>
                <w:rFonts w:ascii="Arial Narrow" w:hAnsi="Arial Narrow"/>
                <w:sz w:val="20"/>
              </w:rPr>
              <w:t>.</w:t>
            </w:r>
          </w:p>
          <w:p w14:paraId="44AA3B44" w14:textId="72F06F9B" w:rsidR="00A07D12" w:rsidRPr="001B13A2" w:rsidRDefault="00A07D12" w:rsidP="001320A4">
            <w:pPr>
              <w:rPr>
                <w:rFonts w:ascii="Arial Narrow" w:hAnsi="Arial Narrow"/>
                <w:sz w:val="20"/>
              </w:rPr>
            </w:pPr>
            <w:r w:rsidRPr="001B13A2">
              <w:rPr>
                <w:rFonts w:ascii="Arial Narrow" w:hAnsi="Arial Narrow"/>
                <w:sz w:val="20"/>
              </w:rPr>
              <w:t xml:space="preserve">The team expects that 35 percent of the respondents will respond to each quarterly </w:t>
            </w:r>
            <w:r w:rsidR="001320A4" w:rsidRPr="001B13A2">
              <w:rPr>
                <w:rFonts w:ascii="Arial Narrow" w:hAnsi="Arial Narrow"/>
                <w:sz w:val="20"/>
              </w:rPr>
              <w:t>participant contact update</w:t>
            </w:r>
            <w:r w:rsidRPr="001B13A2">
              <w:rPr>
                <w:rFonts w:ascii="Arial Narrow" w:hAnsi="Arial Narrow"/>
                <w:sz w:val="20"/>
              </w:rPr>
              <w:t xml:space="preserve"> effort.</w:t>
            </w:r>
            <w:r w:rsidR="00735F23" w:rsidRPr="001B13A2">
              <w:rPr>
                <w:rStyle w:val="FootnoteReference"/>
                <w:rFonts w:ascii="Arial Narrow" w:hAnsi="Arial Narrow"/>
                <w:sz w:val="20"/>
              </w:rPr>
              <w:footnoteReference w:id="3"/>
            </w:r>
          </w:p>
        </w:tc>
        <w:tc>
          <w:tcPr>
            <w:tcW w:w="2113" w:type="dxa"/>
          </w:tcPr>
          <w:p w14:paraId="768EA0BB" w14:textId="77777777" w:rsidR="00A07D12" w:rsidRPr="001B13A2" w:rsidRDefault="00A07D12" w:rsidP="000064F6">
            <w:pPr>
              <w:rPr>
                <w:rFonts w:ascii="Arial Narrow" w:hAnsi="Arial Narrow"/>
                <w:sz w:val="20"/>
              </w:rPr>
            </w:pPr>
            <w:r w:rsidRPr="001B13A2">
              <w:rPr>
                <w:rFonts w:ascii="Arial Narrow" w:hAnsi="Arial Narrow"/>
                <w:sz w:val="20"/>
              </w:rPr>
              <w:t>Contact updates by mail, online portal, or telephone</w:t>
            </w:r>
          </w:p>
          <w:p w14:paraId="51B075DF" w14:textId="58B91E31" w:rsidR="00C0704D" w:rsidRPr="001B13A2" w:rsidRDefault="00C0704D" w:rsidP="000064F6">
            <w:pPr>
              <w:rPr>
                <w:rFonts w:ascii="Arial Narrow" w:hAnsi="Arial Narrow"/>
                <w:sz w:val="20"/>
              </w:rPr>
            </w:pPr>
            <w:r w:rsidRPr="001B13A2">
              <w:rPr>
                <w:rFonts w:ascii="Arial Narrow" w:hAnsi="Arial Narrow"/>
                <w:sz w:val="20"/>
              </w:rPr>
              <w:t>(Instruments 5a and 5b)</w:t>
            </w:r>
          </w:p>
        </w:tc>
      </w:tr>
      <w:tr w:rsidR="00F457F6" w:rsidRPr="001B13A2" w14:paraId="7B76CFB1" w14:textId="77777777" w:rsidTr="000064F6">
        <w:tc>
          <w:tcPr>
            <w:tcW w:w="2104" w:type="dxa"/>
          </w:tcPr>
          <w:p w14:paraId="6D8FE12D" w14:textId="2A56153D" w:rsidR="00F457F6" w:rsidRPr="00F043D8" w:rsidRDefault="00F457F6" w:rsidP="00A35926">
            <w:pPr>
              <w:rPr>
                <w:rFonts w:ascii="Arial Narrow" w:hAnsi="Arial Narrow"/>
                <w:b/>
                <w:sz w:val="20"/>
              </w:rPr>
            </w:pPr>
            <w:r w:rsidRPr="00F043D8">
              <w:rPr>
                <w:rFonts w:ascii="Arial Narrow" w:hAnsi="Arial Narrow"/>
                <w:b/>
                <w:sz w:val="20"/>
              </w:rPr>
              <w:t xml:space="preserve">Impact evaluation participants selected for </w:t>
            </w:r>
            <w:r w:rsidR="00127966" w:rsidRPr="00F043D8">
              <w:rPr>
                <w:rFonts w:ascii="Arial Narrow" w:hAnsi="Arial Narrow"/>
                <w:b/>
                <w:sz w:val="20"/>
              </w:rPr>
              <w:t xml:space="preserve">Short-Term Follow-up Survey </w:t>
            </w:r>
            <w:r w:rsidRPr="00F043D8">
              <w:rPr>
                <w:rFonts w:ascii="Arial Narrow" w:hAnsi="Arial Narrow"/>
                <w:b/>
                <w:sz w:val="20"/>
              </w:rPr>
              <w:t>sample</w:t>
            </w:r>
          </w:p>
        </w:tc>
        <w:tc>
          <w:tcPr>
            <w:tcW w:w="1966" w:type="dxa"/>
          </w:tcPr>
          <w:p w14:paraId="43BE5EDA" w14:textId="62E8A6D2" w:rsidR="00F457F6" w:rsidRPr="00F043D8" w:rsidRDefault="00F457F6" w:rsidP="00F457F6">
            <w:pPr>
              <w:rPr>
                <w:rFonts w:ascii="Arial Narrow" w:hAnsi="Arial Narrow"/>
                <w:b/>
                <w:sz w:val="20"/>
              </w:rPr>
            </w:pPr>
            <w:r w:rsidRPr="00F043D8">
              <w:rPr>
                <w:rFonts w:ascii="Arial Narrow" w:hAnsi="Arial Narrow"/>
                <w:b/>
                <w:sz w:val="20"/>
              </w:rPr>
              <w:t xml:space="preserve">A sample of participants (up to 13,000) beginning with those enrolled in March 2017 </w:t>
            </w:r>
          </w:p>
        </w:tc>
        <w:tc>
          <w:tcPr>
            <w:tcW w:w="3167" w:type="dxa"/>
          </w:tcPr>
          <w:p w14:paraId="3840779E" w14:textId="27B5BA3B" w:rsidR="00F457F6" w:rsidRPr="00F043D8" w:rsidRDefault="00F457F6" w:rsidP="000064F6">
            <w:pPr>
              <w:rPr>
                <w:rFonts w:ascii="Arial Narrow" w:hAnsi="Arial Narrow"/>
                <w:b/>
                <w:sz w:val="20"/>
              </w:rPr>
            </w:pPr>
            <w:r w:rsidRPr="00F043D8">
              <w:rPr>
                <w:rFonts w:ascii="Arial Narrow" w:hAnsi="Arial Narrow"/>
                <w:b/>
                <w:sz w:val="20"/>
              </w:rPr>
              <w:t xml:space="preserve">Up to 13,000 study participants, beginning with those enrolled in March 2017 will be part of the Short-Term </w:t>
            </w:r>
            <w:r w:rsidR="00D12DEB" w:rsidRPr="00F043D8">
              <w:rPr>
                <w:rFonts w:ascii="Arial Narrow" w:hAnsi="Arial Narrow"/>
                <w:b/>
                <w:sz w:val="20"/>
              </w:rPr>
              <w:t>Follow-up s</w:t>
            </w:r>
            <w:r w:rsidRPr="00F043D8">
              <w:rPr>
                <w:rFonts w:ascii="Arial Narrow" w:hAnsi="Arial Narrow"/>
                <w:b/>
                <w:sz w:val="20"/>
              </w:rPr>
              <w:t>urvey.</w:t>
            </w:r>
          </w:p>
          <w:p w14:paraId="7949B36C" w14:textId="04B1DCD4" w:rsidR="00F457F6" w:rsidRPr="00F043D8" w:rsidRDefault="00F457F6" w:rsidP="00A35926">
            <w:pPr>
              <w:rPr>
                <w:rFonts w:ascii="Arial Narrow" w:hAnsi="Arial Narrow"/>
                <w:b/>
                <w:sz w:val="20"/>
              </w:rPr>
            </w:pPr>
            <w:r w:rsidRPr="00F043D8">
              <w:rPr>
                <w:rFonts w:ascii="Arial Narrow" w:hAnsi="Arial Narrow"/>
                <w:b/>
                <w:sz w:val="20"/>
              </w:rPr>
              <w:t xml:space="preserve">The team expects that 80 percent of the </w:t>
            </w:r>
            <w:r w:rsidR="000909FE" w:rsidRPr="00F043D8">
              <w:rPr>
                <w:rFonts w:ascii="Arial Narrow" w:hAnsi="Arial Narrow"/>
                <w:b/>
                <w:sz w:val="20"/>
              </w:rPr>
              <w:t>participants selected</w:t>
            </w:r>
            <w:r w:rsidRPr="00F043D8">
              <w:rPr>
                <w:rFonts w:ascii="Arial Narrow" w:hAnsi="Arial Narrow"/>
                <w:b/>
                <w:sz w:val="20"/>
              </w:rPr>
              <w:t xml:space="preserve"> will </w:t>
            </w:r>
            <w:r w:rsidR="00A35926" w:rsidRPr="00F043D8">
              <w:rPr>
                <w:rFonts w:ascii="Arial Narrow" w:hAnsi="Arial Narrow"/>
                <w:b/>
                <w:sz w:val="20"/>
              </w:rPr>
              <w:t>complete</w:t>
            </w:r>
            <w:r w:rsidRPr="00F043D8">
              <w:rPr>
                <w:rFonts w:ascii="Arial Narrow" w:hAnsi="Arial Narrow"/>
                <w:b/>
                <w:sz w:val="20"/>
              </w:rPr>
              <w:t xml:space="preserve"> this survey effort</w:t>
            </w:r>
            <w:r w:rsidR="00A35926" w:rsidRPr="00F043D8">
              <w:rPr>
                <w:rFonts w:ascii="Arial Narrow" w:hAnsi="Arial Narrow"/>
                <w:b/>
                <w:sz w:val="20"/>
              </w:rPr>
              <w:t>, resulting in 10,400 completes</w:t>
            </w:r>
            <w:r w:rsidRPr="00F043D8">
              <w:rPr>
                <w:rFonts w:ascii="Arial Narrow" w:hAnsi="Arial Narrow"/>
                <w:b/>
                <w:sz w:val="20"/>
              </w:rPr>
              <w:t>.</w:t>
            </w:r>
          </w:p>
        </w:tc>
        <w:tc>
          <w:tcPr>
            <w:tcW w:w="2113" w:type="dxa"/>
          </w:tcPr>
          <w:p w14:paraId="50C82C2B" w14:textId="77777777" w:rsidR="00F457F6" w:rsidRPr="00F043D8" w:rsidRDefault="00F457F6" w:rsidP="000064F6">
            <w:pPr>
              <w:rPr>
                <w:rFonts w:ascii="Arial Narrow" w:hAnsi="Arial Narrow"/>
                <w:b/>
                <w:sz w:val="20"/>
              </w:rPr>
            </w:pPr>
            <w:r w:rsidRPr="00F043D8">
              <w:rPr>
                <w:rFonts w:ascii="Arial Narrow" w:hAnsi="Arial Narrow"/>
                <w:b/>
                <w:sz w:val="20"/>
              </w:rPr>
              <w:t>Telephone or in-person interviews conducted by local interviewers</w:t>
            </w:r>
            <w:r w:rsidR="00CE6080" w:rsidRPr="00F043D8">
              <w:rPr>
                <w:rFonts w:ascii="Arial Narrow" w:hAnsi="Arial Narrow"/>
                <w:b/>
                <w:sz w:val="20"/>
              </w:rPr>
              <w:t xml:space="preserve"> </w:t>
            </w:r>
            <w:r w:rsidR="00D12DEB" w:rsidRPr="00F043D8">
              <w:rPr>
                <w:rFonts w:ascii="Arial Narrow" w:hAnsi="Arial Narrow"/>
                <w:b/>
                <w:sz w:val="20"/>
              </w:rPr>
              <w:t>with CAPI technology</w:t>
            </w:r>
          </w:p>
          <w:p w14:paraId="1B753B76" w14:textId="2A535CD1" w:rsidR="00C0704D" w:rsidRPr="00F043D8" w:rsidRDefault="00C0704D" w:rsidP="000064F6">
            <w:pPr>
              <w:rPr>
                <w:rFonts w:ascii="Arial Narrow" w:hAnsi="Arial Narrow"/>
                <w:b/>
                <w:sz w:val="20"/>
              </w:rPr>
            </w:pPr>
            <w:r w:rsidRPr="00F043D8">
              <w:rPr>
                <w:rFonts w:ascii="Arial Narrow" w:hAnsi="Arial Narrow"/>
                <w:b/>
                <w:sz w:val="20"/>
              </w:rPr>
              <w:t>(Instrument 12)</w:t>
            </w:r>
          </w:p>
        </w:tc>
      </w:tr>
      <w:tr w:rsidR="00F457F6" w:rsidRPr="001B13A2" w14:paraId="258EBF03" w14:textId="77777777" w:rsidTr="008A3BE3">
        <w:tc>
          <w:tcPr>
            <w:tcW w:w="9350" w:type="dxa"/>
            <w:gridSpan w:val="4"/>
            <w:shd w:val="clear" w:color="auto" w:fill="C6D9F1" w:themeFill="text2" w:themeFillTint="33"/>
          </w:tcPr>
          <w:p w14:paraId="4EA831E3" w14:textId="77777777" w:rsidR="00F457F6" w:rsidRPr="00F043D8" w:rsidRDefault="00F457F6" w:rsidP="000064F6">
            <w:pPr>
              <w:rPr>
                <w:rFonts w:ascii="Arial Narrow" w:hAnsi="Arial Narrow"/>
                <w:b/>
                <w:sz w:val="20"/>
              </w:rPr>
            </w:pPr>
            <w:r w:rsidRPr="00F043D8">
              <w:rPr>
                <w:rFonts w:ascii="Arial Narrow" w:hAnsi="Arial Narrow"/>
                <w:b/>
                <w:sz w:val="20"/>
              </w:rPr>
              <w:t>Tribal HPOG 2.0 Evaluation</w:t>
            </w:r>
          </w:p>
        </w:tc>
      </w:tr>
      <w:tr w:rsidR="00F457F6" w:rsidRPr="001B13A2" w14:paraId="509B1240" w14:textId="77777777" w:rsidTr="000064F6">
        <w:tc>
          <w:tcPr>
            <w:tcW w:w="2104" w:type="dxa"/>
          </w:tcPr>
          <w:p w14:paraId="22E5C046" w14:textId="77777777" w:rsidR="00F457F6" w:rsidRPr="00F043D8" w:rsidRDefault="00F457F6" w:rsidP="000064F6">
            <w:pPr>
              <w:rPr>
                <w:rFonts w:ascii="Arial Narrow" w:hAnsi="Arial Narrow"/>
                <w:sz w:val="20"/>
              </w:rPr>
            </w:pPr>
            <w:r w:rsidRPr="00F043D8">
              <w:rPr>
                <w:rFonts w:ascii="Arial Narrow" w:hAnsi="Arial Narrow"/>
                <w:sz w:val="20"/>
              </w:rPr>
              <w:t>Grantees, partners, and employers</w:t>
            </w:r>
          </w:p>
        </w:tc>
        <w:tc>
          <w:tcPr>
            <w:tcW w:w="1966" w:type="dxa"/>
          </w:tcPr>
          <w:p w14:paraId="630E0F40" w14:textId="77777777" w:rsidR="00F457F6" w:rsidRPr="00F043D8" w:rsidRDefault="00F457F6" w:rsidP="000064F6">
            <w:pPr>
              <w:rPr>
                <w:rFonts w:ascii="Arial Narrow" w:hAnsi="Arial Narrow"/>
                <w:sz w:val="20"/>
              </w:rPr>
            </w:pPr>
            <w:r w:rsidRPr="00F043D8">
              <w:rPr>
                <w:rFonts w:ascii="Arial Narrow" w:hAnsi="Arial Narrow"/>
                <w:sz w:val="20"/>
              </w:rPr>
              <w:t>Grantees</w:t>
            </w:r>
          </w:p>
        </w:tc>
        <w:tc>
          <w:tcPr>
            <w:tcW w:w="3167" w:type="dxa"/>
          </w:tcPr>
          <w:p w14:paraId="2D6BF194" w14:textId="77777777" w:rsidR="00F457F6" w:rsidRPr="00F043D8" w:rsidRDefault="00F457F6" w:rsidP="000064F6">
            <w:pPr>
              <w:rPr>
                <w:rFonts w:ascii="Arial Narrow" w:hAnsi="Arial Narrow"/>
                <w:sz w:val="20"/>
              </w:rPr>
            </w:pPr>
            <w:r w:rsidRPr="00F043D8">
              <w:rPr>
                <w:rFonts w:ascii="Arial Narrow" w:hAnsi="Arial Narrow"/>
                <w:sz w:val="20"/>
              </w:rPr>
              <w:t>Grantees have agreed to participate in the evaluation as a condition of receiving HPOG grant funding. Therefore, the team expects a 100 percent response rate.</w:t>
            </w:r>
          </w:p>
        </w:tc>
        <w:tc>
          <w:tcPr>
            <w:tcW w:w="2113" w:type="dxa"/>
          </w:tcPr>
          <w:p w14:paraId="5B1C86AE" w14:textId="77777777" w:rsidR="00F457F6" w:rsidRPr="00F043D8" w:rsidRDefault="00F457F6" w:rsidP="000064F6">
            <w:pPr>
              <w:rPr>
                <w:rFonts w:ascii="Arial Narrow" w:hAnsi="Arial Narrow"/>
                <w:sz w:val="20"/>
              </w:rPr>
            </w:pPr>
            <w:r w:rsidRPr="00F043D8">
              <w:rPr>
                <w:rFonts w:ascii="Arial Narrow" w:hAnsi="Arial Narrow"/>
                <w:sz w:val="20"/>
              </w:rPr>
              <w:t>Semi-structured in-person interviews</w:t>
            </w:r>
          </w:p>
          <w:p w14:paraId="211F80C0" w14:textId="18C8F163" w:rsidR="00C0704D" w:rsidRPr="00F043D8" w:rsidRDefault="00C0704D" w:rsidP="00C0704D">
            <w:pPr>
              <w:rPr>
                <w:rFonts w:ascii="Arial Narrow" w:hAnsi="Arial Narrow"/>
                <w:sz w:val="20"/>
              </w:rPr>
            </w:pPr>
            <w:r w:rsidRPr="00F043D8">
              <w:rPr>
                <w:rFonts w:ascii="Arial Narrow" w:hAnsi="Arial Narrow"/>
                <w:sz w:val="20"/>
              </w:rPr>
              <w:t>(Instruments 6 and 7)</w:t>
            </w:r>
          </w:p>
        </w:tc>
      </w:tr>
      <w:tr w:rsidR="00F457F6" w:rsidRPr="001B13A2" w14:paraId="60B85244" w14:textId="77777777" w:rsidTr="000064F6">
        <w:tc>
          <w:tcPr>
            <w:tcW w:w="2104" w:type="dxa"/>
          </w:tcPr>
          <w:p w14:paraId="68180C8C" w14:textId="77777777" w:rsidR="00F457F6" w:rsidRPr="00F043D8" w:rsidRDefault="00F457F6" w:rsidP="000064F6">
            <w:pPr>
              <w:rPr>
                <w:rFonts w:ascii="Arial Narrow" w:hAnsi="Arial Narrow"/>
                <w:sz w:val="20"/>
              </w:rPr>
            </w:pPr>
          </w:p>
        </w:tc>
        <w:tc>
          <w:tcPr>
            <w:tcW w:w="1966" w:type="dxa"/>
          </w:tcPr>
          <w:p w14:paraId="7DA634E4" w14:textId="77777777" w:rsidR="00F457F6" w:rsidRPr="00F043D8" w:rsidRDefault="00F457F6" w:rsidP="000064F6">
            <w:pPr>
              <w:rPr>
                <w:rFonts w:ascii="Arial Narrow" w:hAnsi="Arial Narrow"/>
                <w:sz w:val="20"/>
              </w:rPr>
            </w:pPr>
            <w:r w:rsidRPr="00F043D8">
              <w:rPr>
                <w:rFonts w:ascii="Arial Narrow" w:hAnsi="Arial Narrow"/>
                <w:sz w:val="20"/>
              </w:rPr>
              <w:t>Management and Staff</w:t>
            </w:r>
          </w:p>
        </w:tc>
        <w:tc>
          <w:tcPr>
            <w:tcW w:w="3167" w:type="dxa"/>
          </w:tcPr>
          <w:p w14:paraId="6C480D74" w14:textId="77777777" w:rsidR="00F457F6" w:rsidRPr="00F043D8" w:rsidRDefault="00F457F6" w:rsidP="000064F6">
            <w:pPr>
              <w:rPr>
                <w:rFonts w:ascii="Arial Narrow" w:hAnsi="Arial Narrow"/>
                <w:sz w:val="20"/>
              </w:rPr>
            </w:pPr>
            <w:r w:rsidRPr="00F043D8">
              <w:rPr>
                <w:rFonts w:ascii="Arial Narrow" w:hAnsi="Arial Narrow"/>
                <w:sz w:val="20"/>
              </w:rPr>
              <w:t xml:space="preserve">A very high response rate (at least 80 percent) is expected among grantee staff. </w:t>
            </w:r>
          </w:p>
        </w:tc>
        <w:tc>
          <w:tcPr>
            <w:tcW w:w="2113" w:type="dxa"/>
          </w:tcPr>
          <w:p w14:paraId="56FF2174" w14:textId="77777777" w:rsidR="00F457F6" w:rsidRPr="00F043D8" w:rsidRDefault="00F457F6" w:rsidP="000064F6">
            <w:pPr>
              <w:rPr>
                <w:rFonts w:ascii="Arial Narrow" w:hAnsi="Arial Narrow"/>
                <w:sz w:val="20"/>
              </w:rPr>
            </w:pPr>
            <w:r w:rsidRPr="00F043D8">
              <w:rPr>
                <w:rFonts w:ascii="Arial Narrow" w:hAnsi="Arial Narrow"/>
                <w:sz w:val="20"/>
              </w:rPr>
              <w:t>Semi-structured in-person interviews</w:t>
            </w:r>
          </w:p>
          <w:p w14:paraId="23391A72" w14:textId="1AC3AAB4" w:rsidR="00C0704D" w:rsidRPr="00F043D8" w:rsidRDefault="00C0704D" w:rsidP="00C0704D">
            <w:pPr>
              <w:rPr>
                <w:rFonts w:ascii="Arial Narrow" w:hAnsi="Arial Narrow"/>
                <w:sz w:val="20"/>
              </w:rPr>
            </w:pPr>
            <w:r w:rsidRPr="00F043D8">
              <w:rPr>
                <w:rFonts w:ascii="Arial Narrow" w:hAnsi="Arial Narrow"/>
                <w:sz w:val="20"/>
              </w:rPr>
              <w:t>(Instruments 6 and 7)</w:t>
            </w:r>
          </w:p>
        </w:tc>
      </w:tr>
      <w:tr w:rsidR="00F457F6" w:rsidRPr="001B13A2" w14:paraId="5AC374E4" w14:textId="77777777" w:rsidTr="000064F6">
        <w:tc>
          <w:tcPr>
            <w:tcW w:w="2104" w:type="dxa"/>
          </w:tcPr>
          <w:p w14:paraId="1A38E627" w14:textId="77777777" w:rsidR="00F457F6" w:rsidRPr="00F043D8" w:rsidRDefault="00F457F6" w:rsidP="000064F6">
            <w:pPr>
              <w:rPr>
                <w:rFonts w:ascii="Arial Narrow" w:hAnsi="Arial Narrow"/>
                <w:sz w:val="20"/>
              </w:rPr>
            </w:pPr>
          </w:p>
        </w:tc>
        <w:tc>
          <w:tcPr>
            <w:tcW w:w="1966" w:type="dxa"/>
          </w:tcPr>
          <w:p w14:paraId="13E22BC8" w14:textId="77777777" w:rsidR="00F457F6" w:rsidRPr="00F043D8" w:rsidRDefault="00F457F6" w:rsidP="000064F6">
            <w:pPr>
              <w:rPr>
                <w:rFonts w:ascii="Arial Narrow" w:hAnsi="Arial Narrow"/>
                <w:sz w:val="20"/>
              </w:rPr>
            </w:pPr>
            <w:r w:rsidRPr="00F043D8">
              <w:rPr>
                <w:rFonts w:ascii="Arial Narrow" w:hAnsi="Arial Narrow"/>
                <w:sz w:val="20"/>
              </w:rPr>
              <w:t>Partners</w:t>
            </w:r>
          </w:p>
        </w:tc>
        <w:tc>
          <w:tcPr>
            <w:tcW w:w="3167" w:type="dxa"/>
          </w:tcPr>
          <w:p w14:paraId="66B64150" w14:textId="77777777" w:rsidR="00F457F6" w:rsidRPr="00F043D8" w:rsidRDefault="00F457F6" w:rsidP="000064F6">
            <w:pPr>
              <w:rPr>
                <w:rFonts w:ascii="Arial Narrow" w:hAnsi="Arial Narrow"/>
                <w:sz w:val="20"/>
              </w:rPr>
            </w:pPr>
            <w:r w:rsidRPr="00F043D8">
              <w:rPr>
                <w:rFonts w:ascii="Arial Narrow" w:hAnsi="Arial Narrow"/>
                <w:sz w:val="20"/>
              </w:rPr>
              <w:t>Partners have agreed to participate in the evaluation as a condition of receiving HPOG grant funding. Therefore, the team expects a 100 percent response rate.</w:t>
            </w:r>
          </w:p>
        </w:tc>
        <w:tc>
          <w:tcPr>
            <w:tcW w:w="2113" w:type="dxa"/>
          </w:tcPr>
          <w:p w14:paraId="5F787E9A" w14:textId="77777777" w:rsidR="00F457F6" w:rsidRPr="00F043D8" w:rsidRDefault="00F457F6" w:rsidP="000064F6">
            <w:pPr>
              <w:rPr>
                <w:rFonts w:ascii="Arial Narrow" w:hAnsi="Arial Narrow"/>
                <w:sz w:val="20"/>
              </w:rPr>
            </w:pPr>
            <w:r w:rsidRPr="00F043D8">
              <w:rPr>
                <w:rFonts w:ascii="Arial Narrow" w:hAnsi="Arial Narrow"/>
                <w:sz w:val="20"/>
              </w:rPr>
              <w:t>Semi-structured in-person interviews</w:t>
            </w:r>
          </w:p>
          <w:p w14:paraId="78F499F6" w14:textId="08BF3456" w:rsidR="00C0704D" w:rsidRPr="00F043D8" w:rsidRDefault="00C0704D" w:rsidP="000064F6">
            <w:pPr>
              <w:rPr>
                <w:rFonts w:ascii="Arial Narrow" w:hAnsi="Arial Narrow"/>
                <w:sz w:val="20"/>
              </w:rPr>
            </w:pPr>
            <w:r w:rsidRPr="00F043D8">
              <w:rPr>
                <w:rFonts w:ascii="Arial Narrow" w:hAnsi="Arial Narrow"/>
                <w:sz w:val="20"/>
              </w:rPr>
              <w:t xml:space="preserve">(Instruments 6 and 7) </w:t>
            </w:r>
          </w:p>
        </w:tc>
      </w:tr>
      <w:tr w:rsidR="00F457F6" w:rsidRPr="001B13A2" w14:paraId="2F500702" w14:textId="77777777" w:rsidTr="005042DE">
        <w:trPr>
          <w:cantSplit/>
        </w:trPr>
        <w:tc>
          <w:tcPr>
            <w:tcW w:w="2104" w:type="dxa"/>
          </w:tcPr>
          <w:p w14:paraId="176838DB" w14:textId="77777777" w:rsidR="00F457F6" w:rsidRPr="00F043D8" w:rsidRDefault="00F457F6" w:rsidP="000064F6">
            <w:pPr>
              <w:rPr>
                <w:rFonts w:ascii="Arial Narrow" w:hAnsi="Arial Narrow"/>
                <w:sz w:val="20"/>
              </w:rPr>
            </w:pPr>
          </w:p>
        </w:tc>
        <w:tc>
          <w:tcPr>
            <w:tcW w:w="1966" w:type="dxa"/>
          </w:tcPr>
          <w:p w14:paraId="1459DDDD" w14:textId="77777777" w:rsidR="00F457F6" w:rsidRPr="00F043D8" w:rsidRDefault="00F457F6" w:rsidP="000064F6">
            <w:pPr>
              <w:rPr>
                <w:rFonts w:ascii="Arial Narrow" w:hAnsi="Arial Narrow"/>
                <w:sz w:val="20"/>
              </w:rPr>
            </w:pPr>
            <w:r w:rsidRPr="00F043D8">
              <w:rPr>
                <w:rFonts w:ascii="Arial Narrow" w:hAnsi="Arial Narrow"/>
                <w:sz w:val="20"/>
              </w:rPr>
              <w:t>Employers</w:t>
            </w:r>
          </w:p>
        </w:tc>
        <w:tc>
          <w:tcPr>
            <w:tcW w:w="3167" w:type="dxa"/>
          </w:tcPr>
          <w:p w14:paraId="56A11285" w14:textId="77777777" w:rsidR="00F457F6" w:rsidRPr="00F043D8" w:rsidRDefault="00F457F6" w:rsidP="000064F6">
            <w:pPr>
              <w:rPr>
                <w:rFonts w:ascii="Arial Narrow" w:hAnsi="Arial Narrow"/>
                <w:sz w:val="20"/>
              </w:rPr>
            </w:pPr>
            <w:r w:rsidRPr="00F043D8">
              <w:rPr>
                <w:rFonts w:ascii="Arial Narrow" w:hAnsi="Arial Narrow"/>
                <w:sz w:val="20"/>
              </w:rPr>
              <w:t xml:space="preserve">A very high response rate (at least 80 percent) is expected among HPOG employers. </w:t>
            </w:r>
          </w:p>
        </w:tc>
        <w:tc>
          <w:tcPr>
            <w:tcW w:w="2113" w:type="dxa"/>
          </w:tcPr>
          <w:p w14:paraId="4AC76DCE" w14:textId="77777777" w:rsidR="00F457F6" w:rsidRPr="00F043D8" w:rsidRDefault="00F457F6" w:rsidP="000064F6">
            <w:pPr>
              <w:rPr>
                <w:rFonts w:ascii="Arial Narrow" w:hAnsi="Arial Narrow"/>
                <w:sz w:val="20"/>
              </w:rPr>
            </w:pPr>
            <w:r w:rsidRPr="00F043D8">
              <w:rPr>
                <w:rFonts w:ascii="Arial Narrow" w:hAnsi="Arial Narrow"/>
                <w:sz w:val="20"/>
              </w:rPr>
              <w:t>Semi-structured in-person interviews</w:t>
            </w:r>
          </w:p>
          <w:p w14:paraId="7C504ABC" w14:textId="5FCC642E" w:rsidR="00C0704D" w:rsidRPr="00F043D8" w:rsidRDefault="00C0704D" w:rsidP="000064F6">
            <w:pPr>
              <w:rPr>
                <w:rFonts w:ascii="Arial Narrow" w:hAnsi="Arial Narrow"/>
                <w:sz w:val="20"/>
              </w:rPr>
            </w:pPr>
            <w:r w:rsidRPr="00F043D8">
              <w:rPr>
                <w:rFonts w:ascii="Arial Narrow" w:hAnsi="Arial Narrow"/>
                <w:sz w:val="20"/>
              </w:rPr>
              <w:t>(Instrument 8)</w:t>
            </w:r>
          </w:p>
        </w:tc>
      </w:tr>
      <w:tr w:rsidR="00F457F6" w:rsidRPr="001B13A2" w14:paraId="1337A649" w14:textId="77777777" w:rsidTr="000064F6">
        <w:tc>
          <w:tcPr>
            <w:tcW w:w="2104" w:type="dxa"/>
          </w:tcPr>
          <w:p w14:paraId="2C29A32E" w14:textId="77777777" w:rsidR="00F457F6" w:rsidRPr="00F043D8" w:rsidRDefault="00F457F6" w:rsidP="000064F6">
            <w:pPr>
              <w:rPr>
                <w:rFonts w:ascii="Arial Narrow" w:hAnsi="Arial Narrow"/>
                <w:sz w:val="20"/>
              </w:rPr>
            </w:pPr>
            <w:r w:rsidRPr="00F043D8">
              <w:rPr>
                <w:rFonts w:ascii="Arial Narrow" w:hAnsi="Arial Narrow"/>
                <w:sz w:val="20"/>
              </w:rPr>
              <w:t xml:space="preserve">Participants </w:t>
            </w:r>
          </w:p>
        </w:tc>
        <w:tc>
          <w:tcPr>
            <w:tcW w:w="1966" w:type="dxa"/>
          </w:tcPr>
          <w:p w14:paraId="5465F22D" w14:textId="77777777" w:rsidR="00F457F6" w:rsidRPr="00F043D8" w:rsidRDefault="00F457F6" w:rsidP="000064F6">
            <w:pPr>
              <w:rPr>
                <w:rFonts w:ascii="Arial Narrow" w:hAnsi="Arial Narrow"/>
                <w:sz w:val="20"/>
              </w:rPr>
            </w:pPr>
            <w:r w:rsidRPr="00F043D8">
              <w:rPr>
                <w:rFonts w:ascii="Arial Narrow" w:hAnsi="Arial Narrow"/>
                <w:sz w:val="20"/>
              </w:rPr>
              <w:t>Program participants (current)</w:t>
            </w:r>
          </w:p>
        </w:tc>
        <w:tc>
          <w:tcPr>
            <w:tcW w:w="3167" w:type="dxa"/>
          </w:tcPr>
          <w:p w14:paraId="660899B6" w14:textId="77777777" w:rsidR="00F457F6" w:rsidRPr="00F043D8" w:rsidRDefault="00F457F6" w:rsidP="000064F6">
            <w:pPr>
              <w:rPr>
                <w:rFonts w:ascii="Arial Narrow" w:hAnsi="Arial Narrow"/>
                <w:sz w:val="20"/>
              </w:rPr>
            </w:pPr>
            <w:r w:rsidRPr="00F043D8">
              <w:rPr>
                <w:rFonts w:ascii="Arial Narrow" w:hAnsi="Arial Narrow"/>
                <w:sz w:val="20"/>
              </w:rPr>
              <w:t xml:space="preserve">The tribal evaluation team will work with the grantees to recruit participants during the annual site visit planning period. The team expects a 25-50 percent response rate from current program participants. </w:t>
            </w:r>
          </w:p>
        </w:tc>
        <w:tc>
          <w:tcPr>
            <w:tcW w:w="2113" w:type="dxa"/>
          </w:tcPr>
          <w:p w14:paraId="72FDD480" w14:textId="77777777" w:rsidR="00F457F6" w:rsidRPr="00F043D8" w:rsidRDefault="00F457F6" w:rsidP="000064F6">
            <w:pPr>
              <w:rPr>
                <w:rFonts w:ascii="Arial Narrow" w:hAnsi="Arial Narrow"/>
                <w:sz w:val="20"/>
              </w:rPr>
            </w:pPr>
            <w:r w:rsidRPr="00F043D8">
              <w:rPr>
                <w:rFonts w:ascii="Arial Narrow" w:hAnsi="Arial Narrow"/>
                <w:sz w:val="20"/>
              </w:rPr>
              <w:t>In-person focus groups</w:t>
            </w:r>
          </w:p>
          <w:p w14:paraId="0ECE163C" w14:textId="3F2C2B94" w:rsidR="00F457F6" w:rsidRPr="00F043D8" w:rsidRDefault="00C0704D" w:rsidP="000064F6">
            <w:pPr>
              <w:rPr>
                <w:rFonts w:ascii="Arial Narrow" w:hAnsi="Arial Narrow"/>
                <w:sz w:val="20"/>
              </w:rPr>
            </w:pPr>
            <w:r w:rsidRPr="00F043D8">
              <w:rPr>
                <w:rFonts w:ascii="Arial Narrow" w:hAnsi="Arial Narrow"/>
                <w:sz w:val="20"/>
              </w:rPr>
              <w:t>(Instrument 9)</w:t>
            </w:r>
          </w:p>
        </w:tc>
      </w:tr>
      <w:tr w:rsidR="00F457F6" w:rsidRPr="001B13A2" w14:paraId="704FF38B" w14:textId="77777777" w:rsidTr="000064F6">
        <w:tc>
          <w:tcPr>
            <w:tcW w:w="2104" w:type="dxa"/>
          </w:tcPr>
          <w:p w14:paraId="58F2F19F" w14:textId="77777777" w:rsidR="00F457F6" w:rsidRPr="00F043D8" w:rsidRDefault="00F457F6" w:rsidP="000064F6">
            <w:pPr>
              <w:rPr>
                <w:rFonts w:ascii="Arial Narrow" w:hAnsi="Arial Narrow"/>
                <w:sz w:val="20"/>
              </w:rPr>
            </w:pPr>
          </w:p>
        </w:tc>
        <w:tc>
          <w:tcPr>
            <w:tcW w:w="1966" w:type="dxa"/>
          </w:tcPr>
          <w:p w14:paraId="7B2C35F4" w14:textId="77777777" w:rsidR="00F457F6" w:rsidRPr="00F043D8" w:rsidRDefault="00F457F6" w:rsidP="000064F6">
            <w:pPr>
              <w:rPr>
                <w:rFonts w:ascii="Arial Narrow" w:hAnsi="Arial Narrow"/>
                <w:sz w:val="20"/>
              </w:rPr>
            </w:pPr>
            <w:r w:rsidRPr="00F043D8">
              <w:rPr>
                <w:rFonts w:ascii="Arial Narrow" w:hAnsi="Arial Narrow"/>
                <w:sz w:val="20"/>
              </w:rPr>
              <w:t>Program completers</w:t>
            </w:r>
          </w:p>
        </w:tc>
        <w:tc>
          <w:tcPr>
            <w:tcW w:w="3167" w:type="dxa"/>
          </w:tcPr>
          <w:p w14:paraId="6A1EBFA2" w14:textId="77777777" w:rsidR="00F457F6" w:rsidRPr="00F043D8" w:rsidRDefault="00F457F6" w:rsidP="000064F6">
            <w:pPr>
              <w:rPr>
                <w:rFonts w:ascii="Arial Narrow" w:hAnsi="Arial Narrow"/>
                <w:sz w:val="20"/>
              </w:rPr>
            </w:pPr>
            <w:r w:rsidRPr="00F043D8">
              <w:rPr>
                <w:rFonts w:ascii="Arial Narrow" w:hAnsi="Arial Narrow"/>
                <w:sz w:val="20"/>
              </w:rPr>
              <w:t xml:space="preserve">The tribal evaluation team will work with the grantees to recruit participants during the annual site visit planning period. The team expects a 25-50 percent response rate from program completers. </w:t>
            </w:r>
          </w:p>
        </w:tc>
        <w:tc>
          <w:tcPr>
            <w:tcW w:w="2113" w:type="dxa"/>
          </w:tcPr>
          <w:p w14:paraId="38AA9C91" w14:textId="70429EFE" w:rsidR="00F457F6" w:rsidRPr="00F043D8" w:rsidRDefault="00F457F6" w:rsidP="000064F6">
            <w:pPr>
              <w:rPr>
                <w:rFonts w:ascii="Arial Narrow" w:hAnsi="Arial Narrow"/>
                <w:sz w:val="20"/>
              </w:rPr>
            </w:pPr>
            <w:r w:rsidRPr="00F043D8">
              <w:rPr>
                <w:rFonts w:ascii="Arial Narrow" w:hAnsi="Arial Narrow"/>
                <w:sz w:val="20"/>
              </w:rPr>
              <w:t>Semi-structured in-person interviews</w:t>
            </w:r>
          </w:p>
          <w:p w14:paraId="0445440A" w14:textId="1C9091B4" w:rsidR="00F457F6" w:rsidRPr="00F043D8" w:rsidRDefault="00C0704D" w:rsidP="000064F6">
            <w:pPr>
              <w:rPr>
                <w:rFonts w:ascii="Arial Narrow" w:hAnsi="Arial Narrow"/>
                <w:sz w:val="20"/>
              </w:rPr>
            </w:pPr>
            <w:r w:rsidRPr="00F043D8">
              <w:rPr>
                <w:rFonts w:ascii="Arial Narrow" w:hAnsi="Arial Narrow"/>
                <w:sz w:val="20"/>
              </w:rPr>
              <w:t>(Instrument 10)</w:t>
            </w:r>
          </w:p>
        </w:tc>
      </w:tr>
      <w:tr w:rsidR="00F457F6" w:rsidRPr="001B13A2" w14:paraId="1CF4C767" w14:textId="77777777" w:rsidTr="000064F6">
        <w:tc>
          <w:tcPr>
            <w:tcW w:w="2104" w:type="dxa"/>
          </w:tcPr>
          <w:p w14:paraId="463F1960" w14:textId="77777777" w:rsidR="00F457F6" w:rsidRPr="00F043D8" w:rsidRDefault="00F457F6" w:rsidP="000064F6">
            <w:pPr>
              <w:rPr>
                <w:rFonts w:ascii="Arial Narrow" w:hAnsi="Arial Narrow"/>
                <w:sz w:val="20"/>
              </w:rPr>
            </w:pPr>
          </w:p>
        </w:tc>
        <w:tc>
          <w:tcPr>
            <w:tcW w:w="1966" w:type="dxa"/>
          </w:tcPr>
          <w:p w14:paraId="7DBD57B4" w14:textId="77777777" w:rsidR="00F457F6" w:rsidRPr="00F043D8" w:rsidRDefault="00F457F6" w:rsidP="000064F6">
            <w:pPr>
              <w:rPr>
                <w:rFonts w:ascii="Arial Narrow" w:hAnsi="Arial Narrow"/>
                <w:sz w:val="20"/>
              </w:rPr>
            </w:pPr>
            <w:r w:rsidRPr="00F043D8">
              <w:rPr>
                <w:rFonts w:ascii="Arial Narrow" w:hAnsi="Arial Narrow"/>
                <w:sz w:val="20"/>
              </w:rPr>
              <w:t>Program non-completers</w:t>
            </w:r>
          </w:p>
        </w:tc>
        <w:tc>
          <w:tcPr>
            <w:tcW w:w="3167" w:type="dxa"/>
          </w:tcPr>
          <w:p w14:paraId="63DAA0CE" w14:textId="77777777" w:rsidR="00F457F6" w:rsidRPr="00F043D8" w:rsidRDefault="00F457F6" w:rsidP="000064F6">
            <w:pPr>
              <w:rPr>
                <w:rFonts w:ascii="Arial Narrow" w:hAnsi="Arial Narrow"/>
                <w:sz w:val="20"/>
              </w:rPr>
            </w:pPr>
            <w:r w:rsidRPr="00F043D8">
              <w:rPr>
                <w:rFonts w:ascii="Arial Narrow" w:hAnsi="Arial Narrow"/>
                <w:sz w:val="20"/>
              </w:rPr>
              <w:t>The tribal evaluation team will work with the grantees to recruit participants during the annual site visit planning period. The team expects a 10-25 percent response rate from program non-completers.</w:t>
            </w:r>
          </w:p>
        </w:tc>
        <w:tc>
          <w:tcPr>
            <w:tcW w:w="2113" w:type="dxa"/>
          </w:tcPr>
          <w:p w14:paraId="5557E7F6" w14:textId="46DA6C5C" w:rsidR="00F457F6" w:rsidRPr="00F043D8" w:rsidRDefault="00F457F6" w:rsidP="000064F6">
            <w:pPr>
              <w:rPr>
                <w:rFonts w:ascii="Arial Narrow" w:hAnsi="Arial Narrow"/>
                <w:sz w:val="20"/>
              </w:rPr>
            </w:pPr>
            <w:r w:rsidRPr="00F043D8">
              <w:rPr>
                <w:rFonts w:ascii="Arial Narrow" w:hAnsi="Arial Narrow"/>
                <w:sz w:val="20"/>
              </w:rPr>
              <w:t>Semi-structured in-person interviews</w:t>
            </w:r>
          </w:p>
          <w:p w14:paraId="286A9C24" w14:textId="71325E0F" w:rsidR="00F457F6" w:rsidRPr="00F043D8" w:rsidRDefault="00C0704D" w:rsidP="000064F6">
            <w:pPr>
              <w:rPr>
                <w:rFonts w:ascii="Arial Narrow" w:hAnsi="Arial Narrow"/>
                <w:sz w:val="20"/>
              </w:rPr>
            </w:pPr>
            <w:r w:rsidRPr="00F043D8">
              <w:rPr>
                <w:rFonts w:ascii="Arial Narrow" w:hAnsi="Arial Narrow"/>
                <w:sz w:val="20"/>
              </w:rPr>
              <w:t>(Instrument 11)</w:t>
            </w:r>
          </w:p>
        </w:tc>
      </w:tr>
      <w:tr w:rsidR="00F457F6" w:rsidRPr="001B13A2" w14:paraId="11856E37" w14:textId="77777777" w:rsidTr="005042DE">
        <w:tc>
          <w:tcPr>
            <w:tcW w:w="9350" w:type="dxa"/>
            <w:gridSpan w:val="4"/>
            <w:shd w:val="clear" w:color="auto" w:fill="C6D9F1" w:themeFill="text2" w:themeFillTint="33"/>
          </w:tcPr>
          <w:p w14:paraId="75928857" w14:textId="447BE974" w:rsidR="00F457F6" w:rsidRPr="00F043D8" w:rsidRDefault="00F457F6" w:rsidP="000064F6">
            <w:pPr>
              <w:rPr>
                <w:rFonts w:ascii="Arial Narrow" w:hAnsi="Arial Narrow"/>
                <w:b/>
                <w:sz w:val="20"/>
              </w:rPr>
            </w:pPr>
            <w:r w:rsidRPr="00F043D8">
              <w:rPr>
                <w:rFonts w:ascii="Arial Narrow" w:hAnsi="Arial Narrow"/>
                <w:b/>
                <w:sz w:val="20"/>
              </w:rPr>
              <w:t>HPOG  National and Tribal Evaluation Participant Accomplishment and Grantee Evaluation System (PAGES)</w:t>
            </w:r>
          </w:p>
        </w:tc>
      </w:tr>
      <w:tr w:rsidR="00F457F6" w:rsidRPr="001B13A2" w14:paraId="17609108" w14:textId="77777777" w:rsidTr="000064F6">
        <w:tc>
          <w:tcPr>
            <w:tcW w:w="2104" w:type="dxa"/>
          </w:tcPr>
          <w:p w14:paraId="46E1EA27" w14:textId="77777777" w:rsidR="00F457F6" w:rsidRPr="00F043D8" w:rsidRDefault="00F457F6" w:rsidP="000064F6">
            <w:pPr>
              <w:rPr>
                <w:rFonts w:ascii="Arial Narrow" w:hAnsi="Arial Narrow"/>
                <w:sz w:val="20"/>
              </w:rPr>
            </w:pPr>
            <w:r w:rsidRPr="00F043D8">
              <w:rPr>
                <w:rFonts w:ascii="Arial Narrow" w:hAnsi="Arial Narrow"/>
                <w:sz w:val="20"/>
              </w:rPr>
              <w:t>Participants</w:t>
            </w:r>
          </w:p>
        </w:tc>
        <w:tc>
          <w:tcPr>
            <w:tcW w:w="1966" w:type="dxa"/>
          </w:tcPr>
          <w:p w14:paraId="63E0C085" w14:textId="77777777" w:rsidR="00F457F6" w:rsidRPr="00F043D8" w:rsidRDefault="00F457F6" w:rsidP="000064F6">
            <w:pPr>
              <w:rPr>
                <w:rFonts w:ascii="Arial Narrow" w:hAnsi="Arial Narrow"/>
                <w:sz w:val="20"/>
              </w:rPr>
            </w:pPr>
            <w:r w:rsidRPr="00F043D8">
              <w:rPr>
                <w:rFonts w:ascii="Arial Narrow" w:hAnsi="Arial Narrow"/>
                <w:sz w:val="20"/>
              </w:rPr>
              <w:t>National Evaluation (Non-Tribal) HPOG Participants</w:t>
            </w:r>
          </w:p>
        </w:tc>
        <w:tc>
          <w:tcPr>
            <w:tcW w:w="3167" w:type="dxa"/>
          </w:tcPr>
          <w:p w14:paraId="40468CCD" w14:textId="77777777" w:rsidR="00F457F6" w:rsidRPr="00F043D8" w:rsidRDefault="00F457F6" w:rsidP="000064F6">
            <w:pPr>
              <w:rPr>
                <w:rFonts w:ascii="Arial Narrow" w:hAnsi="Arial Narrow"/>
                <w:sz w:val="20"/>
              </w:rPr>
            </w:pPr>
            <w:r w:rsidRPr="00F043D8">
              <w:rPr>
                <w:rFonts w:ascii="Arial Narrow" w:hAnsi="Arial Narrow"/>
                <w:sz w:val="20"/>
              </w:rPr>
              <w:t>No sampling techniques will be employed for PAGES data collection.</w:t>
            </w:r>
          </w:p>
          <w:p w14:paraId="6D94702F" w14:textId="77777777" w:rsidR="00F457F6" w:rsidRPr="00F043D8" w:rsidRDefault="00F457F6" w:rsidP="000064F6">
            <w:pPr>
              <w:rPr>
                <w:rFonts w:ascii="Arial Narrow" w:hAnsi="Arial Narrow"/>
                <w:sz w:val="20"/>
              </w:rPr>
            </w:pPr>
            <w:r w:rsidRPr="00F043D8">
              <w:rPr>
                <w:rFonts w:ascii="Arial Narrow" w:hAnsi="Arial Narrow"/>
                <w:sz w:val="20"/>
              </w:rPr>
              <w:t>A 100 percent response rate is expected.</w:t>
            </w:r>
          </w:p>
        </w:tc>
        <w:tc>
          <w:tcPr>
            <w:tcW w:w="2113" w:type="dxa"/>
          </w:tcPr>
          <w:p w14:paraId="72A0A180" w14:textId="77777777" w:rsidR="00F457F6" w:rsidRPr="00F043D8" w:rsidRDefault="00F457F6" w:rsidP="000064F6">
            <w:pPr>
              <w:rPr>
                <w:rFonts w:ascii="Arial Narrow" w:hAnsi="Arial Narrow"/>
                <w:sz w:val="20"/>
              </w:rPr>
            </w:pPr>
            <w:r w:rsidRPr="00F043D8">
              <w:rPr>
                <w:rFonts w:ascii="Arial Narrow" w:hAnsi="Arial Narrow"/>
                <w:sz w:val="20"/>
              </w:rPr>
              <w:t>Baseline and ongoing participant level data</w:t>
            </w:r>
          </w:p>
        </w:tc>
      </w:tr>
      <w:tr w:rsidR="00F457F6" w:rsidRPr="001B13A2" w14:paraId="4A6DB926" w14:textId="77777777" w:rsidTr="000064F6">
        <w:tc>
          <w:tcPr>
            <w:tcW w:w="2104" w:type="dxa"/>
          </w:tcPr>
          <w:p w14:paraId="6EA8982D" w14:textId="77777777" w:rsidR="00F457F6" w:rsidRPr="00F043D8" w:rsidRDefault="00F457F6" w:rsidP="000064F6">
            <w:pPr>
              <w:rPr>
                <w:rFonts w:ascii="Arial Narrow" w:hAnsi="Arial Narrow"/>
                <w:sz w:val="20"/>
              </w:rPr>
            </w:pPr>
          </w:p>
        </w:tc>
        <w:tc>
          <w:tcPr>
            <w:tcW w:w="1966" w:type="dxa"/>
          </w:tcPr>
          <w:p w14:paraId="54E2DFFF" w14:textId="77777777" w:rsidR="00F457F6" w:rsidRPr="00F043D8" w:rsidRDefault="00F457F6" w:rsidP="000064F6">
            <w:pPr>
              <w:rPr>
                <w:rFonts w:ascii="Arial Narrow" w:hAnsi="Arial Narrow"/>
                <w:sz w:val="20"/>
              </w:rPr>
            </w:pPr>
            <w:r w:rsidRPr="00F043D8">
              <w:rPr>
                <w:rFonts w:ascii="Arial Narrow" w:hAnsi="Arial Narrow"/>
                <w:sz w:val="20"/>
              </w:rPr>
              <w:t xml:space="preserve">Tribal HPOG Participants </w:t>
            </w:r>
          </w:p>
        </w:tc>
        <w:tc>
          <w:tcPr>
            <w:tcW w:w="3167" w:type="dxa"/>
          </w:tcPr>
          <w:p w14:paraId="1EB817F9" w14:textId="77777777" w:rsidR="00F457F6" w:rsidRPr="00F043D8" w:rsidRDefault="00F457F6" w:rsidP="000064F6">
            <w:pPr>
              <w:rPr>
                <w:rFonts w:ascii="Arial Narrow" w:hAnsi="Arial Narrow"/>
                <w:sz w:val="20"/>
              </w:rPr>
            </w:pPr>
            <w:r w:rsidRPr="00F043D8">
              <w:rPr>
                <w:rFonts w:ascii="Arial Narrow" w:hAnsi="Arial Narrow"/>
                <w:sz w:val="20"/>
              </w:rPr>
              <w:t>No sampling techniques will be employed for PAGES data collection.</w:t>
            </w:r>
          </w:p>
          <w:p w14:paraId="177C793C" w14:textId="77777777" w:rsidR="00F457F6" w:rsidRPr="00F043D8" w:rsidRDefault="00F457F6" w:rsidP="000064F6">
            <w:pPr>
              <w:rPr>
                <w:rFonts w:ascii="Arial Narrow" w:hAnsi="Arial Narrow"/>
                <w:sz w:val="20"/>
              </w:rPr>
            </w:pPr>
            <w:r w:rsidRPr="00F043D8">
              <w:rPr>
                <w:rFonts w:ascii="Arial Narrow" w:hAnsi="Arial Narrow"/>
                <w:sz w:val="20"/>
              </w:rPr>
              <w:t>A 100 percent response rate is expected.</w:t>
            </w:r>
          </w:p>
        </w:tc>
        <w:tc>
          <w:tcPr>
            <w:tcW w:w="2113" w:type="dxa"/>
          </w:tcPr>
          <w:p w14:paraId="1D43BB1B" w14:textId="77777777" w:rsidR="00F457F6" w:rsidRPr="00F043D8" w:rsidRDefault="00F457F6" w:rsidP="000064F6">
            <w:pPr>
              <w:rPr>
                <w:rFonts w:ascii="Arial Narrow" w:hAnsi="Arial Narrow"/>
                <w:sz w:val="20"/>
              </w:rPr>
            </w:pPr>
            <w:r w:rsidRPr="00F043D8">
              <w:rPr>
                <w:rFonts w:ascii="Arial Narrow" w:hAnsi="Arial Narrow"/>
                <w:sz w:val="20"/>
              </w:rPr>
              <w:t>Baseline and ongoing participant level data</w:t>
            </w:r>
          </w:p>
        </w:tc>
      </w:tr>
    </w:tbl>
    <w:p w14:paraId="6E64C570" w14:textId="77777777" w:rsidR="00A07D12" w:rsidRPr="00A07D12" w:rsidRDefault="00A07D12" w:rsidP="00A07D12"/>
    <w:p w14:paraId="6ADF1893" w14:textId="405BFAB4" w:rsidR="00274205" w:rsidRDefault="003335D5" w:rsidP="000A45D8">
      <w:r>
        <w:t>PAGES include</w:t>
      </w:r>
      <w:r w:rsidR="00810A77">
        <w:t>s</w:t>
      </w:r>
      <w:r>
        <w:t xml:space="preserve"> the </w:t>
      </w:r>
      <w:r w:rsidR="00485807">
        <w:t xml:space="preserve">applicant </w:t>
      </w:r>
      <w:r>
        <w:t xml:space="preserve">population of the </w:t>
      </w:r>
      <w:r w:rsidR="00B60C15">
        <w:t xml:space="preserve">anticipated </w:t>
      </w:r>
      <w:r w:rsidR="00A65EDB">
        <w:t xml:space="preserve">32 </w:t>
      </w:r>
      <w:r w:rsidRPr="005403C1">
        <w:t xml:space="preserve">organizations </w:t>
      </w:r>
      <w:r w:rsidR="00A65EDB">
        <w:t xml:space="preserve">that </w:t>
      </w:r>
      <w:r w:rsidR="00A65EDB" w:rsidRPr="005403C1">
        <w:t>receiv</w:t>
      </w:r>
      <w:r w:rsidR="00A65EDB">
        <w:t>ed</w:t>
      </w:r>
      <w:r w:rsidR="00A65EDB" w:rsidRPr="005403C1">
        <w:t xml:space="preserve"> </w:t>
      </w:r>
      <w:r w:rsidR="00B60C15">
        <w:t>HPOG funding</w:t>
      </w:r>
      <w:r w:rsidR="00AA356A">
        <w:t>.</w:t>
      </w:r>
      <w:r w:rsidR="004B37C6">
        <w:t xml:space="preserve"> </w:t>
      </w:r>
      <w:r w:rsidRPr="005403C1">
        <w:t>As discussed, the system</w:t>
      </w:r>
      <w:r w:rsidR="00031EFC">
        <w:t xml:space="preserve"> </w:t>
      </w:r>
      <w:r w:rsidRPr="005403C1">
        <w:t>provide</w:t>
      </w:r>
      <w:r w:rsidR="00810A77">
        <w:t>s</w:t>
      </w:r>
      <w:r>
        <w:t xml:space="preserve"> data at the </w:t>
      </w:r>
      <w:r w:rsidR="00CD4006">
        <w:t>grantee</w:t>
      </w:r>
      <w:r w:rsidR="001E60BD">
        <w:t>-</w:t>
      </w:r>
      <w:r w:rsidR="00CD4006">
        <w:t xml:space="preserve"> </w:t>
      </w:r>
      <w:r>
        <w:t>and individual</w:t>
      </w:r>
      <w:r w:rsidR="001E60BD">
        <w:t>-</w:t>
      </w:r>
      <w:r>
        <w:t xml:space="preserve"> level. Thus, data </w:t>
      </w:r>
      <w:r w:rsidR="00810A77">
        <w:t xml:space="preserve">is collected and will continue to be collected </w:t>
      </w:r>
      <w:r>
        <w:t xml:space="preserve">from the </w:t>
      </w:r>
      <w:r w:rsidR="00A65EDB">
        <w:t>32</w:t>
      </w:r>
      <w:r>
        <w:t xml:space="preserve"> grantees on their program design</w:t>
      </w:r>
      <w:r w:rsidR="004B37C6">
        <w:t>s</w:t>
      </w:r>
      <w:r>
        <w:t xml:space="preserve"> and </w:t>
      </w:r>
      <w:r w:rsidR="004B37C6">
        <w:t>offerings,</w:t>
      </w:r>
      <w:r w:rsidR="004231E5">
        <w:t xml:space="preserve"> from</w:t>
      </w:r>
      <w:r>
        <w:t xml:space="preserve"> </w:t>
      </w:r>
      <w:r w:rsidR="00D5664C">
        <w:t xml:space="preserve">all </w:t>
      </w:r>
      <w:r w:rsidR="004B37C6">
        <w:t>eligible applicants</w:t>
      </w:r>
      <w:r w:rsidR="004231E5">
        <w:t xml:space="preserve"> on their baseline characteristics</w:t>
      </w:r>
      <w:r w:rsidR="00D25FC2">
        <w:t>, and</w:t>
      </w:r>
      <w:r w:rsidR="004B37C6">
        <w:t xml:space="preserve"> </w:t>
      </w:r>
      <w:r w:rsidR="004231E5">
        <w:t>from all of the individuals the grantees serve on their</w:t>
      </w:r>
      <w:r>
        <w:t xml:space="preserve"> </w:t>
      </w:r>
      <w:r w:rsidR="004B37C6">
        <w:t>individual participation and outcomes</w:t>
      </w:r>
      <w:r w:rsidR="004231E5">
        <w:t xml:space="preserve">. </w:t>
      </w:r>
    </w:p>
    <w:p w14:paraId="0BBEB38B" w14:textId="594C1FC1" w:rsidR="001D226E" w:rsidRPr="00554D0A" w:rsidRDefault="001D226E" w:rsidP="001D226E">
      <w:r w:rsidRPr="00FD41D1">
        <w:t xml:space="preserve">Approximately </w:t>
      </w:r>
      <w:r w:rsidR="00BD2F7C">
        <w:t>44,163</w:t>
      </w:r>
      <w:r w:rsidRPr="00FD41D1">
        <w:t xml:space="preserve"> individuals are expected to complete the baseline data collection across the 32 grantees during the HPOG 2.0 grant period. The </w:t>
      </w:r>
      <w:r w:rsidR="009D5CC5">
        <w:t xml:space="preserve">grantees under the National and Tribal </w:t>
      </w:r>
      <w:r w:rsidRPr="00FD41D1">
        <w:t>evaluation</w:t>
      </w:r>
      <w:r w:rsidR="009D5CC5">
        <w:t>s will enroll participants over a four and a half year period.</w:t>
      </w:r>
      <w:r w:rsidR="009D5CC5">
        <w:rPr>
          <w:rStyle w:val="FootnoteReference"/>
        </w:rPr>
        <w:footnoteReference w:id="4"/>
      </w:r>
      <w:r w:rsidRPr="00FD41D1">
        <w:t xml:space="preserve"> </w:t>
      </w:r>
      <w:r w:rsidR="009D5CC5">
        <w:t xml:space="preserve">The National Evaluation </w:t>
      </w:r>
      <w:r w:rsidRPr="00FD41D1">
        <w:t xml:space="preserve">team expects the impact </w:t>
      </w:r>
      <w:r w:rsidR="006D13C3">
        <w:t>evaluation</w:t>
      </w:r>
      <w:r w:rsidR="006D13C3" w:rsidRPr="00FD41D1">
        <w:t xml:space="preserve"> </w:t>
      </w:r>
      <w:r w:rsidRPr="00FD41D1">
        <w:t xml:space="preserve">sample to include up to </w:t>
      </w:r>
      <w:r w:rsidR="00087303">
        <w:t>40,000</w:t>
      </w:r>
      <w:r w:rsidRPr="00FD41D1">
        <w:t xml:space="preserve"> individuals who apply to participate in the HPOG programs operated by 27 non-Tribal HPOG 2.0 grantees (</w:t>
      </w:r>
      <w:r w:rsidR="00FA095A">
        <w:t>13,333</w:t>
      </w:r>
      <w:r w:rsidRPr="00FD41D1">
        <w:t xml:space="preserve"> control</w:t>
      </w:r>
      <w:r w:rsidR="00EB2EDE">
        <w:t>s</w:t>
      </w:r>
      <w:r w:rsidRPr="00FD41D1">
        <w:t xml:space="preserve"> and </w:t>
      </w:r>
      <w:r w:rsidR="00FA095A">
        <w:t>26,667</w:t>
      </w:r>
      <w:r w:rsidRPr="00FD41D1">
        <w:t xml:space="preserve"> treatment</w:t>
      </w:r>
      <w:r w:rsidR="00EB2EDE">
        <w:t>s</w:t>
      </w:r>
      <w:r w:rsidRPr="00FD41D1">
        <w:t>).</w:t>
      </w:r>
      <w:r w:rsidR="00294692">
        <w:t xml:space="preserve"> The Tribal Evaluation team expects the tribal grantees will enroll 2,</w:t>
      </w:r>
      <w:r w:rsidR="00BD2F7C">
        <w:t>663 participants</w:t>
      </w:r>
      <w:r w:rsidR="00EF7A96">
        <w:t xml:space="preserve">. </w:t>
      </w:r>
      <w:r w:rsidR="005F566F">
        <w:t xml:space="preserve">This represents an increase from our previous submission as it now includes </w:t>
      </w:r>
      <w:r w:rsidR="00BD2F7C">
        <w:t>the full</w:t>
      </w:r>
      <w:r w:rsidR="005F566F">
        <w:t xml:space="preserve"> program enrollment. Support</w:t>
      </w:r>
      <w:r w:rsidR="00C15953">
        <w:t>ing</w:t>
      </w:r>
      <w:r w:rsidR="005F566F">
        <w:t xml:space="preserve"> Statement A</w:t>
      </w:r>
      <w:r w:rsidR="00C15953">
        <w:t>,</w:t>
      </w:r>
      <w:r w:rsidR="005F566F">
        <w:t xml:space="preserve"> Section A15 provides more detail on this increase. </w:t>
      </w:r>
      <w:r w:rsidR="000064F6" w:rsidRPr="00FD41D1">
        <w:t xml:space="preserve">These projected enrollment numbers suggest an additional </w:t>
      </w:r>
      <w:r w:rsidR="00FA095A">
        <w:t>9,400</w:t>
      </w:r>
      <w:r w:rsidR="000064F6" w:rsidRPr="00FD41D1">
        <w:t xml:space="preserve"> National Evaluation participants will complete the PAGES baseline intake form than was </w:t>
      </w:r>
      <w:r w:rsidR="00087303">
        <w:t>previous</w:t>
      </w:r>
      <w:r w:rsidR="00087303" w:rsidRPr="00FD41D1">
        <w:t xml:space="preserve">ly </w:t>
      </w:r>
      <w:r w:rsidR="000064F6" w:rsidRPr="00FD41D1">
        <w:t>estimated</w:t>
      </w:r>
      <w:r w:rsidR="00EF7A96">
        <w:t xml:space="preserve">. </w:t>
      </w:r>
      <w:r w:rsidRPr="00FD41D1">
        <w:t xml:space="preserve">Approximately 1,500 participants from the first round of HPOG grants are expected to receive additional services under HPOG </w:t>
      </w:r>
      <w:r>
        <w:t xml:space="preserve">2.0. Thus, the total National Evaluation sample is estimated at </w:t>
      </w:r>
      <w:r w:rsidR="00FA095A">
        <w:t>41,500</w:t>
      </w:r>
      <w:r>
        <w:t xml:space="preserve"> participants. Further, it is anticipated </w:t>
      </w:r>
      <w:r w:rsidR="00165517">
        <w:t>that up</w:t>
      </w:r>
      <w:r>
        <w:t xml:space="preserve"> to </w:t>
      </w:r>
      <w:r w:rsidR="00B70BEA">
        <w:t>2,6</w:t>
      </w:r>
      <w:r w:rsidR="00BD2F7C">
        <w:t>63</w:t>
      </w:r>
      <w:r w:rsidR="00E91C32">
        <w:t xml:space="preserve"> </w:t>
      </w:r>
      <w:r>
        <w:t xml:space="preserve">individuals will apply to </w:t>
      </w:r>
      <w:r w:rsidRPr="00C036BB">
        <w:t>participate in the HPOG program</w:t>
      </w:r>
      <w:r>
        <w:t>s</w:t>
      </w:r>
      <w:r w:rsidRPr="00C036BB">
        <w:t xml:space="preserve"> operated by </w:t>
      </w:r>
      <w:r>
        <w:t>five</w:t>
      </w:r>
      <w:r w:rsidRPr="00C036BB">
        <w:t xml:space="preserve"> HPOG </w:t>
      </w:r>
      <w:r>
        <w:t xml:space="preserve">2.0 Tribal </w:t>
      </w:r>
      <w:r w:rsidRPr="00C036BB">
        <w:t>grantees</w:t>
      </w:r>
      <w:r w:rsidR="00B70BEA">
        <w:t xml:space="preserve"> over </w:t>
      </w:r>
      <w:r w:rsidR="00BD2F7C">
        <w:t>life</w:t>
      </w:r>
      <w:r w:rsidR="00B70BEA">
        <w:t xml:space="preserve"> of the grant</w:t>
      </w:r>
      <w:r>
        <w:t>. No sampling techniques will be employed for PAGES data collection.</w:t>
      </w:r>
    </w:p>
    <w:p w14:paraId="2DFAA3F4" w14:textId="77777777" w:rsidR="00B370B2" w:rsidRPr="004F1FB4" w:rsidRDefault="00B370B2" w:rsidP="00137474">
      <w:pPr>
        <w:pStyle w:val="Heading2"/>
      </w:pPr>
      <w:bookmarkStart w:id="13" w:name="_Toc322083616"/>
      <w:bookmarkStart w:id="14" w:name="_Toc324166961"/>
      <w:bookmarkStart w:id="15" w:name="_Toc494352176"/>
      <w:bookmarkStart w:id="16" w:name="_Toc480466122"/>
      <w:bookmarkStart w:id="17" w:name="_Toc499718103"/>
      <w:bookmarkStart w:id="18" w:name="_Toc503256230"/>
      <w:r w:rsidRPr="004F1FB4">
        <w:t>B.2</w:t>
      </w:r>
      <w:r>
        <w:t xml:space="preserve"> </w:t>
      </w:r>
      <w:r w:rsidRPr="004F1FB4">
        <w:t>Procedures for Collection of Information</w:t>
      </w:r>
      <w:bookmarkEnd w:id="13"/>
      <w:bookmarkEnd w:id="14"/>
      <w:bookmarkEnd w:id="15"/>
      <w:bookmarkEnd w:id="16"/>
      <w:bookmarkEnd w:id="17"/>
      <w:bookmarkEnd w:id="18"/>
    </w:p>
    <w:p w14:paraId="037093EC" w14:textId="0621BD16" w:rsidR="006E1D90" w:rsidRDefault="006E1D90" w:rsidP="00BE2F9C">
      <w:r>
        <w:t xml:space="preserve">This section describes the data collection procedures for the </w:t>
      </w:r>
      <w:r w:rsidR="00055A9A">
        <w:t xml:space="preserve">previously approved </w:t>
      </w:r>
      <w:r>
        <w:t xml:space="preserve">HPOG 2.0 National Evaluation </w:t>
      </w:r>
      <w:r w:rsidR="006D13C3">
        <w:t>descriptive evaluation</w:t>
      </w:r>
      <w:r w:rsidR="003E58D3">
        <w:t xml:space="preserve"> </w:t>
      </w:r>
      <w:r w:rsidR="001B13A2">
        <w:t xml:space="preserve">and </w:t>
      </w:r>
      <w:r>
        <w:t xml:space="preserve">the </w:t>
      </w:r>
      <w:r w:rsidR="006D13C3">
        <w:t>i</w:t>
      </w:r>
      <w:r>
        <w:t xml:space="preserve">mpact </w:t>
      </w:r>
      <w:r w:rsidR="006D13C3">
        <w:t xml:space="preserve">evaluation </w:t>
      </w:r>
      <w:r>
        <w:t>contact updates</w:t>
      </w:r>
      <w:r w:rsidR="003F0A2F">
        <w:t xml:space="preserve">, followed by the </w:t>
      </w:r>
      <w:r w:rsidR="00BE2F9C">
        <w:t xml:space="preserve">impact evaluation’s </w:t>
      </w:r>
      <w:r w:rsidR="009A06B4">
        <w:t>S</w:t>
      </w:r>
      <w:r w:rsidR="003F0A2F">
        <w:t>hort-</w:t>
      </w:r>
      <w:r w:rsidR="009A06B4">
        <w:t>T</w:t>
      </w:r>
      <w:r w:rsidR="003F0A2F">
        <w:t xml:space="preserve">erm </w:t>
      </w:r>
      <w:r w:rsidR="00BE2F9C">
        <w:t>Follow-up</w:t>
      </w:r>
      <w:r w:rsidR="003F0A2F">
        <w:t xml:space="preserve"> surv</w:t>
      </w:r>
      <w:r w:rsidR="009A06B4">
        <w:t>ey</w:t>
      </w:r>
      <w:r w:rsidR="003E58D3">
        <w:t xml:space="preserve">, </w:t>
      </w:r>
      <w:r w:rsidR="00055A9A">
        <w:t>the focus of this request for clearance</w:t>
      </w:r>
      <w:r>
        <w:t xml:space="preserve">. The section </w:t>
      </w:r>
      <w:r w:rsidR="00370912">
        <w:t xml:space="preserve">next provides a description of the previously approved </w:t>
      </w:r>
      <w:r>
        <w:t>HPOG 2.0 Tribal Evaluation data collection procedures</w:t>
      </w:r>
      <w:r w:rsidR="00370912">
        <w:t xml:space="preserve"> and con</w:t>
      </w:r>
      <w:r w:rsidR="00BE2F9C">
        <w:t>c</w:t>
      </w:r>
      <w:r w:rsidR="00370912">
        <w:t>ludes with a description of the PAGES data collection procedures</w:t>
      </w:r>
      <w:r>
        <w:t>.</w:t>
      </w:r>
    </w:p>
    <w:p w14:paraId="10E774C4" w14:textId="74DC654E" w:rsidR="006E1D90" w:rsidRDefault="006E1D90" w:rsidP="00BE2F9C">
      <w:pPr>
        <w:pStyle w:val="Heading4"/>
      </w:pPr>
      <w:r>
        <w:t xml:space="preserve">HPOG 2.0 </w:t>
      </w:r>
      <w:r w:rsidRPr="003633D6">
        <w:t xml:space="preserve">National Evaluation </w:t>
      </w:r>
      <w:r w:rsidR="006D13C3">
        <w:t>Descriptive Evaluation</w:t>
      </w:r>
      <w:r>
        <w:t xml:space="preserve"> Data Collection Procedures</w:t>
      </w:r>
    </w:p>
    <w:p w14:paraId="18EE6AD6" w14:textId="53BA0F5B" w:rsidR="004F0529" w:rsidRDefault="006E1D90" w:rsidP="00BE2F9C">
      <w:r>
        <w:t xml:space="preserve">The sample frame for the HPOG 2.0 National Evaluation </w:t>
      </w:r>
      <w:r w:rsidR="006D13C3">
        <w:t>descriptive evaluation</w:t>
      </w:r>
      <w:r>
        <w:t xml:space="preserve"> includes all 27 non-tribal grantees. No statistical methods will be used for stratification and sample selection. The </w:t>
      </w:r>
      <w:r w:rsidR="006D13C3">
        <w:t>descriptive evaluation</w:t>
      </w:r>
      <w:r>
        <w:t xml:space="preserve"> exclusively uses purposive sampling since it is a descriptive study. The primary data collection approach for the </w:t>
      </w:r>
      <w:r w:rsidR="006D13C3">
        <w:t>descriptive evaluation</w:t>
      </w:r>
      <w:r>
        <w:t xml:space="preserve"> will be two rounds of semi-</w:t>
      </w:r>
      <w:r w:rsidRPr="00F26697">
        <w:t xml:space="preserve">structured </w:t>
      </w:r>
      <w:r>
        <w:t xml:space="preserve">interviews conducted by telephone and </w:t>
      </w:r>
      <w:r w:rsidR="0082682B">
        <w:t xml:space="preserve">up to </w:t>
      </w:r>
      <w:r>
        <w:t xml:space="preserve">two sets of in-person site visits with program directors, case managers and other relevant grantee staff. The first round of telephone interviews will focus on early implementation efforts. The second round will update the earlier round and will collect information to help lay the groundwork for the systems and cost studies. </w:t>
      </w:r>
      <w:r w:rsidR="008D66DD">
        <w:t>S</w:t>
      </w:r>
      <w:r>
        <w:t>ite visits will be to programs implementing promising approaches to program components of specific interest to ACF. Telephone and site visit data collection will be supplemented with data from</w:t>
      </w:r>
      <w:r w:rsidRPr="00F26697">
        <w:t xml:space="preserve"> </w:t>
      </w:r>
      <w:r>
        <w:t xml:space="preserve">PAGES and </w:t>
      </w:r>
      <w:r w:rsidR="00D05691">
        <w:t xml:space="preserve">other existing site-specific materials developed earlier by the </w:t>
      </w:r>
      <w:r w:rsidR="00D53DB1">
        <w:t>n</w:t>
      </w:r>
      <w:r w:rsidR="00D05691">
        <w:t xml:space="preserve">ational </w:t>
      </w:r>
      <w:r w:rsidR="00D53DB1">
        <w:t>e</w:t>
      </w:r>
      <w:r w:rsidR="00D05691">
        <w:t>valuation team</w:t>
      </w:r>
      <w:r>
        <w:t xml:space="preserve">. </w:t>
      </w:r>
    </w:p>
    <w:p w14:paraId="79B2589D" w14:textId="3E21918C" w:rsidR="00B35D32" w:rsidRDefault="00370912" w:rsidP="00BE2F9C">
      <w:r>
        <w:t>Pro</w:t>
      </w:r>
      <w:r w:rsidR="00B35D32">
        <w:t>tocols for the first round of de</w:t>
      </w:r>
      <w:r w:rsidR="00D97843">
        <w:t xml:space="preserve">scriptive </w:t>
      </w:r>
      <w:r w:rsidR="00127966">
        <w:t>evaluation</w:t>
      </w:r>
      <w:r w:rsidR="00D97843">
        <w:t xml:space="preserve"> data collection</w:t>
      </w:r>
      <w:r w:rsidR="00B35D32">
        <w:t xml:space="preserve"> were previously approved under OMB Control Number 0970-0462 </w:t>
      </w:r>
      <w:r w:rsidR="00D97843">
        <w:t>in June 2017</w:t>
      </w:r>
      <w:r w:rsidR="00FB0E93">
        <w:t xml:space="preserve">. </w:t>
      </w:r>
      <w:r w:rsidR="00D97843">
        <w:t xml:space="preserve">The data collection </w:t>
      </w:r>
      <w:r w:rsidR="00A35926">
        <w:t xml:space="preserve">efforts </w:t>
      </w:r>
      <w:r w:rsidR="00D97843">
        <w:t xml:space="preserve">using the grantee telephone interview and </w:t>
      </w:r>
      <w:r w:rsidR="00B42509">
        <w:t>screening guide</w:t>
      </w:r>
      <w:r w:rsidR="00A35926">
        <w:t>s</w:t>
      </w:r>
      <w:r w:rsidR="00D97843">
        <w:t xml:space="preserve"> (Instruments </w:t>
      </w:r>
      <w:r w:rsidR="00D253D0">
        <w:t>2</w:t>
      </w:r>
      <w:r w:rsidR="00D97843">
        <w:t xml:space="preserve"> and </w:t>
      </w:r>
      <w:r w:rsidR="00D253D0">
        <w:t>3</w:t>
      </w:r>
      <w:r w:rsidR="00D97843">
        <w:t xml:space="preserve">) </w:t>
      </w:r>
      <w:r w:rsidR="00A35926">
        <w:t>are</w:t>
      </w:r>
      <w:r w:rsidR="00D97843">
        <w:t xml:space="preserve"> now complete</w:t>
      </w:r>
      <w:r w:rsidR="00FB0E93">
        <w:t xml:space="preserve">. </w:t>
      </w:r>
      <w:r>
        <w:t xml:space="preserve">The site visit data collection (previously approved instrument </w:t>
      </w:r>
      <w:r w:rsidR="00D253D0">
        <w:t>4) is still underway</w:t>
      </w:r>
      <w:r w:rsidR="00FB0E93">
        <w:t xml:space="preserve">. </w:t>
      </w:r>
    </w:p>
    <w:p w14:paraId="78C50EED" w14:textId="77777777" w:rsidR="00915E66" w:rsidRDefault="00915E66" w:rsidP="00BE2F9C"/>
    <w:p w14:paraId="0F8479F7" w14:textId="77777777" w:rsidR="006E1D90" w:rsidRPr="00DB308E" w:rsidRDefault="006E1D90" w:rsidP="006E1D90">
      <w:pPr>
        <w:pStyle w:val="BodyText"/>
        <w:rPr>
          <w:u w:val="single"/>
        </w:rPr>
      </w:pPr>
      <w:r w:rsidRPr="00DB308E">
        <w:rPr>
          <w:u w:val="single"/>
        </w:rPr>
        <w:t>Site Visits</w:t>
      </w:r>
    </w:p>
    <w:p w14:paraId="6847A10A" w14:textId="267D4D99" w:rsidR="006E1D90" w:rsidRDefault="006E1D90" w:rsidP="006B0576">
      <w:r>
        <w:t xml:space="preserve">Site visits will take place at </w:t>
      </w:r>
      <w:r w:rsidR="00D1481D">
        <w:t xml:space="preserve">five to ten </w:t>
      </w:r>
      <w:r>
        <w:t xml:space="preserve">grantees participating in the National Evaluation during the first round of the </w:t>
      </w:r>
      <w:r w:rsidR="006D13C3">
        <w:t>descriptive evaluation</w:t>
      </w:r>
      <w:r>
        <w:t xml:space="preserve">. The research team will rely on data from the first round of </w:t>
      </w:r>
      <w:r w:rsidR="006D13C3">
        <w:t>descriptive evaluation</w:t>
      </w:r>
      <w:r>
        <w:t xml:space="preserve"> telephone interviews and other extant data, (such as from PAGES and </w:t>
      </w:r>
      <w:r w:rsidR="00D05691">
        <w:t xml:space="preserve">other existing site-specific materials </w:t>
      </w:r>
      <w:r w:rsidR="00D53DB1">
        <w:t>developed earlier by the n</w:t>
      </w:r>
      <w:r w:rsidR="00D05691">
        <w:t xml:space="preserve">ational </w:t>
      </w:r>
      <w:r w:rsidR="00D53DB1">
        <w:t>e</w:t>
      </w:r>
      <w:r w:rsidR="00D05691">
        <w:t>valuation team</w:t>
      </w:r>
      <w:r>
        <w:t xml:space="preserve">) to identify up to </w:t>
      </w:r>
      <w:r w:rsidR="00D1481D">
        <w:t xml:space="preserve">ten </w:t>
      </w:r>
      <w:r>
        <w:t>grantees that are implementing programs with innovative approaches to program components of interest to ACF. The national evaluation team will conduct two-person site visits to conduct this phase of the data collection (</w:t>
      </w:r>
      <w:r w:rsidR="00D97843">
        <w:t xml:space="preserve">previously approved </w:t>
      </w:r>
      <w:r>
        <w:t xml:space="preserve">Instrument 4). </w:t>
      </w:r>
    </w:p>
    <w:p w14:paraId="1EF9F233" w14:textId="759811AD" w:rsidR="006E1D90" w:rsidRPr="00165517" w:rsidRDefault="006E1D90" w:rsidP="006E1D90">
      <w:pPr>
        <w:pStyle w:val="Heading4"/>
        <w:rPr>
          <w:rFonts w:ascii="Times New Roman" w:hAnsi="Times New Roman"/>
          <w:b w:val="0"/>
          <w:color w:val="auto"/>
          <w:sz w:val="22"/>
          <w:u w:val="single"/>
        </w:rPr>
      </w:pPr>
      <w:r w:rsidRPr="00165517">
        <w:rPr>
          <w:rFonts w:ascii="Times New Roman" w:hAnsi="Times New Roman"/>
          <w:b w:val="0"/>
          <w:color w:val="auto"/>
          <w:sz w:val="22"/>
          <w:u w:val="single"/>
        </w:rPr>
        <w:t>Protocols</w:t>
      </w:r>
    </w:p>
    <w:p w14:paraId="75CD41C6" w14:textId="05BD9064" w:rsidR="006E1D90" w:rsidRDefault="006E1D90" w:rsidP="006B0576">
      <w:r>
        <w:t>The national evaluation team has</w:t>
      </w:r>
      <w:r w:rsidRPr="00370BE5">
        <w:t xml:space="preserve"> developed </w:t>
      </w:r>
      <w:r w:rsidRPr="009D176C">
        <w:t xml:space="preserve">semi-structured </w:t>
      </w:r>
      <w:r w:rsidRPr="00370BE5">
        <w:t xml:space="preserve">interview protocols for the collection of </w:t>
      </w:r>
      <w:r>
        <w:t>first round implementation telephone interviews and evaluation</w:t>
      </w:r>
      <w:r w:rsidRPr="00370BE5">
        <w:t xml:space="preserve"> site visits</w:t>
      </w:r>
      <w:r w:rsidR="00D53DB1">
        <w:t xml:space="preserve"> (Instruments 3 and 4)</w:t>
      </w:r>
      <w:r>
        <w:t xml:space="preserve">. </w:t>
      </w:r>
      <w:r w:rsidRPr="00456036">
        <w:t>All protocols begin with a brief introductory script that summarizes the overall evaluation</w:t>
      </w:r>
      <w:r>
        <w:t>,</w:t>
      </w:r>
      <w:r w:rsidRPr="00456036">
        <w:t xml:space="preserve"> the focus of each interview, how respondent privacy will be protected, and how data will be aggregated</w:t>
      </w:r>
      <w:r>
        <w:t>.</w:t>
      </w:r>
    </w:p>
    <w:p w14:paraId="7796725A" w14:textId="77777777" w:rsidR="00503D9C" w:rsidRDefault="006E1D90" w:rsidP="006B0576">
      <w:pPr>
        <w:pStyle w:val="Heading4"/>
      </w:pPr>
      <w:r w:rsidRPr="003633D6">
        <w:t xml:space="preserve">National Evaluation Impact </w:t>
      </w:r>
      <w:r w:rsidR="006D13C3">
        <w:t>Evaluation</w:t>
      </w:r>
      <w:r w:rsidR="006D13C3" w:rsidRPr="003633D6">
        <w:t xml:space="preserve"> </w:t>
      </w:r>
    </w:p>
    <w:p w14:paraId="5E61526C" w14:textId="61ADE64C" w:rsidR="006E1D90" w:rsidRPr="00BE2F9C" w:rsidRDefault="006E1D90" w:rsidP="006B0576">
      <w:pPr>
        <w:rPr>
          <w:u w:val="single"/>
        </w:rPr>
      </w:pPr>
      <w:r w:rsidRPr="00BE2F9C">
        <w:rPr>
          <w:u w:val="single"/>
        </w:rPr>
        <w:t xml:space="preserve">Participant </w:t>
      </w:r>
      <w:r w:rsidR="001320A4" w:rsidRPr="00BE2F9C">
        <w:rPr>
          <w:u w:val="single"/>
        </w:rPr>
        <w:t>Contact Update Request</w:t>
      </w:r>
      <w:r w:rsidRPr="00BE2F9C">
        <w:rPr>
          <w:u w:val="single"/>
        </w:rPr>
        <w:t xml:space="preserve"> Procedures</w:t>
      </w:r>
    </w:p>
    <w:p w14:paraId="56A3DF10" w14:textId="28D97C9B" w:rsidR="006E1D90" w:rsidRDefault="006E1D90" w:rsidP="006B0576">
      <w:r>
        <w:t xml:space="preserve">The participant </w:t>
      </w:r>
      <w:r w:rsidR="001320A4">
        <w:t xml:space="preserve">contact update </w:t>
      </w:r>
      <w:r>
        <w:t xml:space="preserve">efforts for the impact </w:t>
      </w:r>
      <w:r w:rsidR="006D13C3">
        <w:t xml:space="preserve">evaluation </w:t>
      </w:r>
      <w:r>
        <w:t xml:space="preserve">begin with the study participants who are randomly assigned to the study </w:t>
      </w:r>
      <w:r w:rsidR="00986007">
        <w:t xml:space="preserve">beginning in </w:t>
      </w:r>
      <w:r>
        <w:t xml:space="preserve">March 2017. All study participants enrolled during this timeframe will be included in </w:t>
      </w:r>
      <w:r w:rsidR="001320A4">
        <w:t>this effort</w:t>
      </w:r>
      <w:r>
        <w:t>. The participant contact update form</w:t>
      </w:r>
      <w:r w:rsidR="00D97843">
        <w:t>—previously approved in June 2017—</w:t>
      </w:r>
      <w:r>
        <w:t>will be self-administered (Instrument 5</w:t>
      </w:r>
      <w:r w:rsidR="00986007">
        <w:t>b</w:t>
      </w:r>
      <w:r>
        <w:t xml:space="preserve">). The form will be mailed to sample members quarterly, beginning three months after random assignment. Participants will be encouraged to </w:t>
      </w:r>
      <w:r w:rsidR="001320A4">
        <w:t xml:space="preserve">respond by </w:t>
      </w:r>
      <w:r>
        <w:t>return</w:t>
      </w:r>
      <w:r w:rsidR="001320A4">
        <w:t>ing</w:t>
      </w:r>
      <w:r>
        <w:t xml:space="preserve"> the form by mail, through a secure online portal, or </w:t>
      </w:r>
      <w:r w:rsidR="001320A4">
        <w:t>they can</w:t>
      </w:r>
      <w:r>
        <w:t xml:space="preserve"> update their contact information by phone. Participants can indicate that the information is correct or they can make any necessary changes in contact information. </w:t>
      </w:r>
    </w:p>
    <w:p w14:paraId="775FBC3A" w14:textId="04598A37" w:rsidR="00087303" w:rsidRPr="00BE2F9C" w:rsidRDefault="00087303" w:rsidP="006B0576">
      <w:pPr>
        <w:rPr>
          <w:u w:val="single"/>
        </w:rPr>
      </w:pPr>
      <w:r w:rsidRPr="00BE2F9C">
        <w:rPr>
          <w:u w:val="single"/>
        </w:rPr>
        <w:t xml:space="preserve">Short-Term </w:t>
      </w:r>
      <w:r w:rsidR="00BE2F9C">
        <w:rPr>
          <w:u w:val="single"/>
        </w:rPr>
        <w:t>Follow-up S</w:t>
      </w:r>
      <w:r w:rsidRPr="00BE2F9C">
        <w:rPr>
          <w:u w:val="single"/>
        </w:rPr>
        <w:t xml:space="preserve">urvey </w:t>
      </w:r>
      <w:r w:rsidR="00503D9C" w:rsidRPr="00BE2F9C">
        <w:rPr>
          <w:u w:val="single"/>
        </w:rPr>
        <w:t>Procedures</w:t>
      </w:r>
    </w:p>
    <w:p w14:paraId="7BE0E03A" w14:textId="662F30A6" w:rsidR="005E7F67" w:rsidRPr="008D2618" w:rsidRDefault="00D97843" w:rsidP="006B0576">
      <w:r>
        <w:t xml:space="preserve">This information </w:t>
      </w:r>
      <w:r w:rsidR="00657CCC">
        <w:t xml:space="preserve">collection </w:t>
      </w:r>
      <w:r>
        <w:t xml:space="preserve">request covers the Short-Term </w:t>
      </w:r>
      <w:r w:rsidR="00D12DEB">
        <w:t xml:space="preserve">Follow-up </w:t>
      </w:r>
      <w:r w:rsidR="00C15953">
        <w:t>S</w:t>
      </w:r>
      <w:r>
        <w:t>urvey</w:t>
      </w:r>
      <w:r w:rsidR="00FB0E93">
        <w:t xml:space="preserve">. </w:t>
      </w:r>
      <w:r w:rsidR="005E7F67">
        <w:t xml:space="preserve">Prior to the </w:t>
      </w:r>
      <w:r w:rsidR="00BE2F9C">
        <w:t>start of data collection,</w:t>
      </w:r>
      <w:r w:rsidR="005E7F67">
        <w:t xml:space="preserve"> </w:t>
      </w:r>
      <w:r w:rsidR="00910E05">
        <w:t xml:space="preserve">the evaluator will recruit and train a team of local </w:t>
      </w:r>
      <w:r w:rsidR="005E7F67">
        <w:t>interviewers</w:t>
      </w:r>
      <w:r w:rsidR="00FB0E93">
        <w:rPr>
          <w:rStyle w:val="CommentReference"/>
        </w:rPr>
        <w:t xml:space="preserve">. </w:t>
      </w:r>
      <w:r w:rsidR="00972ED7">
        <w:rPr>
          <w:rStyle w:val="CommentReference"/>
          <w:sz w:val="22"/>
        </w:rPr>
        <w:t xml:space="preserve">The team will </w:t>
      </w:r>
      <w:r w:rsidR="00BE2F9C">
        <w:rPr>
          <w:rStyle w:val="CommentReference"/>
          <w:sz w:val="22"/>
        </w:rPr>
        <w:t xml:space="preserve">also </w:t>
      </w:r>
      <w:r w:rsidR="00972ED7">
        <w:rPr>
          <w:rStyle w:val="CommentReference"/>
          <w:sz w:val="22"/>
        </w:rPr>
        <w:t>send a</w:t>
      </w:r>
      <w:r w:rsidR="005E7F67">
        <w:t xml:space="preserve">n advance letter </w:t>
      </w:r>
      <w:r w:rsidR="00FE2867">
        <w:t xml:space="preserve">to all participants selected for the </w:t>
      </w:r>
      <w:r w:rsidR="00127966">
        <w:t xml:space="preserve">Short-Term Follow-up Survey </w:t>
      </w:r>
      <w:r w:rsidR="00FE2867">
        <w:t>data collection</w:t>
      </w:r>
      <w:r w:rsidR="00972ED7">
        <w:t xml:space="preserve"> </w:t>
      </w:r>
      <w:r w:rsidR="00EE36CD">
        <w:t>effort.</w:t>
      </w:r>
      <w:r w:rsidR="00FE2867">
        <w:t xml:space="preserve"> </w:t>
      </w:r>
    </w:p>
    <w:p w14:paraId="7D071384" w14:textId="02F2E139" w:rsidR="005E7F67" w:rsidRDefault="005E7F67" w:rsidP="00A35926">
      <w:pPr>
        <w:pStyle w:val="BodyText"/>
        <w:numPr>
          <w:ilvl w:val="0"/>
          <w:numId w:val="27"/>
        </w:numPr>
        <w:spacing w:after="200" w:line="276" w:lineRule="auto"/>
      </w:pPr>
      <w:r>
        <w:rPr>
          <w:b/>
          <w:i/>
        </w:rPr>
        <w:t>Interviewer Staffing</w:t>
      </w:r>
      <w:r w:rsidRPr="001920AC">
        <w:rPr>
          <w:b/>
          <w:i/>
        </w:rPr>
        <w:t>:</w:t>
      </w:r>
      <w:r>
        <w:t xml:space="preserve">  An experienced, trained staff of </w:t>
      </w:r>
      <w:r w:rsidR="00FE2867">
        <w:t xml:space="preserve">local </w:t>
      </w:r>
      <w:r>
        <w:t xml:space="preserve">interviewers will conduct the HPOG 2.0 Short-Term </w:t>
      </w:r>
      <w:r w:rsidR="00BE2F9C">
        <w:t xml:space="preserve">Follow-up </w:t>
      </w:r>
      <w:r w:rsidR="00C15953">
        <w:t>S</w:t>
      </w:r>
      <w:r>
        <w:t>urvey, starting 15 months after randomization.</w:t>
      </w:r>
      <w:r w:rsidR="00F22E63">
        <w:t xml:space="preserve"> </w:t>
      </w:r>
      <w:r>
        <w:t>The training includes didactic presentations, numerous hands-on practice exercises, and role-play interviews</w:t>
      </w:r>
      <w:r w:rsidR="00FB0E93">
        <w:t xml:space="preserve">. </w:t>
      </w:r>
      <w:r w:rsidR="00972ED7">
        <w:t>The evaluator’s training materials will place s</w:t>
      </w:r>
      <w:r>
        <w:t>pecial emphasis on project knowledge and sample complexity, gaining cooperation, refusal aversion, and refusal conversion</w:t>
      </w:r>
      <w:r w:rsidR="00FB0E93">
        <w:t xml:space="preserve">. </w:t>
      </w:r>
    </w:p>
    <w:p w14:paraId="1384B84D" w14:textId="53EFC5C0" w:rsidR="005E7F67" w:rsidRPr="00793D89" w:rsidRDefault="005E7F67" w:rsidP="00A35926">
      <w:pPr>
        <w:spacing w:after="200" w:line="276" w:lineRule="auto"/>
        <w:ind w:left="720"/>
      </w:pPr>
      <w:r w:rsidRPr="00793D89">
        <w:t xml:space="preserve">Abt maintains a roster of approximately 1,700 experienced </w:t>
      </w:r>
      <w:r>
        <w:t>in-person</w:t>
      </w:r>
      <w:r w:rsidRPr="00793D89">
        <w:t xml:space="preserve"> </w:t>
      </w:r>
      <w:r>
        <w:t>interviewers</w:t>
      </w:r>
      <w:r w:rsidRPr="00793D89">
        <w:t xml:space="preserve"> across the country</w:t>
      </w:r>
      <w:r w:rsidR="00FB0E93">
        <w:t xml:space="preserve">. </w:t>
      </w:r>
      <w:r>
        <w:t>T</w:t>
      </w:r>
      <w:r w:rsidRPr="0011475A">
        <w:t xml:space="preserve">o the extent possible, the new study will recruit in-person interviewers who worked successfully on </w:t>
      </w:r>
      <w:r>
        <w:t xml:space="preserve">prior career pathways studies for ACF (such as </w:t>
      </w:r>
      <w:r w:rsidR="00FE2867">
        <w:t xml:space="preserve">first round </w:t>
      </w:r>
      <w:r>
        <w:t>HPOG</w:t>
      </w:r>
      <w:r w:rsidR="00FE2867">
        <w:t xml:space="preserve"> Impact</w:t>
      </w:r>
      <w:r>
        <w:t xml:space="preserve"> </w:t>
      </w:r>
      <w:r w:rsidR="005F3619">
        <w:t xml:space="preserve">and PACE </w:t>
      </w:r>
      <w:r>
        <w:t>15-month</w:t>
      </w:r>
      <w:r w:rsidR="005F3619">
        <w:t>,</w:t>
      </w:r>
      <w:r>
        <w:t xml:space="preserve"> 36-month</w:t>
      </w:r>
      <w:r w:rsidR="005F3619">
        <w:t>, and 72-month</w:t>
      </w:r>
      <w:r>
        <w:t xml:space="preserve"> </w:t>
      </w:r>
      <w:r w:rsidRPr="0011475A">
        <w:t>surveys</w:t>
      </w:r>
      <w:r w:rsidR="00FE2867">
        <w:t xml:space="preserve"> </w:t>
      </w:r>
      <w:r w:rsidR="005F3619">
        <w:t>under OMB control numbers 0970-0394 and 0979-0397 respectively)</w:t>
      </w:r>
      <w:r>
        <w:t>)</w:t>
      </w:r>
      <w:r w:rsidR="00FB0E93">
        <w:t xml:space="preserve">. </w:t>
      </w:r>
      <w:r>
        <w:t>T</w:t>
      </w:r>
      <w:r w:rsidRPr="00793D89">
        <w:t>hese interviewers</w:t>
      </w:r>
      <w:r>
        <w:t xml:space="preserve"> are familiar with the career pathways model and study goals, and they have</w:t>
      </w:r>
      <w:r w:rsidRPr="00793D89">
        <w:t xml:space="preserve"> valuable experience locating difficult-to-reach respondents</w:t>
      </w:r>
      <w:r w:rsidR="00EF7A96">
        <w:t xml:space="preserve">. </w:t>
      </w:r>
      <w:r w:rsidR="005F3619">
        <w:t xml:space="preserve">We will also recruit other in-person interviewers with expert locating skills to ensure that the needs of </w:t>
      </w:r>
      <w:r w:rsidR="00BD2F7C">
        <w:t>all</w:t>
      </w:r>
      <w:r w:rsidR="005F3619">
        <w:t xml:space="preserve"> studies are met successfully.</w:t>
      </w:r>
    </w:p>
    <w:p w14:paraId="659F1380" w14:textId="2DC4DD61" w:rsidR="005E7F67" w:rsidRPr="0011475A" w:rsidRDefault="005E7F67" w:rsidP="00A35926">
      <w:pPr>
        <w:spacing w:after="200" w:line="276" w:lineRule="auto"/>
        <w:ind w:left="720"/>
      </w:pPr>
      <w:r w:rsidRPr="00793D89">
        <w:t xml:space="preserve">All potential </w:t>
      </w:r>
      <w:r>
        <w:t>in-person</w:t>
      </w:r>
      <w:r w:rsidRPr="00793D89">
        <w:t xml:space="preserve"> </w:t>
      </w:r>
      <w:r>
        <w:t>interviewers</w:t>
      </w:r>
      <w:r w:rsidRPr="00793D89">
        <w:t xml:space="preserve"> will be carefully screened for their overall suitability and ability to work within the project’s schedule, as well as the specific skill sets and experience needed for th</w:t>
      </w:r>
      <w:r w:rsidR="00BE2F9C">
        <w:t>is</w:t>
      </w:r>
      <w:r w:rsidRPr="00793D89">
        <w:t xml:space="preserve"> study</w:t>
      </w:r>
      <w:r>
        <w:t xml:space="preserve"> (e.g., </w:t>
      </w:r>
      <w:r w:rsidRPr="0011475A">
        <w:t>previous in-</w:t>
      </w:r>
      <w:r w:rsidRPr="009660DC">
        <w:t>person</w:t>
      </w:r>
      <w:r w:rsidRPr="0011475A">
        <w:t xml:space="preserve"> data collection experience, strong test scores for accurately recording information, attention to detail, reliability, and self-discipline)</w:t>
      </w:r>
      <w:r w:rsidR="00FB0E93">
        <w:t xml:space="preserve">. </w:t>
      </w:r>
    </w:p>
    <w:p w14:paraId="22BBF1D0" w14:textId="51607F3F" w:rsidR="005E7F67" w:rsidRPr="00C71FEC" w:rsidRDefault="005E7F67" w:rsidP="00A35926">
      <w:pPr>
        <w:pStyle w:val="BodyText"/>
        <w:numPr>
          <w:ilvl w:val="0"/>
          <w:numId w:val="27"/>
        </w:numPr>
        <w:spacing w:after="200" w:line="276" w:lineRule="auto"/>
      </w:pPr>
      <w:bookmarkStart w:id="19" w:name="_Ref414435647"/>
      <w:bookmarkStart w:id="20" w:name="_Toc480878623"/>
      <w:bookmarkStart w:id="21" w:name="_Toc480903474"/>
      <w:r w:rsidRPr="00C71FEC">
        <w:rPr>
          <w:b/>
          <w:i/>
          <w:szCs w:val="22"/>
        </w:rPr>
        <w:t>Advance Letter:</w:t>
      </w:r>
      <w:r w:rsidRPr="001920AC">
        <w:rPr>
          <w:b/>
          <w:szCs w:val="22"/>
        </w:rPr>
        <w:t xml:space="preserve">  </w:t>
      </w:r>
      <w:r w:rsidRPr="00C71FEC">
        <w:rPr>
          <w:szCs w:val="22"/>
        </w:rPr>
        <w:t xml:space="preserve">To support the </w:t>
      </w:r>
      <w:r w:rsidR="00127966">
        <w:rPr>
          <w:szCs w:val="22"/>
        </w:rPr>
        <w:t xml:space="preserve">Short-Term Follow-up </w:t>
      </w:r>
      <w:r w:rsidR="002F5068">
        <w:rPr>
          <w:szCs w:val="22"/>
        </w:rPr>
        <w:t>Survey</w:t>
      </w:r>
      <w:r w:rsidR="002F5068" w:rsidRPr="00C71FEC">
        <w:rPr>
          <w:szCs w:val="22"/>
        </w:rPr>
        <w:t xml:space="preserve"> effort</w:t>
      </w:r>
      <w:r w:rsidRPr="00C71FEC">
        <w:rPr>
          <w:szCs w:val="22"/>
        </w:rPr>
        <w:t>, an advance letter will be mailed to</w:t>
      </w:r>
      <w:r w:rsidR="00CB76CE">
        <w:rPr>
          <w:szCs w:val="22"/>
        </w:rPr>
        <w:t xml:space="preserve"> study </w:t>
      </w:r>
      <w:r w:rsidRPr="00C71FEC">
        <w:rPr>
          <w:szCs w:val="22"/>
        </w:rPr>
        <w:t>participants</w:t>
      </w:r>
      <w:r w:rsidR="00CB76CE">
        <w:rPr>
          <w:szCs w:val="22"/>
        </w:rPr>
        <w:t xml:space="preserve"> selected to participate in the survey</w:t>
      </w:r>
      <w:r w:rsidRPr="00C71FEC">
        <w:rPr>
          <w:szCs w:val="22"/>
        </w:rPr>
        <w:t xml:space="preserve"> approximately one and a half weeks before </w:t>
      </w:r>
      <w:r w:rsidR="00FE2867">
        <w:rPr>
          <w:szCs w:val="22"/>
        </w:rPr>
        <w:t>interviewers begin the data collection</w:t>
      </w:r>
      <w:r w:rsidR="00FB0E93">
        <w:rPr>
          <w:szCs w:val="22"/>
        </w:rPr>
        <w:t xml:space="preserve">. </w:t>
      </w:r>
      <w:r w:rsidRPr="00C71FEC">
        <w:rPr>
          <w:rFonts w:eastAsiaTheme="minorHAnsi"/>
          <w:szCs w:val="22"/>
        </w:rPr>
        <w:t>The advance letter serves as a way to re-engage the participant in the study</w:t>
      </w:r>
      <w:r>
        <w:rPr>
          <w:rFonts w:eastAsiaTheme="minorHAnsi"/>
          <w:szCs w:val="22"/>
        </w:rPr>
        <w:t xml:space="preserve"> and</w:t>
      </w:r>
      <w:r w:rsidRPr="00C71FEC">
        <w:rPr>
          <w:rFonts w:eastAsiaTheme="minorHAnsi"/>
          <w:szCs w:val="22"/>
        </w:rPr>
        <w:t xml:space="preserve"> alert them to the upcoming effort so that they are more prepared for the interviewer’s call</w:t>
      </w:r>
      <w:r w:rsidR="00FB0E93">
        <w:rPr>
          <w:rFonts w:eastAsiaTheme="minorHAnsi"/>
          <w:szCs w:val="22"/>
        </w:rPr>
        <w:t xml:space="preserve">. </w:t>
      </w:r>
      <w:r>
        <w:rPr>
          <w:rFonts w:eastAsiaTheme="minorHAnsi"/>
          <w:szCs w:val="22"/>
        </w:rPr>
        <w:t>(</w:t>
      </w:r>
      <w:r w:rsidRPr="00A35926">
        <w:rPr>
          <w:rFonts w:eastAsiaTheme="minorHAnsi"/>
          <w:szCs w:val="22"/>
        </w:rPr>
        <w:t xml:space="preserve">See </w:t>
      </w:r>
      <w:r w:rsidR="00FE2867" w:rsidRPr="00A35926">
        <w:rPr>
          <w:rFonts w:eastAsiaTheme="minorHAnsi"/>
          <w:szCs w:val="22"/>
        </w:rPr>
        <w:t>Attachment</w:t>
      </w:r>
      <w:r w:rsidRPr="00A35926">
        <w:rPr>
          <w:rFonts w:eastAsiaTheme="minorHAnsi"/>
          <w:szCs w:val="22"/>
        </w:rPr>
        <w:t xml:space="preserve"> </w:t>
      </w:r>
      <w:r w:rsidR="00A35926">
        <w:rPr>
          <w:rFonts w:eastAsiaTheme="minorHAnsi"/>
          <w:szCs w:val="22"/>
        </w:rPr>
        <w:t>K</w:t>
      </w:r>
      <w:r>
        <w:rPr>
          <w:rFonts w:eastAsiaTheme="minorHAnsi"/>
          <w:szCs w:val="22"/>
        </w:rPr>
        <w:t xml:space="preserve">.)  </w:t>
      </w:r>
    </w:p>
    <w:p w14:paraId="1F388A03" w14:textId="6E545B70" w:rsidR="005E7F67" w:rsidRDefault="005E7F67" w:rsidP="00A35926">
      <w:pPr>
        <w:pStyle w:val="BodyText"/>
        <w:spacing w:after="200" w:line="276" w:lineRule="auto"/>
        <w:ind w:left="720"/>
        <w:rPr>
          <w:rFonts w:eastAsiaTheme="minorHAnsi"/>
          <w:szCs w:val="22"/>
        </w:rPr>
      </w:pPr>
      <w:r w:rsidRPr="001920AC">
        <w:rPr>
          <w:szCs w:val="22"/>
        </w:rPr>
        <w:t xml:space="preserve">The </w:t>
      </w:r>
      <w:r w:rsidR="00BE2F9C">
        <w:rPr>
          <w:szCs w:val="22"/>
        </w:rPr>
        <w:t xml:space="preserve">evaluators will update the </w:t>
      </w:r>
      <w:r w:rsidRPr="001920AC">
        <w:rPr>
          <w:szCs w:val="22"/>
        </w:rPr>
        <w:t xml:space="preserve">sample </w:t>
      </w:r>
      <w:r w:rsidR="00BE2F9C">
        <w:rPr>
          <w:szCs w:val="22"/>
        </w:rPr>
        <w:t>database</w:t>
      </w:r>
      <w:r w:rsidRPr="001920AC">
        <w:rPr>
          <w:szCs w:val="22"/>
        </w:rPr>
        <w:t xml:space="preserve"> prior to mailing </w:t>
      </w:r>
      <w:r>
        <w:rPr>
          <w:szCs w:val="22"/>
        </w:rPr>
        <w:t xml:space="preserve">advance letters </w:t>
      </w:r>
      <w:r w:rsidRPr="001920AC">
        <w:rPr>
          <w:szCs w:val="22"/>
        </w:rPr>
        <w:t>to help ensure that the letter is mailed to the most up to date address</w:t>
      </w:r>
      <w:r w:rsidR="00FB0E93">
        <w:rPr>
          <w:szCs w:val="22"/>
        </w:rPr>
        <w:t xml:space="preserve">. </w:t>
      </w:r>
      <w:r w:rsidR="00FE2867">
        <w:rPr>
          <w:szCs w:val="22"/>
        </w:rPr>
        <w:t>The</w:t>
      </w:r>
      <w:r w:rsidR="00BE2F9C">
        <w:rPr>
          <w:szCs w:val="22"/>
        </w:rPr>
        <w:t xml:space="preserve"> evaluators will use </w:t>
      </w:r>
      <w:r w:rsidR="00972ED7">
        <w:rPr>
          <w:szCs w:val="22"/>
        </w:rPr>
        <w:t>address data</w:t>
      </w:r>
      <w:r w:rsidR="00BE2F9C">
        <w:rPr>
          <w:szCs w:val="22"/>
        </w:rPr>
        <w:t xml:space="preserve"> from </w:t>
      </w:r>
      <w:r w:rsidR="00FE2867">
        <w:rPr>
          <w:szCs w:val="22"/>
        </w:rPr>
        <w:t>the quarterly contact update requests and matches to proprietary databases</w:t>
      </w:r>
      <w:r w:rsidR="00BE2F9C">
        <w:rPr>
          <w:szCs w:val="22"/>
        </w:rPr>
        <w:t xml:space="preserve"> to update the sample database</w:t>
      </w:r>
      <w:r w:rsidR="00FB0E93">
        <w:rPr>
          <w:szCs w:val="22"/>
        </w:rPr>
        <w:t xml:space="preserve">. </w:t>
      </w:r>
      <w:r w:rsidRPr="001920AC">
        <w:rPr>
          <w:szCs w:val="22"/>
        </w:rPr>
        <w:t>Th</w:t>
      </w:r>
      <w:r>
        <w:rPr>
          <w:szCs w:val="22"/>
        </w:rPr>
        <w:t xml:space="preserve">e </w:t>
      </w:r>
      <w:r w:rsidR="00972ED7">
        <w:rPr>
          <w:szCs w:val="22"/>
        </w:rPr>
        <w:t xml:space="preserve">team </w:t>
      </w:r>
      <w:r w:rsidR="001D089A">
        <w:rPr>
          <w:szCs w:val="22"/>
        </w:rPr>
        <w:t>will send</w:t>
      </w:r>
      <w:r w:rsidR="00972ED7">
        <w:rPr>
          <w:szCs w:val="22"/>
        </w:rPr>
        <w:t xml:space="preserve"> a personalized </w:t>
      </w:r>
      <w:r>
        <w:rPr>
          <w:szCs w:val="22"/>
        </w:rPr>
        <w:t xml:space="preserve">advance letter </w:t>
      </w:r>
      <w:r w:rsidR="00972ED7">
        <w:rPr>
          <w:szCs w:val="22"/>
        </w:rPr>
        <w:t>to each</w:t>
      </w:r>
      <w:r w:rsidR="001D089A">
        <w:rPr>
          <w:szCs w:val="22"/>
        </w:rPr>
        <w:t xml:space="preserve"> selected study</w:t>
      </w:r>
      <w:r w:rsidR="00972ED7">
        <w:rPr>
          <w:szCs w:val="22"/>
        </w:rPr>
        <w:t xml:space="preserve"> </w:t>
      </w:r>
      <w:r w:rsidR="001D089A">
        <w:rPr>
          <w:szCs w:val="22"/>
        </w:rPr>
        <w:t>participant</w:t>
      </w:r>
      <w:r w:rsidR="00FB0E93">
        <w:rPr>
          <w:szCs w:val="22"/>
        </w:rPr>
        <w:t xml:space="preserve">. </w:t>
      </w:r>
      <w:r w:rsidR="00F40156">
        <w:rPr>
          <w:szCs w:val="22"/>
        </w:rPr>
        <w:t xml:space="preserve">The advance </w:t>
      </w:r>
      <w:r w:rsidRPr="001920AC">
        <w:rPr>
          <w:szCs w:val="22"/>
        </w:rPr>
        <w:t xml:space="preserve">letter </w:t>
      </w:r>
      <w:r w:rsidR="00CB76CE">
        <w:rPr>
          <w:szCs w:val="22"/>
        </w:rPr>
        <w:t>will</w:t>
      </w:r>
      <w:r w:rsidR="00F40156">
        <w:rPr>
          <w:szCs w:val="22"/>
        </w:rPr>
        <w:t xml:space="preserve"> </w:t>
      </w:r>
      <w:r w:rsidRPr="001920AC">
        <w:rPr>
          <w:szCs w:val="22"/>
        </w:rPr>
        <w:t xml:space="preserve">remind </w:t>
      </w:r>
      <w:r w:rsidR="00BE2F9C">
        <w:rPr>
          <w:szCs w:val="22"/>
        </w:rPr>
        <w:t>each selected</w:t>
      </w:r>
      <w:r w:rsidR="00F50A7A">
        <w:rPr>
          <w:szCs w:val="22"/>
        </w:rPr>
        <w:t xml:space="preserve"> </w:t>
      </w:r>
      <w:r w:rsidR="00EE36CD">
        <w:rPr>
          <w:szCs w:val="22"/>
        </w:rPr>
        <w:t>participant</w:t>
      </w:r>
      <w:r w:rsidRPr="001920AC">
        <w:rPr>
          <w:szCs w:val="22"/>
        </w:rPr>
        <w:t xml:space="preserve"> </w:t>
      </w:r>
      <w:r w:rsidR="00C8195A">
        <w:rPr>
          <w:szCs w:val="22"/>
        </w:rPr>
        <w:t xml:space="preserve">who </w:t>
      </w:r>
      <w:r w:rsidR="002F5068">
        <w:rPr>
          <w:szCs w:val="22"/>
        </w:rPr>
        <w:t xml:space="preserve">agreed </w:t>
      </w:r>
      <w:r w:rsidR="002F5068" w:rsidRPr="001920AC">
        <w:rPr>
          <w:szCs w:val="22"/>
        </w:rPr>
        <w:t>to</w:t>
      </w:r>
      <w:r w:rsidRPr="001920AC">
        <w:rPr>
          <w:szCs w:val="22"/>
        </w:rPr>
        <w:t xml:space="preserve"> participate in the study</w:t>
      </w:r>
      <w:r w:rsidR="00C8195A">
        <w:rPr>
          <w:szCs w:val="22"/>
        </w:rPr>
        <w:t xml:space="preserve"> about the timing of the upcoming data collection effort, th</w:t>
      </w:r>
      <w:r w:rsidR="00525E74">
        <w:rPr>
          <w:szCs w:val="22"/>
        </w:rPr>
        <w:t>e voluntary nature of</w:t>
      </w:r>
      <w:r w:rsidR="00C8195A">
        <w:rPr>
          <w:szCs w:val="22"/>
        </w:rPr>
        <w:t xml:space="preserve"> participation</w:t>
      </w:r>
      <w:r w:rsidR="00525E74">
        <w:rPr>
          <w:szCs w:val="22"/>
        </w:rPr>
        <w:t xml:space="preserve">, </w:t>
      </w:r>
      <w:r w:rsidR="00C8195A">
        <w:rPr>
          <w:szCs w:val="22"/>
        </w:rPr>
        <w:t xml:space="preserve">and </w:t>
      </w:r>
      <w:r w:rsidR="00681757">
        <w:rPr>
          <w:szCs w:val="22"/>
        </w:rPr>
        <w:t>that researche</w:t>
      </w:r>
      <w:r w:rsidR="00C8195A">
        <w:rPr>
          <w:szCs w:val="22"/>
        </w:rPr>
        <w:t>r</w:t>
      </w:r>
      <w:r w:rsidR="00681757">
        <w:rPr>
          <w:szCs w:val="22"/>
        </w:rPr>
        <w:t>s will keep all answers private</w:t>
      </w:r>
      <w:r w:rsidR="00FB0E93">
        <w:rPr>
          <w:szCs w:val="22"/>
        </w:rPr>
        <w:t xml:space="preserve">. </w:t>
      </w:r>
      <w:r>
        <w:rPr>
          <w:szCs w:val="22"/>
        </w:rPr>
        <w:t>The letter</w:t>
      </w:r>
      <w:r w:rsidRPr="001920AC">
        <w:rPr>
          <w:szCs w:val="22"/>
        </w:rPr>
        <w:t xml:space="preserve"> provides </w:t>
      </w:r>
      <w:r w:rsidR="00681757">
        <w:rPr>
          <w:szCs w:val="22"/>
        </w:rPr>
        <w:t>each</w:t>
      </w:r>
      <w:r w:rsidR="00F50A7A">
        <w:rPr>
          <w:szCs w:val="22"/>
        </w:rPr>
        <w:t xml:space="preserve"> </w:t>
      </w:r>
      <w:r w:rsidR="00525E74">
        <w:rPr>
          <w:szCs w:val="22"/>
        </w:rPr>
        <w:t>s</w:t>
      </w:r>
      <w:r w:rsidR="00CB76CE">
        <w:rPr>
          <w:szCs w:val="22"/>
        </w:rPr>
        <w:t>elected</w:t>
      </w:r>
      <w:r w:rsidR="00681757">
        <w:rPr>
          <w:szCs w:val="22"/>
        </w:rPr>
        <w:t xml:space="preserve"> study </w:t>
      </w:r>
      <w:r w:rsidR="00CB76CE">
        <w:rPr>
          <w:szCs w:val="22"/>
        </w:rPr>
        <w:t>participant</w:t>
      </w:r>
      <w:r w:rsidRPr="001920AC">
        <w:rPr>
          <w:szCs w:val="22"/>
        </w:rPr>
        <w:t xml:space="preserve"> with a toll-free number that </w:t>
      </w:r>
      <w:r w:rsidR="00525E74">
        <w:rPr>
          <w:szCs w:val="22"/>
        </w:rPr>
        <w:t>he/she</w:t>
      </w:r>
      <w:r w:rsidR="00525E74" w:rsidRPr="001920AC">
        <w:rPr>
          <w:szCs w:val="22"/>
        </w:rPr>
        <w:t xml:space="preserve"> </w:t>
      </w:r>
      <w:r w:rsidR="00E82648">
        <w:rPr>
          <w:szCs w:val="22"/>
        </w:rPr>
        <w:t>can</w:t>
      </w:r>
      <w:r w:rsidR="00E82648" w:rsidRPr="001920AC">
        <w:rPr>
          <w:szCs w:val="22"/>
        </w:rPr>
        <w:t xml:space="preserve"> </w:t>
      </w:r>
      <w:r w:rsidRPr="001920AC">
        <w:rPr>
          <w:szCs w:val="22"/>
        </w:rPr>
        <w:t>call to set-up an interview</w:t>
      </w:r>
      <w:r w:rsidR="00FB0E93">
        <w:rPr>
          <w:szCs w:val="22"/>
        </w:rPr>
        <w:t xml:space="preserve">. </w:t>
      </w:r>
      <w:r w:rsidR="00FE2867">
        <w:rPr>
          <w:rFonts w:eastAsiaTheme="minorHAnsi"/>
          <w:szCs w:val="22"/>
        </w:rPr>
        <w:t>Interviewers may</w:t>
      </w:r>
      <w:r w:rsidRPr="001920AC">
        <w:rPr>
          <w:rFonts w:eastAsiaTheme="minorHAnsi"/>
          <w:szCs w:val="22"/>
        </w:rPr>
        <w:t xml:space="preserve"> send an email version of the advance letter to participants </w:t>
      </w:r>
      <w:r>
        <w:rPr>
          <w:rFonts w:eastAsiaTheme="minorHAnsi"/>
          <w:szCs w:val="22"/>
        </w:rPr>
        <w:t>for whom we have</w:t>
      </w:r>
      <w:r w:rsidRPr="001920AC">
        <w:rPr>
          <w:rFonts w:eastAsiaTheme="minorHAnsi"/>
          <w:szCs w:val="22"/>
        </w:rPr>
        <w:t xml:space="preserve"> email addresses</w:t>
      </w:r>
      <w:r>
        <w:rPr>
          <w:rFonts w:eastAsiaTheme="minorHAnsi"/>
          <w:szCs w:val="22"/>
        </w:rPr>
        <w:t xml:space="preserve"> if we do not have success reaching them early in the field period.</w:t>
      </w:r>
    </w:p>
    <w:p w14:paraId="57135993" w14:textId="7630B00C" w:rsidR="005E7F67" w:rsidRDefault="005E7F67" w:rsidP="00525E74">
      <w:pPr>
        <w:pStyle w:val="BodyText"/>
        <w:numPr>
          <w:ilvl w:val="0"/>
          <w:numId w:val="27"/>
        </w:numPr>
        <w:spacing w:after="200" w:line="276" w:lineRule="auto"/>
      </w:pPr>
      <w:r w:rsidRPr="001920AC">
        <w:rPr>
          <w:rFonts w:eastAsiaTheme="minorHAnsi"/>
          <w:b/>
          <w:i/>
          <w:szCs w:val="22"/>
        </w:rPr>
        <w:t xml:space="preserve">Email Reminder:  </w:t>
      </w:r>
      <w:r>
        <w:t>I</w:t>
      </w:r>
      <w:r w:rsidRPr="009F2413">
        <w:t xml:space="preserve">nterviewers </w:t>
      </w:r>
      <w:r w:rsidR="0054629A">
        <w:t xml:space="preserve">will </w:t>
      </w:r>
      <w:r>
        <w:t>attempt to contact participants by telephone first</w:t>
      </w:r>
      <w:r w:rsidR="00FB0E93">
        <w:t xml:space="preserve">. </w:t>
      </w:r>
      <w:r>
        <w:t xml:space="preserve">If initial phone attempts are unsuccessful, interviewers can </w:t>
      </w:r>
      <w:r w:rsidRPr="009F2413">
        <w:t>use their project-specific email accounts to</w:t>
      </w:r>
      <w:r w:rsidRPr="003640A0">
        <w:t xml:space="preserve"> introduce </w:t>
      </w:r>
      <w:r>
        <w:t xml:space="preserve">themselves </w:t>
      </w:r>
      <w:r w:rsidRPr="003640A0">
        <w:t xml:space="preserve">as the local </w:t>
      </w:r>
      <w:r w:rsidR="0054629A">
        <w:t xml:space="preserve">data collection </w:t>
      </w:r>
      <w:r w:rsidRPr="003640A0">
        <w:t>staff</w:t>
      </w:r>
      <w:r>
        <w:t xml:space="preserve">, explain the study </w:t>
      </w:r>
      <w:r w:rsidRPr="003640A0">
        <w:t>and attempt to set up an interview</w:t>
      </w:r>
      <w:r w:rsidR="00FB0E93">
        <w:t xml:space="preserve">. </w:t>
      </w:r>
      <w:r>
        <w:t>They send this email, along with the advance letter, about halfway through the time during which they are working the cases</w:t>
      </w:r>
      <w:r w:rsidR="00FB0E93">
        <w:t xml:space="preserve">. </w:t>
      </w:r>
      <w:r>
        <w:t>(</w:t>
      </w:r>
      <w:r w:rsidRPr="00525E74">
        <w:t xml:space="preserve">See </w:t>
      </w:r>
      <w:r w:rsidR="00FE2867" w:rsidRPr="00525E74">
        <w:t xml:space="preserve">Attachment </w:t>
      </w:r>
      <w:r w:rsidR="0054629A" w:rsidRPr="00525E74">
        <w:t>N</w:t>
      </w:r>
      <w:r w:rsidRPr="00525E74">
        <w:t xml:space="preserve"> email reminder text</w:t>
      </w:r>
      <w:r>
        <w:t>.)</w:t>
      </w:r>
    </w:p>
    <w:p w14:paraId="322A78E7" w14:textId="2607CF07" w:rsidR="005E7F67" w:rsidRPr="00503D9C" w:rsidRDefault="005E7F67" w:rsidP="00503D9C">
      <w:pPr>
        <w:pStyle w:val="ListParagraph"/>
        <w:numPr>
          <w:ilvl w:val="0"/>
          <w:numId w:val="27"/>
        </w:numPr>
        <w:rPr>
          <w:rFonts w:ascii="Times New Roman" w:hAnsi="Times New Roman"/>
        </w:rPr>
      </w:pPr>
      <w:bookmarkStart w:id="22" w:name="_Toc494352177"/>
      <w:r w:rsidRPr="00503D9C">
        <w:rPr>
          <w:rFonts w:ascii="Times New Roman" w:hAnsi="Times New Roman"/>
          <w:b/>
          <w:i/>
        </w:rPr>
        <w:t>Interviewin</w:t>
      </w:r>
      <w:bookmarkEnd w:id="19"/>
      <w:bookmarkEnd w:id="20"/>
      <w:bookmarkEnd w:id="21"/>
      <w:bookmarkEnd w:id="22"/>
      <w:r w:rsidR="00503D9C" w:rsidRPr="00503D9C">
        <w:rPr>
          <w:rFonts w:ascii="Times New Roman" w:hAnsi="Times New Roman"/>
          <w:b/>
          <w:i/>
        </w:rPr>
        <w:t>g</w:t>
      </w:r>
      <w:r w:rsidR="00503D9C" w:rsidRPr="00503D9C">
        <w:rPr>
          <w:rFonts w:ascii="Times New Roman" w:hAnsi="Times New Roman"/>
          <w:i/>
        </w:rPr>
        <w:t xml:space="preserve">: </w:t>
      </w:r>
      <w:r w:rsidRPr="00503D9C">
        <w:rPr>
          <w:rFonts w:ascii="Times New Roman" w:hAnsi="Times New Roman"/>
        </w:rPr>
        <w:t xml:space="preserve">Data collection begins when local interviewers attempt to reach the </w:t>
      </w:r>
      <w:r w:rsidR="00525E74">
        <w:rPr>
          <w:rFonts w:ascii="Times New Roman" w:hAnsi="Times New Roman"/>
        </w:rPr>
        <w:t xml:space="preserve">selected </w:t>
      </w:r>
      <w:r w:rsidRPr="00503D9C">
        <w:rPr>
          <w:rFonts w:ascii="Times New Roman" w:hAnsi="Times New Roman"/>
        </w:rPr>
        <w:t>study participants by telephone</w:t>
      </w:r>
      <w:r w:rsidR="00FB0E93">
        <w:rPr>
          <w:rFonts w:ascii="Times New Roman" w:hAnsi="Times New Roman"/>
        </w:rPr>
        <w:t xml:space="preserve">. </w:t>
      </w:r>
      <w:r w:rsidR="0054629A" w:rsidRPr="00503D9C">
        <w:rPr>
          <w:rFonts w:ascii="Times New Roman" w:hAnsi="Times New Roman"/>
        </w:rPr>
        <w:t xml:space="preserve">Interviewers will have access to </w:t>
      </w:r>
      <w:r w:rsidR="0054629A">
        <w:rPr>
          <w:rFonts w:ascii="Times New Roman" w:hAnsi="Times New Roman"/>
        </w:rPr>
        <w:t>all</w:t>
      </w:r>
      <w:r w:rsidR="0054629A" w:rsidRPr="00503D9C">
        <w:rPr>
          <w:rFonts w:ascii="Times New Roman" w:hAnsi="Times New Roman"/>
        </w:rPr>
        <w:t xml:space="preserve"> telephone numbers collected at baseline and updated throughout the 15</w:t>
      </w:r>
      <w:r w:rsidR="00D12DEB">
        <w:rPr>
          <w:rFonts w:ascii="Times New Roman" w:hAnsi="Times New Roman"/>
        </w:rPr>
        <w:t xml:space="preserve"> </w:t>
      </w:r>
      <w:r w:rsidR="0054629A" w:rsidRPr="00503D9C">
        <w:rPr>
          <w:rFonts w:ascii="Times New Roman" w:hAnsi="Times New Roman"/>
        </w:rPr>
        <w:t>month follow-up period</w:t>
      </w:r>
      <w:r w:rsidR="0054629A">
        <w:rPr>
          <w:rFonts w:ascii="Times New Roman" w:hAnsi="Times New Roman"/>
        </w:rPr>
        <w:t xml:space="preserve"> for both the study participant and any alternate contacts</w:t>
      </w:r>
      <w:r w:rsidR="0029635C">
        <w:rPr>
          <w:rFonts w:ascii="Times New Roman" w:hAnsi="Times New Roman"/>
        </w:rPr>
        <w:t xml:space="preserve"> </w:t>
      </w:r>
      <w:r w:rsidR="0054629A">
        <w:rPr>
          <w:rFonts w:ascii="Times New Roman" w:hAnsi="Times New Roman"/>
        </w:rPr>
        <w:t>(</w:t>
      </w:r>
      <w:r w:rsidR="005F3619">
        <w:rPr>
          <w:rFonts w:ascii="Times New Roman" w:hAnsi="Times New Roman"/>
        </w:rPr>
        <w:t xml:space="preserve">such as </w:t>
      </w:r>
      <w:r w:rsidR="0054629A">
        <w:rPr>
          <w:rFonts w:ascii="Times New Roman" w:hAnsi="Times New Roman"/>
        </w:rPr>
        <w:t xml:space="preserve">family or friends that </w:t>
      </w:r>
      <w:r w:rsidR="005F3619">
        <w:rPr>
          <w:rFonts w:ascii="Times New Roman" w:hAnsi="Times New Roman"/>
        </w:rPr>
        <w:t>study participant</w:t>
      </w:r>
      <w:r w:rsidR="001B13A2">
        <w:rPr>
          <w:rFonts w:ascii="Times New Roman" w:hAnsi="Times New Roman"/>
        </w:rPr>
        <w:t>s</w:t>
      </w:r>
      <w:r w:rsidR="005F3619">
        <w:rPr>
          <w:rFonts w:ascii="Times New Roman" w:hAnsi="Times New Roman"/>
        </w:rPr>
        <w:t xml:space="preserve"> identified  as people who </w:t>
      </w:r>
      <w:r w:rsidR="00333ECA">
        <w:rPr>
          <w:rFonts w:ascii="Times New Roman" w:hAnsi="Times New Roman"/>
        </w:rPr>
        <w:t xml:space="preserve">will </w:t>
      </w:r>
      <w:r w:rsidR="0054629A">
        <w:rPr>
          <w:rFonts w:ascii="Times New Roman" w:hAnsi="Times New Roman"/>
        </w:rPr>
        <w:t>know how to reach the</w:t>
      </w:r>
      <w:r w:rsidR="00BD2F7C">
        <w:rPr>
          <w:rFonts w:ascii="Times New Roman" w:hAnsi="Times New Roman"/>
        </w:rPr>
        <w:t>m</w:t>
      </w:r>
      <w:r w:rsidR="0054629A">
        <w:rPr>
          <w:rFonts w:ascii="Times New Roman" w:hAnsi="Times New Roman"/>
        </w:rPr>
        <w:t>)</w:t>
      </w:r>
      <w:r w:rsidR="0054629A" w:rsidRPr="00503D9C">
        <w:rPr>
          <w:rFonts w:ascii="Times New Roman" w:hAnsi="Times New Roman"/>
        </w:rPr>
        <w:t xml:space="preserve">. </w:t>
      </w:r>
      <w:r w:rsidRPr="00503D9C">
        <w:rPr>
          <w:rFonts w:ascii="Times New Roman" w:hAnsi="Times New Roman"/>
        </w:rPr>
        <w:t xml:space="preserve">The interviewers will call </w:t>
      </w:r>
      <w:r w:rsidR="0054629A">
        <w:rPr>
          <w:rFonts w:ascii="Times New Roman" w:hAnsi="Times New Roman"/>
        </w:rPr>
        <w:t>all phone numbers ever</w:t>
      </w:r>
      <w:r w:rsidRPr="00503D9C">
        <w:rPr>
          <w:rFonts w:ascii="Times New Roman" w:hAnsi="Times New Roman"/>
        </w:rPr>
        <w:t xml:space="preserve"> </w:t>
      </w:r>
      <w:r w:rsidR="0054629A">
        <w:rPr>
          <w:rFonts w:ascii="Times New Roman" w:hAnsi="Times New Roman"/>
        </w:rPr>
        <w:t>collected</w:t>
      </w:r>
      <w:r w:rsidRPr="00503D9C">
        <w:rPr>
          <w:rFonts w:ascii="Times New Roman" w:hAnsi="Times New Roman"/>
        </w:rPr>
        <w:t xml:space="preserve"> first and then attempt any alternate contacts</w:t>
      </w:r>
      <w:r w:rsidR="00FB0E93">
        <w:rPr>
          <w:rFonts w:ascii="Times New Roman" w:hAnsi="Times New Roman"/>
        </w:rPr>
        <w:t xml:space="preserve">. </w:t>
      </w:r>
    </w:p>
    <w:p w14:paraId="226D0C76" w14:textId="17653F03" w:rsidR="005E7F67" w:rsidRDefault="00333ECA" w:rsidP="00BD2F7C">
      <w:pPr>
        <w:pStyle w:val="BodyText"/>
        <w:spacing w:after="200" w:line="276" w:lineRule="auto"/>
        <w:ind w:left="720"/>
      </w:pPr>
      <w:r>
        <w:t>A</w:t>
      </w:r>
      <w:r w:rsidR="005E7F67">
        <w:t>fter the</w:t>
      </w:r>
      <w:r>
        <w:t xml:space="preserve"> interviewers</w:t>
      </w:r>
      <w:r w:rsidR="005E7F67">
        <w:t xml:space="preserve"> exhaust </w:t>
      </w:r>
      <w:r>
        <w:t xml:space="preserve">all </w:t>
      </w:r>
      <w:r w:rsidR="005E7F67">
        <w:t>phone efforts, they will work non-completed cases in person</w:t>
      </w:r>
      <w:r w:rsidR="00FB0E93">
        <w:t xml:space="preserve">. </w:t>
      </w:r>
      <w:r w:rsidR="005E7F67">
        <w:t>Interviewers may leave s</w:t>
      </w:r>
      <w:r w:rsidR="005E7F67" w:rsidRPr="005F4C25">
        <w:t>pecially designed project flyers with family members or friends</w:t>
      </w:r>
      <w:r w:rsidR="005E7F67">
        <w:t xml:space="preserve"> (</w:t>
      </w:r>
      <w:r w:rsidR="005E7F67" w:rsidRPr="00525E74">
        <w:t xml:space="preserve">see </w:t>
      </w:r>
      <w:r w:rsidRPr="00525E74">
        <w:t>Attachment M</w:t>
      </w:r>
      <w:r w:rsidR="00525E74">
        <w:t xml:space="preserve"> survey flyer</w:t>
      </w:r>
      <w:r w:rsidR="005E7F67">
        <w:t>)</w:t>
      </w:r>
      <w:r w:rsidR="00FB0E93">
        <w:t xml:space="preserve">. </w:t>
      </w:r>
    </w:p>
    <w:p w14:paraId="67B13CE1" w14:textId="3724C33B" w:rsidR="006E1D90" w:rsidRDefault="006E1D90" w:rsidP="006B0576">
      <w:pPr>
        <w:pStyle w:val="Heading4"/>
        <w:numPr>
          <w:ilvl w:val="0"/>
          <w:numId w:val="0"/>
        </w:numPr>
      </w:pPr>
      <w:r>
        <w:t>Tribal</w:t>
      </w:r>
      <w:r w:rsidRPr="003633D6">
        <w:t xml:space="preserve"> Evaluation Implementation Study Data Collection Procedures</w:t>
      </w:r>
    </w:p>
    <w:p w14:paraId="15797C4D" w14:textId="46E2A4AC" w:rsidR="006E1D90" w:rsidRDefault="006E1D90" w:rsidP="006E1D90">
      <w:pPr>
        <w:pStyle w:val="BodyText"/>
      </w:pPr>
      <w:r>
        <w:t xml:space="preserve">The sample frame for the HPOG 2.0 Tribal Evaluation includes all five tribal grantees. No statistical methods will be used for stratification and sample selection. The HPOG 2.0 Tribal Evaluation exclusively uses purposive sampling since it is a descriptive study. The tribal evaluation team will use multiple </w:t>
      </w:r>
      <w:r w:rsidRPr="00F26697">
        <w:t xml:space="preserve">sources of data </w:t>
      </w:r>
      <w:r>
        <w:t>for the process and outcome evaluation, primarily centered around annual site visits to Tribal HPOG grantees</w:t>
      </w:r>
      <w:r w:rsidRPr="00F26697">
        <w:t xml:space="preserve">: </w:t>
      </w:r>
      <w:r>
        <w:t>semi-</w:t>
      </w:r>
      <w:r w:rsidRPr="00F26697">
        <w:t xml:space="preserve">structured in-person interviews with grantee and partner administrative staff, program implementation staff, and local employers; focus groups and </w:t>
      </w:r>
      <w:r>
        <w:t xml:space="preserve">follow-up </w:t>
      </w:r>
      <w:r w:rsidRPr="00F26697">
        <w:t xml:space="preserve">interviews with program participants, including program completers and non-completers; </w:t>
      </w:r>
      <w:r>
        <w:t xml:space="preserve">and </w:t>
      </w:r>
      <w:r w:rsidRPr="00F26697">
        <w:t xml:space="preserve">program operations data collected through </w:t>
      </w:r>
      <w:r>
        <w:t>PAGES</w:t>
      </w:r>
      <w:r w:rsidR="00FB0E93">
        <w:t xml:space="preserve">. </w:t>
      </w:r>
      <w:r w:rsidR="00D253D0">
        <w:t>The previously approved Tribal Evaluation data collection effort is still underway</w:t>
      </w:r>
      <w:r w:rsidR="00FB0E93">
        <w:t xml:space="preserve">. </w:t>
      </w:r>
      <w:r w:rsidR="00D253D0">
        <w:t xml:space="preserve">(See </w:t>
      </w:r>
      <w:r w:rsidR="00EB2EDE">
        <w:t>Supporting Statements A and B,</w:t>
      </w:r>
      <w:r w:rsidR="00B01ABA">
        <w:t xml:space="preserve"> </w:t>
      </w:r>
      <w:r w:rsidR="00D253D0">
        <w:t xml:space="preserve">OMB Control Number 0970-0462, </w:t>
      </w:r>
      <w:r w:rsidR="00B01ABA">
        <w:t>approved in June 2017 for more detail.)</w:t>
      </w:r>
    </w:p>
    <w:p w14:paraId="1ABADA30" w14:textId="3DC1610B" w:rsidR="00664415" w:rsidRPr="00791692" w:rsidRDefault="00664415" w:rsidP="006B0576">
      <w:pPr>
        <w:pStyle w:val="Heading4"/>
      </w:pPr>
      <w:r w:rsidRPr="00980A81">
        <w:t xml:space="preserve">HPOG Program Performance Report Based On </w:t>
      </w:r>
      <w:r w:rsidR="00CD4006" w:rsidRPr="00980A81">
        <w:t>Grantee</w:t>
      </w:r>
      <w:r w:rsidRPr="00980A81">
        <w:t xml:space="preserve">-Level and Ongoing Participant-Level Data </w:t>
      </w:r>
    </w:p>
    <w:p w14:paraId="7564C9CF" w14:textId="0F9780EA" w:rsidR="00DB7D4F" w:rsidRDefault="00664415" w:rsidP="00980A81">
      <w:pPr>
        <w:rPr>
          <w:u w:val="single"/>
        </w:rPr>
      </w:pPr>
      <w:r>
        <w:t>D</w:t>
      </w:r>
      <w:r w:rsidRPr="006A2174">
        <w:t>uring the initial 120 day planning period</w:t>
      </w:r>
      <w:r w:rsidR="00616492">
        <w:t xml:space="preserve"> after grant award</w:t>
      </w:r>
      <w:r>
        <w:t>, all g</w:t>
      </w:r>
      <w:r w:rsidRPr="00596780">
        <w:t xml:space="preserve">rantees </w:t>
      </w:r>
      <w:r w:rsidR="00C13021">
        <w:t>were</w:t>
      </w:r>
      <w:r w:rsidRPr="00596780">
        <w:t xml:space="preserve"> required to provide information on their program components and offerings to be included </w:t>
      </w:r>
      <w:r w:rsidR="00720ADF">
        <w:t>into a</w:t>
      </w:r>
      <w:r w:rsidRPr="00596780">
        <w:t xml:space="preserve"> </w:t>
      </w:r>
      <w:r w:rsidR="00720ADF">
        <w:t xml:space="preserve">previously approved internet-based </w:t>
      </w:r>
      <w:r w:rsidRPr="00596780">
        <w:t>data system</w:t>
      </w:r>
      <w:r w:rsidR="00720ADF">
        <w:t xml:space="preserve"> (PAGES)</w:t>
      </w:r>
      <w:r w:rsidRPr="00596780">
        <w:t xml:space="preserve">. </w:t>
      </w:r>
      <w:r w:rsidR="0033721C">
        <w:t>All HPOG grantees</w:t>
      </w:r>
      <w:r w:rsidR="00720ADF">
        <w:t xml:space="preserve"> </w:t>
      </w:r>
      <w:r w:rsidR="00D4109C">
        <w:t xml:space="preserve">update </w:t>
      </w:r>
      <w:r>
        <w:t xml:space="preserve">the </w:t>
      </w:r>
      <w:r w:rsidR="00CD4006">
        <w:t>grantee</w:t>
      </w:r>
      <w:r>
        <w:t xml:space="preserve">-level and ongoing participant-level </w:t>
      </w:r>
      <w:r w:rsidR="00D4109C">
        <w:t xml:space="preserve">data at least semi-annually, but may enter data at any time either manually or by uploading data from existing data systems into an </w:t>
      </w:r>
      <w:r w:rsidR="00361502">
        <w:t>i</w:t>
      </w:r>
      <w:r w:rsidR="00D4109C">
        <w:t xml:space="preserve">nternet-based </w:t>
      </w:r>
      <w:r w:rsidR="00361502">
        <w:t>data system</w:t>
      </w:r>
      <w:r w:rsidR="00D4109C">
        <w:t xml:space="preserve"> </w:t>
      </w:r>
      <w:r>
        <w:t xml:space="preserve">(PAGES) </w:t>
      </w:r>
      <w:r w:rsidR="00D4109C">
        <w:t xml:space="preserve">constructed for the purpose of collecting data for the </w:t>
      </w:r>
      <w:r w:rsidR="00D4109C" w:rsidRPr="0020570E">
        <w:t>H</w:t>
      </w:r>
      <w:r w:rsidR="00D4109C">
        <w:t xml:space="preserve">POG </w:t>
      </w:r>
      <w:r w:rsidR="00720ADF">
        <w:t>2.0</w:t>
      </w:r>
      <w:r w:rsidR="00D105E2">
        <w:t xml:space="preserve"> </w:t>
      </w:r>
      <w:r w:rsidR="00D4109C">
        <w:t>program</w:t>
      </w:r>
      <w:r w:rsidR="00D105E2">
        <w:t>s</w:t>
      </w:r>
      <w:r w:rsidR="00EF7A96">
        <w:t xml:space="preserve">. </w:t>
      </w:r>
      <w:r w:rsidR="00E140B7">
        <w:t xml:space="preserve">Abt Associates manages </w:t>
      </w:r>
      <w:r>
        <w:t>PAGES</w:t>
      </w:r>
      <w:r w:rsidR="00FB0E93">
        <w:t xml:space="preserve">. </w:t>
      </w:r>
    </w:p>
    <w:p w14:paraId="7C531062" w14:textId="369F0336" w:rsidR="00664415" w:rsidRPr="00980A81" w:rsidRDefault="00664415" w:rsidP="00980A81">
      <w:pPr>
        <w:rPr>
          <w:u w:val="single"/>
        </w:rPr>
      </w:pPr>
      <w:r w:rsidRPr="00980A81">
        <w:rPr>
          <w:u w:val="single"/>
        </w:rPr>
        <w:t xml:space="preserve">Participant-Level Baseline Data Collection </w:t>
      </w:r>
    </w:p>
    <w:p w14:paraId="252D0A1A" w14:textId="32DD2865" w:rsidR="00E50D1F" w:rsidRDefault="00747D79" w:rsidP="00D07443">
      <w:r>
        <w:t>Grantee</w:t>
      </w:r>
      <w:r w:rsidR="007D4135">
        <w:t xml:space="preserve">s </w:t>
      </w:r>
      <w:r w:rsidR="00E50D1F" w:rsidRPr="003F6E89">
        <w:t xml:space="preserve">administer </w:t>
      </w:r>
      <w:r w:rsidR="003D790D" w:rsidRPr="003F6E89">
        <w:t>a</w:t>
      </w:r>
      <w:r w:rsidR="003D790D">
        <w:t xml:space="preserve"> previously approved</w:t>
      </w:r>
      <w:r w:rsidR="003D790D" w:rsidRPr="003F6E89">
        <w:t xml:space="preserve"> </w:t>
      </w:r>
      <w:r w:rsidR="00E50D1F" w:rsidRPr="003F6E89">
        <w:t>informed consent form</w:t>
      </w:r>
      <w:r w:rsidR="00E50D1F">
        <w:t xml:space="preserve"> relating to PAGES data items,</w:t>
      </w:r>
      <w:r w:rsidR="006613F4">
        <w:t xml:space="preserve"> </w:t>
      </w:r>
      <w:r w:rsidR="00E50D1F">
        <w:t>administrative data, and follow-up surveys</w:t>
      </w:r>
      <w:r w:rsidR="00D07443">
        <w:t xml:space="preserve"> (if applicable)</w:t>
      </w:r>
      <w:r w:rsidR="00E50D1F">
        <w:t>,</w:t>
      </w:r>
      <w:r w:rsidR="00E50D1F" w:rsidRPr="003F6E89">
        <w:t xml:space="preserve"> when individuals </w:t>
      </w:r>
      <w:r w:rsidR="00E50D1F">
        <w:t xml:space="preserve">who </w:t>
      </w:r>
      <w:r w:rsidR="00E50D1F" w:rsidRPr="003F6E89">
        <w:t>apply to the program</w:t>
      </w:r>
      <w:r w:rsidR="00E50D1F">
        <w:t xml:space="preserve"> are </w:t>
      </w:r>
      <w:r w:rsidR="00E82648">
        <w:t xml:space="preserve">determined </w:t>
      </w:r>
      <w:r w:rsidR="00E50D1F">
        <w:t>eligible</w:t>
      </w:r>
      <w:r w:rsidR="00E82648">
        <w:t xml:space="preserve"> to participate in HPOG 2.0.All</w:t>
      </w:r>
      <w:r w:rsidR="00E50D1F">
        <w:t xml:space="preserve"> non-Tribal </w:t>
      </w:r>
      <w:r w:rsidR="00AE17F2">
        <w:t xml:space="preserve">HPOG </w:t>
      </w:r>
      <w:r w:rsidR="00EE3F93">
        <w:t>2.0</w:t>
      </w:r>
      <w:r w:rsidR="00AE17F2">
        <w:t xml:space="preserve"> </w:t>
      </w:r>
      <w:r w:rsidR="00E50D1F">
        <w:t>grantees are required to participate in the impact evaluation</w:t>
      </w:r>
      <w:r w:rsidR="005C7689">
        <w:t xml:space="preserve">, which includes randomly assigning </w:t>
      </w:r>
      <w:r w:rsidR="00860CF3">
        <w:t xml:space="preserve">new </w:t>
      </w:r>
      <w:r w:rsidR="005C7689">
        <w:t xml:space="preserve">eligible HPOG applicants to either be invited to </w:t>
      </w:r>
      <w:r w:rsidR="000C4F64">
        <w:t>receive HPOG services or to serve in the control group</w:t>
      </w:r>
      <w:r w:rsidR="00E50D1F">
        <w:t>.</w:t>
      </w:r>
      <w:r w:rsidR="00860CF3">
        <w:rPr>
          <w:rStyle w:val="FootnoteReference"/>
        </w:rPr>
        <w:footnoteReference w:id="5"/>
      </w:r>
      <w:r w:rsidR="00E50D1F">
        <w:t xml:space="preserve"> </w:t>
      </w:r>
      <w:r w:rsidR="005C7689">
        <w:t xml:space="preserve">However, prior HPOG and </w:t>
      </w:r>
      <w:r w:rsidR="00D53DB1" w:rsidRPr="00D53DB1">
        <w:t>Pathways for Advancing Careers and Education (</w:t>
      </w:r>
      <w:r w:rsidR="00D53DB1" w:rsidRPr="005042DE">
        <w:t>PACE</w:t>
      </w:r>
      <w:r w:rsidR="00D53DB1" w:rsidRPr="00D53DB1">
        <w:t>) project</w:t>
      </w:r>
      <w:r w:rsidR="00D53DB1">
        <w:t xml:space="preserve"> </w:t>
      </w:r>
      <w:r w:rsidR="005C7689">
        <w:t>participants who were randomly assigned in the first impact studies</w:t>
      </w:r>
      <w:r w:rsidR="000C4F64">
        <w:t xml:space="preserve"> will not be subject to random assignment again and will be allowed to enroll in the prog</w:t>
      </w:r>
      <w:r w:rsidR="00A30996">
        <w:t>r</w:t>
      </w:r>
      <w:r w:rsidR="000C4F64">
        <w:t>am</w:t>
      </w:r>
      <w:r w:rsidR="00D63F1A">
        <w:t>.</w:t>
      </w:r>
      <w:r w:rsidR="005C7689">
        <w:t xml:space="preserve"> </w:t>
      </w:r>
      <w:r w:rsidR="00E50D1F">
        <w:t>After the consent process</w:t>
      </w:r>
      <w:r w:rsidR="00E50D1F" w:rsidRPr="00C554B9">
        <w:t xml:space="preserve">, </w:t>
      </w:r>
      <w:r w:rsidR="00E50D1F">
        <w:t>grantee</w:t>
      </w:r>
      <w:r w:rsidR="00E50D1F" w:rsidRPr="00C554B9">
        <w:t xml:space="preserve"> staff </w:t>
      </w:r>
      <w:r>
        <w:t xml:space="preserve">members </w:t>
      </w:r>
      <w:r w:rsidR="00E50D1F" w:rsidRPr="00C554B9">
        <w:t xml:space="preserve">administer </w:t>
      </w:r>
      <w:r w:rsidR="00E50D1F">
        <w:t xml:space="preserve">PAGES baseline questions, </w:t>
      </w:r>
      <w:r w:rsidR="00E50D1F" w:rsidRPr="003F1CB4">
        <w:t xml:space="preserve">including </w:t>
      </w:r>
      <w:r w:rsidR="00E50D1F">
        <w:t>questions on</w:t>
      </w:r>
      <w:r w:rsidR="00E50D1F" w:rsidRPr="003F1CB4">
        <w:t xml:space="preserve"> </w:t>
      </w:r>
      <w:r w:rsidR="00E50D1F">
        <w:t xml:space="preserve">individuals’ expectations for education and employment, barriers to employment, work preferences, and self-efficacy. </w:t>
      </w:r>
      <w:r w:rsidR="00E50D1F" w:rsidRPr="00C554B9">
        <w:t>After individuals complete the informed consent form</w:t>
      </w:r>
      <w:r w:rsidR="00E50D1F">
        <w:t xml:space="preserve"> and</w:t>
      </w:r>
      <w:r w:rsidR="00E50D1F" w:rsidRPr="00C554B9">
        <w:t xml:space="preserve"> the </w:t>
      </w:r>
      <w:r w:rsidR="00E50D1F">
        <w:t>required baseline questions</w:t>
      </w:r>
      <w:r w:rsidR="00E50D1F" w:rsidRPr="00C554B9">
        <w:t>, a secure, web-based software program randomly assign</w:t>
      </w:r>
      <w:r w:rsidR="006344D0">
        <w:t>s</w:t>
      </w:r>
      <w:r w:rsidR="00E50D1F" w:rsidRPr="00C554B9">
        <w:t xml:space="preserve"> them into either the treatment or control group.</w:t>
      </w:r>
      <w:r w:rsidR="0023452F">
        <w:t xml:space="preserve"> </w:t>
      </w:r>
    </w:p>
    <w:p w14:paraId="52770881" w14:textId="71F11A3A" w:rsidR="006517AA" w:rsidRDefault="00D94A5D" w:rsidP="00453E6C">
      <w:r>
        <w:t xml:space="preserve">The HPOG </w:t>
      </w:r>
      <w:r w:rsidR="0019763A">
        <w:t>2.0</w:t>
      </w:r>
      <w:r w:rsidR="00AE17F2">
        <w:t xml:space="preserve"> </w:t>
      </w:r>
      <w:r>
        <w:t xml:space="preserve">Tribal </w:t>
      </w:r>
      <w:r w:rsidR="00AE17F2">
        <w:t>g</w:t>
      </w:r>
      <w:r>
        <w:t xml:space="preserve">rantees are participating in a federal evaluation that will not require random assignment. </w:t>
      </w:r>
      <w:r w:rsidR="00E50D1F">
        <w:t>Applicants</w:t>
      </w:r>
      <w:r w:rsidR="00E50D1F" w:rsidRPr="003F6E89">
        <w:t xml:space="preserve"> </w:t>
      </w:r>
      <w:r w:rsidR="00E50D1F">
        <w:t>at the Tribal</w:t>
      </w:r>
      <w:r>
        <w:t xml:space="preserve"> </w:t>
      </w:r>
      <w:r w:rsidR="00E50D1F">
        <w:t xml:space="preserve">grantees complete the </w:t>
      </w:r>
      <w:r w:rsidR="0019763A">
        <w:t xml:space="preserve">previously approved </w:t>
      </w:r>
      <w:r w:rsidR="00E50D1F">
        <w:t xml:space="preserve">non-random assignment informed </w:t>
      </w:r>
      <w:r w:rsidR="00E50D1F" w:rsidRPr="003F6E89">
        <w:t xml:space="preserve">consent </w:t>
      </w:r>
      <w:r w:rsidR="00E50D1F" w:rsidRPr="00B5730E">
        <w:t xml:space="preserve">form that </w:t>
      </w:r>
      <w:r w:rsidR="00D105E2" w:rsidRPr="00B5730E">
        <w:t>asks permission</w:t>
      </w:r>
      <w:r w:rsidR="00D105E2">
        <w:t xml:space="preserve"> for </w:t>
      </w:r>
      <w:r w:rsidR="00E50D1F">
        <w:t xml:space="preserve">researchers to </w:t>
      </w:r>
      <w:r w:rsidR="00E50D1F" w:rsidRPr="003F6E89">
        <w:t xml:space="preserve">access </w:t>
      </w:r>
      <w:r w:rsidR="00E50D1F">
        <w:t>data individuals provide at intake, information about the training and services they receive after enrollment, administrative data, and follow-up surveys</w:t>
      </w:r>
      <w:r w:rsidR="00E50D1F" w:rsidRPr="00BF025F">
        <w:t xml:space="preserve">. </w:t>
      </w:r>
      <w:r w:rsidR="002F5068">
        <w:t>After the consent process, a grantee</w:t>
      </w:r>
      <w:r w:rsidR="002F5068" w:rsidRPr="00C554B9">
        <w:t xml:space="preserve"> staff </w:t>
      </w:r>
      <w:r w:rsidR="002F5068">
        <w:t>member will administer</w:t>
      </w:r>
      <w:r w:rsidR="002F5068" w:rsidRPr="00C554B9">
        <w:t xml:space="preserve"> </w:t>
      </w:r>
      <w:r w:rsidR="002F5068">
        <w:t>PAGES baseline questions, excluding</w:t>
      </w:r>
      <w:r w:rsidR="002F5068" w:rsidRPr="003F1CB4">
        <w:t xml:space="preserve"> the</w:t>
      </w:r>
      <w:r w:rsidR="002F5068">
        <w:t xml:space="preserve"> baseline questions on</w:t>
      </w:r>
      <w:r w:rsidR="002F5068" w:rsidRPr="003F1CB4">
        <w:t xml:space="preserve"> </w:t>
      </w:r>
      <w:r w:rsidR="002F5068">
        <w:t xml:space="preserve">individuals’ expectations for education and employment, barriers to employment, work preferences, and self-efficacy. </w:t>
      </w:r>
    </w:p>
    <w:p w14:paraId="3B8E0C10" w14:textId="77777777" w:rsidR="00B370B2" w:rsidRPr="004F1FB4" w:rsidRDefault="00B370B2" w:rsidP="00842C2C">
      <w:pPr>
        <w:pStyle w:val="Heading4"/>
      </w:pPr>
      <w:r w:rsidRPr="004F1FB4">
        <w:t>Procedures with Special Populations</w:t>
      </w:r>
    </w:p>
    <w:p w14:paraId="53719B6D" w14:textId="502BE1A1" w:rsidR="00B370B2" w:rsidRPr="00842C2C" w:rsidRDefault="00B370B2" w:rsidP="00842C2C">
      <w:pPr>
        <w:pStyle w:val="BodyText"/>
      </w:pPr>
      <w:r w:rsidRPr="00B65D1F">
        <w:t xml:space="preserve">To ensure participants can understand each of the documents, </w:t>
      </w:r>
      <w:r w:rsidR="00C47A3A">
        <w:t xml:space="preserve">the National Evaluation welcome packet and participant contact update forms, as well as the previously </w:t>
      </w:r>
      <w:r w:rsidR="004F0529">
        <w:t xml:space="preserve">approved </w:t>
      </w:r>
      <w:r w:rsidR="004F0529" w:rsidRPr="00B65D1F">
        <w:t>informed</w:t>
      </w:r>
      <w:r w:rsidR="00CD2044" w:rsidRPr="00B65D1F">
        <w:t xml:space="preserve"> consent form</w:t>
      </w:r>
      <w:r w:rsidR="00CD2044">
        <w:t>s</w:t>
      </w:r>
      <w:r w:rsidR="00CD2044" w:rsidRPr="00B65D1F">
        <w:t xml:space="preserve"> </w:t>
      </w:r>
      <w:r w:rsidRPr="00B65D1F">
        <w:t xml:space="preserve">and </w:t>
      </w:r>
      <w:r w:rsidR="00B65D1F">
        <w:t>PAGES</w:t>
      </w:r>
      <w:r w:rsidR="001E0A72">
        <w:t xml:space="preserve"> data elements </w:t>
      </w:r>
      <w:r w:rsidR="006E393A">
        <w:t>we</w:t>
      </w:r>
      <w:r w:rsidR="006E393A" w:rsidRPr="00B65D1F">
        <w:t xml:space="preserve">re </w:t>
      </w:r>
      <w:r w:rsidRPr="00B65D1F">
        <w:t>designed at an 8th-grade readability level. The HPOG</w:t>
      </w:r>
      <w:r w:rsidR="00AE17F2">
        <w:t xml:space="preserve"> </w:t>
      </w:r>
      <w:r w:rsidR="006E393A">
        <w:t xml:space="preserve">2.0 </w:t>
      </w:r>
      <w:r w:rsidRPr="00B65D1F">
        <w:t xml:space="preserve">team will provide a Spanish version of </w:t>
      </w:r>
      <w:r w:rsidR="00CD2044" w:rsidRPr="00B65D1F">
        <w:t>the informed consent form</w:t>
      </w:r>
      <w:r w:rsidR="00CD2044">
        <w:t>s</w:t>
      </w:r>
      <w:r w:rsidRPr="00B65D1F">
        <w:t xml:space="preserve"> and will work with </w:t>
      </w:r>
      <w:r w:rsidR="004579DB">
        <w:t>grantees</w:t>
      </w:r>
      <w:r w:rsidRPr="00B65D1F">
        <w:t xml:space="preserve"> on ways staff can assist where translation of other data collection instruments may be needed.</w:t>
      </w:r>
      <w:r>
        <w:t xml:space="preserve"> </w:t>
      </w:r>
      <w:r w:rsidR="008E0F21">
        <w:t xml:space="preserve">To ensure the instruments are culturally responsive, the </w:t>
      </w:r>
      <w:r w:rsidR="00A1561F">
        <w:t>Tribal Evaluation protocols were reviewed by the Tribal HPOG 2.0 grantees</w:t>
      </w:r>
      <w:r w:rsidR="008E0F21">
        <w:t xml:space="preserve"> and consultants with expertise conducting research in tribal communities. </w:t>
      </w:r>
    </w:p>
    <w:p w14:paraId="486487BA" w14:textId="77777777" w:rsidR="00B370B2" w:rsidRPr="004F1FB4" w:rsidRDefault="00B370B2" w:rsidP="00842C2C">
      <w:pPr>
        <w:pStyle w:val="Heading2"/>
      </w:pPr>
      <w:bookmarkStart w:id="23" w:name="_Toc322083617"/>
      <w:bookmarkStart w:id="24" w:name="_Toc324166962"/>
      <w:bookmarkStart w:id="25" w:name="_Toc494352179"/>
      <w:bookmarkStart w:id="26" w:name="_Toc480466123"/>
      <w:bookmarkStart w:id="27" w:name="_Toc499718104"/>
      <w:bookmarkStart w:id="28" w:name="_Toc503256231"/>
      <w:r w:rsidRPr="004F1FB4">
        <w:t>B.3</w:t>
      </w:r>
      <w:r w:rsidRPr="004F1FB4">
        <w:tab/>
        <w:t>Methods to Maximize Response Rates</w:t>
      </w:r>
      <w:bookmarkEnd w:id="23"/>
      <w:r>
        <w:t xml:space="preserve"> and Deal with Non-response</w:t>
      </w:r>
      <w:bookmarkEnd w:id="24"/>
      <w:bookmarkEnd w:id="25"/>
      <w:bookmarkEnd w:id="26"/>
      <w:bookmarkEnd w:id="27"/>
      <w:bookmarkEnd w:id="28"/>
    </w:p>
    <w:p w14:paraId="53B7D052" w14:textId="7405F350" w:rsidR="006E1D90" w:rsidRDefault="006E1D90" w:rsidP="006E1D90">
      <w:pPr>
        <w:pStyle w:val="BodyText"/>
      </w:pPr>
      <w:r>
        <w:t xml:space="preserve">This section describes the methods to maximize response rates for the HPOG 2.0 National Evaluation </w:t>
      </w:r>
      <w:r w:rsidR="006D13C3">
        <w:t>descriptive evaluation</w:t>
      </w:r>
      <w:r w:rsidR="00956DD9">
        <w:t xml:space="preserve">, </w:t>
      </w:r>
      <w:r w:rsidR="00A66251">
        <w:t xml:space="preserve">the HPOG 2.0 National Evaluation impact </w:t>
      </w:r>
      <w:r w:rsidR="006B7A56">
        <w:t>evaluation</w:t>
      </w:r>
      <w:r w:rsidR="00956DD9">
        <w:t>,</w:t>
      </w:r>
      <w:r>
        <w:t xml:space="preserve"> and the HPOG 2.0 Tribal Evaluation</w:t>
      </w:r>
      <w:r w:rsidR="00FB0E93">
        <w:t xml:space="preserve">. </w:t>
      </w:r>
      <w:r w:rsidR="00860CF3">
        <w:t xml:space="preserve">The focus of this request for clearance is on our procedures to maximize response and deal with non-response for the National Evaluation impact evaluation’s Short-Term </w:t>
      </w:r>
      <w:r w:rsidR="00042A43">
        <w:t xml:space="preserve">Follow-up </w:t>
      </w:r>
      <w:r w:rsidR="00C15953">
        <w:t>S</w:t>
      </w:r>
      <w:r w:rsidR="00860CF3">
        <w:t>urvey</w:t>
      </w:r>
      <w:r w:rsidR="00FB0E93">
        <w:t xml:space="preserve">. </w:t>
      </w:r>
      <w:r w:rsidR="0061693D">
        <w:t>The National Evaluation descriptive evaluation</w:t>
      </w:r>
      <w:r w:rsidR="00042A43">
        <w:t xml:space="preserve"> </w:t>
      </w:r>
      <w:r w:rsidR="0061693D">
        <w:t>and the Tribal Evaluation plans were previously approved in June 2017</w:t>
      </w:r>
      <w:r w:rsidR="009774E3">
        <w:t>.</w:t>
      </w:r>
      <w:r w:rsidR="00D63F1A">
        <w:t xml:space="preserve"> </w:t>
      </w:r>
      <w:r w:rsidR="009774E3">
        <w:t>See Supporting Statement B, approved in June 2017 for discussion on methods to maximize response rates to those efforts. Since th</w:t>
      </w:r>
      <w:r w:rsidR="0061693D">
        <w:t xml:space="preserve">e </w:t>
      </w:r>
      <w:r w:rsidR="009774E3">
        <w:t xml:space="preserve">previously approved contact update forms are part of the methods to maximize the </w:t>
      </w:r>
      <w:r w:rsidR="0061693D">
        <w:t xml:space="preserve">data </w:t>
      </w:r>
      <w:r w:rsidR="009774E3">
        <w:t xml:space="preserve">Short-Term Follow-up Survey response rates, </w:t>
      </w:r>
      <w:r w:rsidR="0061693D">
        <w:t xml:space="preserve">we retain </w:t>
      </w:r>
      <w:r w:rsidR="009774E3">
        <w:t xml:space="preserve">them in this document. </w:t>
      </w:r>
    </w:p>
    <w:p w14:paraId="6526E9E4" w14:textId="00F0A554" w:rsidR="006E1D90" w:rsidRPr="006E393A" w:rsidRDefault="006E1D90" w:rsidP="006B0576">
      <w:pPr>
        <w:pStyle w:val="Heading4"/>
      </w:pPr>
      <w:r w:rsidRPr="006E393A">
        <w:t xml:space="preserve">HPOG 2.0 National Evaluation Impact </w:t>
      </w:r>
      <w:r w:rsidR="006D13C3">
        <w:t>Evaluation</w:t>
      </w:r>
      <w:r w:rsidR="00A66251">
        <w:t xml:space="preserve"> Short-Term </w:t>
      </w:r>
      <w:r w:rsidR="00042A43">
        <w:t xml:space="preserve">Follow-up </w:t>
      </w:r>
      <w:r w:rsidR="00A66251">
        <w:t>Survey</w:t>
      </w:r>
    </w:p>
    <w:p w14:paraId="58A593F9" w14:textId="2AFBA28D" w:rsidR="00A66251" w:rsidRDefault="00042A43" w:rsidP="00A66251">
      <w:pPr>
        <w:pStyle w:val="BodyText"/>
      </w:pPr>
      <w:r>
        <w:t xml:space="preserve">The evaluation team will use the </w:t>
      </w:r>
      <w:r w:rsidR="00A66251">
        <w:t xml:space="preserve">following methods </w:t>
      </w:r>
      <w:r>
        <w:t>t</w:t>
      </w:r>
      <w:r w:rsidR="00A66251">
        <w:t>o maximize response</w:t>
      </w:r>
      <w:r>
        <w:t xml:space="preserve"> to the </w:t>
      </w:r>
      <w:r w:rsidR="00127966">
        <w:t xml:space="preserve">Short-Term Follow-up </w:t>
      </w:r>
      <w:r w:rsidR="00A2299E">
        <w:t>Survey effort</w:t>
      </w:r>
      <w:r w:rsidR="00A66251">
        <w:t xml:space="preserve">: </w:t>
      </w:r>
    </w:p>
    <w:p w14:paraId="632A91AB" w14:textId="77777777" w:rsidR="00A66251" w:rsidRDefault="00A66251" w:rsidP="00A66251">
      <w:pPr>
        <w:pStyle w:val="Bullets"/>
      </w:pPr>
      <w:r>
        <w:t>Participant contact updates and locating;</w:t>
      </w:r>
    </w:p>
    <w:p w14:paraId="732341A2" w14:textId="63CA8511" w:rsidR="00A66251" w:rsidRDefault="004E2D91" w:rsidP="00A66251">
      <w:pPr>
        <w:pStyle w:val="Bullets"/>
      </w:pPr>
      <w:r>
        <w:t>Incentives</w:t>
      </w:r>
      <w:r w:rsidR="00A66251">
        <w:t>; and</w:t>
      </w:r>
    </w:p>
    <w:p w14:paraId="7FB828D0" w14:textId="55A00863" w:rsidR="004A7D9D" w:rsidRDefault="00A66251" w:rsidP="004A7D9D">
      <w:pPr>
        <w:pStyle w:val="BulletsLast"/>
      </w:pPr>
      <w:r>
        <w:t>Sample control during the data collection period.</w:t>
      </w:r>
    </w:p>
    <w:p w14:paraId="6A4E75DD" w14:textId="266EDA33" w:rsidR="004A7D9D" w:rsidRDefault="00042A43" w:rsidP="00463A79">
      <w:pPr>
        <w:pStyle w:val="BulletsLast"/>
        <w:numPr>
          <w:ilvl w:val="0"/>
          <w:numId w:val="0"/>
        </w:numPr>
      </w:pPr>
      <w:r>
        <w:t>We now discuss each of these methods.</w:t>
      </w:r>
    </w:p>
    <w:p w14:paraId="3AC8C7B2" w14:textId="0222B8E3" w:rsidR="00A66251" w:rsidRDefault="00A66251" w:rsidP="006B0576">
      <w:pPr>
        <w:pStyle w:val="Heading5"/>
      </w:pPr>
      <w:r>
        <w:t>Participant Contact Updates</w:t>
      </w:r>
    </w:p>
    <w:p w14:paraId="20E7AB18" w14:textId="74341A12" w:rsidR="006E1D90" w:rsidRDefault="006E1D90" w:rsidP="006E1D90">
      <w:r>
        <w:t xml:space="preserve">The HPOG 2.0 National Evaluation </w:t>
      </w:r>
      <w:r w:rsidR="006D13C3">
        <w:t>i</w:t>
      </w:r>
      <w:r>
        <w:t xml:space="preserve">mpact </w:t>
      </w:r>
      <w:r w:rsidR="006D13C3">
        <w:t xml:space="preserve">evaluation </w:t>
      </w:r>
      <w:r>
        <w:t>anticipates two rounds of follow-up survey data collection</w:t>
      </w:r>
      <w:r w:rsidR="00120AB5">
        <w:t>—a short-term surv</w:t>
      </w:r>
      <w:r w:rsidR="00D12DEB">
        <w:t xml:space="preserve">ey about 15 </w:t>
      </w:r>
      <w:r w:rsidR="00120AB5">
        <w:t>months after randomization and an intermediate survey about 36-months after randomization</w:t>
      </w:r>
      <w:r>
        <w:t xml:space="preserve">. The evaluation team developed a comprehensive participant </w:t>
      </w:r>
      <w:r w:rsidR="00225DC8">
        <w:t xml:space="preserve">contact update </w:t>
      </w:r>
      <w:r>
        <w:t xml:space="preserve">system in order to maximize response to the two follow-up surveys. This multi-stage locating strategy blends active locating efforts (which involve direct participant contact) with passive locating efforts (which rely on various consumer database searches). </w:t>
      </w:r>
      <w:r w:rsidR="0061693D">
        <w:t xml:space="preserve">The contact updates were previously approved </w:t>
      </w:r>
      <w:r w:rsidR="006B7A56">
        <w:t xml:space="preserve">under this OMB control number </w:t>
      </w:r>
      <w:r w:rsidR="0061693D">
        <w:t>in June 201</w:t>
      </w:r>
      <w:r w:rsidR="00EB2EDE">
        <w:t>7 with non-substantive changes approved in July 201</w:t>
      </w:r>
      <w:r w:rsidR="0061693D">
        <w:t xml:space="preserve">7 and will continue </w:t>
      </w:r>
      <w:r w:rsidR="00EB2EDE">
        <w:t>until the Intermediate Survey data collection (to begin about 3 years after randomization, under a separate information collection request).</w:t>
      </w:r>
      <w:r w:rsidR="000C10C6">
        <w:t xml:space="preserve"> </w:t>
      </w:r>
      <w:r>
        <w:t xml:space="preserve">The </w:t>
      </w:r>
      <w:r w:rsidR="00120AB5">
        <w:t>Intermediate S</w:t>
      </w:r>
      <w:r>
        <w:t xml:space="preserve">urvey data collection instrument and plans to maximize response to </w:t>
      </w:r>
      <w:r w:rsidR="00E82648">
        <w:t>that survey</w:t>
      </w:r>
      <w:r>
        <w:t xml:space="preserve"> and minimize non-response bias will be submitted under a separate request for clearance. This request covers the </w:t>
      </w:r>
      <w:r w:rsidR="0061693D">
        <w:t xml:space="preserve">new </w:t>
      </w:r>
      <w:r w:rsidR="00127966">
        <w:t>Short-Term Follow-up Survey</w:t>
      </w:r>
      <w:r w:rsidR="0069177A">
        <w:t xml:space="preserve"> </w:t>
      </w:r>
      <w:r w:rsidR="0061693D">
        <w:t>data collection efforts</w:t>
      </w:r>
      <w:r>
        <w:t>.</w:t>
      </w:r>
    </w:p>
    <w:p w14:paraId="5E39CEC0" w14:textId="7D357E2A" w:rsidR="006E1D90" w:rsidRDefault="006E1D90" w:rsidP="006E1D90">
      <w:r>
        <w:t xml:space="preserve">All impact </w:t>
      </w:r>
      <w:r w:rsidR="006D13C3">
        <w:t xml:space="preserve">evaluation </w:t>
      </w:r>
      <w:r>
        <w:t xml:space="preserve">participants will be included in the administrative data collection. However, in order to maximize efficiency for the survey data collection effort and allow all programs time to mature, the evaluators will select up to </w:t>
      </w:r>
      <w:r w:rsidR="00DB203F">
        <w:t>13</w:t>
      </w:r>
      <w:r>
        <w:t xml:space="preserve">,000 study participants </w:t>
      </w:r>
      <w:r w:rsidR="00104A7C">
        <w:t xml:space="preserve">beginning with those </w:t>
      </w:r>
      <w:r>
        <w:t xml:space="preserve">enrolled </w:t>
      </w:r>
      <w:r w:rsidR="00104A7C">
        <w:t>in</w:t>
      </w:r>
      <w:r>
        <w:t xml:space="preserve"> March 2017, for inclusion in the </w:t>
      </w:r>
      <w:r w:rsidR="00127966">
        <w:t>Short-Term Follow-up Survey</w:t>
      </w:r>
      <w:r>
        <w:t xml:space="preserve"> sample. The </w:t>
      </w:r>
      <w:r w:rsidR="00225DC8">
        <w:t xml:space="preserve">plans to maintain updated participant contact information </w:t>
      </w:r>
      <w:r>
        <w:t xml:space="preserve">for the HPOG 2.0 National Evaluation </w:t>
      </w:r>
      <w:r w:rsidR="006D13C3">
        <w:t>i</w:t>
      </w:r>
      <w:r>
        <w:t xml:space="preserve">mpact </w:t>
      </w:r>
      <w:r w:rsidR="006D13C3">
        <w:t xml:space="preserve">evaluation </w:t>
      </w:r>
      <w:r>
        <w:t>begin with a welcome packet, sent to all sample members within the first month of enrollment</w:t>
      </w:r>
      <w:r w:rsidR="00F56291">
        <w:t xml:space="preserve"> and quarterly contact updates thereafter</w:t>
      </w:r>
      <w:r>
        <w:t>. The welcome letter and study brochure</w:t>
      </w:r>
      <w:r w:rsidR="00A66251">
        <w:t>—</w:t>
      </w:r>
      <w:r w:rsidR="005F3619">
        <w:t xml:space="preserve">Instrument 5a </w:t>
      </w:r>
      <w:r w:rsidR="00A66251">
        <w:t>which w</w:t>
      </w:r>
      <w:r w:rsidR="005F3619">
        <w:t>as</w:t>
      </w:r>
      <w:r w:rsidR="00A66251">
        <w:t xml:space="preserve"> approved by OMB in June 2017—provide </w:t>
      </w:r>
      <w:r>
        <w:t xml:space="preserve">comprehensive information about the </w:t>
      </w:r>
      <w:r w:rsidR="00225DC8">
        <w:t>study requirements, the contact update efforts</w:t>
      </w:r>
      <w:r w:rsidR="00165517">
        <w:t>, and</w:t>
      </w:r>
      <w:r>
        <w:t xml:space="preserve"> survey data collection activities</w:t>
      </w:r>
      <w:r w:rsidR="00FB0E93">
        <w:t xml:space="preserve">. </w:t>
      </w:r>
      <w:r w:rsidR="00880B35">
        <w:t xml:space="preserve">The </w:t>
      </w:r>
      <w:r w:rsidR="004C7442">
        <w:t xml:space="preserve">evaluators send </w:t>
      </w:r>
      <w:r w:rsidR="00880B35">
        <w:t xml:space="preserve">quarterly requests to participants to update their </w:t>
      </w:r>
      <w:r>
        <w:t>name, address, telephone and email information, and preferred method of contact</w:t>
      </w:r>
      <w:r w:rsidR="00880B35">
        <w:t xml:space="preserve"> using the previously approved contact update form</w:t>
      </w:r>
      <w:r w:rsidR="005F3619">
        <w:t xml:space="preserve"> (Instrument 5b, approved in June 2017)</w:t>
      </w:r>
      <w:r>
        <w:t xml:space="preserve">. </w:t>
      </w:r>
      <w:r w:rsidR="004C7442">
        <w:t>The form</w:t>
      </w:r>
      <w:r>
        <w:t xml:space="preserve"> also collect</w:t>
      </w:r>
      <w:r w:rsidR="004C7442">
        <w:t>s</w:t>
      </w:r>
      <w:r>
        <w:t xml:space="preserve"> new or updated contact data for up to three people who do not live with the participant, but who will likely know how to reach him or her. Interviewers will only use secondary contact data if the primary contact information proves to be invalid (e.g., they encounter a disconnected telephone number or a returned letter marked undeliverable). </w:t>
      </w:r>
      <w:r w:rsidR="0069177A">
        <w:t xml:space="preserve">Previously </w:t>
      </w:r>
      <w:r w:rsidR="00A2299E">
        <w:t>approved</w:t>
      </w:r>
      <w:r w:rsidR="0069177A">
        <w:t xml:space="preserve"> </w:t>
      </w:r>
      <w:r>
        <w:t>Instrument 5</w:t>
      </w:r>
      <w:r w:rsidR="000775E7">
        <w:t>b</w:t>
      </w:r>
      <w:r>
        <w:t xml:space="preserve"> shows a copy of the contact update form.</w:t>
      </w:r>
      <w:r w:rsidR="00B44550">
        <w:t xml:space="preserve"> </w:t>
      </w:r>
    </w:p>
    <w:p w14:paraId="252F66E2" w14:textId="1F50F622" w:rsidR="009C5438" w:rsidRPr="00AC5E87" w:rsidDel="00B44550" w:rsidRDefault="00EE2B3E" w:rsidP="006B0576">
      <w:pPr>
        <w:rPr>
          <w:szCs w:val="22"/>
        </w:rPr>
      </w:pPr>
      <w:r w:rsidRPr="00AC5E87">
        <w:rPr>
          <w:szCs w:val="22"/>
        </w:rPr>
        <w:t xml:space="preserve">To </w:t>
      </w:r>
      <w:r w:rsidR="00B44550">
        <w:rPr>
          <w:szCs w:val="22"/>
        </w:rPr>
        <w:t>boost the response rate</w:t>
      </w:r>
      <w:r w:rsidR="004C51C8">
        <w:rPr>
          <w:szCs w:val="22"/>
        </w:rPr>
        <w:t xml:space="preserve"> to the contact update requests, </w:t>
      </w:r>
      <w:r w:rsidRPr="00AC5E87">
        <w:rPr>
          <w:szCs w:val="22"/>
        </w:rPr>
        <w:t xml:space="preserve">researchers offer three ways for participants to provide updated data. Participants can return the contact update form by mail, they can respond online, or they can call in and provide their updated information. Offering multiple </w:t>
      </w:r>
      <w:r>
        <w:rPr>
          <w:szCs w:val="22"/>
        </w:rPr>
        <w:t>options</w:t>
      </w:r>
      <w:r w:rsidRPr="00AC5E87">
        <w:rPr>
          <w:szCs w:val="22"/>
        </w:rPr>
        <w:t xml:space="preserve"> to respond helps to ensure that participants can respond in the mode most convenient for them</w:t>
      </w:r>
      <w:r w:rsidR="00FB0E93">
        <w:rPr>
          <w:szCs w:val="22"/>
        </w:rPr>
        <w:t xml:space="preserve">. </w:t>
      </w:r>
    </w:p>
    <w:p w14:paraId="0B23D6E6" w14:textId="6B5FB7B0" w:rsidR="00A66251" w:rsidRDefault="004E2D91" w:rsidP="006B0576">
      <w:pPr>
        <w:pStyle w:val="Heading5"/>
      </w:pPr>
      <w:r>
        <w:t>Incentives</w:t>
      </w:r>
    </w:p>
    <w:p w14:paraId="652F5A37" w14:textId="63B53E5F" w:rsidR="0021164D" w:rsidRDefault="00120AB5" w:rsidP="00F5110F">
      <w:r>
        <w:rPr>
          <w:szCs w:val="22"/>
        </w:rPr>
        <w:t>Th</w:t>
      </w:r>
      <w:r w:rsidR="001A09D1">
        <w:rPr>
          <w:szCs w:val="22"/>
        </w:rPr>
        <w:t xml:space="preserve">e </w:t>
      </w:r>
      <w:r w:rsidR="008519CD">
        <w:rPr>
          <w:szCs w:val="22"/>
        </w:rPr>
        <w:t xml:space="preserve">evaluation </w:t>
      </w:r>
      <w:r w:rsidR="001A09D1">
        <w:rPr>
          <w:szCs w:val="22"/>
        </w:rPr>
        <w:t xml:space="preserve">team </w:t>
      </w:r>
      <w:r>
        <w:rPr>
          <w:szCs w:val="22"/>
        </w:rPr>
        <w:t xml:space="preserve">will </w:t>
      </w:r>
      <w:r w:rsidR="001A09D1">
        <w:rPr>
          <w:szCs w:val="22"/>
        </w:rPr>
        <w:t xml:space="preserve">offer </w:t>
      </w:r>
      <w:r w:rsidR="004E2D91">
        <w:rPr>
          <w:szCs w:val="22"/>
        </w:rPr>
        <w:t>an incentive</w:t>
      </w:r>
      <w:r w:rsidR="00A7361E">
        <w:rPr>
          <w:szCs w:val="22"/>
        </w:rPr>
        <w:t xml:space="preserve"> valued at </w:t>
      </w:r>
      <w:r w:rsidR="001A09D1">
        <w:rPr>
          <w:szCs w:val="22"/>
        </w:rPr>
        <w:t xml:space="preserve">$5 for each </w:t>
      </w:r>
      <w:r>
        <w:rPr>
          <w:szCs w:val="22"/>
        </w:rPr>
        <w:t xml:space="preserve">contact </w:t>
      </w:r>
      <w:r w:rsidR="001A09D1">
        <w:rPr>
          <w:szCs w:val="22"/>
        </w:rPr>
        <w:t>update</w:t>
      </w:r>
      <w:r>
        <w:rPr>
          <w:szCs w:val="22"/>
        </w:rPr>
        <w:t xml:space="preserve"> </w:t>
      </w:r>
      <w:r w:rsidR="0071393A">
        <w:rPr>
          <w:szCs w:val="22"/>
        </w:rPr>
        <w:t xml:space="preserve">form </w:t>
      </w:r>
      <w:r>
        <w:rPr>
          <w:szCs w:val="22"/>
        </w:rPr>
        <w:t>received from participants</w:t>
      </w:r>
      <w:r w:rsidR="001A09D1">
        <w:rPr>
          <w:szCs w:val="22"/>
        </w:rPr>
        <w:t xml:space="preserve">. </w:t>
      </w:r>
      <w:r w:rsidR="000319E9">
        <w:rPr>
          <w:szCs w:val="22"/>
        </w:rPr>
        <w:t xml:space="preserve">The </w:t>
      </w:r>
      <w:r w:rsidR="004E2D91">
        <w:rPr>
          <w:szCs w:val="22"/>
        </w:rPr>
        <w:t>incentive</w:t>
      </w:r>
      <w:r w:rsidR="001B3465">
        <w:rPr>
          <w:szCs w:val="22"/>
        </w:rPr>
        <w:t>—previously approved in June 2017</w:t>
      </w:r>
      <w:r w:rsidR="00E82648">
        <w:rPr>
          <w:szCs w:val="22"/>
        </w:rPr>
        <w:t>, is</w:t>
      </w:r>
      <w:r w:rsidR="000319E9">
        <w:rPr>
          <w:szCs w:val="22"/>
        </w:rPr>
        <w:t xml:space="preserve"> </w:t>
      </w:r>
      <w:r w:rsidR="00BC628D">
        <w:rPr>
          <w:szCs w:val="22"/>
        </w:rPr>
        <w:t xml:space="preserve">a </w:t>
      </w:r>
      <w:r w:rsidR="000319E9">
        <w:rPr>
          <w:szCs w:val="22"/>
        </w:rPr>
        <w:t xml:space="preserve">way to thank the participant for </w:t>
      </w:r>
      <w:r w:rsidR="00104A7C">
        <w:rPr>
          <w:szCs w:val="22"/>
        </w:rPr>
        <w:t xml:space="preserve">returning </w:t>
      </w:r>
      <w:r w:rsidR="000319E9">
        <w:rPr>
          <w:szCs w:val="22"/>
        </w:rPr>
        <w:t>the form and for remaining engaged in the study</w:t>
      </w:r>
      <w:r w:rsidR="00BC628D">
        <w:rPr>
          <w:szCs w:val="22"/>
        </w:rPr>
        <w:t>.</w:t>
      </w:r>
      <w:r w:rsidR="000319E9">
        <w:rPr>
          <w:szCs w:val="22"/>
        </w:rPr>
        <w:t xml:space="preserve"> </w:t>
      </w:r>
      <w:r w:rsidR="00104A7C">
        <w:rPr>
          <w:szCs w:val="22"/>
        </w:rPr>
        <w:t>P</w:t>
      </w:r>
      <w:r w:rsidR="00EE2B3E" w:rsidRPr="00AC5E87">
        <w:rPr>
          <w:szCs w:val="22"/>
        </w:rPr>
        <w:t xml:space="preserve">articipants </w:t>
      </w:r>
      <w:r w:rsidR="00104A7C">
        <w:rPr>
          <w:szCs w:val="22"/>
        </w:rPr>
        <w:t xml:space="preserve">will receive the </w:t>
      </w:r>
      <w:r w:rsidR="004E2D91">
        <w:rPr>
          <w:szCs w:val="22"/>
        </w:rPr>
        <w:t>incentive</w:t>
      </w:r>
      <w:r w:rsidR="00104A7C">
        <w:rPr>
          <w:szCs w:val="22"/>
        </w:rPr>
        <w:t xml:space="preserve"> </w:t>
      </w:r>
      <w:r w:rsidR="004C7442">
        <w:rPr>
          <w:szCs w:val="22"/>
        </w:rPr>
        <w:t xml:space="preserve">via email </w:t>
      </w:r>
      <w:r w:rsidR="00EE2B3E" w:rsidRPr="00AC5E87">
        <w:rPr>
          <w:szCs w:val="22"/>
        </w:rPr>
        <w:t>after they provide updated contact information</w:t>
      </w:r>
      <w:r w:rsidR="00FB0E93">
        <w:rPr>
          <w:szCs w:val="22"/>
        </w:rPr>
        <w:t xml:space="preserve">. </w:t>
      </w:r>
      <w:r w:rsidR="008519CD">
        <w:rPr>
          <w:szCs w:val="22"/>
        </w:rPr>
        <w:t xml:space="preserve">Study participants </w:t>
      </w:r>
      <w:r w:rsidR="00462E67">
        <w:rPr>
          <w:szCs w:val="22"/>
        </w:rPr>
        <w:t>who</w:t>
      </w:r>
      <w:r w:rsidR="008519CD">
        <w:rPr>
          <w:szCs w:val="22"/>
        </w:rPr>
        <w:t xml:space="preserve"> return updated contact information will </w:t>
      </w:r>
      <w:r w:rsidR="0021164D">
        <w:rPr>
          <w:szCs w:val="22"/>
        </w:rPr>
        <w:t xml:space="preserve">receive an email with instructions showing them how to </w:t>
      </w:r>
      <w:r w:rsidR="0021164D">
        <w:t>log in to a secure study portal where they can redeem a $5 gift card from their choice of approved vendors.</w:t>
      </w:r>
      <w:r w:rsidR="0021164D" w:rsidRPr="00CD4115">
        <w:rPr>
          <w:rStyle w:val="FootnoteReference"/>
        </w:rPr>
        <w:t xml:space="preserve"> </w:t>
      </w:r>
      <w:r w:rsidR="0021164D">
        <w:rPr>
          <w:rStyle w:val="FootnoteReference"/>
        </w:rPr>
        <w:footnoteReference w:id="6"/>
      </w:r>
    </w:p>
    <w:p w14:paraId="63ACDC27" w14:textId="573CCCD8" w:rsidR="00EA3DA3" w:rsidRPr="00EA3DA3" w:rsidRDefault="00E756EA" w:rsidP="00F5110F">
      <w:pPr>
        <w:rPr>
          <w:szCs w:val="22"/>
        </w:rPr>
      </w:pPr>
      <w:r>
        <w:rPr>
          <w:szCs w:val="22"/>
        </w:rPr>
        <w:t xml:space="preserve">The </w:t>
      </w:r>
      <w:r w:rsidR="008519CD">
        <w:rPr>
          <w:szCs w:val="22"/>
        </w:rPr>
        <w:t xml:space="preserve">evaluation </w:t>
      </w:r>
      <w:r>
        <w:rPr>
          <w:szCs w:val="22"/>
        </w:rPr>
        <w:t xml:space="preserve">team </w:t>
      </w:r>
      <w:r w:rsidR="004C7442">
        <w:rPr>
          <w:szCs w:val="22"/>
        </w:rPr>
        <w:t xml:space="preserve">also </w:t>
      </w:r>
      <w:r>
        <w:rPr>
          <w:szCs w:val="22"/>
        </w:rPr>
        <w:t xml:space="preserve">proposes to offer </w:t>
      </w:r>
      <w:r w:rsidR="004E2D91">
        <w:rPr>
          <w:szCs w:val="22"/>
        </w:rPr>
        <w:t>an incentive</w:t>
      </w:r>
      <w:r>
        <w:rPr>
          <w:szCs w:val="22"/>
        </w:rPr>
        <w:t xml:space="preserve"> for completion of the Short-Term </w:t>
      </w:r>
      <w:r w:rsidR="001B3465">
        <w:rPr>
          <w:szCs w:val="22"/>
        </w:rPr>
        <w:t>Follow-up s</w:t>
      </w:r>
      <w:r>
        <w:rPr>
          <w:szCs w:val="22"/>
        </w:rPr>
        <w:t>u</w:t>
      </w:r>
      <w:r w:rsidR="004C7442">
        <w:rPr>
          <w:szCs w:val="22"/>
        </w:rPr>
        <w:t>rvey</w:t>
      </w:r>
      <w:r w:rsidR="00FB0E93">
        <w:rPr>
          <w:szCs w:val="22"/>
        </w:rPr>
        <w:t xml:space="preserve">. </w:t>
      </w:r>
      <w:r w:rsidR="00EA3DA3">
        <w:t xml:space="preserve">Given a target response rate of 80 percent for the Short-Term </w:t>
      </w:r>
      <w:r w:rsidR="00D12DEB">
        <w:t>Follow-up s</w:t>
      </w:r>
      <w:r w:rsidR="00EA3DA3">
        <w:t xml:space="preserve">urvey, </w:t>
      </w:r>
      <w:r w:rsidR="001B3465">
        <w:t>the projected 60 minute length of the survey</w:t>
      </w:r>
      <w:r w:rsidR="004A7D9D">
        <w:t xml:space="preserve">, </w:t>
      </w:r>
      <w:r w:rsidR="00EA3DA3">
        <w:t xml:space="preserve">and based on the incentive amounts approved for previous rounds of data collection on </w:t>
      </w:r>
      <w:r w:rsidR="00B92E3C">
        <w:t xml:space="preserve">OPRE’s </w:t>
      </w:r>
      <w:r w:rsidR="00EA3DA3">
        <w:t>prior Career Pathways studies</w:t>
      </w:r>
      <w:r w:rsidR="001B3465">
        <w:t xml:space="preserve"> (PACE and HPOG 1</w:t>
      </w:r>
      <w:r w:rsidR="00B92E3C">
        <w:t>.0</w:t>
      </w:r>
      <w:r w:rsidR="001B3465">
        <w:t xml:space="preserve"> </w:t>
      </w:r>
      <w:r w:rsidR="00B92E3C">
        <w:t>Impact</w:t>
      </w:r>
      <w:r w:rsidR="005F3619">
        <w:t xml:space="preserve"> OMB control numbers 0970-0397 and 0970-0394 respectively</w:t>
      </w:r>
      <w:r w:rsidR="001B3465">
        <w:t>)</w:t>
      </w:r>
      <w:r w:rsidR="00EA3DA3">
        <w:t>, we feel that the appropriate incentive level is $40</w:t>
      </w:r>
      <w:r w:rsidR="00FB0E93">
        <w:t xml:space="preserve">. </w:t>
      </w:r>
      <w:r w:rsidR="0021164D">
        <w:t>As with the contact update forms, r</w:t>
      </w:r>
      <w:r w:rsidR="00EA3DA3">
        <w:t xml:space="preserve">espondents will </w:t>
      </w:r>
      <w:r w:rsidR="0021164D">
        <w:t xml:space="preserve">receive an email with customized instructions showing them how to </w:t>
      </w:r>
      <w:r w:rsidR="00EA3DA3">
        <w:t>log</w:t>
      </w:r>
      <w:r w:rsidR="0021164D">
        <w:t xml:space="preserve"> </w:t>
      </w:r>
      <w:r w:rsidR="00EA3DA3">
        <w:t>in to a secure study portal where they can redeem a $40 gift card from their choice of approved vendors.</w:t>
      </w:r>
      <w:r w:rsidR="00EA3DA3" w:rsidRPr="00CD4115">
        <w:rPr>
          <w:rStyle w:val="FootnoteReference"/>
        </w:rPr>
        <w:t xml:space="preserve"> </w:t>
      </w:r>
      <w:r w:rsidR="00EA3DA3">
        <w:rPr>
          <w:rStyle w:val="FootnoteReference"/>
        </w:rPr>
        <w:footnoteReference w:id="7"/>
      </w:r>
    </w:p>
    <w:p w14:paraId="7499ADB4" w14:textId="0C4EC066" w:rsidR="00880B35" w:rsidRDefault="00E756EA" w:rsidP="00E756EA">
      <w:pPr>
        <w:pStyle w:val="CommentText"/>
        <w:rPr>
          <w:sz w:val="22"/>
          <w:szCs w:val="22"/>
        </w:rPr>
      </w:pPr>
      <w:r w:rsidRPr="00666726">
        <w:rPr>
          <w:sz w:val="22"/>
          <w:szCs w:val="22"/>
        </w:rPr>
        <w:t xml:space="preserve">Without a </w:t>
      </w:r>
      <w:r w:rsidR="004E2D91">
        <w:rPr>
          <w:sz w:val="22"/>
          <w:szCs w:val="22"/>
        </w:rPr>
        <w:t>incentive</w:t>
      </w:r>
      <w:r w:rsidRPr="00666726">
        <w:rPr>
          <w:sz w:val="22"/>
          <w:szCs w:val="22"/>
        </w:rPr>
        <w:t xml:space="preserve"> of this order of cost, the impact evaluation study is unlikely to meet the previously mentioned quality targets set by the WWC (See Supporting Statement A, Section A9 for more information)</w:t>
      </w:r>
      <w:r w:rsidR="00FB0E93">
        <w:rPr>
          <w:sz w:val="22"/>
          <w:szCs w:val="22"/>
        </w:rPr>
        <w:t xml:space="preserve">. </w:t>
      </w:r>
      <w:r w:rsidRPr="00666726">
        <w:rPr>
          <w:sz w:val="22"/>
          <w:szCs w:val="22"/>
        </w:rPr>
        <w:t xml:space="preserve">The team also feels that a significant </w:t>
      </w:r>
      <w:r w:rsidR="004E2D91">
        <w:rPr>
          <w:sz w:val="22"/>
          <w:szCs w:val="22"/>
        </w:rPr>
        <w:t>incentive</w:t>
      </w:r>
      <w:r w:rsidRPr="00666726">
        <w:rPr>
          <w:sz w:val="22"/>
          <w:szCs w:val="22"/>
        </w:rPr>
        <w:t xml:space="preserve"> is required at this contact in order to keep participants engaged in the study and responsive to the continued contact update efforts leading up to the Intermediate </w:t>
      </w:r>
      <w:r w:rsidR="00462E67">
        <w:rPr>
          <w:sz w:val="22"/>
          <w:szCs w:val="22"/>
        </w:rPr>
        <w:t xml:space="preserve">Follow-up </w:t>
      </w:r>
      <w:r w:rsidRPr="00666726">
        <w:rPr>
          <w:sz w:val="22"/>
          <w:szCs w:val="22"/>
        </w:rPr>
        <w:t>Survey, 36 months after randomization</w:t>
      </w:r>
      <w:r w:rsidR="00EF7A96">
        <w:rPr>
          <w:sz w:val="22"/>
          <w:szCs w:val="22"/>
        </w:rPr>
        <w:t xml:space="preserve">. </w:t>
      </w:r>
    </w:p>
    <w:p w14:paraId="1F42D269" w14:textId="5A6B0342" w:rsidR="00760B80" w:rsidRDefault="00104A7C" w:rsidP="00EE2B3E">
      <w:pPr>
        <w:pStyle w:val="CommentText"/>
        <w:rPr>
          <w:sz w:val="22"/>
          <w:szCs w:val="22"/>
        </w:rPr>
      </w:pPr>
      <w:r>
        <w:rPr>
          <w:sz w:val="22"/>
          <w:szCs w:val="22"/>
        </w:rPr>
        <w:t>I</w:t>
      </w:r>
      <w:r w:rsidR="00EE2B3E" w:rsidRPr="00AC5E87">
        <w:rPr>
          <w:sz w:val="22"/>
          <w:szCs w:val="22"/>
        </w:rPr>
        <w:t>ncentives</w:t>
      </w:r>
      <w:r>
        <w:rPr>
          <w:sz w:val="22"/>
          <w:szCs w:val="22"/>
        </w:rPr>
        <w:t xml:space="preserve"> </w:t>
      </w:r>
      <w:r w:rsidR="00EE2B3E" w:rsidRPr="00AC5E87">
        <w:rPr>
          <w:sz w:val="22"/>
          <w:szCs w:val="22"/>
        </w:rPr>
        <w:t xml:space="preserve">at one or more phases of data collection have been used successfully, </w:t>
      </w:r>
      <w:r w:rsidR="00EE2B3E">
        <w:rPr>
          <w:sz w:val="22"/>
          <w:szCs w:val="22"/>
        </w:rPr>
        <w:t xml:space="preserve">on a </w:t>
      </w:r>
      <w:r w:rsidR="00EE2B3E" w:rsidRPr="00AC5E87">
        <w:rPr>
          <w:sz w:val="22"/>
          <w:szCs w:val="22"/>
        </w:rPr>
        <w:t>number of similar federally sponsored surveys</w:t>
      </w:r>
      <w:r w:rsidR="004C51C8">
        <w:rPr>
          <w:sz w:val="22"/>
          <w:szCs w:val="22"/>
        </w:rPr>
        <w:t xml:space="preserve"> such as PACE</w:t>
      </w:r>
      <w:r w:rsidR="00194577">
        <w:rPr>
          <w:sz w:val="22"/>
          <w:szCs w:val="22"/>
        </w:rPr>
        <w:t xml:space="preserve"> (OMB control number </w:t>
      </w:r>
      <w:r w:rsidR="00194577" w:rsidRPr="00194577">
        <w:rPr>
          <w:sz w:val="22"/>
          <w:szCs w:val="22"/>
        </w:rPr>
        <w:t>0970-0397</w:t>
      </w:r>
      <w:r w:rsidR="00194577">
        <w:rPr>
          <w:sz w:val="22"/>
          <w:szCs w:val="22"/>
        </w:rPr>
        <w:t>0)</w:t>
      </w:r>
      <w:r w:rsidR="004C51C8">
        <w:rPr>
          <w:sz w:val="22"/>
          <w:szCs w:val="22"/>
        </w:rPr>
        <w:t xml:space="preserve"> and the</w:t>
      </w:r>
      <w:r w:rsidR="00666726">
        <w:rPr>
          <w:sz w:val="22"/>
          <w:szCs w:val="22"/>
        </w:rPr>
        <w:t xml:space="preserve"> </w:t>
      </w:r>
      <w:r w:rsidR="004C51C8">
        <w:rPr>
          <w:sz w:val="22"/>
          <w:szCs w:val="22"/>
        </w:rPr>
        <w:t xml:space="preserve">HPOG 1.0 </w:t>
      </w:r>
      <w:r w:rsidR="00B92E3C">
        <w:rPr>
          <w:sz w:val="22"/>
          <w:szCs w:val="22"/>
        </w:rPr>
        <w:t>I</w:t>
      </w:r>
      <w:r w:rsidR="004C51C8">
        <w:rPr>
          <w:sz w:val="22"/>
          <w:szCs w:val="22"/>
        </w:rPr>
        <w:t xml:space="preserve">mpact </w:t>
      </w:r>
      <w:r w:rsidR="00B92E3C">
        <w:rPr>
          <w:sz w:val="22"/>
          <w:szCs w:val="22"/>
        </w:rPr>
        <w:t>S</w:t>
      </w:r>
      <w:r w:rsidR="004C51C8">
        <w:rPr>
          <w:sz w:val="22"/>
          <w:szCs w:val="22"/>
        </w:rPr>
        <w:t>tudy</w:t>
      </w:r>
      <w:r w:rsidR="00194577">
        <w:rPr>
          <w:sz w:val="22"/>
          <w:szCs w:val="22"/>
        </w:rPr>
        <w:t xml:space="preserve"> (OMB control number </w:t>
      </w:r>
      <w:r w:rsidR="00194577" w:rsidRPr="00194577">
        <w:rPr>
          <w:sz w:val="22"/>
          <w:szCs w:val="22"/>
        </w:rPr>
        <w:t>0970-0394</w:t>
      </w:r>
      <w:r w:rsidR="00EE2B3E" w:rsidRPr="00AC5E87">
        <w:rPr>
          <w:sz w:val="22"/>
          <w:szCs w:val="22"/>
        </w:rPr>
        <w:t>.</w:t>
      </w:r>
      <w:r w:rsidR="00194577">
        <w:rPr>
          <w:sz w:val="22"/>
          <w:szCs w:val="22"/>
        </w:rPr>
        <w:t>)</w:t>
      </w:r>
      <w:r w:rsidR="00EE2B3E" w:rsidRPr="00AC5E87">
        <w:rPr>
          <w:sz w:val="22"/>
          <w:szCs w:val="22"/>
        </w:rPr>
        <w:t xml:space="preserve">  The </w:t>
      </w:r>
      <w:r>
        <w:rPr>
          <w:sz w:val="22"/>
          <w:szCs w:val="22"/>
        </w:rPr>
        <w:t>planned</w:t>
      </w:r>
      <w:r w:rsidR="00EE2B3E" w:rsidRPr="00AC5E87">
        <w:rPr>
          <w:sz w:val="22"/>
          <w:szCs w:val="22"/>
        </w:rPr>
        <w:t xml:space="preserve"> incentive amount is comparable to what was offered for </w:t>
      </w:r>
      <w:r w:rsidR="00E756EA">
        <w:rPr>
          <w:sz w:val="22"/>
          <w:szCs w:val="22"/>
        </w:rPr>
        <w:t>the</w:t>
      </w:r>
      <w:r w:rsidR="00EE2B3E" w:rsidRPr="00AC5E87">
        <w:rPr>
          <w:sz w:val="22"/>
          <w:szCs w:val="22"/>
        </w:rPr>
        <w:t xml:space="preserve"> follow-up survey efforts for both </w:t>
      </w:r>
      <w:r w:rsidR="004C51C8">
        <w:rPr>
          <w:sz w:val="22"/>
          <w:szCs w:val="22"/>
        </w:rPr>
        <w:t xml:space="preserve">of </w:t>
      </w:r>
      <w:r w:rsidR="0072296B">
        <w:rPr>
          <w:sz w:val="22"/>
          <w:szCs w:val="22"/>
        </w:rPr>
        <w:t>those studies</w:t>
      </w:r>
      <w:r w:rsidR="00194577">
        <w:rPr>
          <w:sz w:val="22"/>
          <w:szCs w:val="22"/>
        </w:rPr>
        <w:t>.</w:t>
      </w:r>
    </w:p>
    <w:p w14:paraId="6ABD5DE5" w14:textId="4437C3F3" w:rsidR="00120AB5" w:rsidRPr="00C71FEC" w:rsidRDefault="00120AB5" w:rsidP="00120AB5">
      <w:pPr>
        <w:pStyle w:val="BodyText"/>
        <w:rPr>
          <w:rFonts w:eastAsiaTheme="minorHAnsi"/>
        </w:rPr>
      </w:pPr>
      <w:r>
        <w:t xml:space="preserve">Finally, the team does not rely solely on the use of </w:t>
      </w:r>
      <w:r w:rsidR="004E2D91">
        <w:t>incentives</w:t>
      </w:r>
      <w:r w:rsidR="002F5068">
        <w:t xml:space="preserve"> </w:t>
      </w:r>
      <w:r>
        <w:t>to maximize response rates</w:t>
      </w:r>
      <w:r w:rsidR="002F5068">
        <w:t xml:space="preserve"> and </w:t>
      </w:r>
      <w:r>
        <w:t>reduce nonresponse bias</w:t>
      </w:r>
      <w:r w:rsidR="00FB0E93">
        <w:t xml:space="preserve">. </w:t>
      </w:r>
      <w:r>
        <w:t>The next section summarizes other efforts to</w:t>
      </w:r>
      <w:r w:rsidR="002F5068">
        <w:t xml:space="preserve"> </w:t>
      </w:r>
      <w:r>
        <w:t>maximize response rates.</w:t>
      </w:r>
    </w:p>
    <w:p w14:paraId="0B87CCC7" w14:textId="77A68992" w:rsidR="00A66251" w:rsidRDefault="00A66251" w:rsidP="006B0576">
      <w:pPr>
        <w:pStyle w:val="Heading5"/>
      </w:pPr>
      <w:r>
        <w:t>Sample Control</w:t>
      </w:r>
    </w:p>
    <w:p w14:paraId="74D727B3" w14:textId="06D4D318" w:rsidR="00A66251" w:rsidRDefault="008519CD" w:rsidP="00A66251">
      <w:r>
        <w:t xml:space="preserve">During the </w:t>
      </w:r>
      <w:r w:rsidR="00127966">
        <w:t xml:space="preserve">Short-Term Follow-up Survey </w:t>
      </w:r>
      <w:r w:rsidR="00A66251">
        <w:t xml:space="preserve">data collection period, the </w:t>
      </w:r>
      <w:r>
        <w:t>evaluation</w:t>
      </w:r>
      <w:r w:rsidR="00A66251">
        <w:t xml:space="preserve"> team will </w:t>
      </w:r>
      <w:r w:rsidR="00A66251" w:rsidRPr="00185072">
        <w:t>minimize</w:t>
      </w:r>
      <w:r w:rsidR="00A66251">
        <w:t xml:space="preserve"> nonresponse levels and the risk of nonresponse bias by:</w:t>
      </w:r>
    </w:p>
    <w:p w14:paraId="7D1AFA41" w14:textId="39008920" w:rsidR="00A66251" w:rsidRDefault="00A66251" w:rsidP="00A66251">
      <w:pPr>
        <w:pStyle w:val="Bullets"/>
      </w:pPr>
      <w:r w:rsidRPr="0069074F">
        <w:t xml:space="preserve">Using trained interviewers </w:t>
      </w:r>
      <w:r w:rsidR="00304378">
        <w:t>with experience working</w:t>
      </w:r>
      <w:r>
        <w:t xml:space="preserve"> on prior </w:t>
      </w:r>
      <w:r w:rsidR="00304378">
        <w:t xml:space="preserve">career pathways </w:t>
      </w:r>
      <w:r>
        <w:t>studies</w:t>
      </w:r>
      <w:r w:rsidR="0069177A">
        <w:t>. They</w:t>
      </w:r>
      <w:r w:rsidR="001B3465">
        <w:t xml:space="preserve"> </w:t>
      </w:r>
      <w:r w:rsidRPr="0069074F">
        <w:t xml:space="preserve">are skilled at working with </w:t>
      </w:r>
      <w:r>
        <w:t>low-income adults</w:t>
      </w:r>
      <w:r w:rsidRPr="0069074F">
        <w:t xml:space="preserve"> and in maintaining rapport with respondents, to minimize the number of </w:t>
      </w:r>
      <w:r>
        <w:t>break-offs and incidence of non</w:t>
      </w:r>
      <w:r w:rsidRPr="0069074F">
        <w:t>response bias</w:t>
      </w:r>
      <w:r>
        <w:t xml:space="preserve">. </w:t>
      </w:r>
    </w:p>
    <w:p w14:paraId="0EFF95F7" w14:textId="46702E7F" w:rsidR="00A66251" w:rsidRDefault="00A66251" w:rsidP="00A66251">
      <w:pPr>
        <w:pStyle w:val="Bullets"/>
      </w:pPr>
      <w:r>
        <w:t>Providing a Spanish language version of the survey instrument</w:t>
      </w:r>
      <w:r w:rsidR="0015558F">
        <w:t xml:space="preserve"> to h</w:t>
      </w:r>
      <w:r>
        <w:t xml:space="preserve">elp achieve a high response rate among study participants </w:t>
      </w:r>
      <w:r w:rsidR="001B3465">
        <w:t xml:space="preserve">for whom </w:t>
      </w:r>
      <w:r>
        <w:t xml:space="preserve">Spanish </w:t>
      </w:r>
      <w:r w:rsidR="001B3465">
        <w:t xml:space="preserve">is their </w:t>
      </w:r>
      <w:r>
        <w:t>first language</w:t>
      </w:r>
      <w:r w:rsidR="00FB0E93">
        <w:t xml:space="preserve">. </w:t>
      </w:r>
    </w:p>
    <w:p w14:paraId="7E28CC10" w14:textId="524C98CB" w:rsidR="00A66251" w:rsidRPr="0069074F" w:rsidRDefault="00A66251" w:rsidP="00A66251">
      <w:pPr>
        <w:pStyle w:val="Bullets"/>
      </w:pPr>
      <w:r>
        <w:t>Using a mixed-mode approach</w:t>
      </w:r>
      <w:r w:rsidR="00304378">
        <w:t xml:space="preserve"> (telephone with in-person follow-up) but with a single team of local interviewers</w:t>
      </w:r>
      <w:r w:rsidR="00FB0E93">
        <w:t xml:space="preserve">. </w:t>
      </w:r>
      <w:r>
        <w:t xml:space="preserve">Our experience on the </w:t>
      </w:r>
      <w:r w:rsidR="00304378">
        <w:t>prior career pathways studies, such as the first round HPOG</w:t>
      </w:r>
      <w:r w:rsidR="0015558F">
        <w:t>1.0</w:t>
      </w:r>
      <w:r w:rsidR="00304378">
        <w:t xml:space="preserve"> </w:t>
      </w:r>
      <w:r w:rsidR="00473B8C">
        <w:t>I</w:t>
      </w:r>
      <w:r w:rsidR="00304378">
        <w:t xml:space="preserve">mpact and PACE </w:t>
      </w:r>
      <w:r w:rsidR="00473B8C">
        <w:t>S</w:t>
      </w:r>
      <w:r w:rsidR="00304378">
        <w:t>tudies, shows</w:t>
      </w:r>
      <w:r>
        <w:t xml:space="preserve"> that </w:t>
      </w:r>
      <w:r w:rsidR="00473B8C">
        <w:t xml:space="preserve">respondents are more likely to answer calls from </w:t>
      </w:r>
      <w:r>
        <w:t>local interviewers than the phone center</w:t>
      </w:r>
      <w:r w:rsidR="00FB0E93">
        <w:t xml:space="preserve">. </w:t>
      </w:r>
      <w:r>
        <w:t>This will also allow the local interv</w:t>
      </w:r>
      <w:r w:rsidR="00304378">
        <w:t>iewer to tailor their approach to the in-person effort</w:t>
      </w:r>
      <w:r>
        <w:t>.</w:t>
      </w:r>
    </w:p>
    <w:p w14:paraId="4F471BDD" w14:textId="4AF894C8" w:rsidR="00A66251" w:rsidRPr="0069074F" w:rsidRDefault="00A66251" w:rsidP="00A66251">
      <w:pPr>
        <w:pStyle w:val="Bullets"/>
      </w:pPr>
      <w:r>
        <w:t>Sending email reminders to non-respondents (</w:t>
      </w:r>
      <w:r w:rsidR="0015558F">
        <w:t>for whom</w:t>
      </w:r>
      <w:r>
        <w:t xml:space="preserve"> we have an email address) informing them of the study and allowing them </w:t>
      </w:r>
      <w:r w:rsidR="0069177A">
        <w:t xml:space="preserve">the opportunity to </w:t>
      </w:r>
      <w:r>
        <w:t>schedule an interview (</w:t>
      </w:r>
      <w:r w:rsidR="00304378">
        <w:t xml:space="preserve">Attachment </w:t>
      </w:r>
      <w:r w:rsidR="001B3465">
        <w:t>N</w:t>
      </w:r>
      <w:r>
        <w:t>).</w:t>
      </w:r>
    </w:p>
    <w:p w14:paraId="7604BB0F" w14:textId="46643E9A" w:rsidR="00A66251" w:rsidRPr="0069074F" w:rsidRDefault="00A66251" w:rsidP="00A66251">
      <w:pPr>
        <w:pStyle w:val="Bullets"/>
      </w:pPr>
      <w:r w:rsidRPr="0069074F">
        <w:t>Providing a toll-free study hotline number</w:t>
      </w:r>
      <w:r>
        <w:t>—which</w:t>
      </w:r>
      <w:r w:rsidRPr="0069074F">
        <w:t xml:space="preserve"> will be included in all communications to study participants</w:t>
      </w:r>
      <w:r>
        <w:t>—</w:t>
      </w:r>
      <w:r w:rsidR="0015558F">
        <w:t>to help t</w:t>
      </w:r>
      <w:r w:rsidRPr="0069074F">
        <w:t xml:space="preserve">hem ask questions about the survey, update their contact information, </w:t>
      </w:r>
      <w:r>
        <w:t xml:space="preserve">and </w:t>
      </w:r>
      <w:r w:rsidR="0015558F">
        <w:t>i</w:t>
      </w:r>
      <w:r w:rsidRPr="0069074F">
        <w:t xml:space="preserve">ndicate a preferred time to be called </w:t>
      </w:r>
      <w:r>
        <w:t xml:space="preserve">for </w:t>
      </w:r>
      <w:r w:rsidRPr="0069074F">
        <w:t xml:space="preserve">the </w:t>
      </w:r>
      <w:r>
        <w:t>survey</w:t>
      </w:r>
      <w:r w:rsidRPr="0069074F">
        <w:t>.</w:t>
      </w:r>
    </w:p>
    <w:p w14:paraId="2E891D1F" w14:textId="2509F55D" w:rsidR="00A66251" w:rsidRDefault="00A66251" w:rsidP="00A66251">
      <w:pPr>
        <w:pStyle w:val="Bullets"/>
      </w:pPr>
      <w:r w:rsidRPr="0069074F">
        <w:t>Taking additional locating steps</w:t>
      </w:r>
      <w:r>
        <w:t xml:space="preserve"> in the field</w:t>
      </w:r>
      <w:r w:rsidRPr="0069074F">
        <w:t xml:space="preserve">, as needed, when </w:t>
      </w:r>
      <w:r>
        <w:t xml:space="preserve">the </w:t>
      </w:r>
      <w:r w:rsidR="0015558F">
        <w:t>interviewers do</w:t>
      </w:r>
      <w:r w:rsidRPr="0069074F">
        <w:t xml:space="preserve"> not find sample members at the phone numbers or addresses previously collected.</w:t>
      </w:r>
    </w:p>
    <w:p w14:paraId="5D2EECAD" w14:textId="36B47F34" w:rsidR="00A66251" w:rsidRDefault="00A66251" w:rsidP="00A66251">
      <w:pPr>
        <w:pStyle w:val="Bullets"/>
      </w:pPr>
      <w:r>
        <w:t xml:space="preserve">Using customized materials </w:t>
      </w:r>
      <w:r w:rsidR="0069177A">
        <w:t>in</w:t>
      </w:r>
      <w:r>
        <w:t xml:space="preserve"> </w:t>
      </w:r>
      <w:r w:rsidR="002F5068">
        <w:t>the</w:t>
      </w:r>
      <w:r>
        <w:t xml:space="preserve"> field, such as “tr</w:t>
      </w:r>
      <w:r w:rsidR="0015558F">
        <w:t>ying</w:t>
      </w:r>
      <w:r>
        <w:t xml:space="preserve"> to reach you” flyers with study information and the toll-free number (</w:t>
      </w:r>
      <w:r w:rsidR="00304378">
        <w:t>Attachment M</w:t>
      </w:r>
      <w:r>
        <w:t>).</w:t>
      </w:r>
    </w:p>
    <w:p w14:paraId="6C3A8E73" w14:textId="4580C050" w:rsidR="00A66251" w:rsidRPr="0069074F" w:rsidRDefault="00A66251" w:rsidP="00A66251">
      <w:pPr>
        <w:pStyle w:val="BulletsLast"/>
      </w:pPr>
      <w:r w:rsidRPr="0069074F">
        <w:t xml:space="preserve">Requiring the survey supervisors to manage the sample to ensure that </w:t>
      </w:r>
      <w:r w:rsidR="0069177A" w:rsidRPr="0069074F">
        <w:t>a</w:t>
      </w:r>
      <w:r w:rsidRPr="0069074F">
        <w:t xml:space="preserve"> relatively equal </w:t>
      </w:r>
      <w:r w:rsidR="0069177A" w:rsidRPr="0069074F">
        <w:t xml:space="preserve">response rate </w:t>
      </w:r>
      <w:r w:rsidR="0069177A">
        <w:t>for</w:t>
      </w:r>
      <w:r w:rsidR="0069177A" w:rsidRPr="0069074F">
        <w:t xml:space="preserve"> </w:t>
      </w:r>
      <w:r w:rsidRPr="0069074F">
        <w:t>treatment and control groups is achieved.</w:t>
      </w:r>
    </w:p>
    <w:p w14:paraId="1D77B74F" w14:textId="18F219F6" w:rsidR="00A66251" w:rsidRDefault="00A66251" w:rsidP="00A66251">
      <w:r w:rsidRPr="0069074F">
        <w:rPr>
          <w:szCs w:val="22"/>
        </w:rPr>
        <w:t>Throug</w:t>
      </w:r>
      <w:r>
        <w:t xml:space="preserve">h these methods, the research team </w:t>
      </w:r>
      <w:r w:rsidRPr="00185072">
        <w:t>anticipates</w:t>
      </w:r>
      <w:r>
        <w:t xml:space="preserve"> being able to achieve the targeted </w:t>
      </w:r>
      <w:r w:rsidR="00304378">
        <w:t>80</w:t>
      </w:r>
      <w:r>
        <w:t xml:space="preserve"> percent response rate for the </w:t>
      </w:r>
      <w:r w:rsidR="001B3465">
        <w:t>Short-Term Follow-up s</w:t>
      </w:r>
      <w:r w:rsidR="00304378">
        <w:t>urvey</w:t>
      </w:r>
      <w:r w:rsidR="00FB0E93">
        <w:t xml:space="preserve">. </w:t>
      </w:r>
    </w:p>
    <w:p w14:paraId="14C009F9" w14:textId="7DE47BF5" w:rsidR="00A66251" w:rsidRDefault="00A66251" w:rsidP="006B0576">
      <w:pPr>
        <w:pStyle w:val="Heading5"/>
      </w:pPr>
      <w:bookmarkStart w:id="29" w:name="_Toc472859062"/>
      <w:bookmarkStart w:id="30" w:name="_Toc480903480"/>
      <w:r>
        <w:t>Nonresponse Bias Analysis and Nonresponse Weighting Adjustment</w:t>
      </w:r>
      <w:bookmarkEnd w:id="29"/>
      <w:bookmarkEnd w:id="30"/>
    </w:p>
    <w:p w14:paraId="6838BEF8" w14:textId="775E8F68" w:rsidR="00120AB5" w:rsidRDefault="00A66251" w:rsidP="00507C01">
      <w:pPr>
        <w:pStyle w:val="BodyText"/>
      </w:pPr>
      <w:r>
        <w:t xml:space="preserve">If interviewers achieve a response rate </w:t>
      </w:r>
      <w:r w:rsidRPr="009D0287">
        <w:t>below 80</w:t>
      </w:r>
      <w:r w:rsidR="0069177A" w:rsidRPr="0069177A">
        <w:t xml:space="preserve"> </w:t>
      </w:r>
      <w:r w:rsidR="0069177A" w:rsidRPr="009D0287">
        <w:t>percent</w:t>
      </w:r>
      <w:r>
        <w:t>, the research team will conduct a nonresponse bias analysis</w:t>
      </w:r>
      <w:r w:rsidR="00FB0E93">
        <w:t xml:space="preserve">. </w:t>
      </w:r>
      <w:r w:rsidR="00507C01">
        <w:t xml:space="preserve">The </w:t>
      </w:r>
      <w:r w:rsidR="0045745F">
        <w:t xml:space="preserve">evaluation team </w:t>
      </w:r>
      <w:r w:rsidR="00507C01">
        <w:t xml:space="preserve">plans to deal with both unit non-response and item nonresponse in the Short-Term </w:t>
      </w:r>
      <w:r w:rsidR="00D12DEB">
        <w:t>Follow-up s</w:t>
      </w:r>
      <w:r w:rsidR="00507C01">
        <w:t>urvey</w:t>
      </w:r>
      <w:r w:rsidR="00FB0E93">
        <w:t xml:space="preserve">. </w:t>
      </w:r>
      <w:r w:rsidR="00507C01">
        <w:t xml:space="preserve">Unit nonresponse </w:t>
      </w:r>
      <w:r w:rsidR="0069177A">
        <w:t xml:space="preserve">is </w:t>
      </w:r>
      <w:r w:rsidR="001B3465">
        <w:t>almost</w:t>
      </w:r>
      <w:r w:rsidR="004A7D9D">
        <w:t xml:space="preserve"> </w:t>
      </w:r>
      <w:r w:rsidR="00507C01">
        <w:t xml:space="preserve">inevitable because interviewers will likely be unable to complete a short-term </w:t>
      </w:r>
      <w:r w:rsidR="008F68FB">
        <w:t xml:space="preserve">follow-up </w:t>
      </w:r>
      <w:r w:rsidR="00507C01">
        <w:t>interview with all 13,000 selected participants</w:t>
      </w:r>
      <w:r w:rsidR="00FB0E93">
        <w:t xml:space="preserve">. </w:t>
      </w:r>
      <w:r w:rsidR="0045745F">
        <w:t xml:space="preserve">Item non-response is also inevitable as participants have the right to refuse to answer any item </w:t>
      </w:r>
      <w:r w:rsidR="00120AB5">
        <w:t>in the survey, or they may not know the response</w:t>
      </w:r>
      <w:r w:rsidR="00FB0E93">
        <w:t xml:space="preserve">. </w:t>
      </w:r>
    </w:p>
    <w:p w14:paraId="7D9B3D14" w14:textId="4A41A283" w:rsidR="00507C01" w:rsidRPr="00A93C27" w:rsidRDefault="00120AB5" w:rsidP="00507C01">
      <w:pPr>
        <w:pStyle w:val="BodyText"/>
      </w:pPr>
      <w:r>
        <w:t>To address unit nonresponse, t</w:t>
      </w:r>
      <w:r w:rsidR="00507C01">
        <w:t xml:space="preserve">he evaluation team </w:t>
      </w:r>
      <w:r w:rsidR="00507C01" w:rsidRPr="00A93C27">
        <w:t>will construct survey weights</w:t>
      </w:r>
      <w:r w:rsidR="00507C01" w:rsidRPr="00A93C27">
        <w:rPr>
          <w:rStyle w:val="FootnoteReference"/>
        </w:rPr>
        <w:footnoteReference w:id="8"/>
      </w:r>
      <w:r w:rsidR="00507C01" w:rsidRPr="00A93C27">
        <w:t xml:space="preserve"> using pre-randomization individual characteristics from PAGES. The analysis will use these weights when estimating impacts </w:t>
      </w:r>
      <w:r w:rsidR="0069177A">
        <w:t>for</w:t>
      </w:r>
      <w:r w:rsidR="0069177A" w:rsidRPr="00A93C27">
        <w:t xml:space="preserve"> </w:t>
      </w:r>
      <w:r w:rsidR="00507C01" w:rsidRPr="00A93C27">
        <w:t>outcomes reported in these surveys.</w:t>
      </w:r>
      <w:r w:rsidR="00507C01" w:rsidRPr="00A93C27">
        <w:rPr>
          <w:rStyle w:val="FootnoteReference"/>
        </w:rPr>
        <w:footnoteReference w:id="9"/>
      </w:r>
      <w:r w:rsidR="00507C01" w:rsidRPr="00A93C27">
        <w:t xml:space="preserve"> We will construct these weights for nonresponse (</w:t>
      </w:r>
      <w:r>
        <w:t>with</w:t>
      </w:r>
      <w:r w:rsidR="00507C01" w:rsidRPr="00A93C27">
        <w:t xml:space="preserve"> baseline characteristics) using traditional methods that involve fitting a model for unit response propensity, stratifying the sample by predicted response propensity, calculating actual response rates for the strata, and finally inverting those </w:t>
      </w:r>
      <w:r w:rsidR="001B3465">
        <w:t>average response rates for each strata</w:t>
      </w:r>
      <w:r w:rsidR="004A7D9D">
        <w:t xml:space="preserve"> </w:t>
      </w:r>
      <w:r w:rsidR="00507C01" w:rsidRPr="00A93C27">
        <w:t>to serve as nonresponse adjustment weights.</w:t>
      </w:r>
      <w:r w:rsidR="00507C01" w:rsidRPr="00A93C27">
        <w:rPr>
          <w:rStyle w:val="FootnoteReference"/>
        </w:rPr>
        <w:footnoteReference w:id="10"/>
      </w:r>
      <w:r w:rsidR="00507C01" w:rsidRPr="00A93C27">
        <w:t xml:space="preserve"> These are similar to traditional baseweights for surveys except that instead of being inverse probabilities of selection, they are inverse probabilities of response. </w:t>
      </w:r>
    </w:p>
    <w:p w14:paraId="13517BAE" w14:textId="7210848E" w:rsidR="00507C01" w:rsidRPr="00A93C27" w:rsidRDefault="00507C01" w:rsidP="00120AB5">
      <w:r w:rsidRPr="00A93C27">
        <w:t xml:space="preserve">The study team </w:t>
      </w:r>
      <w:r w:rsidR="008F68FB">
        <w:t xml:space="preserve">plans to </w:t>
      </w:r>
      <w:r w:rsidRPr="00A93C27">
        <w:t>carry these steps out separately for the treatment and control samples</w:t>
      </w:r>
      <w:r w:rsidR="0045745F">
        <w:t>, on the pooled sample</w:t>
      </w:r>
      <w:r w:rsidR="008F68FB">
        <w:t xml:space="preserve">, as described in the National Evaluation’s </w:t>
      </w:r>
      <w:r w:rsidR="0045745F">
        <w:t xml:space="preserve">Draft Impact Evaluation Design and Execution Plan </w:t>
      </w:r>
      <w:r w:rsidR="008F68FB">
        <w:t xml:space="preserve">currently </w:t>
      </w:r>
      <w:r w:rsidR="00E8001A">
        <w:t>(</w:t>
      </w:r>
      <w:r w:rsidR="008F68FB">
        <w:t>under review</w:t>
      </w:r>
      <w:r w:rsidR="0045745F">
        <w:t>)</w:t>
      </w:r>
      <w:r w:rsidR="00E8001A">
        <w:t>.</w:t>
      </w:r>
      <w:r w:rsidR="0045745F">
        <w:t xml:space="preserve"> </w:t>
      </w:r>
    </w:p>
    <w:p w14:paraId="264B58BF" w14:textId="476FFFC7" w:rsidR="00A66251" w:rsidRDefault="00507C01" w:rsidP="00120AB5">
      <w:pPr>
        <w:pStyle w:val="BodyText"/>
      </w:pPr>
      <w:r w:rsidRPr="00A93C27">
        <w:t xml:space="preserve">Unless item nonresponse is common for primary or secondary outcomes, our tentative plan is to deal with item nonresponse by dropping cases with missing outcomes. We anticipate that item nonresponse may be high for a few survey items (e.g., family income). However, items with likely high nonresponse are neither primary nor secondary outcomes. </w:t>
      </w:r>
      <w:r w:rsidRPr="003B446F">
        <w:t xml:space="preserve">Experience with multiple imputation of survey items on HPOG 1.0 analysis </w:t>
      </w:r>
      <w:r w:rsidR="003B446F" w:rsidRPr="00E31959">
        <w:rPr>
          <w:iCs/>
          <w:szCs w:val="22"/>
        </w:rPr>
        <w:t>was computationally intense and required substantial processing time for variance estimation, but did</w:t>
      </w:r>
      <w:r w:rsidRPr="00E31959">
        <w:t xml:space="preserve"> </w:t>
      </w:r>
      <w:r w:rsidRPr="003B446F">
        <w:t>not</w:t>
      </w:r>
      <w:r w:rsidR="003B446F" w:rsidRPr="003B446F">
        <w:t xml:space="preserve"> show </w:t>
      </w:r>
      <w:r w:rsidR="003B446F" w:rsidRPr="00B3566E">
        <w:t>much impact on bias or variance.</w:t>
      </w:r>
      <w:r w:rsidR="003B446F">
        <w:t xml:space="preserve">  The study team and OPRE are currently discussing options for addressing missing data for this evaluation.</w:t>
      </w:r>
      <w:r w:rsidRPr="00A93C27">
        <w:rPr>
          <w:rStyle w:val="FootnoteReference"/>
        </w:rPr>
        <w:footnoteReference w:id="11"/>
      </w:r>
      <w:r w:rsidRPr="00A93C27">
        <w:t xml:space="preserve"> </w:t>
      </w:r>
    </w:p>
    <w:p w14:paraId="7EFC1820" w14:textId="77777777" w:rsidR="00B370B2" w:rsidRPr="004F1FB4" w:rsidRDefault="00B370B2" w:rsidP="00842C2C">
      <w:pPr>
        <w:pStyle w:val="Heading2"/>
      </w:pPr>
      <w:bookmarkStart w:id="31" w:name="_Toc322083618"/>
      <w:bookmarkStart w:id="32" w:name="_Toc324166963"/>
      <w:bookmarkStart w:id="33" w:name="_Toc494352180"/>
      <w:bookmarkStart w:id="34" w:name="_Toc480466124"/>
      <w:bookmarkStart w:id="35" w:name="_Toc499718105"/>
      <w:bookmarkStart w:id="36" w:name="_Toc503256232"/>
      <w:r w:rsidRPr="004F1FB4">
        <w:t>B.4</w:t>
      </w:r>
      <w:r w:rsidRPr="004F1FB4">
        <w:tab/>
        <w:t>Tests of Procedures</w:t>
      </w:r>
      <w:bookmarkEnd w:id="31"/>
      <w:bookmarkEnd w:id="32"/>
      <w:bookmarkEnd w:id="33"/>
      <w:bookmarkEnd w:id="34"/>
      <w:bookmarkEnd w:id="35"/>
      <w:bookmarkEnd w:id="36"/>
    </w:p>
    <w:p w14:paraId="4D49F1D4" w14:textId="348E65E1" w:rsidR="006E1D90" w:rsidRPr="006E1D90" w:rsidRDefault="006E1D90" w:rsidP="006B0576">
      <w:pPr>
        <w:pStyle w:val="Heading4"/>
      </w:pPr>
      <w:r w:rsidRPr="006E1D90">
        <w:t xml:space="preserve">HPOG 2.0 National Evaluation </w:t>
      </w:r>
      <w:r w:rsidR="006D13C3">
        <w:t>Descriptive Evaluation</w:t>
      </w:r>
    </w:p>
    <w:p w14:paraId="28CF238A" w14:textId="09DA8835" w:rsidR="006E1D90" w:rsidRDefault="006E1D90" w:rsidP="00DF1C52">
      <w:r>
        <w:t xml:space="preserve">The data collection instruments for the HPOG 2.0 National Evaluation </w:t>
      </w:r>
      <w:r w:rsidR="006D13C3">
        <w:t>descriptive evaluation</w:t>
      </w:r>
      <w:r>
        <w:t xml:space="preserve"> </w:t>
      </w:r>
      <w:r w:rsidR="000775E7">
        <w:t xml:space="preserve">(Instruments 2-4) </w:t>
      </w:r>
      <w:r w:rsidR="00D53DB1">
        <w:t>were</w:t>
      </w:r>
      <w:r w:rsidR="006E1E69">
        <w:t xml:space="preserve"> </w:t>
      </w:r>
      <w:r w:rsidR="00D53DB1">
        <w:t>developed and reviewed by Federal staff and evaluation team members</w:t>
      </w:r>
      <w:r>
        <w:t xml:space="preserve">. Many questions were either taken from or modified from instruments successfully used in the HPOG 1.0 evaluation. </w:t>
      </w:r>
      <w:r w:rsidR="00941194">
        <w:t xml:space="preserve">The research team pre-tested the screening interview and first-round telephone interview instruments with three non-tribal HPOG grantees. Grantees </w:t>
      </w:r>
      <w:r w:rsidR="00AB7D17">
        <w:t>that</w:t>
      </w:r>
      <w:r w:rsidR="00941194">
        <w:t xml:space="preserve"> completed the survey during the pre-test will be given their completed surveys to review and update when the full survey is fielded to reduce burden while ensuring all responses are accurate and up-to-date. Experienced interviewers conducted the interviews </w:t>
      </w:r>
      <w:r w:rsidR="00AB7D17">
        <w:t>and discussed respondents’ perceptions of the clarity and flow of survey items, ease of completion, and time requirements</w:t>
      </w:r>
      <w:r w:rsidR="00FB0E93">
        <w:t xml:space="preserve">. </w:t>
      </w:r>
      <w:r w:rsidR="00AB7D17">
        <w:t xml:space="preserve">After pretesting, we revised the instruments based on the feedback. </w:t>
      </w:r>
      <w:r w:rsidR="00B14851">
        <w:t>All changes were reflected in the version of the instruments previously approved in June 2017</w:t>
      </w:r>
      <w:r w:rsidR="00AB7D17">
        <w:t xml:space="preserve">. </w:t>
      </w:r>
    </w:p>
    <w:p w14:paraId="2D933096" w14:textId="24062409" w:rsidR="006E1D90" w:rsidRPr="006E1D90" w:rsidRDefault="006E1D90" w:rsidP="006B0576">
      <w:pPr>
        <w:pStyle w:val="Heading4"/>
      </w:pPr>
      <w:r w:rsidRPr="006E1D90">
        <w:t xml:space="preserve">HPOG 2.0 National Evaluation Impact </w:t>
      </w:r>
      <w:r w:rsidR="006D13C3">
        <w:t>Evaluation</w:t>
      </w:r>
    </w:p>
    <w:p w14:paraId="02BBC0F7" w14:textId="1AA13880" w:rsidR="00683B76" w:rsidRDefault="006E1D90" w:rsidP="00DF1C52">
      <w:r>
        <w:t xml:space="preserve">The participant contact update form for the HPOG 2.0 National Evaluation </w:t>
      </w:r>
      <w:r w:rsidR="006D13C3">
        <w:t>i</w:t>
      </w:r>
      <w:r>
        <w:t xml:space="preserve">mpact </w:t>
      </w:r>
      <w:r w:rsidR="006D13C3">
        <w:t xml:space="preserve">evaluation </w:t>
      </w:r>
      <w:r w:rsidR="000775E7">
        <w:t xml:space="preserve">(Instrument 5b) </w:t>
      </w:r>
      <w:r>
        <w:t xml:space="preserve">draws largely from the contact update forms previously approved for other ongoing career pathways studies, particularly the Pathways for Advancing Careers and Education (PACE) and the first round of the HPOG Impact studies, OMB control numbers 0970-0397 and 0970-0394 respectively. </w:t>
      </w:r>
      <w:r w:rsidR="0067445B">
        <w:t>Based on our experiences, m</w:t>
      </w:r>
      <w:r>
        <w:t>inor modifications were made to the HPOG 2.0 contact update form. The first modification allows participants to give consent for researchers to text any new phone numbers provided on the update form. The second modification allows the participants to indicate their preferred mode of contact, which will allow researchers to tailor their approach to the participant preferences.</w:t>
      </w:r>
    </w:p>
    <w:p w14:paraId="5371E141" w14:textId="30D68CC2" w:rsidR="00E756EA" w:rsidRDefault="00E756EA" w:rsidP="00E756EA">
      <w:pPr>
        <w:pStyle w:val="BodyText"/>
      </w:pPr>
      <w:r>
        <w:t xml:space="preserve">In designing the Short-Term </w:t>
      </w:r>
      <w:r w:rsidR="001B3465">
        <w:t>Follow-up s</w:t>
      </w:r>
      <w:r>
        <w:t xml:space="preserve">urvey, the </w:t>
      </w:r>
      <w:r w:rsidR="00D12DEB">
        <w:t>evaluation</w:t>
      </w:r>
      <w:r>
        <w:t xml:space="preserve"> team included items used successfully in other national surveys, particularly the PACE and first round of HPOG </w:t>
      </w:r>
      <w:r w:rsidR="001B3465">
        <w:t xml:space="preserve">impact </w:t>
      </w:r>
      <w:r>
        <w:t>follow-up surveys (OMB control numbers 0970-0397/0394)</w:t>
      </w:r>
      <w:r w:rsidR="00FB0E93">
        <w:t xml:space="preserve">. </w:t>
      </w:r>
      <w:r>
        <w:t xml:space="preserve">Consequently, many of the survey questions have been thoroughly tested on large samples. </w:t>
      </w:r>
    </w:p>
    <w:p w14:paraId="52DB532D" w14:textId="01A89A70" w:rsidR="00E756EA" w:rsidRPr="00D442ED" w:rsidRDefault="00E756EA" w:rsidP="00E756EA">
      <w:pPr>
        <w:rPr>
          <w:rFonts w:eastAsia="Calibri"/>
          <w:szCs w:val="22"/>
        </w:rPr>
      </w:pPr>
      <w:r>
        <w:rPr>
          <w:rFonts w:eastAsia="Calibri"/>
          <w:szCs w:val="22"/>
        </w:rPr>
        <w:t xml:space="preserve">To ensure the length of the instrument is within the burden estimate, we </w:t>
      </w:r>
      <w:r w:rsidR="00660F6F">
        <w:rPr>
          <w:rFonts w:eastAsia="Calibri"/>
          <w:szCs w:val="22"/>
        </w:rPr>
        <w:t xml:space="preserve">will pretest the survey with up to </w:t>
      </w:r>
      <w:r w:rsidR="00E8001A">
        <w:rPr>
          <w:rFonts w:eastAsia="Calibri"/>
          <w:szCs w:val="22"/>
        </w:rPr>
        <w:t xml:space="preserve">nine </w:t>
      </w:r>
      <w:r w:rsidR="00660F6F">
        <w:rPr>
          <w:rFonts w:eastAsia="Calibri"/>
          <w:szCs w:val="22"/>
        </w:rPr>
        <w:t>participants</w:t>
      </w:r>
      <w:r w:rsidR="00FB0E93">
        <w:rPr>
          <w:rFonts w:eastAsia="Calibri"/>
          <w:szCs w:val="22"/>
        </w:rPr>
        <w:t xml:space="preserve">. </w:t>
      </w:r>
      <w:r>
        <w:rPr>
          <w:rFonts w:eastAsia="Calibri"/>
          <w:szCs w:val="22"/>
        </w:rPr>
        <w:t xml:space="preserve">During internal pretesting, all instruments </w:t>
      </w:r>
      <w:r w:rsidR="00660F6F">
        <w:rPr>
          <w:rFonts w:eastAsia="Calibri"/>
          <w:szCs w:val="22"/>
        </w:rPr>
        <w:t>ar</w:t>
      </w:r>
      <w:r>
        <w:rPr>
          <w:rFonts w:eastAsia="Calibri"/>
          <w:szCs w:val="22"/>
        </w:rPr>
        <w:t>e closely examined to eliminate unnecessary respondent burden and questions deemed unnecessary were eliminated.</w:t>
      </w:r>
    </w:p>
    <w:p w14:paraId="77E6685E" w14:textId="77777777" w:rsidR="006E1D90" w:rsidRPr="006E1D90" w:rsidRDefault="006E1D90" w:rsidP="006B0576">
      <w:pPr>
        <w:pStyle w:val="Heading4"/>
      </w:pPr>
      <w:r w:rsidRPr="006E1D90">
        <w:t>HPOG 2.0 Tribal Evaluation</w:t>
      </w:r>
    </w:p>
    <w:p w14:paraId="5D3ED788" w14:textId="77777777" w:rsidR="006E1D90" w:rsidRDefault="006E1D90" w:rsidP="00DF1C52">
      <w:r>
        <w:t>The data collection instruments for the HPOG 2.0 Tribal Evaluation have been reviewed by (1) ACF staff, (2) a Technical Working Group comprised of consultants with expertise in workforce development and tribal research, and (3) all five Tribal HPOG grantees. Their comments were incorporated into the final versions.</w:t>
      </w:r>
    </w:p>
    <w:p w14:paraId="4EDF7737" w14:textId="77777777" w:rsidR="00683B76" w:rsidRPr="00980A81" w:rsidRDefault="00683B76" w:rsidP="006B0576">
      <w:pPr>
        <w:pStyle w:val="Heading4"/>
      </w:pPr>
      <w:r w:rsidRPr="00980A81">
        <w:t>PAGES</w:t>
      </w:r>
    </w:p>
    <w:p w14:paraId="6DED47A7" w14:textId="5CC01345" w:rsidR="00AA6AFB" w:rsidRDefault="00155389" w:rsidP="000A45D8">
      <w:r>
        <w:t>Abt Associates</w:t>
      </w:r>
      <w:r w:rsidR="00683B76">
        <w:t xml:space="preserve"> subcontracted </w:t>
      </w:r>
      <w:r w:rsidR="00E9772C">
        <w:t>with Green Beacon Solution, a leading Micr</w:t>
      </w:r>
      <w:r w:rsidR="0029793F">
        <w:t>o</w:t>
      </w:r>
      <w:r w:rsidR="00E9772C">
        <w:t>soft Gold Certified software development firm to create</w:t>
      </w:r>
      <w:r w:rsidR="00AA6AFB">
        <w:t xml:space="preserve"> the HPOG </w:t>
      </w:r>
      <w:r w:rsidR="00683B76">
        <w:t>2.0</w:t>
      </w:r>
      <w:r w:rsidR="00AA6AFB">
        <w:t xml:space="preserve"> PAGES in consultation</w:t>
      </w:r>
      <w:r>
        <w:t xml:space="preserve"> with </w:t>
      </w:r>
      <w:r w:rsidR="00AA6AFB">
        <w:t xml:space="preserve">ACF. Federal staff and evaluation team members had informal discussions with </w:t>
      </w:r>
      <w:r w:rsidR="00F46768">
        <w:t xml:space="preserve">six </w:t>
      </w:r>
      <w:r w:rsidR="00D105E2">
        <w:t xml:space="preserve">first round </w:t>
      </w:r>
      <w:r w:rsidR="00AA6AFB">
        <w:t>HPOG grantees on possible data sys</w:t>
      </w:r>
      <w:r w:rsidR="00252E0A">
        <w:t>tem designs and data elements. Prior to the initial launch of PAGES</w:t>
      </w:r>
      <w:r w:rsidR="00A67F8C">
        <w:t>,</w:t>
      </w:r>
      <w:r w:rsidR="00252E0A">
        <w:t xml:space="preserve"> there </w:t>
      </w:r>
      <w:r w:rsidR="00A67F8C">
        <w:t>were</w:t>
      </w:r>
      <w:r w:rsidR="00252E0A">
        <w:t xml:space="preserve"> two distinct environments, one for de</w:t>
      </w:r>
      <w:r w:rsidR="00864889">
        <w:t xml:space="preserve">velopment and one for testing. </w:t>
      </w:r>
      <w:r w:rsidR="00252E0A">
        <w:t xml:space="preserve">Development and testing </w:t>
      </w:r>
      <w:r w:rsidR="00A67F8C">
        <w:t>was</w:t>
      </w:r>
      <w:r w:rsidR="00252E0A">
        <w:t xml:space="preserve"> conducted in multiple stages. Abt Associates professional software testers </w:t>
      </w:r>
      <w:r w:rsidR="00BF0A3E">
        <w:t>tested major modules that were deployed to the test environment and</w:t>
      </w:r>
      <w:r w:rsidR="00864889">
        <w:t xml:space="preserve"> submit</w:t>
      </w:r>
      <w:r w:rsidR="00BF0A3E">
        <w:t>ted</w:t>
      </w:r>
      <w:r w:rsidR="00864889">
        <w:t xml:space="preserve"> issues. </w:t>
      </w:r>
      <w:r w:rsidR="00252E0A">
        <w:t xml:space="preserve">Once these issues </w:t>
      </w:r>
      <w:r w:rsidR="00BF0A3E">
        <w:t xml:space="preserve">were </w:t>
      </w:r>
      <w:r w:rsidR="00252E0A">
        <w:t>resolved, the broader team of program staff review</w:t>
      </w:r>
      <w:r w:rsidR="00BF0A3E">
        <w:t>ed</w:t>
      </w:r>
      <w:r w:rsidR="00252E0A">
        <w:t xml:space="preserve"> </w:t>
      </w:r>
      <w:r w:rsidR="00864889">
        <w:t>the module and offer</w:t>
      </w:r>
      <w:r w:rsidR="00BF0A3E">
        <w:t>ed</w:t>
      </w:r>
      <w:r w:rsidR="00864889">
        <w:t xml:space="preserve"> feedback. </w:t>
      </w:r>
      <w:r w:rsidR="00252E0A">
        <w:t xml:space="preserve">In the month prior to the release of the system, Abt technology staff </w:t>
      </w:r>
      <w:r w:rsidR="00BF0A3E">
        <w:t>re-tested</w:t>
      </w:r>
      <w:r w:rsidR="00252E0A">
        <w:t xml:space="preserve"> all parts of the system to ensure that it </w:t>
      </w:r>
      <w:r w:rsidR="00BF0A3E">
        <w:t xml:space="preserve">met </w:t>
      </w:r>
      <w:r w:rsidR="00252E0A">
        <w:t>the stated functional requirements and is free of bugs. Abt Associates, Urban Institute and ACF program staff also conduct</w:t>
      </w:r>
      <w:r w:rsidR="00BF0A3E">
        <w:t>ed</w:t>
      </w:r>
      <w:r w:rsidR="00252E0A">
        <w:t xml:space="preserve"> user acceptance testing.</w:t>
      </w:r>
    </w:p>
    <w:p w14:paraId="42E2C73B" w14:textId="71ADD8BA" w:rsidR="00252E0A" w:rsidRDefault="00BF0A3E" w:rsidP="00252E0A">
      <w:r>
        <w:t>Since the launch of the system, t</w:t>
      </w:r>
      <w:r w:rsidR="00252E0A">
        <w:t>hree en</w:t>
      </w:r>
      <w:r w:rsidR="00864889">
        <w:t xml:space="preserve">vironments </w:t>
      </w:r>
      <w:r>
        <w:t>are</w:t>
      </w:r>
      <w:r w:rsidR="00864889">
        <w:t xml:space="preserve"> maintained: </w:t>
      </w:r>
      <w:r w:rsidR="00252E0A">
        <w:t>Development, Test, and Production. Any changes to the system will have to move through the Development and Testing environments and procedures prior to being deployed in th</w:t>
      </w:r>
      <w:r w:rsidR="00864889">
        <w:t xml:space="preserve">e live production environment. </w:t>
      </w:r>
      <w:r w:rsidR="00252E0A">
        <w:t xml:space="preserve">All three environments will be maintained throughout the life of the project. </w:t>
      </w:r>
    </w:p>
    <w:p w14:paraId="1101FC20" w14:textId="77777777" w:rsidR="00B370B2" w:rsidRPr="004F1FB4" w:rsidRDefault="00B370B2" w:rsidP="000A45D8">
      <w:pPr>
        <w:pStyle w:val="BodyText"/>
      </w:pPr>
      <w:r w:rsidRPr="004F1FB4">
        <w:t xml:space="preserve">The </w:t>
      </w:r>
      <w:r w:rsidR="00864889">
        <w:t>baseline questions</w:t>
      </w:r>
      <w:r>
        <w:t xml:space="preserve"> </w:t>
      </w:r>
      <w:r w:rsidRPr="004F1FB4">
        <w:t xml:space="preserve">are either identical or similar to questions used in previous Abt Associates or </w:t>
      </w:r>
      <w:r w:rsidR="00A04854">
        <w:t xml:space="preserve">other </w:t>
      </w:r>
      <w:r w:rsidRPr="004F1FB4">
        <w:t>national surveys.</w:t>
      </w:r>
      <w:r>
        <w:t xml:space="preserve"> </w:t>
      </w:r>
      <w:r w:rsidRPr="004F1FB4">
        <w:t>As such, they have been thoroughly tested on large samples.</w:t>
      </w:r>
      <w:r>
        <w:t xml:space="preserve"> </w:t>
      </w:r>
    </w:p>
    <w:p w14:paraId="14321B5D" w14:textId="77777777" w:rsidR="00B370B2" w:rsidRPr="004F1FB4" w:rsidRDefault="00B370B2" w:rsidP="00842C2C">
      <w:pPr>
        <w:pStyle w:val="Heading2"/>
      </w:pPr>
      <w:bookmarkStart w:id="37" w:name="_Toc322083619"/>
      <w:bookmarkStart w:id="38" w:name="_Toc324166964"/>
      <w:bookmarkStart w:id="39" w:name="_Toc494352181"/>
      <w:bookmarkStart w:id="40" w:name="_Toc480466125"/>
      <w:bookmarkStart w:id="41" w:name="_Toc499718106"/>
      <w:bookmarkStart w:id="42" w:name="_Toc503256233"/>
      <w:r w:rsidRPr="004F1FB4">
        <w:t>B.5</w:t>
      </w:r>
      <w:r w:rsidRPr="004F1FB4">
        <w:tab/>
        <w:t xml:space="preserve">Individuals Consulted on Statistical Aspects </w:t>
      </w:r>
      <w:bookmarkEnd w:id="37"/>
      <w:bookmarkEnd w:id="38"/>
      <w:r w:rsidR="00507987" w:rsidRPr="00507987">
        <w:t>and Individuals Collecting and/or Analyzing Data</w:t>
      </w:r>
      <w:bookmarkEnd w:id="39"/>
      <w:bookmarkEnd w:id="40"/>
      <w:bookmarkEnd w:id="41"/>
      <w:bookmarkEnd w:id="42"/>
    </w:p>
    <w:p w14:paraId="61507A0D" w14:textId="77777777" w:rsidR="006E1D90" w:rsidRDefault="006E1D90" w:rsidP="000A45D8">
      <w:r>
        <w:t xml:space="preserve">With ACF oversight, Abt and its partners MEF Associates, the Urban Institute and Insight Policy Research are responsible for conducting the HPOG 2.0 National Evaluation; Abt and the Urban Institute are responsible for developing and maintaining PAGES and providing HPOG 2.0 grantees with support for using the system to produce the required semi-annual reports and collecting the needed baseline data. NORC, under subcontract to Abt Associates, is responsible for conducting the HPOG 2.0 Tribal Evaluation. </w:t>
      </w:r>
    </w:p>
    <w:p w14:paraId="6767388F" w14:textId="32D99C8B" w:rsidR="00155389" w:rsidRDefault="00155389" w:rsidP="000A45D8">
      <w:r>
        <w:t xml:space="preserve">With ACF oversight, Abt Associates and Urban Institute are responsible for developing the HPOG </w:t>
      </w:r>
      <w:r w:rsidR="004F188F">
        <w:t xml:space="preserve">2.0 </w:t>
      </w:r>
      <w:r w:rsidR="0012435B">
        <w:t xml:space="preserve">PAGES </w:t>
      </w:r>
      <w:r>
        <w:t xml:space="preserve">and </w:t>
      </w:r>
      <w:r w:rsidR="00864889">
        <w:t xml:space="preserve">providing </w:t>
      </w:r>
      <w:r>
        <w:t>support for using the system to produce the required semi-annual reports</w:t>
      </w:r>
      <w:r w:rsidR="00864889">
        <w:t xml:space="preserve"> and collecting the needed baseline data</w:t>
      </w:r>
      <w:r>
        <w:t xml:space="preserve">. </w:t>
      </w:r>
    </w:p>
    <w:p w14:paraId="7DF1BF1B" w14:textId="36014810" w:rsidR="0012435B" w:rsidRDefault="0012435B" w:rsidP="000A45D8">
      <w:r w:rsidRPr="0012435B">
        <w:t>Statistical analyses of the data for annual program performance reports will be limited to descriptive tabulations included in the contractor’s annual reports to ACF</w:t>
      </w:r>
      <w:r w:rsidRPr="009C069C">
        <w:t>. Other</w:t>
      </w:r>
      <w:r w:rsidRPr="0012435B">
        <w:t xml:space="preserve"> as yet unspecified statistical analyses may be planned for the </w:t>
      </w:r>
      <w:r w:rsidR="0070016C">
        <w:t xml:space="preserve">impact evaluation </w:t>
      </w:r>
      <w:r w:rsidRPr="0012435B">
        <w:t>currently being designed and other future research efforts.</w:t>
      </w:r>
      <w:r w:rsidR="004F188F" w:rsidRPr="004F188F">
        <w:t xml:space="preserve"> </w:t>
      </w:r>
      <w:r w:rsidR="004F188F">
        <w:t>Such analyses will be the subject of a later request for clearance.</w:t>
      </w:r>
    </w:p>
    <w:p w14:paraId="1ED41F4E" w14:textId="35C295BE" w:rsidR="0097070B" w:rsidRPr="003F6E89" w:rsidRDefault="0097070B" w:rsidP="0097070B">
      <w:pPr>
        <w:pStyle w:val="BodyText"/>
        <w:rPr>
          <w:color w:val="000000"/>
        </w:rPr>
      </w:pPr>
      <w:r w:rsidRPr="003F6E89">
        <w:rPr>
          <w:color w:val="000000"/>
        </w:rPr>
        <w:t xml:space="preserve">The individuals listed in Exhibit </w:t>
      </w:r>
      <w:r w:rsidR="006403A3">
        <w:rPr>
          <w:color w:val="000000"/>
        </w:rPr>
        <w:t>B-2</w:t>
      </w:r>
      <w:r w:rsidRPr="003F6E89">
        <w:rPr>
          <w:color w:val="000000"/>
        </w:rPr>
        <w:t xml:space="preserve"> below made a contribution to </w:t>
      </w:r>
      <w:r>
        <w:rPr>
          <w:color w:val="000000"/>
        </w:rPr>
        <w:t xml:space="preserve">this </w:t>
      </w:r>
      <w:r w:rsidR="00B3566E">
        <w:rPr>
          <w:color w:val="000000"/>
        </w:rPr>
        <w:t xml:space="preserve">information collection </w:t>
      </w:r>
      <w:r>
        <w:rPr>
          <w:color w:val="000000"/>
        </w:rPr>
        <w:t>request.</w:t>
      </w:r>
    </w:p>
    <w:p w14:paraId="4AC1B0DA" w14:textId="22DA25D5" w:rsidR="0097070B" w:rsidRPr="00D1161D" w:rsidRDefault="0097070B" w:rsidP="0097070B">
      <w:pPr>
        <w:pStyle w:val="Caption"/>
      </w:pPr>
      <w:r w:rsidRPr="00D1161D">
        <w:t xml:space="preserve">Exhibit </w:t>
      </w:r>
      <w:r w:rsidR="006403A3">
        <w:t>B-2:</w:t>
      </w:r>
      <w:r w:rsidRPr="00D1161D">
        <w:t xml:space="preserve"> Contributors</w:t>
      </w:r>
    </w:p>
    <w:tbl>
      <w:tblPr>
        <w:tblW w:w="940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43" w:type="dxa"/>
          <w:right w:w="43" w:type="dxa"/>
        </w:tblCellMar>
        <w:tblLook w:val="00A0" w:firstRow="1" w:lastRow="0" w:firstColumn="1" w:lastColumn="0" w:noHBand="0" w:noVBand="0"/>
      </w:tblPr>
      <w:tblGrid>
        <w:gridCol w:w="2766"/>
        <w:gridCol w:w="3780"/>
        <w:gridCol w:w="2857"/>
      </w:tblGrid>
      <w:tr w:rsidR="0097070B" w:rsidRPr="00DF1C52" w14:paraId="4CBBE9F5" w14:textId="77777777" w:rsidTr="005042DE">
        <w:trPr>
          <w:tblHeader/>
        </w:trPr>
        <w:tc>
          <w:tcPr>
            <w:tcW w:w="2766" w:type="dxa"/>
            <w:shd w:val="clear" w:color="auto" w:fill="C3C6A8"/>
          </w:tcPr>
          <w:p w14:paraId="03AA79E9" w14:textId="77777777" w:rsidR="0097070B" w:rsidRPr="00DF1C52" w:rsidRDefault="0097070B" w:rsidP="00C3060A">
            <w:pPr>
              <w:spacing w:after="120"/>
              <w:rPr>
                <w:rFonts w:ascii="Arial Narrow" w:hAnsi="Arial Narrow"/>
                <w:b/>
                <w:sz w:val="20"/>
              </w:rPr>
            </w:pPr>
            <w:r w:rsidRPr="00DF1C52">
              <w:rPr>
                <w:rFonts w:ascii="Arial Narrow" w:hAnsi="Arial Narrow"/>
                <w:b/>
                <w:sz w:val="20"/>
              </w:rPr>
              <w:t xml:space="preserve">Name </w:t>
            </w:r>
          </w:p>
        </w:tc>
        <w:tc>
          <w:tcPr>
            <w:tcW w:w="3780" w:type="dxa"/>
            <w:shd w:val="clear" w:color="auto" w:fill="C3C6A8"/>
          </w:tcPr>
          <w:p w14:paraId="3E138389" w14:textId="77777777" w:rsidR="0097070B" w:rsidRPr="00DF1C52" w:rsidRDefault="0097070B" w:rsidP="00C3060A">
            <w:pPr>
              <w:spacing w:after="120"/>
              <w:rPr>
                <w:rFonts w:ascii="Arial Narrow" w:hAnsi="Arial Narrow"/>
                <w:b/>
                <w:sz w:val="20"/>
              </w:rPr>
            </w:pPr>
            <w:r w:rsidRPr="00DF1C52">
              <w:rPr>
                <w:rFonts w:ascii="Arial Narrow" w:hAnsi="Arial Narrow"/>
                <w:b/>
                <w:sz w:val="20"/>
              </w:rPr>
              <w:t>Role in HPOG 2.0 National and Tribal Evaluation</w:t>
            </w:r>
          </w:p>
        </w:tc>
        <w:tc>
          <w:tcPr>
            <w:tcW w:w="2857" w:type="dxa"/>
            <w:shd w:val="clear" w:color="auto" w:fill="C3C6A8"/>
          </w:tcPr>
          <w:p w14:paraId="0DA9F8D6" w14:textId="77777777" w:rsidR="0097070B" w:rsidRPr="00DF1C52" w:rsidRDefault="0097070B" w:rsidP="00C3060A">
            <w:pPr>
              <w:spacing w:after="120"/>
              <w:rPr>
                <w:rFonts w:ascii="Arial Narrow" w:hAnsi="Arial Narrow"/>
                <w:b/>
                <w:sz w:val="20"/>
              </w:rPr>
            </w:pPr>
            <w:r w:rsidRPr="00DF1C52">
              <w:rPr>
                <w:rFonts w:ascii="Arial Narrow" w:hAnsi="Arial Narrow"/>
                <w:b/>
                <w:sz w:val="20"/>
              </w:rPr>
              <w:t>Organization/Affiliation</w:t>
            </w:r>
          </w:p>
        </w:tc>
      </w:tr>
      <w:tr w:rsidR="0097070B" w:rsidRPr="00DF1C52" w14:paraId="45847625" w14:textId="77777777" w:rsidTr="00C3060A">
        <w:tc>
          <w:tcPr>
            <w:tcW w:w="2766" w:type="dxa"/>
          </w:tcPr>
          <w:p w14:paraId="600B2907" w14:textId="77777777" w:rsidR="0097070B" w:rsidRPr="00DF1C52" w:rsidRDefault="0097070B" w:rsidP="00C3060A">
            <w:pPr>
              <w:spacing w:after="120"/>
              <w:rPr>
                <w:rFonts w:ascii="Arial Narrow" w:hAnsi="Arial Narrow"/>
                <w:sz w:val="20"/>
              </w:rPr>
            </w:pPr>
            <w:r w:rsidRPr="00DF1C52">
              <w:rPr>
                <w:rFonts w:ascii="Arial Narrow" w:hAnsi="Arial Narrow"/>
                <w:sz w:val="20"/>
              </w:rPr>
              <w:t>Gretchen Locke</w:t>
            </w:r>
          </w:p>
        </w:tc>
        <w:tc>
          <w:tcPr>
            <w:tcW w:w="3780" w:type="dxa"/>
          </w:tcPr>
          <w:p w14:paraId="2731E742" w14:textId="77777777" w:rsidR="0097070B" w:rsidRPr="00DF1C52" w:rsidRDefault="0097070B" w:rsidP="00C3060A">
            <w:pPr>
              <w:spacing w:after="120"/>
              <w:rPr>
                <w:rFonts w:ascii="Arial Narrow" w:hAnsi="Arial Narrow"/>
                <w:sz w:val="20"/>
              </w:rPr>
            </w:pPr>
            <w:r w:rsidRPr="00DF1C52">
              <w:rPr>
                <w:rFonts w:ascii="Arial Narrow" w:hAnsi="Arial Narrow"/>
                <w:sz w:val="20"/>
              </w:rPr>
              <w:t>National Evaluation Project Director</w:t>
            </w:r>
          </w:p>
        </w:tc>
        <w:tc>
          <w:tcPr>
            <w:tcW w:w="2857" w:type="dxa"/>
          </w:tcPr>
          <w:p w14:paraId="4081902A" w14:textId="77777777" w:rsidR="0097070B" w:rsidRPr="00DF1C52" w:rsidRDefault="0097070B" w:rsidP="00C3060A">
            <w:pPr>
              <w:spacing w:after="120"/>
              <w:rPr>
                <w:rFonts w:ascii="Arial Narrow" w:hAnsi="Arial Narrow"/>
                <w:sz w:val="20"/>
              </w:rPr>
            </w:pPr>
            <w:r w:rsidRPr="00DF1C52">
              <w:rPr>
                <w:rFonts w:ascii="Arial Narrow" w:hAnsi="Arial Narrow"/>
                <w:sz w:val="20"/>
              </w:rPr>
              <w:t>Abt Associates</w:t>
            </w:r>
          </w:p>
        </w:tc>
      </w:tr>
      <w:tr w:rsidR="00C51B8D" w:rsidRPr="00DF1C52" w14:paraId="484A3F03" w14:textId="77777777" w:rsidTr="00C3060A">
        <w:tc>
          <w:tcPr>
            <w:tcW w:w="2766" w:type="dxa"/>
          </w:tcPr>
          <w:p w14:paraId="29FB5D10" w14:textId="7CD0A6FB" w:rsidR="00C51B8D" w:rsidRPr="00DF1C52" w:rsidRDefault="00C51B8D" w:rsidP="00C3060A">
            <w:pPr>
              <w:spacing w:after="120"/>
              <w:rPr>
                <w:rFonts w:ascii="Arial Narrow" w:hAnsi="Arial Narrow"/>
                <w:sz w:val="20"/>
              </w:rPr>
            </w:pPr>
            <w:r w:rsidRPr="00DF1C52">
              <w:rPr>
                <w:rFonts w:ascii="Arial Narrow" w:hAnsi="Arial Narrow"/>
                <w:sz w:val="20"/>
              </w:rPr>
              <w:t>Jacob Klerman</w:t>
            </w:r>
          </w:p>
        </w:tc>
        <w:tc>
          <w:tcPr>
            <w:tcW w:w="3780" w:type="dxa"/>
          </w:tcPr>
          <w:p w14:paraId="2B2DED3B" w14:textId="6BA2F3DA" w:rsidR="00C51B8D" w:rsidRPr="00DF1C52" w:rsidRDefault="00C51B8D" w:rsidP="00C3060A">
            <w:pPr>
              <w:spacing w:after="120"/>
              <w:rPr>
                <w:rFonts w:ascii="Arial Narrow" w:hAnsi="Arial Narrow"/>
                <w:sz w:val="20"/>
              </w:rPr>
            </w:pPr>
            <w:r w:rsidRPr="00DF1C52">
              <w:rPr>
                <w:rFonts w:ascii="Arial Narrow" w:hAnsi="Arial Narrow"/>
                <w:sz w:val="20"/>
              </w:rPr>
              <w:t>National Evaluation Co-Principal Investigator</w:t>
            </w:r>
          </w:p>
        </w:tc>
        <w:tc>
          <w:tcPr>
            <w:tcW w:w="2857" w:type="dxa"/>
          </w:tcPr>
          <w:p w14:paraId="1BF2AFAD" w14:textId="6571D805" w:rsidR="00C51B8D" w:rsidRPr="00DF1C52" w:rsidRDefault="00C51B8D" w:rsidP="00C3060A">
            <w:pPr>
              <w:spacing w:after="120"/>
              <w:rPr>
                <w:rFonts w:ascii="Arial Narrow" w:hAnsi="Arial Narrow"/>
                <w:sz w:val="20"/>
              </w:rPr>
            </w:pPr>
            <w:r w:rsidRPr="00DF1C52">
              <w:rPr>
                <w:rFonts w:ascii="Arial Narrow" w:hAnsi="Arial Narrow"/>
                <w:sz w:val="20"/>
              </w:rPr>
              <w:t>Abt Associates</w:t>
            </w:r>
          </w:p>
        </w:tc>
      </w:tr>
      <w:tr w:rsidR="00C51B8D" w:rsidRPr="00DF1C52" w14:paraId="05C0809A" w14:textId="77777777" w:rsidTr="00C3060A">
        <w:tc>
          <w:tcPr>
            <w:tcW w:w="2766" w:type="dxa"/>
          </w:tcPr>
          <w:p w14:paraId="22A2528B" w14:textId="5B793253" w:rsidR="00C51B8D" w:rsidRPr="00DF1C52" w:rsidRDefault="00C51B8D" w:rsidP="00C3060A">
            <w:pPr>
              <w:spacing w:after="120"/>
              <w:rPr>
                <w:rFonts w:ascii="Arial Narrow" w:hAnsi="Arial Narrow"/>
                <w:sz w:val="20"/>
              </w:rPr>
            </w:pPr>
            <w:r w:rsidRPr="00DF1C52">
              <w:rPr>
                <w:rFonts w:ascii="Arial Narrow" w:hAnsi="Arial Narrow"/>
                <w:sz w:val="20"/>
              </w:rPr>
              <w:t>Bob Konrad</w:t>
            </w:r>
          </w:p>
        </w:tc>
        <w:tc>
          <w:tcPr>
            <w:tcW w:w="3780" w:type="dxa"/>
          </w:tcPr>
          <w:p w14:paraId="484572B7" w14:textId="09FBAE55" w:rsidR="00C51B8D" w:rsidRPr="00DF1C52" w:rsidRDefault="00C51B8D" w:rsidP="00C3060A">
            <w:pPr>
              <w:spacing w:after="120"/>
              <w:rPr>
                <w:rFonts w:ascii="Arial Narrow" w:hAnsi="Arial Narrow"/>
                <w:sz w:val="20"/>
              </w:rPr>
            </w:pPr>
            <w:r w:rsidRPr="00DF1C52">
              <w:rPr>
                <w:rFonts w:ascii="Arial Narrow" w:hAnsi="Arial Narrow"/>
                <w:sz w:val="20"/>
              </w:rPr>
              <w:t>National Evaluation Co-Principal Investigator</w:t>
            </w:r>
          </w:p>
        </w:tc>
        <w:tc>
          <w:tcPr>
            <w:tcW w:w="2857" w:type="dxa"/>
          </w:tcPr>
          <w:p w14:paraId="2B4EB69D" w14:textId="175BB81E" w:rsidR="00C51B8D" w:rsidRPr="00DF1C52" w:rsidRDefault="00C51B8D" w:rsidP="00C3060A">
            <w:pPr>
              <w:spacing w:after="120"/>
              <w:rPr>
                <w:rFonts w:ascii="Arial Narrow" w:hAnsi="Arial Narrow"/>
                <w:sz w:val="20"/>
              </w:rPr>
            </w:pPr>
            <w:r w:rsidRPr="00DF1C52">
              <w:rPr>
                <w:rFonts w:ascii="Arial Narrow" w:hAnsi="Arial Narrow"/>
                <w:sz w:val="20"/>
              </w:rPr>
              <w:t>Abt Associates</w:t>
            </w:r>
          </w:p>
        </w:tc>
      </w:tr>
      <w:tr w:rsidR="0097070B" w:rsidRPr="00DF1C52" w14:paraId="1100BE47" w14:textId="77777777" w:rsidTr="00C3060A">
        <w:tc>
          <w:tcPr>
            <w:tcW w:w="2766" w:type="dxa"/>
          </w:tcPr>
          <w:p w14:paraId="05B54FF2" w14:textId="77777777" w:rsidR="0097070B" w:rsidRPr="00DF1C52" w:rsidRDefault="0097070B" w:rsidP="00C3060A">
            <w:pPr>
              <w:spacing w:after="120"/>
              <w:rPr>
                <w:rFonts w:ascii="Arial Narrow" w:hAnsi="Arial Narrow"/>
                <w:sz w:val="20"/>
              </w:rPr>
            </w:pPr>
            <w:r w:rsidRPr="00DF1C52">
              <w:rPr>
                <w:rFonts w:ascii="Arial Narrow" w:hAnsi="Arial Narrow"/>
                <w:sz w:val="20"/>
              </w:rPr>
              <w:t>Robin Koralek</w:t>
            </w:r>
          </w:p>
        </w:tc>
        <w:tc>
          <w:tcPr>
            <w:tcW w:w="3780" w:type="dxa"/>
          </w:tcPr>
          <w:p w14:paraId="17C8BCFA" w14:textId="77777777" w:rsidR="0097070B" w:rsidRPr="00DF1C52" w:rsidRDefault="0097070B" w:rsidP="00C3060A">
            <w:pPr>
              <w:spacing w:after="120"/>
              <w:rPr>
                <w:rFonts w:ascii="Arial Narrow" w:hAnsi="Arial Narrow"/>
                <w:sz w:val="20"/>
              </w:rPr>
            </w:pPr>
            <w:r w:rsidRPr="00DF1C52">
              <w:rPr>
                <w:rFonts w:ascii="Arial Narrow" w:hAnsi="Arial Narrow"/>
                <w:sz w:val="20"/>
              </w:rPr>
              <w:t xml:space="preserve">National Evaluation Deputy Project Director </w:t>
            </w:r>
          </w:p>
        </w:tc>
        <w:tc>
          <w:tcPr>
            <w:tcW w:w="2857" w:type="dxa"/>
          </w:tcPr>
          <w:p w14:paraId="0B066FEE" w14:textId="77777777" w:rsidR="0097070B" w:rsidRPr="00DF1C52" w:rsidRDefault="0097070B" w:rsidP="00C3060A">
            <w:pPr>
              <w:spacing w:after="120"/>
              <w:rPr>
                <w:rFonts w:ascii="Arial Narrow" w:hAnsi="Arial Narrow"/>
                <w:sz w:val="20"/>
              </w:rPr>
            </w:pPr>
            <w:r w:rsidRPr="00DF1C52">
              <w:rPr>
                <w:rFonts w:ascii="Arial Narrow" w:hAnsi="Arial Narrow"/>
                <w:sz w:val="20"/>
              </w:rPr>
              <w:t>Abt Associates</w:t>
            </w:r>
          </w:p>
        </w:tc>
      </w:tr>
      <w:tr w:rsidR="000C5E22" w:rsidRPr="00DF1C52" w14:paraId="06B4F7A7" w14:textId="77777777" w:rsidTr="00C3060A">
        <w:tc>
          <w:tcPr>
            <w:tcW w:w="2766" w:type="dxa"/>
          </w:tcPr>
          <w:p w14:paraId="004D6913" w14:textId="1D2ED4FE" w:rsidR="000C5E22" w:rsidRPr="00DF1C52" w:rsidRDefault="000C5E22" w:rsidP="00C3060A">
            <w:pPr>
              <w:spacing w:after="120"/>
              <w:rPr>
                <w:rFonts w:ascii="Arial Narrow" w:hAnsi="Arial Narrow"/>
                <w:sz w:val="20"/>
              </w:rPr>
            </w:pPr>
            <w:r w:rsidRPr="00DF1C52">
              <w:rPr>
                <w:rFonts w:ascii="Arial Narrow" w:hAnsi="Arial Narrow"/>
                <w:sz w:val="20"/>
              </w:rPr>
              <w:t>David Judkins</w:t>
            </w:r>
          </w:p>
        </w:tc>
        <w:tc>
          <w:tcPr>
            <w:tcW w:w="3780" w:type="dxa"/>
          </w:tcPr>
          <w:p w14:paraId="34C4A384" w14:textId="0E49221B" w:rsidR="000C5E22" w:rsidRPr="00DF1C52" w:rsidRDefault="000C5E22" w:rsidP="00C3060A">
            <w:pPr>
              <w:spacing w:after="120"/>
              <w:rPr>
                <w:rFonts w:ascii="Arial Narrow" w:hAnsi="Arial Narrow"/>
                <w:sz w:val="20"/>
              </w:rPr>
            </w:pPr>
            <w:r w:rsidRPr="00DF1C52">
              <w:rPr>
                <w:rFonts w:ascii="Arial Narrow" w:hAnsi="Arial Narrow"/>
                <w:sz w:val="20"/>
              </w:rPr>
              <w:t>National Evaluation Director of Impact Analysis</w:t>
            </w:r>
          </w:p>
        </w:tc>
        <w:tc>
          <w:tcPr>
            <w:tcW w:w="2857" w:type="dxa"/>
          </w:tcPr>
          <w:p w14:paraId="76C1DFD5" w14:textId="26AE1F35" w:rsidR="000C5E22" w:rsidRPr="00DF1C52" w:rsidRDefault="000C5E22" w:rsidP="00C3060A">
            <w:pPr>
              <w:spacing w:after="120"/>
              <w:rPr>
                <w:rFonts w:ascii="Arial Narrow" w:hAnsi="Arial Narrow"/>
                <w:sz w:val="20"/>
              </w:rPr>
            </w:pPr>
            <w:r w:rsidRPr="00DF1C52">
              <w:rPr>
                <w:rFonts w:ascii="Arial Narrow" w:hAnsi="Arial Narrow"/>
                <w:sz w:val="20"/>
              </w:rPr>
              <w:t>Abt Associates</w:t>
            </w:r>
          </w:p>
        </w:tc>
      </w:tr>
      <w:tr w:rsidR="0097070B" w:rsidRPr="00DF1C52" w14:paraId="7AEB1250" w14:textId="77777777" w:rsidTr="00C3060A">
        <w:tc>
          <w:tcPr>
            <w:tcW w:w="2766" w:type="dxa"/>
          </w:tcPr>
          <w:p w14:paraId="649061D6" w14:textId="77777777" w:rsidR="0097070B" w:rsidRPr="00DF1C52" w:rsidRDefault="0097070B" w:rsidP="00C3060A">
            <w:pPr>
              <w:spacing w:after="120"/>
              <w:rPr>
                <w:rFonts w:ascii="Arial Narrow" w:hAnsi="Arial Narrow"/>
                <w:sz w:val="20"/>
              </w:rPr>
            </w:pPr>
            <w:r w:rsidRPr="00DF1C52">
              <w:rPr>
                <w:rFonts w:ascii="Arial Narrow" w:hAnsi="Arial Narrow"/>
                <w:sz w:val="20"/>
              </w:rPr>
              <w:t>Debi McInnis</w:t>
            </w:r>
          </w:p>
        </w:tc>
        <w:tc>
          <w:tcPr>
            <w:tcW w:w="3780" w:type="dxa"/>
          </w:tcPr>
          <w:p w14:paraId="120649DA" w14:textId="77777777" w:rsidR="0097070B" w:rsidRPr="00DF1C52" w:rsidRDefault="0097070B" w:rsidP="00C3060A">
            <w:pPr>
              <w:spacing w:after="120"/>
              <w:rPr>
                <w:rFonts w:ascii="Arial Narrow" w:hAnsi="Arial Narrow"/>
                <w:sz w:val="20"/>
              </w:rPr>
            </w:pPr>
            <w:r w:rsidRPr="00DF1C52">
              <w:rPr>
                <w:rFonts w:ascii="Arial Narrow" w:hAnsi="Arial Narrow"/>
                <w:sz w:val="20"/>
              </w:rPr>
              <w:t xml:space="preserve">National Evaluation Site Coordinator </w:t>
            </w:r>
          </w:p>
        </w:tc>
        <w:tc>
          <w:tcPr>
            <w:tcW w:w="2857" w:type="dxa"/>
          </w:tcPr>
          <w:p w14:paraId="164BF462" w14:textId="77777777" w:rsidR="0097070B" w:rsidRPr="00DF1C52" w:rsidRDefault="0097070B" w:rsidP="00C3060A">
            <w:pPr>
              <w:spacing w:after="120"/>
              <w:rPr>
                <w:rFonts w:ascii="Arial Narrow" w:hAnsi="Arial Narrow"/>
                <w:sz w:val="20"/>
              </w:rPr>
            </w:pPr>
            <w:r w:rsidRPr="00DF1C52">
              <w:rPr>
                <w:rFonts w:ascii="Arial Narrow" w:hAnsi="Arial Narrow"/>
                <w:sz w:val="20"/>
              </w:rPr>
              <w:t>Abt Associates</w:t>
            </w:r>
          </w:p>
        </w:tc>
      </w:tr>
      <w:tr w:rsidR="0097070B" w:rsidRPr="00DF1C52" w14:paraId="38CC5360" w14:textId="77777777" w:rsidTr="00C3060A">
        <w:tc>
          <w:tcPr>
            <w:tcW w:w="2766" w:type="dxa"/>
          </w:tcPr>
          <w:p w14:paraId="272A888A" w14:textId="77777777" w:rsidR="0097070B" w:rsidRPr="00DF1C52" w:rsidRDefault="0097070B" w:rsidP="00C3060A">
            <w:pPr>
              <w:spacing w:after="120"/>
              <w:rPr>
                <w:rFonts w:ascii="Arial Narrow" w:hAnsi="Arial Narrow"/>
                <w:sz w:val="20"/>
              </w:rPr>
            </w:pPr>
            <w:r w:rsidRPr="00DF1C52">
              <w:rPr>
                <w:rFonts w:ascii="Arial Narrow" w:hAnsi="Arial Narrow"/>
                <w:sz w:val="20"/>
              </w:rPr>
              <w:t>Michael Meit</w:t>
            </w:r>
          </w:p>
        </w:tc>
        <w:tc>
          <w:tcPr>
            <w:tcW w:w="3780" w:type="dxa"/>
          </w:tcPr>
          <w:p w14:paraId="25C4EB2E" w14:textId="77777777" w:rsidR="0097070B" w:rsidRPr="00DF1C52" w:rsidRDefault="0097070B" w:rsidP="00C3060A">
            <w:pPr>
              <w:spacing w:after="120"/>
              <w:rPr>
                <w:rFonts w:ascii="Arial Narrow" w:hAnsi="Arial Narrow"/>
                <w:sz w:val="20"/>
              </w:rPr>
            </w:pPr>
            <w:r w:rsidRPr="00DF1C52">
              <w:rPr>
                <w:rFonts w:ascii="Arial Narrow" w:hAnsi="Arial Narrow"/>
                <w:sz w:val="20"/>
              </w:rPr>
              <w:t xml:space="preserve">Tribal Evaluation Project Director </w:t>
            </w:r>
          </w:p>
        </w:tc>
        <w:tc>
          <w:tcPr>
            <w:tcW w:w="2857" w:type="dxa"/>
          </w:tcPr>
          <w:p w14:paraId="0E7EFD69" w14:textId="77777777" w:rsidR="0097070B" w:rsidRPr="00DF1C52" w:rsidRDefault="0097070B" w:rsidP="00C3060A">
            <w:pPr>
              <w:spacing w:after="120"/>
              <w:rPr>
                <w:rFonts w:ascii="Arial Narrow" w:hAnsi="Arial Narrow"/>
                <w:sz w:val="20"/>
              </w:rPr>
            </w:pPr>
            <w:r w:rsidRPr="00DF1C52">
              <w:rPr>
                <w:rFonts w:ascii="Arial Narrow" w:hAnsi="Arial Narrow"/>
                <w:sz w:val="20"/>
              </w:rPr>
              <w:t>NORC</w:t>
            </w:r>
          </w:p>
        </w:tc>
      </w:tr>
      <w:tr w:rsidR="0097070B" w:rsidRPr="00DF1C52" w14:paraId="3235BDAE" w14:textId="77777777" w:rsidTr="00C3060A">
        <w:tc>
          <w:tcPr>
            <w:tcW w:w="2766" w:type="dxa"/>
          </w:tcPr>
          <w:p w14:paraId="11A7667D" w14:textId="77777777" w:rsidR="0097070B" w:rsidRPr="00DF1C52" w:rsidRDefault="0097070B" w:rsidP="00C3060A">
            <w:pPr>
              <w:spacing w:after="120"/>
              <w:rPr>
                <w:rFonts w:ascii="Arial Narrow" w:hAnsi="Arial Narrow"/>
                <w:sz w:val="20"/>
              </w:rPr>
            </w:pPr>
            <w:r w:rsidRPr="00DF1C52">
              <w:rPr>
                <w:rFonts w:ascii="Arial Narrow" w:hAnsi="Arial Narrow"/>
                <w:sz w:val="20"/>
              </w:rPr>
              <w:t>Kate Fromknecht</w:t>
            </w:r>
          </w:p>
        </w:tc>
        <w:tc>
          <w:tcPr>
            <w:tcW w:w="3780" w:type="dxa"/>
          </w:tcPr>
          <w:p w14:paraId="5E13905E" w14:textId="77777777" w:rsidR="0097070B" w:rsidRPr="00DF1C52" w:rsidRDefault="0097070B" w:rsidP="00C3060A">
            <w:pPr>
              <w:spacing w:after="120"/>
              <w:rPr>
                <w:rFonts w:ascii="Arial Narrow" w:hAnsi="Arial Narrow"/>
                <w:sz w:val="20"/>
              </w:rPr>
            </w:pPr>
            <w:r w:rsidRPr="00DF1C52">
              <w:rPr>
                <w:rFonts w:ascii="Arial Narrow" w:hAnsi="Arial Narrow"/>
                <w:sz w:val="20"/>
              </w:rPr>
              <w:t>Tribal Evaluation Project Manager</w:t>
            </w:r>
          </w:p>
        </w:tc>
        <w:tc>
          <w:tcPr>
            <w:tcW w:w="2857" w:type="dxa"/>
          </w:tcPr>
          <w:p w14:paraId="2F964083" w14:textId="77777777" w:rsidR="0097070B" w:rsidRPr="00DF1C52" w:rsidRDefault="0097070B" w:rsidP="00C3060A">
            <w:pPr>
              <w:spacing w:after="120"/>
              <w:rPr>
                <w:rFonts w:ascii="Arial Narrow" w:hAnsi="Arial Narrow"/>
                <w:sz w:val="20"/>
              </w:rPr>
            </w:pPr>
            <w:r w:rsidRPr="00DF1C52">
              <w:rPr>
                <w:rFonts w:ascii="Arial Narrow" w:hAnsi="Arial Narrow"/>
                <w:sz w:val="20"/>
              </w:rPr>
              <w:t>NORC</w:t>
            </w:r>
          </w:p>
        </w:tc>
      </w:tr>
      <w:tr w:rsidR="0097070B" w:rsidRPr="00DF1C52" w14:paraId="7834D292" w14:textId="77777777" w:rsidTr="00C3060A">
        <w:tc>
          <w:tcPr>
            <w:tcW w:w="2766" w:type="dxa"/>
          </w:tcPr>
          <w:p w14:paraId="52BA78C1" w14:textId="77777777" w:rsidR="0097070B" w:rsidRPr="00DF1C52" w:rsidRDefault="00EF0C44" w:rsidP="00C3060A">
            <w:pPr>
              <w:spacing w:after="120"/>
              <w:rPr>
                <w:rFonts w:ascii="Arial Narrow" w:hAnsi="Arial Narrow"/>
                <w:sz w:val="20"/>
              </w:rPr>
            </w:pPr>
            <w:r w:rsidRPr="00DF1C52">
              <w:rPr>
                <w:rFonts w:ascii="Arial Narrow" w:hAnsi="Arial Narrow"/>
                <w:sz w:val="20"/>
              </w:rPr>
              <w:t>Emily Phillips</w:t>
            </w:r>
          </w:p>
        </w:tc>
        <w:tc>
          <w:tcPr>
            <w:tcW w:w="3780" w:type="dxa"/>
          </w:tcPr>
          <w:p w14:paraId="56B754F6" w14:textId="77777777" w:rsidR="0097070B" w:rsidRPr="00DF1C52" w:rsidRDefault="00EF0C44" w:rsidP="00C3060A">
            <w:pPr>
              <w:spacing w:after="120"/>
              <w:rPr>
                <w:rFonts w:ascii="Arial Narrow" w:hAnsi="Arial Narrow"/>
                <w:sz w:val="20"/>
              </w:rPr>
            </w:pPr>
            <w:r w:rsidRPr="00DF1C52">
              <w:rPr>
                <w:rFonts w:ascii="Arial Narrow" w:hAnsi="Arial Narrow"/>
                <w:sz w:val="20"/>
              </w:rPr>
              <w:t>Tribal Evaluation Senior Research Analyst</w:t>
            </w:r>
          </w:p>
        </w:tc>
        <w:tc>
          <w:tcPr>
            <w:tcW w:w="2857" w:type="dxa"/>
          </w:tcPr>
          <w:p w14:paraId="52433AD5" w14:textId="77777777" w:rsidR="0097070B" w:rsidRPr="00DF1C52" w:rsidRDefault="00EF0C44" w:rsidP="00C3060A">
            <w:pPr>
              <w:spacing w:after="120"/>
              <w:rPr>
                <w:rFonts w:ascii="Arial Narrow" w:hAnsi="Arial Narrow"/>
                <w:sz w:val="20"/>
              </w:rPr>
            </w:pPr>
            <w:r w:rsidRPr="00DF1C52">
              <w:rPr>
                <w:rFonts w:ascii="Arial Narrow" w:hAnsi="Arial Narrow"/>
                <w:sz w:val="20"/>
              </w:rPr>
              <w:t>NORC</w:t>
            </w:r>
          </w:p>
        </w:tc>
      </w:tr>
      <w:tr w:rsidR="0074752D" w:rsidRPr="00DF1C52" w14:paraId="2E1B628A" w14:textId="77777777" w:rsidTr="00C3060A">
        <w:tc>
          <w:tcPr>
            <w:tcW w:w="2766" w:type="dxa"/>
          </w:tcPr>
          <w:p w14:paraId="1D7F1909" w14:textId="77777777" w:rsidR="0074752D" w:rsidRPr="00DF1C52" w:rsidRDefault="0074752D" w:rsidP="0074752D">
            <w:pPr>
              <w:spacing w:after="120"/>
              <w:rPr>
                <w:rFonts w:ascii="Arial Narrow" w:hAnsi="Arial Narrow"/>
                <w:sz w:val="20"/>
              </w:rPr>
            </w:pPr>
            <w:r w:rsidRPr="00DF1C52">
              <w:rPr>
                <w:rFonts w:ascii="Arial Narrow" w:hAnsi="Arial Narrow"/>
                <w:sz w:val="20"/>
              </w:rPr>
              <w:t>Julie Strawn</w:t>
            </w:r>
          </w:p>
        </w:tc>
        <w:tc>
          <w:tcPr>
            <w:tcW w:w="3780" w:type="dxa"/>
          </w:tcPr>
          <w:p w14:paraId="2FF03A9F" w14:textId="77777777" w:rsidR="0074752D" w:rsidRPr="00DF1C52" w:rsidRDefault="00980A81" w:rsidP="0074752D">
            <w:pPr>
              <w:spacing w:after="120"/>
              <w:rPr>
                <w:rFonts w:ascii="Arial Narrow" w:hAnsi="Arial Narrow"/>
                <w:sz w:val="20"/>
              </w:rPr>
            </w:pPr>
            <w:r w:rsidRPr="00DF1C52">
              <w:rPr>
                <w:rFonts w:ascii="Arial Narrow" w:hAnsi="Arial Narrow"/>
                <w:sz w:val="20"/>
              </w:rPr>
              <w:t xml:space="preserve">PAGES </w:t>
            </w:r>
            <w:r w:rsidR="0074752D" w:rsidRPr="00DF1C52">
              <w:rPr>
                <w:rFonts w:ascii="Arial Narrow" w:hAnsi="Arial Narrow"/>
                <w:sz w:val="20"/>
              </w:rPr>
              <w:t>Project Director</w:t>
            </w:r>
          </w:p>
        </w:tc>
        <w:tc>
          <w:tcPr>
            <w:tcW w:w="2857" w:type="dxa"/>
          </w:tcPr>
          <w:p w14:paraId="2E05C320" w14:textId="77777777" w:rsidR="0074752D" w:rsidRPr="00DF1C52" w:rsidRDefault="0074752D" w:rsidP="0074752D">
            <w:pPr>
              <w:spacing w:after="120"/>
              <w:rPr>
                <w:rFonts w:ascii="Arial Narrow" w:hAnsi="Arial Narrow"/>
                <w:sz w:val="20"/>
              </w:rPr>
            </w:pPr>
            <w:r w:rsidRPr="00DF1C52">
              <w:rPr>
                <w:rFonts w:ascii="Arial Narrow" w:hAnsi="Arial Narrow"/>
                <w:sz w:val="20"/>
              </w:rPr>
              <w:t>Abt Associates</w:t>
            </w:r>
          </w:p>
        </w:tc>
      </w:tr>
      <w:tr w:rsidR="0074752D" w:rsidRPr="00DF1C52" w14:paraId="50D8971F" w14:textId="77777777" w:rsidTr="00C3060A">
        <w:tc>
          <w:tcPr>
            <w:tcW w:w="2766" w:type="dxa"/>
          </w:tcPr>
          <w:p w14:paraId="6BA01FA6" w14:textId="77777777" w:rsidR="0074752D" w:rsidRPr="00DF1C52" w:rsidRDefault="0074752D" w:rsidP="0074752D">
            <w:pPr>
              <w:spacing w:after="120"/>
              <w:rPr>
                <w:rFonts w:ascii="Arial Narrow" w:hAnsi="Arial Narrow"/>
                <w:sz w:val="20"/>
              </w:rPr>
            </w:pPr>
            <w:r w:rsidRPr="00DF1C52">
              <w:rPr>
                <w:rFonts w:ascii="Arial Narrow" w:hAnsi="Arial Narrow"/>
                <w:sz w:val="20"/>
              </w:rPr>
              <w:t>Dr. Laura R. Peck</w:t>
            </w:r>
          </w:p>
        </w:tc>
        <w:tc>
          <w:tcPr>
            <w:tcW w:w="3780" w:type="dxa"/>
          </w:tcPr>
          <w:p w14:paraId="78EB0323" w14:textId="77777777" w:rsidR="0074752D" w:rsidRPr="00DF1C52" w:rsidRDefault="00980A81" w:rsidP="0074752D">
            <w:pPr>
              <w:spacing w:after="120"/>
              <w:rPr>
                <w:rFonts w:ascii="Arial Narrow" w:hAnsi="Arial Narrow"/>
                <w:sz w:val="20"/>
              </w:rPr>
            </w:pPr>
            <w:r w:rsidRPr="00DF1C52">
              <w:rPr>
                <w:rFonts w:ascii="Arial Narrow" w:hAnsi="Arial Narrow"/>
                <w:sz w:val="20"/>
              </w:rPr>
              <w:t xml:space="preserve">PAGES </w:t>
            </w:r>
            <w:r w:rsidR="0074752D" w:rsidRPr="00DF1C52">
              <w:rPr>
                <w:rFonts w:ascii="Arial Narrow" w:hAnsi="Arial Narrow"/>
                <w:sz w:val="20"/>
              </w:rPr>
              <w:t>Co-Principal Investigator</w:t>
            </w:r>
          </w:p>
        </w:tc>
        <w:tc>
          <w:tcPr>
            <w:tcW w:w="2857" w:type="dxa"/>
          </w:tcPr>
          <w:p w14:paraId="6AE43BD7" w14:textId="77777777" w:rsidR="0074752D" w:rsidRPr="00DF1C52" w:rsidRDefault="0074752D" w:rsidP="0074752D">
            <w:pPr>
              <w:spacing w:after="120"/>
              <w:rPr>
                <w:rFonts w:ascii="Arial Narrow" w:hAnsi="Arial Narrow"/>
                <w:sz w:val="20"/>
              </w:rPr>
            </w:pPr>
            <w:r w:rsidRPr="00DF1C52">
              <w:rPr>
                <w:rFonts w:ascii="Arial Narrow" w:hAnsi="Arial Narrow"/>
                <w:sz w:val="20"/>
              </w:rPr>
              <w:t>Abt Associates</w:t>
            </w:r>
          </w:p>
        </w:tc>
      </w:tr>
      <w:tr w:rsidR="0074752D" w:rsidRPr="00DF1C52" w14:paraId="317C47B2" w14:textId="77777777" w:rsidTr="00C3060A">
        <w:tc>
          <w:tcPr>
            <w:tcW w:w="2766" w:type="dxa"/>
          </w:tcPr>
          <w:p w14:paraId="202A6F62" w14:textId="77777777" w:rsidR="0074752D" w:rsidRPr="00DF1C52" w:rsidRDefault="0074752D" w:rsidP="0074752D">
            <w:pPr>
              <w:spacing w:after="120"/>
              <w:rPr>
                <w:rFonts w:ascii="Arial Narrow" w:hAnsi="Arial Narrow"/>
                <w:sz w:val="20"/>
              </w:rPr>
            </w:pPr>
            <w:r w:rsidRPr="00DF1C52">
              <w:rPr>
                <w:rFonts w:ascii="Arial Narrow" w:hAnsi="Arial Narrow"/>
                <w:sz w:val="20"/>
              </w:rPr>
              <w:t>Dr. Pam Loprest</w:t>
            </w:r>
          </w:p>
        </w:tc>
        <w:tc>
          <w:tcPr>
            <w:tcW w:w="3780" w:type="dxa"/>
          </w:tcPr>
          <w:p w14:paraId="16FFC464" w14:textId="77777777" w:rsidR="0074752D" w:rsidRPr="00DF1C52" w:rsidRDefault="00980A81" w:rsidP="0074752D">
            <w:pPr>
              <w:spacing w:after="120"/>
              <w:rPr>
                <w:rFonts w:ascii="Arial Narrow" w:hAnsi="Arial Narrow"/>
                <w:sz w:val="20"/>
              </w:rPr>
            </w:pPr>
            <w:r w:rsidRPr="00DF1C52">
              <w:rPr>
                <w:rFonts w:ascii="Arial Narrow" w:hAnsi="Arial Narrow"/>
                <w:sz w:val="20"/>
              </w:rPr>
              <w:t xml:space="preserve">PAGES </w:t>
            </w:r>
            <w:r w:rsidR="0074752D" w:rsidRPr="00DF1C52">
              <w:rPr>
                <w:rFonts w:ascii="Arial Narrow" w:hAnsi="Arial Narrow"/>
                <w:sz w:val="20"/>
              </w:rPr>
              <w:t>Co-Principal Investigator</w:t>
            </w:r>
          </w:p>
        </w:tc>
        <w:tc>
          <w:tcPr>
            <w:tcW w:w="2857" w:type="dxa"/>
          </w:tcPr>
          <w:p w14:paraId="6D1DF63C" w14:textId="77777777" w:rsidR="0074752D" w:rsidRPr="00DF1C52" w:rsidRDefault="0074752D" w:rsidP="0074752D">
            <w:pPr>
              <w:spacing w:after="120"/>
              <w:rPr>
                <w:rFonts w:ascii="Arial Narrow" w:hAnsi="Arial Narrow"/>
                <w:sz w:val="20"/>
              </w:rPr>
            </w:pPr>
            <w:r w:rsidRPr="00DF1C52">
              <w:rPr>
                <w:rFonts w:ascii="Arial Narrow" w:hAnsi="Arial Narrow"/>
                <w:sz w:val="20"/>
              </w:rPr>
              <w:t>Urban Institute</w:t>
            </w:r>
          </w:p>
        </w:tc>
      </w:tr>
      <w:tr w:rsidR="0074752D" w:rsidRPr="00DF1C52" w14:paraId="0B9B6DB4" w14:textId="77777777" w:rsidTr="00C3060A">
        <w:tc>
          <w:tcPr>
            <w:tcW w:w="2766" w:type="dxa"/>
          </w:tcPr>
          <w:p w14:paraId="07D740B9" w14:textId="77777777" w:rsidR="0074752D" w:rsidRPr="00DF1C52" w:rsidRDefault="0074752D" w:rsidP="0074752D">
            <w:pPr>
              <w:spacing w:after="120"/>
              <w:rPr>
                <w:rFonts w:ascii="Arial Narrow" w:hAnsi="Arial Narrow"/>
                <w:sz w:val="20"/>
              </w:rPr>
            </w:pPr>
            <w:r w:rsidRPr="00DF1C52">
              <w:rPr>
                <w:rFonts w:ascii="Arial Narrow" w:hAnsi="Arial Narrow"/>
                <w:sz w:val="20"/>
              </w:rPr>
              <w:t>Dr. Eleanor Harvill</w:t>
            </w:r>
          </w:p>
        </w:tc>
        <w:tc>
          <w:tcPr>
            <w:tcW w:w="3780" w:type="dxa"/>
          </w:tcPr>
          <w:p w14:paraId="67DAB081" w14:textId="77777777" w:rsidR="0074752D" w:rsidRPr="00DF1C52" w:rsidRDefault="00980A81" w:rsidP="0074752D">
            <w:pPr>
              <w:spacing w:after="120"/>
              <w:rPr>
                <w:rFonts w:ascii="Arial Narrow" w:hAnsi="Arial Narrow"/>
                <w:sz w:val="20"/>
              </w:rPr>
            </w:pPr>
            <w:r w:rsidRPr="00DF1C52">
              <w:rPr>
                <w:rFonts w:ascii="Arial Narrow" w:hAnsi="Arial Narrow"/>
                <w:sz w:val="20"/>
              </w:rPr>
              <w:t xml:space="preserve">PAGES </w:t>
            </w:r>
            <w:r w:rsidR="0074752D" w:rsidRPr="00DF1C52">
              <w:rPr>
                <w:rFonts w:ascii="Arial Narrow" w:hAnsi="Arial Narrow"/>
                <w:sz w:val="20"/>
              </w:rPr>
              <w:t>Evaluation Design Task Lead</w:t>
            </w:r>
          </w:p>
        </w:tc>
        <w:tc>
          <w:tcPr>
            <w:tcW w:w="2857" w:type="dxa"/>
          </w:tcPr>
          <w:p w14:paraId="4BB220A6" w14:textId="77777777" w:rsidR="0074752D" w:rsidRPr="00DF1C52" w:rsidRDefault="0074752D" w:rsidP="0074752D">
            <w:pPr>
              <w:spacing w:after="120"/>
              <w:rPr>
                <w:rFonts w:ascii="Arial Narrow" w:hAnsi="Arial Narrow"/>
                <w:sz w:val="20"/>
              </w:rPr>
            </w:pPr>
            <w:r w:rsidRPr="00DF1C52">
              <w:rPr>
                <w:rFonts w:ascii="Arial Narrow" w:hAnsi="Arial Narrow"/>
                <w:sz w:val="20"/>
              </w:rPr>
              <w:t>Abt Associates</w:t>
            </w:r>
          </w:p>
        </w:tc>
      </w:tr>
      <w:tr w:rsidR="0074752D" w:rsidRPr="00DF1C52" w14:paraId="2C895D37" w14:textId="77777777" w:rsidTr="00C3060A">
        <w:tc>
          <w:tcPr>
            <w:tcW w:w="2766" w:type="dxa"/>
          </w:tcPr>
          <w:p w14:paraId="64CC4D5B" w14:textId="77777777" w:rsidR="0074752D" w:rsidRPr="00DF1C52" w:rsidRDefault="0074752D" w:rsidP="0074752D">
            <w:pPr>
              <w:spacing w:after="120"/>
              <w:rPr>
                <w:rFonts w:ascii="Arial Narrow" w:hAnsi="Arial Narrow"/>
                <w:sz w:val="20"/>
              </w:rPr>
            </w:pPr>
            <w:r w:rsidRPr="00DF1C52">
              <w:rPr>
                <w:rFonts w:ascii="Arial Narrow" w:hAnsi="Arial Narrow"/>
                <w:sz w:val="20"/>
              </w:rPr>
              <w:t>Brian Sokol</w:t>
            </w:r>
          </w:p>
        </w:tc>
        <w:tc>
          <w:tcPr>
            <w:tcW w:w="3780" w:type="dxa"/>
          </w:tcPr>
          <w:p w14:paraId="0CC09A64" w14:textId="77777777" w:rsidR="0074752D" w:rsidRPr="00DF1C52" w:rsidRDefault="00980A81" w:rsidP="0074752D">
            <w:pPr>
              <w:spacing w:after="120"/>
              <w:rPr>
                <w:rFonts w:ascii="Arial Narrow" w:hAnsi="Arial Narrow"/>
                <w:sz w:val="20"/>
              </w:rPr>
            </w:pPr>
            <w:r w:rsidRPr="00DF1C52">
              <w:rPr>
                <w:rFonts w:ascii="Arial Narrow" w:hAnsi="Arial Narrow"/>
                <w:sz w:val="20"/>
              </w:rPr>
              <w:t xml:space="preserve">PAGES </w:t>
            </w:r>
            <w:r w:rsidR="0074752D" w:rsidRPr="00DF1C52">
              <w:rPr>
                <w:rFonts w:ascii="Arial Narrow" w:hAnsi="Arial Narrow"/>
                <w:sz w:val="20"/>
              </w:rPr>
              <w:t>Data System Task Lead</w:t>
            </w:r>
          </w:p>
        </w:tc>
        <w:tc>
          <w:tcPr>
            <w:tcW w:w="2857" w:type="dxa"/>
          </w:tcPr>
          <w:p w14:paraId="53EFAB3E" w14:textId="77777777" w:rsidR="0074752D" w:rsidRPr="00DF1C52" w:rsidRDefault="0074752D" w:rsidP="0074752D">
            <w:pPr>
              <w:spacing w:after="120"/>
              <w:rPr>
                <w:rFonts w:ascii="Arial Narrow" w:hAnsi="Arial Narrow"/>
                <w:sz w:val="20"/>
              </w:rPr>
            </w:pPr>
            <w:r w:rsidRPr="00DF1C52">
              <w:rPr>
                <w:rFonts w:ascii="Arial Narrow" w:hAnsi="Arial Narrow"/>
                <w:sz w:val="20"/>
              </w:rPr>
              <w:t>Abt Associates</w:t>
            </w:r>
          </w:p>
        </w:tc>
      </w:tr>
      <w:tr w:rsidR="0074752D" w:rsidRPr="00DF1C52" w14:paraId="7760F6ED" w14:textId="77777777" w:rsidTr="00C3060A">
        <w:tc>
          <w:tcPr>
            <w:tcW w:w="2766" w:type="dxa"/>
          </w:tcPr>
          <w:p w14:paraId="2CC9CBD7" w14:textId="77777777" w:rsidR="0074752D" w:rsidRPr="00DF1C52" w:rsidRDefault="0074752D" w:rsidP="0074752D">
            <w:pPr>
              <w:spacing w:after="120"/>
              <w:rPr>
                <w:rFonts w:ascii="Arial Narrow" w:hAnsi="Arial Narrow"/>
                <w:sz w:val="20"/>
              </w:rPr>
            </w:pPr>
            <w:r w:rsidRPr="00DF1C52">
              <w:rPr>
                <w:rFonts w:ascii="Arial Narrow" w:hAnsi="Arial Narrow"/>
                <w:sz w:val="20"/>
              </w:rPr>
              <w:t>Dr. Alan Werner</w:t>
            </w:r>
          </w:p>
        </w:tc>
        <w:tc>
          <w:tcPr>
            <w:tcW w:w="3780" w:type="dxa"/>
          </w:tcPr>
          <w:p w14:paraId="549DCE2C" w14:textId="078B8EBD" w:rsidR="0074752D" w:rsidRPr="00DF1C52" w:rsidRDefault="0074752D" w:rsidP="00980A81">
            <w:pPr>
              <w:spacing w:after="120"/>
              <w:rPr>
                <w:rFonts w:ascii="Arial Narrow" w:hAnsi="Arial Narrow"/>
                <w:sz w:val="20"/>
              </w:rPr>
            </w:pPr>
            <w:r w:rsidRPr="00DF1C52">
              <w:rPr>
                <w:rFonts w:ascii="Arial Narrow" w:hAnsi="Arial Narrow"/>
                <w:sz w:val="20"/>
              </w:rPr>
              <w:t xml:space="preserve">Key staff on HPOG </w:t>
            </w:r>
            <w:r w:rsidR="00980A81" w:rsidRPr="00DF1C52">
              <w:rPr>
                <w:rFonts w:ascii="Arial Narrow" w:hAnsi="Arial Narrow"/>
                <w:sz w:val="20"/>
              </w:rPr>
              <w:t>2.0</w:t>
            </w:r>
            <w:r w:rsidRPr="00DF1C52">
              <w:rPr>
                <w:rFonts w:ascii="Arial Narrow" w:hAnsi="Arial Narrow"/>
                <w:sz w:val="20"/>
              </w:rPr>
              <w:t xml:space="preserve"> project</w:t>
            </w:r>
          </w:p>
        </w:tc>
        <w:tc>
          <w:tcPr>
            <w:tcW w:w="2857" w:type="dxa"/>
          </w:tcPr>
          <w:p w14:paraId="44FB4A5F" w14:textId="77777777" w:rsidR="0074752D" w:rsidRPr="00DF1C52" w:rsidRDefault="0074752D" w:rsidP="0074752D">
            <w:pPr>
              <w:spacing w:after="120"/>
              <w:rPr>
                <w:rFonts w:ascii="Arial Narrow" w:hAnsi="Arial Narrow"/>
                <w:sz w:val="20"/>
              </w:rPr>
            </w:pPr>
            <w:r w:rsidRPr="00DF1C52">
              <w:rPr>
                <w:rFonts w:ascii="Arial Narrow" w:hAnsi="Arial Narrow"/>
                <w:sz w:val="20"/>
              </w:rPr>
              <w:t>Abt Associates</w:t>
            </w:r>
          </w:p>
        </w:tc>
      </w:tr>
      <w:tr w:rsidR="0074752D" w:rsidRPr="00DF1C52" w14:paraId="3301B40E" w14:textId="77777777" w:rsidTr="00C3060A">
        <w:tc>
          <w:tcPr>
            <w:tcW w:w="2766" w:type="dxa"/>
          </w:tcPr>
          <w:p w14:paraId="5DEDC8D3" w14:textId="77777777" w:rsidR="0074752D" w:rsidRPr="00DF1C52" w:rsidRDefault="0074752D" w:rsidP="0074752D">
            <w:pPr>
              <w:spacing w:after="120"/>
              <w:rPr>
                <w:rFonts w:ascii="Arial Narrow" w:hAnsi="Arial Narrow"/>
                <w:sz w:val="20"/>
              </w:rPr>
            </w:pPr>
            <w:r w:rsidRPr="00DF1C52">
              <w:rPr>
                <w:rFonts w:ascii="Arial Narrow" w:hAnsi="Arial Narrow"/>
                <w:sz w:val="20"/>
              </w:rPr>
              <w:t>Jennifer Buell</w:t>
            </w:r>
          </w:p>
        </w:tc>
        <w:tc>
          <w:tcPr>
            <w:tcW w:w="3780" w:type="dxa"/>
          </w:tcPr>
          <w:p w14:paraId="063E21B2" w14:textId="77777777" w:rsidR="0074752D" w:rsidRPr="00DF1C52" w:rsidRDefault="00980A81" w:rsidP="0074752D">
            <w:pPr>
              <w:spacing w:after="120"/>
              <w:rPr>
                <w:rFonts w:ascii="Arial Narrow" w:hAnsi="Arial Narrow"/>
                <w:sz w:val="20"/>
              </w:rPr>
            </w:pPr>
            <w:r w:rsidRPr="00DF1C52">
              <w:rPr>
                <w:rFonts w:ascii="Arial Narrow" w:hAnsi="Arial Narrow"/>
                <w:sz w:val="20"/>
              </w:rPr>
              <w:t xml:space="preserve">PAGES </w:t>
            </w:r>
            <w:r w:rsidR="0074752D" w:rsidRPr="00DF1C52">
              <w:rPr>
                <w:rFonts w:ascii="Arial Narrow" w:hAnsi="Arial Narrow"/>
                <w:sz w:val="20"/>
              </w:rPr>
              <w:t>Deputy Project Director</w:t>
            </w:r>
          </w:p>
        </w:tc>
        <w:tc>
          <w:tcPr>
            <w:tcW w:w="2857" w:type="dxa"/>
          </w:tcPr>
          <w:p w14:paraId="189F5161" w14:textId="77777777" w:rsidR="0074752D" w:rsidRPr="00DF1C52" w:rsidRDefault="0074752D" w:rsidP="0074752D">
            <w:pPr>
              <w:spacing w:after="120"/>
              <w:rPr>
                <w:rFonts w:ascii="Arial Narrow" w:hAnsi="Arial Narrow"/>
                <w:sz w:val="20"/>
              </w:rPr>
            </w:pPr>
            <w:r w:rsidRPr="00DF1C52">
              <w:rPr>
                <w:rFonts w:ascii="Arial Narrow" w:hAnsi="Arial Narrow"/>
                <w:sz w:val="20"/>
              </w:rPr>
              <w:t>Abt Associates</w:t>
            </w:r>
          </w:p>
        </w:tc>
      </w:tr>
      <w:tr w:rsidR="0074752D" w:rsidRPr="00DF1C52" w14:paraId="3D0C9706" w14:textId="77777777" w:rsidTr="00C3060A">
        <w:tc>
          <w:tcPr>
            <w:tcW w:w="2766" w:type="dxa"/>
          </w:tcPr>
          <w:p w14:paraId="6365514E" w14:textId="77777777" w:rsidR="0074752D" w:rsidRPr="00DF1C52" w:rsidRDefault="0074752D" w:rsidP="0074752D">
            <w:pPr>
              <w:spacing w:after="120"/>
              <w:rPr>
                <w:rFonts w:ascii="Arial Narrow" w:hAnsi="Arial Narrow"/>
                <w:sz w:val="20"/>
              </w:rPr>
            </w:pPr>
            <w:r w:rsidRPr="00DF1C52">
              <w:rPr>
                <w:rFonts w:ascii="Arial Narrow" w:hAnsi="Arial Narrow"/>
                <w:sz w:val="20"/>
              </w:rPr>
              <w:t>Dr. Howard Rolston</w:t>
            </w:r>
          </w:p>
        </w:tc>
        <w:tc>
          <w:tcPr>
            <w:tcW w:w="3780" w:type="dxa"/>
          </w:tcPr>
          <w:p w14:paraId="40ECFD78" w14:textId="77777777" w:rsidR="0074752D" w:rsidRPr="00DF1C52" w:rsidRDefault="00980A81" w:rsidP="0074752D">
            <w:pPr>
              <w:spacing w:after="120"/>
              <w:rPr>
                <w:rFonts w:ascii="Arial Narrow" w:hAnsi="Arial Narrow"/>
                <w:sz w:val="20"/>
              </w:rPr>
            </w:pPr>
            <w:r w:rsidRPr="00DF1C52">
              <w:rPr>
                <w:rFonts w:ascii="Arial Narrow" w:hAnsi="Arial Narrow"/>
                <w:sz w:val="20"/>
              </w:rPr>
              <w:t xml:space="preserve">PAGES </w:t>
            </w:r>
            <w:r w:rsidR="0074752D" w:rsidRPr="00DF1C52">
              <w:rPr>
                <w:rFonts w:ascii="Arial Narrow" w:hAnsi="Arial Narrow"/>
                <w:sz w:val="20"/>
              </w:rPr>
              <w:t>Project Quality Advisor</w:t>
            </w:r>
          </w:p>
        </w:tc>
        <w:tc>
          <w:tcPr>
            <w:tcW w:w="2857" w:type="dxa"/>
          </w:tcPr>
          <w:p w14:paraId="5EC4C028" w14:textId="77777777" w:rsidR="0074752D" w:rsidRPr="00DF1C52" w:rsidRDefault="0074752D" w:rsidP="0074752D">
            <w:pPr>
              <w:spacing w:after="120"/>
              <w:rPr>
                <w:rFonts w:ascii="Arial Narrow" w:hAnsi="Arial Narrow"/>
                <w:sz w:val="20"/>
              </w:rPr>
            </w:pPr>
            <w:r w:rsidRPr="00DF1C52">
              <w:rPr>
                <w:rFonts w:ascii="Arial Narrow" w:hAnsi="Arial Narrow"/>
                <w:sz w:val="20"/>
              </w:rPr>
              <w:t>Abt Associates</w:t>
            </w:r>
          </w:p>
        </w:tc>
      </w:tr>
      <w:tr w:rsidR="0074752D" w:rsidRPr="00DF1C52" w14:paraId="34FBC89E" w14:textId="77777777" w:rsidTr="00C3060A">
        <w:tc>
          <w:tcPr>
            <w:tcW w:w="2766" w:type="dxa"/>
          </w:tcPr>
          <w:p w14:paraId="270A8883" w14:textId="77777777" w:rsidR="0074752D" w:rsidRPr="00DF1C52" w:rsidRDefault="0074752D" w:rsidP="0074752D">
            <w:pPr>
              <w:spacing w:after="120"/>
              <w:rPr>
                <w:rFonts w:ascii="Arial Narrow" w:hAnsi="Arial Narrow"/>
                <w:sz w:val="20"/>
              </w:rPr>
            </w:pPr>
            <w:r w:rsidRPr="00DF1C52">
              <w:rPr>
                <w:rFonts w:ascii="Arial Narrow" w:hAnsi="Arial Narrow"/>
                <w:sz w:val="20"/>
              </w:rPr>
              <w:t>Karen Gardiner</w:t>
            </w:r>
          </w:p>
        </w:tc>
        <w:tc>
          <w:tcPr>
            <w:tcW w:w="3780" w:type="dxa"/>
          </w:tcPr>
          <w:p w14:paraId="5A23E06E" w14:textId="77777777" w:rsidR="0074752D" w:rsidRPr="00DF1C52" w:rsidRDefault="00980A81" w:rsidP="0074752D">
            <w:pPr>
              <w:spacing w:after="120"/>
              <w:rPr>
                <w:rFonts w:ascii="Arial Narrow" w:hAnsi="Arial Narrow"/>
                <w:sz w:val="20"/>
              </w:rPr>
            </w:pPr>
            <w:r w:rsidRPr="00DF1C52">
              <w:rPr>
                <w:rFonts w:ascii="Arial Narrow" w:hAnsi="Arial Narrow"/>
                <w:sz w:val="20"/>
              </w:rPr>
              <w:t xml:space="preserve">PAGES </w:t>
            </w:r>
            <w:r w:rsidR="0074752D" w:rsidRPr="00DF1C52">
              <w:rPr>
                <w:rFonts w:ascii="Arial Narrow" w:hAnsi="Arial Narrow"/>
                <w:sz w:val="20"/>
              </w:rPr>
              <w:t>Project Quality Advisor</w:t>
            </w:r>
          </w:p>
        </w:tc>
        <w:tc>
          <w:tcPr>
            <w:tcW w:w="2857" w:type="dxa"/>
          </w:tcPr>
          <w:p w14:paraId="2D65C9CF" w14:textId="77777777" w:rsidR="0074752D" w:rsidRPr="00DF1C52" w:rsidRDefault="0074752D" w:rsidP="0074752D">
            <w:pPr>
              <w:spacing w:after="120"/>
              <w:rPr>
                <w:rFonts w:ascii="Arial Narrow" w:hAnsi="Arial Narrow"/>
                <w:sz w:val="20"/>
              </w:rPr>
            </w:pPr>
            <w:r w:rsidRPr="00DF1C52">
              <w:rPr>
                <w:rFonts w:ascii="Arial Narrow" w:hAnsi="Arial Narrow"/>
                <w:sz w:val="20"/>
              </w:rPr>
              <w:t>Abt Associates</w:t>
            </w:r>
          </w:p>
        </w:tc>
      </w:tr>
    </w:tbl>
    <w:p w14:paraId="3A4C14A3" w14:textId="77777777" w:rsidR="00B370B2" w:rsidRPr="007C63A3" w:rsidRDefault="00B370B2" w:rsidP="00842C2C">
      <w:pPr>
        <w:rPr>
          <w:rFonts w:cs="Calibri"/>
        </w:rPr>
      </w:pPr>
    </w:p>
    <w:p w14:paraId="13C096BF" w14:textId="77777777" w:rsidR="00B370B2" w:rsidRPr="00524430" w:rsidRDefault="00B370B2" w:rsidP="00524430">
      <w:pPr>
        <w:pStyle w:val="BodyText"/>
        <w:rPr>
          <w:color w:val="000000"/>
        </w:rPr>
      </w:pPr>
      <w:r w:rsidRPr="007C63A3">
        <w:rPr>
          <w:rFonts w:cs="Calibri"/>
        </w:rPr>
        <w:t xml:space="preserve">Inquiries regarding the statistical aspects of the </w:t>
      </w:r>
      <w:r w:rsidR="00524430" w:rsidRPr="00241A54">
        <w:t>design</w:t>
      </w:r>
      <w:r w:rsidR="00524430">
        <w:t xml:space="preserve"> of the data system</w:t>
      </w:r>
      <w:r w:rsidR="00524430">
        <w:rPr>
          <w:color w:val="000000"/>
        </w:rPr>
        <w:t xml:space="preserve"> </w:t>
      </w:r>
      <w:r w:rsidRPr="007C63A3">
        <w:rPr>
          <w:rFonts w:cs="Calibri"/>
        </w:rPr>
        <w:t>should be directed to:</w:t>
      </w:r>
    </w:p>
    <w:p w14:paraId="5E63D595" w14:textId="77777777" w:rsidR="00B370B2" w:rsidRDefault="00524430" w:rsidP="00524430">
      <w:pPr>
        <w:spacing w:after="0"/>
      </w:pPr>
      <w:r>
        <w:t xml:space="preserve">Julie Strawn, </w:t>
      </w:r>
      <w:r w:rsidR="00B370B2" w:rsidRPr="002C6464">
        <w:t>Project Director</w:t>
      </w:r>
      <w:r w:rsidR="00B370B2" w:rsidRPr="002C6464">
        <w:tab/>
      </w:r>
      <w:r w:rsidR="00B370B2" w:rsidRPr="002C6464">
        <w:tab/>
      </w:r>
    </w:p>
    <w:p w14:paraId="370597CF" w14:textId="77777777" w:rsidR="00524430" w:rsidRDefault="00524430" w:rsidP="00524430">
      <w:pPr>
        <w:spacing w:after="0"/>
      </w:pPr>
      <w:r w:rsidRPr="005646F9">
        <w:t>Abt Associates</w:t>
      </w:r>
    </w:p>
    <w:p w14:paraId="6C9DC281" w14:textId="77777777" w:rsidR="00E50D1F" w:rsidRDefault="00E50D1F" w:rsidP="00842C2C">
      <w:pPr>
        <w:tabs>
          <w:tab w:val="left" w:pos="2070"/>
          <w:tab w:val="left" w:pos="4950"/>
        </w:tabs>
        <w:spacing w:after="0"/>
      </w:pPr>
      <w:r>
        <w:t>4550 Montgomery Ave #800N</w:t>
      </w:r>
    </w:p>
    <w:p w14:paraId="7B3BB4B0" w14:textId="77777777" w:rsidR="00E50D1F" w:rsidRDefault="00E50D1F" w:rsidP="00842C2C">
      <w:pPr>
        <w:tabs>
          <w:tab w:val="left" w:pos="2070"/>
          <w:tab w:val="left" w:pos="4950"/>
        </w:tabs>
        <w:spacing w:after="0"/>
      </w:pPr>
      <w:r w:rsidRPr="00E50D1F">
        <w:t>Bethesda, MD 20814</w:t>
      </w:r>
    </w:p>
    <w:p w14:paraId="3C8FBE72" w14:textId="77777777" w:rsidR="00D57F5D" w:rsidRDefault="00E52F77" w:rsidP="00842C2C">
      <w:pPr>
        <w:tabs>
          <w:tab w:val="left" w:pos="2070"/>
          <w:tab w:val="left" w:pos="4950"/>
        </w:tabs>
        <w:spacing w:after="0"/>
        <w:rPr>
          <w:rFonts w:cs="Calibri"/>
        </w:rPr>
      </w:pPr>
      <w:r>
        <w:rPr>
          <w:rFonts w:cs="Calibri"/>
        </w:rPr>
        <w:t>(</w:t>
      </w:r>
      <w:r w:rsidR="00E50D1F">
        <w:rPr>
          <w:rFonts w:cs="Calibri"/>
        </w:rPr>
        <w:t>301</w:t>
      </w:r>
      <w:r>
        <w:rPr>
          <w:rFonts w:cs="Calibri"/>
        </w:rPr>
        <w:t xml:space="preserve">) </w:t>
      </w:r>
      <w:r w:rsidR="00E50D1F">
        <w:rPr>
          <w:rFonts w:cs="Calibri"/>
        </w:rPr>
        <w:t>347-5853</w:t>
      </w:r>
    </w:p>
    <w:p w14:paraId="7189F4A7" w14:textId="77777777" w:rsidR="006E1D90" w:rsidRDefault="006E1D90" w:rsidP="00842C2C">
      <w:pPr>
        <w:tabs>
          <w:tab w:val="left" w:pos="2070"/>
          <w:tab w:val="left" w:pos="4950"/>
        </w:tabs>
        <w:spacing w:after="0"/>
        <w:rPr>
          <w:rFonts w:cs="Calibri"/>
        </w:rPr>
      </w:pPr>
    </w:p>
    <w:p w14:paraId="547B9152" w14:textId="77777777" w:rsidR="006E1D90" w:rsidRPr="00524430" w:rsidRDefault="006E1D90" w:rsidP="006E1D90">
      <w:pPr>
        <w:pStyle w:val="BodyText"/>
        <w:rPr>
          <w:color w:val="000000"/>
        </w:rPr>
      </w:pPr>
      <w:r w:rsidRPr="007C63A3">
        <w:rPr>
          <w:rFonts w:cs="Calibri"/>
        </w:rPr>
        <w:t xml:space="preserve">Inquiries regarding the statistical aspects of the </w:t>
      </w:r>
      <w:r>
        <w:t>HPOG 2.0 National Evaluation design</w:t>
      </w:r>
      <w:r>
        <w:rPr>
          <w:color w:val="000000"/>
        </w:rPr>
        <w:t xml:space="preserve"> </w:t>
      </w:r>
      <w:r w:rsidRPr="007C63A3">
        <w:rPr>
          <w:rFonts w:cs="Calibri"/>
        </w:rPr>
        <w:t>should be directed to:</w:t>
      </w:r>
    </w:p>
    <w:p w14:paraId="2382CAF0" w14:textId="77777777" w:rsidR="006E1D90" w:rsidRDefault="006E1D90" w:rsidP="006E1D90">
      <w:pPr>
        <w:spacing w:after="0"/>
      </w:pPr>
      <w:r>
        <w:t xml:space="preserve">Gretchen Locke, </w:t>
      </w:r>
      <w:r w:rsidRPr="002C6464">
        <w:t>Project Director</w:t>
      </w:r>
      <w:r w:rsidRPr="002C6464">
        <w:tab/>
      </w:r>
      <w:r w:rsidRPr="002C6464">
        <w:tab/>
      </w:r>
    </w:p>
    <w:p w14:paraId="6BB00BFD" w14:textId="77777777" w:rsidR="006E1D90" w:rsidRDefault="006E1D90" w:rsidP="006E1D90">
      <w:pPr>
        <w:spacing w:after="0"/>
      </w:pPr>
      <w:r w:rsidRPr="005646F9">
        <w:t>Abt Associates</w:t>
      </w:r>
    </w:p>
    <w:p w14:paraId="5BC8C898" w14:textId="77777777" w:rsidR="006E1D90" w:rsidRDefault="006E1D90" w:rsidP="006E1D90">
      <w:pPr>
        <w:tabs>
          <w:tab w:val="left" w:pos="2070"/>
          <w:tab w:val="left" w:pos="4950"/>
        </w:tabs>
        <w:spacing w:after="0"/>
      </w:pPr>
      <w:r>
        <w:t>55 Wheeler St</w:t>
      </w:r>
    </w:p>
    <w:p w14:paraId="40C44769" w14:textId="77777777" w:rsidR="006E1D90" w:rsidRDefault="006E1D90" w:rsidP="006E1D90">
      <w:pPr>
        <w:tabs>
          <w:tab w:val="left" w:pos="2070"/>
          <w:tab w:val="left" w:pos="4950"/>
        </w:tabs>
        <w:spacing w:after="0"/>
      </w:pPr>
      <w:r>
        <w:t>Cambridge, MA 02138</w:t>
      </w:r>
    </w:p>
    <w:p w14:paraId="44F458F7" w14:textId="77777777" w:rsidR="006E1D90" w:rsidRDefault="006E1D90" w:rsidP="006E1D90">
      <w:pPr>
        <w:tabs>
          <w:tab w:val="left" w:pos="2070"/>
          <w:tab w:val="left" w:pos="4950"/>
        </w:tabs>
        <w:spacing w:after="0"/>
        <w:rPr>
          <w:rFonts w:cs="Calibri"/>
        </w:rPr>
      </w:pPr>
      <w:r>
        <w:rPr>
          <w:rFonts w:cs="Calibri"/>
        </w:rPr>
        <w:t>(617)-349-2373</w:t>
      </w:r>
    </w:p>
    <w:p w14:paraId="07E34718" w14:textId="77777777" w:rsidR="00165517" w:rsidRDefault="00165517" w:rsidP="006E1D90">
      <w:pPr>
        <w:pStyle w:val="BodyText"/>
        <w:rPr>
          <w:rFonts w:cs="Calibri"/>
        </w:rPr>
      </w:pPr>
    </w:p>
    <w:p w14:paraId="6D05E30E" w14:textId="77777777" w:rsidR="006E1D90" w:rsidRPr="00524430" w:rsidRDefault="006E1D90" w:rsidP="006E1D90">
      <w:pPr>
        <w:pStyle w:val="BodyText"/>
        <w:rPr>
          <w:color w:val="000000"/>
        </w:rPr>
      </w:pPr>
      <w:r w:rsidRPr="007C63A3">
        <w:rPr>
          <w:rFonts w:cs="Calibri"/>
        </w:rPr>
        <w:t xml:space="preserve">Inquiries regarding the statistical aspects of the </w:t>
      </w:r>
      <w:r>
        <w:t>HPOG 2.0 Tribal Evaluation design</w:t>
      </w:r>
      <w:r>
        <w:rPr>
          <w:color w:val="000000"/>
        </w:rPr>
        <w:t xml:space="preserve"> </w:t>
      </w:r>
      <w:r w:rsidRPr="007C63A3">
        <w:rPr>
          <w:rFonts w:cs="Calibri"/>
        </w:rPr>
        <w:t>should be directed to:</w:t>
      </w:r>
    </w:p>
    <w:p w14:paraId="15E47C6F" w14:textId="77777777" w:rsidR="006E1D90" w:rsidRDefault="006E1D90" w:rsidP="006E1D90">
      <w:pPr>
        <w:tabs>
          <w:tab w:val="left" w:pos="2070"/>
          <w:tab w:val="left" w:pos="4950"/>
        </w:tabs>
        <w:spacing w:after="0"/>
      </w:pPr>
      <w:r>
        <w:t xml:space="preserve">Michael Meit, </w:t>
      </w:r>
      <w:r w:rsidRPr="002C6464">
        <w:t>Project Director</w:t>
      </w:r>
    </w:p>
    <w:p w14:paraId="79867AF9" w14:textId="77777777" w:rsidR="006E1D90" w:rsidRDefault="006E1D90" w:rsidP="006E1D90">
      <w:pPr>
        <w:tabs>
          <w:tab w:val="left" w:pos="2070"/>
          <w:tab w:val="left" w:pos="4950"/>
        </w:tabs>
        <w:spacing w:after="0"/>
      </w:pPr>
      <w:r>
        <w:t xml:space="preserve">NORC at the University of Chicago </w:t>
      </w:r>
    </w:p>
    <w:p w14:paraId="37289BB1" w14:textId="77777777" w:rsidR="006E1D90" w:rsidRDefault="006E1D90" w:rsidP="006E1D90">
      <w:pPr>
        <w:tabs>
          <w:tab w:val="left" w:pos="2070"/>
          <w:tab w:val="left" w:pos="4950"/>
        </w:tabs>
        <w:spacing w:after="0"/>
      </w:pPr>
      <w:r>
        <w:t>4350 East West Highway, 8th Floor</w:t>
      </w:r>
    </w:p>
    <w:p w14:paraId="2BE9AB3F" w14:textId="77777777" w:rsidR="006E1D90" w:rsidRDefault="006E1D90" w:rsidP="006E1D90">
      <w:pPr>
        <w:tabs>
          <w:tab w:val="left" w:pos="2070"/>
          <w:tab w:val="left" w:pos="4950"/>
        </w:tabs>
        <w:spacing w:after="0"/>
      </w:pPr>
      <w:r>
        <w:t>Bethesda, MD 20814</w:t>
      </w:r>
    </w:p>
    <w:p w14:paraId="3E5B507A" w14:textId="77777777" w:rsidR="006E1D90" w:rsidRDefault="006E1D90" w:rsidP="006E1D90">
      <w:pPr>
        <w:tabs>
          <w:tab w:val="left" w:pos="2070"/>
          <w:tab w:val="left" w:pos="4950"/>
        </w:tabs>
        <w:spacing w:after="0"/>
      </w:pPr>
      <w:r>
        <w:t>(301)-634-9324</w:t>
      </w:r>
    </w:p>
    <w:p w14:paraId="502B21D3" w14:textId="77777777" w:rsidR="00AC3110" w:rsidRDefault="00AC3110" w:rsidP="00AC3110">
      <w:pPr>
        <w:tabs>
          <w:tab w:val="left" w:pos="2070"/>
          <w:tab w:val="left" w:pos="4950"/>
        </w:tabs>
        <w:spacing w:after="0"/>
      </w:pPr>
    </w:p>
    <w:p w14:paraId="21BD7CC3" w14:textId="77777777" w:rsidR="006E1D90" w:rsidRDefault="006E1D90" w:rsidP="006E1D90">
      <w:pPr>
        <w:tabs>
          <w:tab w:val="left" w:pos="2070"/>
          <w:tab w:val="left" w:pos="4950"/>
        </w:tabs>
        <w:spacing w:after="0"/>
      </w:pPr>
      <w:r>
        <w:t xml:space="preserve">The Evaluators also consulted a team of outside experts on the design on the HPOG 2.0; recruitment strategies and data collection instruments for the HPOG 2.0 Tribal Evaluation; the grantees will also contribute to data collection via the PAGES system: </w:t>
      </w:r>
    </w:p>
    <w:p w14:paraId="7D6807E6" w14:textId="77777777" w:rsidR="006E1D90" w:rsidRDefault="006E1D90" w:rsidP="00842C2C">
      <w:pPr>
        <w:tabs>
          <w:tab w:val="left" w:pos="2070"/>
          <w:tab w:val="left" w:pos="4950"/>
        </w:tabs>
        <w:spacing w:after="0"/>
      </w:pPr>
    </w:p>
    <w:p w14:paraId="1B03F233" w14:textId="31FA3028" w:rsidR="006E1D90" w:rsidRPr="00324BB9" w:rsidRDefault="006E1D90" w:rsidP="00B14851">
      <w:pPr>
        <w:spacing w:after="0" w:line="240" w:lineRule="auto"/>
        <w:rPr>
          <w:b/>
        </w:rPr>
      </w:pPr>
      <w:r w:rsidRPr="00324BB9">
        <w:rPr>
          <w:b/>
        </w:rPr>
        <w:t>Technical Working Group</w:t>
      </w:r>
      <w:r>
        <w:rPr>
          <w:b/>
        </w:rPr>
        <w:t xml:space="preserve"> (Consultants)</w:t>
      </w:r>
    </w:p>
    <w:p w14:paraId="016F5AE2" w14:textId="77777777" w:rsidR="006E1D90" w:rsidRDefault="006E1D90" w:rsidP="006E1D90">
      <w:pPr>
        <w:tabs>
          <w:tab w:val="left" w:pos="2070"/>
          <w:tab w:val="left" w:pos="4950"/>
        </w:tabs>
        <w:spacing w:after="0"/>
      </w:pPr>
      <w:r>
        <w:t xml:space="preserve">Mark Doescher, MD, MSPH, </w:t>
      </w:r>
      <w:r w:rsidRPr="00710F2C">
        <w:t>Stephenson Cancer Center, University of Oklahoma</w:t>
      </w:r>
    </w:p>
    <w:p w14:paraId="27FE471A" w14:textId="77777777" w:rsidR="006E1D90" w:rsidRDefault="006E1D90" w:rsidP="006E1D90">
      <w:pPr>
        <w:tabs>
          <w:tab w:val="left" w:pos="2070"/>
          <w:tab w:val="left" w:pos="4950"/>
        </w:tabs>
        <w:spacing w:after="0"/>
      </w:pPr>
      <w:r>
        <w:t xml:space="preserve">Rick Haverkate, MPH, </w:t>
      </w:r>
      <w:r w:rsidRPr="00710F2C">
        <w:t>Deputy Director, Indian Health Service</w:t>
      </w:r>
    </w:p>
    <w:p w14:paraId="60FA705C" w14:textId="77777777" w:rsidR="006E1D90" w:rsidRDefault="006E1D90" w:rsidP="006E1D90">
      <w:pPr>
        <w:tabs>
          <w:tab w:val="left" w:pos="2070"/>
          <w:tab w:val="left" w:pos="4950"/>
        </w:tabs>
        <w:spacing w:after="0"/>
      </w:pPr>
      <w:r>
        <w:t xml:space="preserve">Loretta Heuer, PhD, RN, FAAN, </w:t>
      </w:r>
      <w:r w:rsidRPr="00710F2C">
        <w:t>School of Nursing, North Dakota State University</w:t>
      </w:r>
    </w:p>
    <w:p w14:paraId="02B55C72" w14:textId="77777777" w:rsidR="006E1D90" w:rsidRDefault="006E1D90" w:rsidP="006E1D90">
      <w:pPr>
        <w:tabs>
          <w:tab w:val="left" w:pos="2070"/>
          <w:tab w:val="left" w:pos="4950"/>
        </w:tabs>
        <w:spacing w:after="0"/>
      </w:pPr>
      <w:r>
        <w:t xml:space="preserve">Joan LaFrance, Ed.D, </w:t>
      </w:r>
      <w:r w:rsidRPr="00710F2C">
        <w:t>Mekinak Consulting</w:t>
      </w:r>
    </w:p>
    <w:p w14:paraId="02A82323" w14:textId="77777777" w:rsidR="006E1D90" w:rsidRDefault="006E1D90" w:rsidP="006E1D90">
      <w:pPr>
        <w:tabs>
          <w:tab w:val="left" w:pos="2070"/>
          <w:tab w:val="left" w:pos="4950"/>
        </w:tabs>
        <w:spacing w:after="0"/>
      </w:pPr>
      <w:r>
        <w:t xml:space="preserve">Myra Parker, JD, MPH, PhD, </w:t>
      </w:r>
      <w:r w:rsidRPr="00710F2C">
        <w:t>Center for the Study of Health and Risk Behaviors, University of Washington</w:t>
      </w:r>
    </w:p>
    <w:p w14:paraId="07589F28" w14:textId="77777777" w:rsidR="006E1D90" w:rsidRDefault="006E1D90" w:rsidP="006E1D90">
      <w:pPr>
        <w:tabs>
          <w:tab w:val="left" w:pos="2070"/>
          <w:tab w:val="left" w:pos="4950"/>
        </w:tabs>
        <w:spacing w:after="0"/>
      </w:pPr>
    </w:p>
    <w:p w14:paraId="6DDE76CC" w14:textId="77777777" w:rsidR="006E1D90" w:rsidRPr="00324BB9" w:rsidRDefault="006E1D90" w:rsidP="006E1D90">
      <w:pPr>
        <w:tabs>
          <w:tab w:val="left" w:pos="2070"/>
          <w:tab w:val="left" w:pos="4950"/>
        </w:tabs>
        <w:spacing w:after="0"/>
        <w:rPr>
          <w:b/>
        </w:rPr>
      </w:pPr>
      <w:r w:rsidRPr="00324BB9">
        <w:rPr>
          <w:b/>
        </w:rPr>
        <w:t>Tribal Health Professions Opportunities Grants 2.0 grantees</w:t>
      </w:r>
    </w:p>
    <w:p w14:paraId="0A806E50" w14:textId="77777777" w:rsidR="006E1D90" w:rsidRDefault="006E1D90" w:rsidP="006E1D90">
      <w:pPr>
        <w:tabs>
          <w:tab w:val="left" w:pos="2070"/>
          <w:tab w:val="left" w:pos="4950"/>
        </w:tabs>
        <w:spacing w:after="0"/>
      </w:pPr>
      <w:r>
        <w:t>Mark Hiratsuka, Cook Inlet Tribal Council</w:t>
      </w:r>
    </w:p>
    <w:p w14:paraId="7C149A3F" w14:textId="77777777" w:rsidR="006E1D90" w:rsidRPr="00324BB9" w:rsidRDefault="006E1D90" w:rsidP="006E1D90">
      <w:pPr>
        <w:tabs>
          <w:tab w:val="left" w:pos="2070"/>
          <w:tab w:val="left" w:pos="4950"/>
        </w:tabs>
        <w:spacing w:after="0"/>
      </w:pPr>
      <w:r w:rsidRPr="00324BB9">
        <w:t>Phillip Longie, Cankdeska Community College</w:t>
      </w:r>
    </w:p>
    <w:p w14:paraId="3D6E6304" w14:textId="77777777" w:rsidR="006E1D90" w:rsidRDefault="006E1D90" w:rsidP="006E1D90">
      <w:pPr>
        <w:tabs>
          <w:tab w:val="left" w:pos="2070"/>
          <w:tab w:val="left" w:pos="4950"/>
        </w:tabs>
        <w:spacing w:after="0"/>
      </w:pPr>
      <w:r w:rsidRPr="00324BB9">
        <w:t xml:space="preserve">Irene BearRunner, Turtle Mountain </w:t>
      </w:r>
      <w:r>
        <w:t xml:space="preserve">Community </w:t>
      </w:r>
      <w:r w:rsidRPr="00324BB9">
        <w:t>College</w:t>
      </w:r>
    </w:p>
    <w:p w14:paraId="4ED95B4E" w14:textId="77777777" w:rsidR="006E1D90" w:rsidRDefault="006E1D90" w:rsidP="006E1D90">
      <w:pPr>
        <w:tabs>
          <w:tab w:val="left" w:pos="2070"/>
          <w:tab w:val="left" w:pos="4950"/>
        </w:tabs>
        <w:spacing w:after="0"/>
      </w:pPr>
      <w:r>
        <w:t>Scott Baker, Ute Mountain Ute Tribe</w:t>
      </w:r>
    </w:p>
    <w:p w14:paraId="0390AACA" w14:textId="77777777" w:rsidR="004F3D39" w:rsidRDefault="006E1D90" w:rsidP="00842C2C">
      <w:pPr>
        <w:tabs>
          <w:tab w:val="left" w:pos="2070"/>
          <w:tab w:val="left" w:pos="4950"/>
        </w:tabs>
        <w:spacing w:after="0"/>
      </w:pPr>
      <w:r>
        <w:t>Kathleen Thurman, Great Plains Tribal Chairmen’s Health Board</w:t>
      </w:r>
    </w:p>
    <w:p w14:paraId="5FF4A6A0" w14:textId="77777777" w:rsidR="00D57F5D" w:rsidRDefault="00D57F5D" w:rsidP="00842C2C">
      <w:pPr>
        <w:tabs>
          <w:tab w:val="left" w:pos="2070"/>
          <w:tab w:val="left" w:pos="4950"/>
        </w:tabs>
        <w:spacing w:after="0"/>
        <w:rPr>
          <w:rFonts w:cs="Calibri"/>
        </w:rPr>
      </w:pPr>
    </w:p>
    <w:p w14:paraId="47A93E83" w14:textId="6A36652D" w:rsidR="00524430" w:rsidRPr="005646F9" w:rsidDel="00D57F5D" w:rsidRDefault="00524430" w:rsidP="00524430">
      <w:pPr>
        <w:spacing w:after="120"/>
      </w:pPr>
      <w:r w:rsidRPr="005646F9" w:rsidDel="00D57F5D">
        <w:t xml:space="preserve">The </w:t>
      </w:r>
      <w:r w:rsidR="00710F2C">
        <w:t xml:space="preserve">following HHS staff, including the </w:t>
      </w:r>
      <w:r w:rsidRPr="005646F9" w:rsidDel="00D57F5D">
        <w:t>HHS project officer</w:t>
      </w:r>
      <w:r w:rsidR="00AE00E8">
        <w:t>s</w:t>
      </w:r>
      <w:r w:rsidRPr="005646F9" w:rsidDel="00D57F5D">
        <w:t xml:space="preserve"> </w:t>
      </w:r>
      <w:r w:rsidDel="00D57F5D">
        <w:t>Hilary Forster</w:t>
      </w:r>
      <w:r w:rsidR="00AE00E8">
        <w:t>, Nicole Constance, and Amelia Popham</w:t>
      </w:r>
      <w:r w:rsidDel="00D57F5D">
        <w:t>,</w:t>
      </w:r>
      <w:r w:rsidRPr="005646F9" w:rsidDel="00D57F5D">
        <w:t xml:space="preserve"> ha</w:t>
      </w:r>
      <w:r w:rsidR="00710F2C">
        <w:t>ve</w:t>
      </w:r>
      <w:r w:rsidRPr="005646F9" w:rsidDel="00D57F5D">
        <w:t xml:space="preserve"> overseen the design process and can be contacted at:</w:t>
      </w:r>
    </w:p>
    <w:p w14:paraId="42D00121" w14:textId="77777777" w:rsidR="00524430" w:rsidDel="00D57F5D" w:rsidRDefault="00E52F77" w:rsidP="00842C2C">
      <w:pPr>
        <w:tabs>
          <w:tab w:val="left" w:pos="2070"/>
          <w:tab w:val="left" w:pos="4950"/>
        </w:tabs>
        <w:spacing w:after="0"/>
      </w:pPr>
      <w:r w:rsidDel="00D57F5D">
        <w:t>Hilary Forster</w:t>
      </w:r>
    </w:p>
    <w:p w14:paraId="40C82B26" w14:textId="25EA1CF8" w:rsidR="00E52F77" w:rsidRPr="00E52F77" w:rsidDel="00D57F5D" w:rsidRDefault="00E52F77" w:rsidP="00E52F77">
      <w:pPr>
        <w:tabs>
          <w:tab w:val="left" w:pos="2070"/>
          <w:tab w:val="left" w:pos="4950"/>
        </w:tabs>
        <w:spacing w:after="0"/>
        <w:rPr>
          <w:rFonts w:cs="Calibri"/>
        </w:rPr>
      </w:pPr>
      <w:r w:rsidRPr="00E52F77" w:rsidDel="00D57F5D">
        <w:rPr>
          <w:rFonts w:cs="Calibri"/>
        </w:rPr>
        <w:t>Office of Planning, Research</w:t>
      </w:r>
      <w:r w:rsidR="00E8001A">
        <w:rPr>
          <w:rFonts w:cs="Calibri"/>
        </w:rPr>
        <w:t>, and</w:t>
      </w:r>
      <w:r w:rsidRPr="00E52F77" w:rsidDel="00D57F5D">
        <w:rPr>
          <w:rFonts w:cs="Calibri"/>
        </w:rPr>
        <w:t xml:space="preserve"> Evaluation</w:t>
      </w:r>
    </w:p>
    <w:p w14:paraId="5A2C3AAD" w14:textId="77777777" w:rsidR="00E52F77" w:rsidRPr="00E52F77" w:rsidDel="00D57F5D" w:rsidRDefault="00E52F77" w:rsidP="00E52F77">
      <w:pPr>
        <w:tabs>
          <w:tab w:val="left" w:pos="2070"/>
          <w:tab w:val="left" w:pos="4950"/>
        </w:tabs>
        <w:spacing w:after="0"/>
        <w:rPr>
          <w:rFonts w:cs="Calibri"/>
        </w:rPr>
      </w:pPr>
      <w:r w:rsidRPr="00E52F77" w:rsidDel="00D57F5D">
        <w:rPr>
          <w:rFonts w:cs="Calibri"/>
        </w:rPr>
        <w:t>Administration for Children and Families</w:t>
      </w:r>
    </w:p>
    <w:p w14:paraId="6DD3F1EF" w14:textId="77777777" w:rsidR="00E52F77" w:rsidRPr="00E52F77" w:rsidDel="00D57F5D" w:rsidRDefault="00E52F77" w:rsidP="00E52F77">
      <w:pPr>
        <w:tabs>
          <w:tab w:val="left" w:pos="2070"/>
          <w:tab w:val="left" w:pos="4950"/>
        </w:tabs>
        <w:spacing w:after="0"/>
        <w:rPr>
          <w:rFonts w:cs="Calibri"/>
        </w:rPr>
      </w:pPr>
      <w:r w:rsidRPr="00E52F77" w:rsidDel="00D57F5D">
        <w:rPr>
          <w:rFonts w:cs="Calibri"/>
        </w:rPr>
        <w:t>U.S. Department of Health and Human Services</w:t>
      </w:r>
    </w:p>
    <w:p w14:paraId="76F55E06" w14:textId="77777777" w:rsidR="00A669F7" w:rsidRPr="00A669F7" w:rsidRDefault="00A669F7" w:rsidP="00A669F7">
      <w:pPr>
        <w:tabs>
          <w:tab w:val="left" w:pos="2070"/>
          <w:tab w:val="left" w:pos="4950"/>
        </w:tabs>
        <w:spacing w:after="0"/>
        <w:rPr>
          <w:rFonts w:cs="Calibri"/>
        </w:rPr>
      </w:pPr>
      <w:r w:rsidRPr="00A669F7">
        <w:rPr>
          <w:rFonts w:cs="Calibri"/>
        </w:rPr>
        <w:t>330 C Street S.W., 4th Floor, Washington, D.C. 20201</w:t>
      </w:r>
    </w:p>
    <w:p w14:paraId="2D226B51" w14:textId="77777777" w:rsidR="00D57F5D" w:rsidRDefault="00E52F77" w:rsidP="00E52F77">
      <w:pPr>
        <w:tabs>
          <w:tab w:val="left" w:pos="2070"/>
          <w:tab w:val="left" w:pos="4950"/>
        </w:tabs>
        <w:spacing w:after="0"/>
        <w:rPr>
          <w:rFonts w:cs="Calibri"/>
        </w:rPr>
      </w:pPr>
      <w:r w:rsidDel="00D57F5D">
        <w:rPr>
          <w:rFonts w:cs="Calibri"/>
        </w:rPr>
        <w:t>(</w:t>
      </w:r>
      <w:r w:rsidRPr="00E52F77" w:rsidDel="00D57F5D">
        <w:rPr>
          <w:rFonts w:cs="Calibri"/>
        </w:rPr>
        <w:t xml:space="preserve">202) 619-1790   </w:t>
      </w:r>
    </w:p>
    <w:p w14:paraId="1C7BD380" w14:textId="77777777" w:rsidR="00A669F7" w:rsidRDefault="00A669F7" w:rsidP="00A669F7">
      <w:pPr>
        <w:tabs>
          <w:tab w:val="left" w:pos="2070"/>
          <w:tab w:val="left" w:pos="4950"/>
        </w:tabs>
        <w:spacing w:after="0"/>
        <w:rPr>
          <w:rFonts w:cs="Calibri"/>
        </w:rPr>
      </w:pPr>
    </w:p>
    <w:p w14:paraId="556D9D81" w14:textId="77777777" w:rsidR="00A669F7" w:rsidRDefault="00A669F7" w:rsidP="00A669F7">
      <w:pPr>
        <w:tabs>
          <w:tab w:val="left" w:pos="2070"/>
          <w:tab w:val="left" w:pos="4950"/>
        </w:tabs>
        <w:spacing w:after="0"/>
        <w:rPr>
          <w:rFonts w:cs="Calibri"/>
        </w:rPr>
      </w:pPr>
      <w:r>
        <w:rPr>
          <w:rFonts w:cs="Calibri"/>
        </w:rPr>
        <w:t>Nicole Constance</w:t>
      </w:r>
    </w:p>
    <w:p w14:paraId="69404D0E" w14:textId="4EAC966D" w:rsidR="00A669F7" w:rsidRPr="00A669F7" w:rsidRDefault="00A669F7" w:rsidP="00A669F7">
      <w:pPr>
        <w:tabs>
          <w:tab w:val="left" w:pos="2070"/>
          <w:tab w:val="left" w:pos="4950"/>
        </w:tabs>
        <w:spacing w:after="0"/>
        <w:rPr>
          <w:rFonts w:cs="Calibri"/>
        </w:rPr>
      </w:pPr>
      <w:r w:rsidRPr="00A669F7">
        <w:rPr>
          <w:rFonts w:cs="Calibri"/>
        </w:rPr>
        <w:t>Office of Planning, Research</w:t>
      </w:r>
      <w:r w:rsidR="00E8001A">
        <w:rPr>
          <w:rFonts w:cs="Calibri"/>
        </w:rPr>
        <w:t>,</w:t>
      </w:r>
      <w:r w:rsidRPr="00A669F7">
        <w:rPr>
          <w:rFonts w:cs="Calibri"/>
        </w:rPr>
        <w:t xml:space="preserve"> and Evaluation</w:t>
      </w:r>
    </w:p>
    <w:p w14:paraId="62D90134" w14:textId="77777777" w:rsidR="00A669F7" w:rsidRPr="00A669F7" w:rsidRDefault="00A669F7" w:rsidP="00A669F7">
      <w:pPr>
        <w:tabs>
          <w:tab w:val="left" w:pos="2070"/>
          <w:tab w:val="left" w:pos="4950"/>
        </w:tabs>
        <w:spacing w:after="0"/>
        <w:rPr>
          <w:rFonts w:cs="Calibri"/>
        </w:rPr>
      </w:pPr>
      <w:r w:rsidRPr="00A669F7">
        <w:rPr>
          <w:rFonts w:cs="Calibri"/>
        </w:rPr>
        <w:t>Administration for Children and Families</w:t>
      </w:r>
    </w:p>
    <w:p w14:paraId="3A10100B" w14:textId="77777777" w:rsidR="00A669F7" w:rsidRPr="00A669F7" w:rsidRDefault="00A669F7" w:rsidP="00A669F7">
      <w:pPr>
        <w:tabs>
          <w:tab w:val="left" w:pos="2070"/>
          <w:tab w:val="left" w:pos="4950"/>
        </w:tabs>
        <w:spacing w:after="0"/>
        <w:rPr>
          <w:rFonts w:cs="Calibri"/>
        </w:rPr>
      </w:pPr>
      <w:r w:rsidRPr="00A669F7">
        <w:rPr>
          <w:rFonts w:cs="Calibri"/>
        </w:rPr>
        <w:t>U.S. Department of Health and Human Services</w:t>
      </w:r>
    </w:p>
    <w:p w14:paraId="15443BE8" w14:textId="77777777" w:rsidR="00A669F7" w:rsidRPr="00A669F7" w:rsidRDefault="00A669F7" w:rsidP="00A669F7">
      <w:pPr>
        <w:tabs>
          <w:tab w:val="left" w:pos="2070"/>
          <w:tab w:val="left" w:pos="4950"/>
        </w:tabs>
        <w:spacing w:after="0"/>
        <w:rPr>
          <w:rFonts w:cs="Calibri"/>
        </w:rPr>
      </w:pPr>
      <w:r w:rsidRPr="00A669F7">
        <w:rPr>
          <w:rFonts w:cs="Calibri"/>
        </w:rPr>
        <w:t>330 C Street S.W., 4th Floor, Washington, D.C. 20201</w:t>
      </w:r>
    </w:p>
    <w:p w14:paraId="75BAF8D0" w14:textId="77777777" w:rsidR="00A669F7" w:rsidRDefault="00A669F7" w:rsidP="00E52F77">
      <w:pPr>
        <w:tabs>
          <w:tab w:val="left" w:pos="2070"/>
          <w:tab w:val="left" w:pos="4950"/>
        </w:tabs>
        <w:spacing w:after="0"/>
        <w:rPr>
          <w:rFonts w:cs="Calibri"/>
        </w:rPr>
      </w:pPr>
      <w:r w:rsidRPr="00A669F7">
        <w:rPr>
          <w:rFonts w:cs="Calibri"/>
        </w:rPr>
        <w:t>(202) 401-7260</w:t>
      </w:r>
    </w:p>
    <w:p w14:paraId="20E832FC" w14:textId="77777777" w:rsidR="00A669F7" w:rsidRDefault="00A669F7" w:rsidP="00E52F77">
      <w:pPr>
        <w:tabs>
          <w:tab w:val="left" w:pos="2070"/>
          <w:tab w:val="left" w:pos="4950"/>
        </w:tabs>
        <w:spacing w:after="0"/>
        <w:rPr>
          <w:rFonts w:cs="Calibri"/>
        </w:rPr>
      </w:pPr>
    </w:p>
    <w:p w14:paraId="06F8A4EC" w14:textId="77777777" w:rsidR="00A669F7" w:rsidRPr="00A669F7" w:rsidRDefault="00A669F7" w:rsidP="00A669F7">
      <w:pPr>
        <w:tabs>
          <w:tab w:val="left" w:pos="2070"/>
          <w:tab w:val="left" w:pos="4950"/>
        </w:tabs>
        <w:spacing w:after="0"/>
        <w:rPr>
          <w:rFonts w:cs="Calibri"/>
        </w:rPr>
      </w:pPr>
      <w:r w:rsidRPr="00A669F7">
        <w:rPr>
          <w:rFonts w:cs="Calibri"/>
        </w:rPr>
        <w:t xml:space="preserve">Amelia Popham, MSW </w:t>
      </w:r>
    </w:p>
    <w:p w14:paraId="0BDBAE21" w14:textId="4E13BF45" w:rsidR="00A669F7" w:rsidRPr="00A669F7" w:rsidRDefault="00A669F7" w:rsidP="00A669F7">
      <w:pPr>
        <w:tabs>
          <w:tab w:val="left" w:pos="2070"/>
          <w:tab w:val="left" w:pos="4950"/>
        </w:tabs>
        <w:spacing w:after="0"/>
        <w:rPr>
          <w:rFonts w:cs="Calibri"/>
        </w:rPr>
      </w:pPr>
      <w:r w:rsidRPr="00A669F7">
        <w:rPr>
          <w:rFonts w:cs="Calibri"/>
        </w:rPr>
        <w:t>Office of Planning, Research</w:t>
      </w:r>
      <w:r w:rsidR="00E8001A">
        <w:rPr>
          <w:rFonts w:cs="Calibri"/>
        </w:rPr>
        <w:t>,</w:t>
      </w:r>
      <w:r w:rsidRPr="00A669F7">
        <w:rPr>
          <w:rFonts w:cs="Calibri"/>
        </w:rPr>
        <w:t xml:space="preserve"> and Evaluation</w:t>
      </w:r>
    </w:p>
    <w:p w14:paraId="05B3EAE7" w14:textId="77777777" w:rsidR="00A669F7" w:rsidRPr="00A669F7" w:rsidRDefault="00A669F7" w:rsidP="00A669F7">
      <w:pPr>
        <w:tabs>
          <w:tab w:val="left" w:pos="2070"/>
          <w:tab w:val="left" w:pos="4950"/>
        </w:tabs>
        <w:spacing w:after="0"/>
        <w:rPr>
          <w:rFonts w:cs="Calibri"/>
        </w:rPr>
      </w:pPr>
      <w:r w:rsidRPr="00A669F7">
        <w:rPr>
          <w:rFonts w:cs="Calibri"/>
        </w:rPr>
        <w:t>Administration for Children and Families</w:t>
      </w:r>
    </w:p>
    <w:p w14:paraId="62475B42" w14:textId="77777777" w:rsidR="00A669F7" w:rsidRPr="00A669F7" w:rsidRDefault="00A669F7" w:rsidP="00A669F7">
      <w:pPr>
        <w:tabs>
          <w:tab w:val="left" w:pos="2070"/>
          <w:tab w:val="left" w:pos="4950"/>
        </w:tabs>
        <w:spacing w:after="0"/>
        <w:rPr>
          <w:rFonts w:cs="Calibri"/>
        </w:rPr>
      </w:pPr>
      <w:r w:rsidRPr="00A669F7">
        <w:rPr>
          <w:rFonts w:cs="Calibri"/>
        </w:rPr>
        <w:t>U.S. Department of Health and Human Services</w:t>
      </w:r>
    </w:p>
    <w:p w14:paraId="6684EDC8" w14:textId="77777777" w:rsidR="00A669F7" w:rsidRPr="00A669F7" w:rsidRDefault="00A669F7" w:rsidP="00A669F7">
      <w:pPr>
        <w:tabs>
          <w:tab w:val="left" w:pos="2070"/>
          <w:tab w:val="left" w:pos="4950"/>
        </w:tabs>
        <w:spacing w:after="0"/>
        <w:rPr>
          <w:rFonts w:cs="Calibri"/>
        </w:rPr>
      </w:pPr>
      <w:r w:rsidRPr="00A669F7">
        <w:rPr>
          <w:rFonts w:cs="Calibri"/>
        </w:rPr>
        <w:t>330 C Street S.W., 4th Floor, Washington, D.C. 20201</w:t>
      </w:r>
    </w:p>
    <w:p w14:paraId="14A306B2" w14:textId="21661F9A" w:rsidR="00A669F7" w:rsidRDefault="00E8001A" w:rsidP="00E52F77">
      <w:pPr>
        <w:tabs>
          <w:tab w:val="left" w:pos="2070"/>
          <w:tab w:val="left" w:pos="4950"/>
        </w:tabs>
        <w:spacing w:after="0"/>
        <w:rPr>
          <w:rFonts w:cs="Calibri"/>
        </w:rPr>
      </w:pPr>
      <w:r>
        <w:rPr>
          <w:rFonts w:cs="Calibri"/>
        </w:rPr>
        <w:t>(</w:t>
      </w:r>
      <w:r w:rsidR="00A669F7">
        <w:rPr>
          <w:rFonts w:cs="Calibri"/>
        </w:rPr>
        <w:t>202</w:t>
      </w:r>
      <w:r>
        <w:rPr>
          <w:rFonts w:cs="Calibri"/>
        </w:rPr>
        <w:t xml:space="preserve">) </w:t>
      </w:r>
      <w:r w:rsidR="00A669F7">
        <w:rPr>
          <w:rFonts w:cs="Calibri"/>
        </w:rPr>
        <w:t>401-5322</w:t>
      </w:r>
      <w:r w:rsidR="0003481A">
        <w:rPr>
          <w:rFonts w:cs="Calibri"/>
        </w:rPr>
        <w:tab/>
      </w:r>
      <w:r w:rsidR="0003481A">
        <w:rPr>
          <w:rFonts w:cs="Calibri"/>
        </w:rPr>
        <w:tab/>
      </w:r>
    </w:p>
    <w:sectPr w:rsidR="00A669F7" w:rsidSect="00EE38AB">
      <w:footerReference w:type="default" r:id="rId12"/>
      <w:pgSz w:w="12240" w:h="15840" w:code="1"/>
      <w:pgMar w:top="1440" w:right="1440" w:bottom="1440" w:left="1440" w:header="1080" w:footer="720" w:gutter="0"/>
      <w:pgNumType w:start="1"/>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BF2C0E" w15:done="0"/>
  <w15:commentEx w15:paraId="0DE46EF9" w15:done="0"/>
  <w15:commentEx w15:paraId="52F1FB9E" w15:done="0"/>
  <w15:commentEx w15:paraId="308AF62B" w15:done="0"/>
  <w15:commentEx w15:paraId="30E48B2C" w15:done="0"/>
  <w15:commentEx w15:paraId="6814584B" w15:done="0"/>
  <w15:commentEx w15:paraId="579F31DB" w15:done="0"/>
  <w15:commentEx w15:paraId="0A509DEC" w15:done="0"/>
  <w15:commentEx w15:paraId="74DBAB5B" w15:done="0"/>
  <w15:commentEx w15:paraId="3ABA60F3" w15:done="0"/>
  <w15:commentEx w15:paraId="45DF27C7" w15:done="0"/>
  <w15:commentEx w15:paraId="49AC3B3A" w15:done="0"/>
  <w15:commentEx w15:paraId="1A9269A9" w15:done="0"/>
  <w15:commentEx w15:paraId="149AACCA" w15:done="0"/>
  <w15:commentEx w15:paraId="49624F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5842F" w14:textId="77777777" w:rsidR="003B446F" w:rsidRDefault="003B446F" w:rsidP="00D979EA">
      <w:r>
        <w:separator/>
      </w:r>
    </w:p>
  </w:endnote>
  <w:endnote w:type="continuationSeparator" w:id="0">
    <w:p w14:paraId="19B4C04D" w14:textId="77777777" w:rsidR="003B446F" w:rsidRDefault="003B446F" w:rsidP="00D979EA">
      <w:r>
        <w:continuationSeparator/>
      </w:r>
    </w:p>
  </w:endnote>
  <w:endnote w:type="continuationNotice" w:id="1">
    <w:p w14:paraId="6D123188" w14:textId="77777777" w:rsidR="003B446F" w:rsidRDefault="003B4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D2216" w14:textId="77777777" w:rsidR="003B446F" w:rsidRDefault="003B446F"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D7C63" w14:textId="77777777" w:rsidR="003B446F" w:rsidRPr="0066134E" w:rsidRDefault="003B446F" w:rsidP="00EE38AB">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 xml:space="preserve">Part B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587439" w:rsidRPr="00587439">
      <w:rPr>
        <w:rStyle w:val="PageNumber"/>
        <w:b/>
        <w:noProof/>
        <w:color w:val="DA291C"/>
      </w:rPr>
      <w:t>i</w:t>
    </w:r>
    <w:r>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7210" w14:textId="77777777" w:rsidR="003B446F" w:rsidRPr="0066134E" w:rsidRDefault="003B446F" w:rsidP="00F112E0">
    <w:pPr>
      <w:pStyle w:val="Footer"/>
      <w:tabs>
        <w:tab w:val="clear" w:pos="4507"/>
        <w:tab w:val="clear" w:pos="9000"/>
        <w:tab w:val="right" w:pos="9360"/>
      </w:tabs>
      <w:jc w:val="right"/>
    </w:pPr>
    <w:r w:rsidRPr="003F6E89">
      <w:rPr>
        <w:rStyle w:val="PageNumber"/>
        <w:b/>
      </w:rPr>
      <w:t xml:space="preserve">Supporting Statement for OMB Clearance Request </w:t>
    </w:r>
    <w:r>
      <w:rPr>
        <w:rStyle w:val="PageNumber"/>
        <w:b/>
      </w:rPr>
      <w:t xml:space="preserve">Part B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4E2D91" w:rsidRPr="004E2D91">
      <w:rPr>
        <w:rStyle w:val="PageNumber"/>
        <w:b/>
        <w:noProof/>
        <w:color w:val="DA291C"/>
      </w:rPr>
      <w:t>10</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99AB7" w14:textId="77777777" w:rsidR="003B446F" w:rsidRDefault="003B446F" w:rsidP="00D979EA">
      <w:r>
        <w:separator/>
      </w:r>
    </w:p>
  </w:footnote>
  <w:footnote w:type="continuationSeparator" w:id="0">
    <w:p w14:paraId="64F07DEB" w14:textId="77777777" w:rsidR="003B446F" w:rsidRDefault="003B446F" w:rsidP="00D979EA">
      <w:r>
        <w:continuationSeparator/>
      </w:r>
    </w:p>
  </w:footnote>
  <w:footnote w:type="continuationNotice" w:id="1">
    <w:p w14:paraId="31231926" w14:textId="77777777" w:rsidR="003B446F" w:rsidRDefault="003B446F">
      <w:pPr>
        <w:spacing w:after="0" w:line="240" w:lineRule="auto"/>
      </w:pPr>
    </w:p>
  </w:footnote>
  <w:footnote w:id="2">
    <w:p w14:paraId="622AF60A" w14:textId="62E21AE7" w:rsidR="003B446F" w:rsidRDefault="003B446F" w:rsidP="00A07D12">
      <w:pPr>
        <w:pStyle w:val="FootnoteText"/>
      </w:pPr>
      <w:r>
        <w:rPr>
          <w:rStyle w:val="FootnoteReference"/>
        </w:rPr>
        <w:footnoteRef/>
      </w:r>
      <w:r>
        <w:t xml:space="preserve"> Response rate expectations are based on a variety of factors. Grantees have agreed to participate in the evaluation as a condition of receiving HPOG funding, so grantee, partner, and employer response rates are expected to be very high. Participation in the evaluation studies is voluntary for HPOG participants, so response rates are expected to be lower. Previous experience with similar populations indicates that response rates are expected to be lower for participants who do not complete the program than those who do. </w:t>
      </w:r>
    </w:p>
  </w:footnote>
  <w:footnote w:id="3">
    <w:p w14:paraId="0CF67A2F" w14:textId="1547A492" w:rsidR="003B446F" w:rsidRDefault="003B446F">
      <w:pPr>
        <w:pStyle w:val="FootnoteText"/>
      </w:pPr>
      <w:r>
        <w:rPr>
          <w:rStyle w:val="FootnoteReference"/>
        </w:rPr>
        <w:footnoteRef/>
      </w:r>
      <w:r>
        <w:t xml:space="preserve"> The projected response rate for the contact update form is based on prior experience with similar approaches on studies of comparable populations—primarily the PACE and HPOG 1.0 Impact study samples (OMB No. 0970-0397 and 0970-0394 respectively).</w:t>
      </w:r>
    </w:p>
  </w:footnote>
  <w:footnote w:id="4">
    <w:p w14:paraId="4693A5DA" w14:textId="5C1B15C1" w:rsidR="003B446F" w:rsidRDefault="003B446F">
      <w:pPr>
        <w:pStyle w:val="FootnoteText"/>
      </w:pPr>
      <w:r>
        <w:rPr>
          <w:rStyle w:val="FootnoteReference"/>
        </w:rPr>
        <w:footnoteRef/>
      </w:r>
      <w:r>
        <w:t xml:space="preserve">  Although it is a five year grant, enrollment did not start until four to six months into the grant period, and we expect enrollment to slow toward the end of the grant period to allow participants ample time to take advantage of the HPOG services. Thus, we view the enrollment period as four and a half years.</w:t>
      </w:r>
    </w:p>
  </w:footnote>
  <w:footnote w:id="5">
    <w:p w14:paraId="49637252" w14:textId="7A8DDE31" w:rsidR="003B446F" w:rsidRDefault="003B446F">
      <w:pPr>
        <w:pStyle w:val="FootnoteText"/>
      </w:pPr>
      <w:r>
        <w:rPr>
          <w:rStyle w:val="FootnoteReference"/>
        </w:rPr>
        <w:footnoteRef/>
      </w:r>
      <w:r>
        <w:t xml:space="preserve"> Although all new applicants are subject to random assignment, they are able to withdraw from the study at any time and they can choose not to answer any survey questions. </w:t>
      </w:r>
    </w:p>
  </w:footnote>
  <w:footnote w:id="6">
    <w:p w14:paraId="21A5A60A" w14:textId="2A651247" w:rsidR="003B446F" w:rsidRDefault="003B446F" w:rsidP="0021164D">
      <w:pPr>
        <w:pStyle w:val="FootnoteText"/>
      </w:pPr>
      <w:r>
        <w:rPr>
          <w:rStyle w:val="FootnoteReference"/>
        </w:rPr>
        <w:footnoteRef/>
      </w:r>
      <w:r>
        <w:t xml:space="preserve"> In accordance with HPOG funding requirements, the </w:t>
      </w:r>
      <w:r w:rsidR="004E2D91">
        <w:t>incentive</w:t>
      </w:r>
      <w:r>
        <w:t xml:space="preserve"> will be offered to vendors that do not sell alcohol, tobacco, firearms or other entertainment.</w:t>
      </w:r>
    </w:p>
  </w:footnote>
  <w:footnote w:id="7">
    <w:p w14:paraId="40119A3D" w14:textId="027AEED6" w:rsidR="003B446F" w:rsidRDefault="003B446F" w:rsidP="00EA3DA3">
      <w:pPr>
        <w:pStyle w:val="FootnoteText"/>
      </w:pPr>
      <w:r>
        <w:rPr>
          <w:rStyle w:val="FootnoteReference"/>
        </w:rPr>
        <w:footnoteRef/>
      </w:r>
      <w:r>
        <w:t xml:space="preserve"> In accordance with HPOG funding requirements, the </w:t>
      </w:r>
      <w:r w:rsidR="004E2D91">
        <w:t>incentive</w:t>
      </w:r>
      <w:r>
        <w:t xml:space="preserve"> will be offered to vendors that do not sell alcohol, tobacco, firearms or other entertainment.</w:t>
      </w:r>
    </w:p>
  </w:footnote>
  <w:footnote w:id="8">
    <w:p w14:paraId="5232E98E" w14:textId="77777777" w:rsidR="003B446F" w:rsidRDefault="003B446F" w:rsidP="00507C01">
      <w:pPr>
        <w:pStyle w:val="FootnoteText"/>
      </w:pPr>
      <w:r>
        <w:rPr>
          <w:rStyle w:val="FootnoteReference"/>
        </w:rPr>
        <w:footnoteRef/>
      </w:r>
      <w:r>
        <w:t xml:space="preserve"> </w:t>
      </w:r>
      <w:r>
        <w:tab/>
        <w:t xml:space="preserve">Given current plans to select the follow-up sample by selecting full monthly cohorts for a compact range of enrollment months, there will be no need to reflect probabilities of selection in these weights. </w:t>
      </w:r>
    </w:p>
  </w:footnote>
  <w:footnote w:id="9">
    <w:p w14:paraId="0636D869" w14:textId="77777777" w:rsidR="003B446F" w:rsidRDefault="003B446F" w:rsidP="00507C01">
      <w:pPr>
        <w:pStyle w:val="FootnoteText"/>
      </w:pPr>
      <w:r>
        <w:rPr>
          <w:rStyle w:val="FootnoteReference"/>
        </w:rPr>
        <w:footnoteRef/>
      </w:r>
      <w:r>
        <w:t xml:space="preserve"> </w:t>
      </w:r>
      <w:r>
        <w:tab/>
        <w:t>Some would argue that including regressors is sufficient to control for differential survey response with respect to observables. Nevertheless, the use of response-propensity adjusted weights in conjunction with regression models for outcomes confers a benefit known as “double robustness” (Scharfstein,</w:t>
      </w:r>
      <w:r w:rsidRPr="00D52847">
        <w:t xml:space="preserve"> Rotnitzky</w:t>
      </w:r>
      <w:r>
        <w:t xml:space="preserve">, &amp; Robins, 1999); that is, if either the response-propensity model or the outcome model is correct, then the estimated treatment effects will be unbiased. </w:t>
      </w:r>
      <w:r w:rsidRPr="00321DD4">
        <w:t>Kang and Schafer</w:t>
      </w:r>
      <w:r>
        <w:t xml:space="preserve"> (</w:t>
      </w:r>
      <w:r w:rsidRPr="00321DD4">
        <w:t>2007, with discussion</w:t>
      </w:r>
      <w:r>
        <w:t xml:space="preserve">) have argued that </w:t>
      </w:r>
      <w:r w:rsidRPr="00321DD4">
        <w:t xml:space="preserve">using weights needlessly increases variance compared </w:t>
      </w:r>
      <w:r>
        <w:t>with</w:t>
      </w:r>
      <w:r w:rsidRPr="00321DD4">
        <w:t xml:space="preserve"> analysis with a correct outcome model.</w:t>
      </w:r>
      <w:r>
        <w:t xml:space="preserve"> </w:t>
      </w:r>
      <w:r w:rsidRPr="00321DD4">
        <w:t>However, specifying a correct outcome model can be difficult and typically involves the exploration of alternate sets of covariates, so</w:t>
      </w:r>
      <w:r>
        <w:t xml:space="preserve">mething we would prefer to avoid. </w:t>
      </w:r>
      <w:r w:rsidRPr="00397DA9">
        <w:t>An</w:t>
      </w:r>
      <w:r w:rsidRPr="00321DD4">
        <w:t xml:space="preserve"> advantage of using weights is that they can be developed just once without looking at any outcomes and then be used in the analysis of all outcomes.</w:t>
      </w:r>
      <w:r>
        <w:t xml:space="preserve"> </w:t>
      </w:r>
    </w:p>
  </w:footnote>
  <w:footnote w:id="10">
    <w:p w14:paraId="0118F63C" w14:textId="6C9DCA8D" w:rsidR="003B446F" w:rsidRDefault="003B446F" w:rsidP="00507C01">
      <w:pPr>
        <w:pStyle w:val="FootnoteText"/>
      </w:pPr>
      <w:r>
        <w:rPr>
          <w:rStyle w:val="FootnoteReference"/>
        </w:rPr>
        <w:footnoteRef/>
      </w:r>
      <w:r>
        <w:t xml:space="preserve"> See, for example, Section 3.5 of the textbook by Valliant, Dever, and Kreuter (2013); Chapter 5 of the textbook by Kim and Shao (2014); Section 2.7 of the textbook by Heeringa, West, and Berglund (2010). See also </w:t>
      </w:r>
      <w:r w:rsidRPr="00383288">
        <w:t xml:space="preserve">Göksel, Judkins, </w:t>
      </w:r>
      <w:r>
        <w:t>&amp;</w:t>
      </w:r>
      <w:r w:rsidRPr="00383288">
        <w:t xml:space="preserve"> Mosher</w:t>
      </w:r>
      <w:r>
        <w:t xml:space="preserve"> (1992); Buskirk &amp; Kolenikov (2015). </w:t>
      </w:r>
    </w:p>
  </w:footnote>
  <w:footnote w:id="11">
    <w:p w14:paraId="2FCC1CB6" w14:textId="76A2A246" w:rsidR="003B446F" w:rsidRDefault="003B446F" w:rsidP="00507C01">
      <w:pPr>
        <w:pStyle w:val="FootnoteText"/>
      </w:pPr>
      <w:r w:rsidRPr="00E839EA">
        <w:rPr>
          <w:rStyle w:val="FootnoteReference"/>
        </w:rPr>
        <w:footnoteRef/>
      </w:r>
      <w:r w:rsidRPr="00E839EA">
        <w:t xml:space="preserve"> </w:t>
      </w:r>
      <w:r w:rsidRPr="00EA4C5F">
        <w:t xml:space="preserve">The PACE team, in consultation with OPRE and the HPOG 1.0 team, decided not to use multiple imputation. The HPOG 1.0 team reports that multiple imputation is quite computationally intense and that results—both </w:t>
      </w:r>
      <w:r>
        <w:t xml:space="preserve">impact </w:t>
      </w:r>
      <w:r w:rsidRPr="00EA4C5F">
        <w:t>estimates and standard errors—are nearly invariant to whether or not multiple imputation is used. In addition, multiple imputation often precludes using conventional software to deal with other technical issues (e.g., multi-level modelling issues, instrumental variables).</w:t>
      </w:r>
      <w:r>
        <w:t xml:space="preserve"> </w:t>
      </w:r>
      <w:r w:rsidRPr="00EA4C5F">
        <w:t>Given this experience, the added cost and complexity do not seem worthwhile for HPOG 2.0.</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66958" w14:textId="77777777" w:rsidR="003B446F" w:rsidRPr="0005750B" w:rsidRDefault="003B446F"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B84"/>
    <w:multiLevelType w:val="hybridMultilevel"/>
    <w:tmpl w:val="8F961470"/>
    <w:lvl w:ilvl="0" w:tplc="43A8D4BE">
      <w:start w:val="1"/>
      <w:numFmt w:val="bullet"/>
      <w:lvlText w:val="o"/>
      <w:lvlJc w:val="left"/>
      <w:pPr>
        <w:ind w:left="720" w:hanging="360"/>
      </w:pPr>
      <w:rPr>
        <w:rFonts w:ascii="Courier New" w:hAnsi="Courier New"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C47A1"/>
    <w:multiLevelType w:val="hybridMultilevel"/>
    <w:tmpl w:val="C7025006"/>
    <w:lvl w:ilvl="0" w:tplc="34CC06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F6A5E8C"/>
    <w:multiLevelType w:val="hybridMultilevel"/>
    <w:tmpl w:val="2F30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nsid w:val="300E3415"/>
    <w:multiLevelType w:val="hybridMultilevel"/>
    <w:tmpl w:val="79E24CF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2D41EA5"/>
    <w:multiLevelType w:val="hybridMultilevel"/>
    <w:tmpl w:val="A7EC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DC56E6D"/>
    <w:multiLevelType w:val="hybridMultilevel"/>
    <w:tmpl w:val="5D16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11">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44336A2"/>
    <w:multiLevelType w:val="hybridMultilevel"/>
    <w:tmpl w:val="2226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2A572E"/>
    <w:multiLevelType w:val="hybridMultilevel"/>
    <w:tmpl w:val="6EE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19F2F57"/>
    <w:multiLevelType w:val="hybridMultilevel"/>
    <w:tmpl w:val="CA26C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9"/>
  </w:num>
  <w:num w:numId="3">
    <w:abstractNumId w:val="20"/>
  </w:num>
  <w:num w:numId="4">
    <w:abstractNumId w:val="10"/>
  </w:num>
  <w:num w:numId="5">
    <w:abstractNumId w:val="21"/>
  </w:num>
  <w:num w:numId="6">
    <w:abstractNumId w:val="14"/>
  </w:num>
  <w:num w:numId="7">
    <w:abstractNumId w:val="8"/>
  </w:num>
  <w:num w:numId="8">
    <w:abstractNumId w:val="2"/>
  </w:num>
  <w:num w:numId="9">
    <w:abstractNumId w:val="11"/>
  </w:num>
  <w:num w:numId="10">
    <w:abstractNumId w:val="17"/>
  </w:num>
  <w:num w:numId="11">
    <w:abstractNumId w:val="4"/>
    <w:lvlOverride w:ilvl="0">
      <w:startOverride w:val="1"/>
    </w:lvlOverride>
  </w:num>
  <w:num w:numId="12">
    <w:abstractNumId w:val="4"/>
    <w:lvlOverride w:ilvl="0">
      <w:startOverride w:val="1"/>
    </w:lvlOverride>
  </w:num>
  <w:num w:numId="13">
    <w:abstractNumId w:val="13"/>
  </w:num>
  <w:num w:numId="14">
    <w:abstractNumId w:val="20"/>
  </w:num>
  <w:num w:numId="15">
    <w:abstractNumId w:val="20"/>
  </w:num>
  <w:num w:numId="16">
    <w:abstractNumId w:val="5"/>
  </w:num>
  <w:num w:numId="17">
    <w:abstractNumId w:val="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num>
  <w:num w:numId="21">
    <w:abstractNumId w:val="6"/>
  </w:num>
  <w:num w:numId="22">
    <w:abstractNumId w:val="18"/>
  </w:num>
  <w:num w:numId="23">
    <w:abstractNumId w:val="9"/>
  </w:num>
  <w:num w:numId="24">
    <w:abstractNumId w:val="7"/>
  </w:num>
  <w:num w:numId="25">
    <w:abstractNumId w:val="16"/>
  </w:num>
  <w:num w:numId="26">
    <w:abstractNumId w:val="15"/>
  </w:num>
  <w:num w:numId="2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tchen Locke">
    <w15:presenceInfo w15:providerId="AD" w15:userId="S-1-5-21-4161449151-3199555679-2224323722-5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3A2C"/>
    <w:rsid w:val="000064F6"/>
    <w:rsid w:val="00006B3A"/>
    <w:rsid w:val="000136F3"/>
    <w:rsid w:val="000139EF"/>
    <w:rsid w:val="00016E17"/>
    <w:rsid w:val="00016F14"/>
    <w:rsid w:val="000214A0"/>
    <w:rsid w:val="0002216E"/>
    <w:rsid w:val="000247FE"/>
    <w:rsid w:val="000249BB"/>
    <w:rsid w:val="000250B3"/>
    <w:rsid w:val="000260F7"/>
    <w:rsid w:val="00026673"/>
    <w:rsid w:val="0002692D"/>
    <w:rsid w:val="000319E9"/>
    <w:rsid w:val="00031EFC"/>
    <w:rsid w:val="0003481A"/>
    <w:rsid w:val="000354BB"/>
    <w:rsid w:val="00036ECE"/>
    <w:rsid w:val="00040E00"/>
    <w:rsid w:val="00042A43"/>
    <w:rsid w:val="00042C0D"/>
    <w:rsid w:val="0004386C"/>
    <w:rsid w:val="000441B4"/>
    <w:rsid w:val="00046728"/>
    <w:rsid w:val="00050220"/>
    <w:rsid w:val="00051A28"/>
    <w:rsid w:val="000525E0"/>
    <w:rsid w:val="000528F2"/>
    <w:rsid w:val="00052DB8"/>
    <w:rsid w:val="00053EEF"/>
    <w:rsid w:val="000543DC"/>
    <w:rsid w:val="00055022"/>
    <w:rsid w:val="00055A9A"/>
    <w:rsid w:val="00056ECD"/>
    <w:rsid w:val="0005750B"/>
    <w:rsid w:val="0006045E"/>
    <w:rsid w:val="000608EB"/>
    <w:rsid w:val="00061F08"/>
    <w:rsid w:val="000628F8"/>
    <w:rsid w:val="0006587B"/>
    <w:rsid w:val="00066251"/>
    <w:rsid w:val="00070322"/>
    <w:rsid w:val="000775E7"/>
    <w:rsid w:val="000801CC"/>
    <w:rsid w:val="00081ECB"/>
    <w:rsid w:val="00081FB6"/>
    <w:rsid w:val="00082D01"/>
    <w:rsid w:val="00082FBF"/>
    <w:rsid w:val="000835D1"/>
    <w:rsid w:val="00084162"/>
    <w:rsid w:val="0008447D"/>
    <w:rsid w:val="00087303"/>
    <w:rsid w:val="00087480"/>
    <w:rsid w:val="00087856"/>
    <w:rsid w:val="000902AA"/>
    <w:rsid w:val="000909FE"/>
    <w:rsid w:val="00091284"/>
    <w:rsid w:val="00095D40"/>
    <w:rsid w:val="000A00A2"/>
    <w:rsid w:val="000A1C6D"/>
    <w:rsid w:val="000A2564"/>
    <w:rsid w:val="000A45D8"/>
    <w:rsid w:val="000A61EF"/>
    <w:rsid w:val="000A7D69"/>
    <w:rsid w:val="000B33D1"/>
    <w:rsid w:val="000B71E4"/>
    <w:rsid w:val="000C0092"/>
    <w:rsid w:val="000C0A39"/>
    <w:rsid w:val="000C0FB3"/>
    <w:rsid w:val="000C10C6"/>
    <w:rsid w:val="000C1B25"/>
    <w:rsid w:val="000C2113"/>
    <w:rsid w:val="000C3040"/>
    <w:rsid w:val="000C4F64"/>
    <w:rsid w:val="000C5790"/>
    <w:rsid w:val="000C5E22"/>
    <w:rsid w:val="000D53F1"/>
    <w:rsid w:val="000D5777"/>
    <w:rsid w:val="000D6D51"/>
    <w:rsid w:val="000E1D98"/>
    <w:rsid w:val="000E228A"/>
    <w:rsid w:val="000E6B23"/>
    <w:rsid w:val="000E6B75"/>
    <w:rsid w:val="000E755A"/>
    <w:rsid w:val="000F1149"/>
    <w:rsid w:val="000F4FF0"/>
    <w:rsid w:val="000F53F4"/>
    <w:rsid w:val="000F5ACA"/>
    <w:rsid w:val="000F766C"/>
    <w:rsid w:val="00102889"/>
    <w:rsid w:val="001034D3"/>
    <w:rsid w:val="001034D7"/>
    <w:rsid w:val="00104A7C"/>
    <w:rsid w:val="00104F02"/>
    <w:rsid w:val="00104F2A"/>
    <w:rsid w:val="0010744B"/>
    <w:rsid w:val="00107A04"/>
    <w:rsid w:val="0011170B"/>
    <w:rsid w:val="001178CA"/>
    <w:rsid w:val="00120AB5"/>
    <w:rsid w:val="00120E82"/>
    <w:rsid w:val="00121F3D"/>
    <w:rsid w:val="0012435B"/>
    <w:rsid w:val="00125689"/>
    <w:rsid w:val="00125B11"/>
    <w:rsid w:val="00127966"/>
    <w:rsid w:val="001307A5"/>
    <w:rsid w:val="001320A4"/>
    <w:rsid w:val="0013324D"/>
    <w:rsid w:val="00133325"/>
    <w:rsid w:val="00137474"/>
    <w:rsid w:val="001407B9"/>
    <w:rsid w:val="00141FFA"/>
    <w:rsid w:val="00150C85"/>
    <w:rsid w:val="001514F5"/>
    <w:rsid w:val="00152153"/>
    <w:rsid w:val="00155389"/>
    <w:rsid w:val="0015558F"/>
    <w:rsid w:val="00157E04"/>
    <w:rsid w:val="00160657"/>
    <w:rsid w:val="00160B87"/>
    <w:rsid w:val="00160E7E"/>
    <w:rsid w:val="00165517"/>
    <w:rsid w:val="001677DC"/>
    <w:rsid w:val="0017156A"/>
    <w:rsid w:val="00171962"/>
    <w:rsid w:val="00172119"/>
    <w:rsid w:val="00181279"/>
    <w:rsid w:val="001845BD"/>
    <w:rsid w:val="00193981"/>
    <w:rsid w:val="00194577"/>
    <w:rsid w:val="0019763A"/>
    <w:rsid w:val="001A04CE"/>
    <w:rsid w:val="001A09D1"/>
    <w:rsid w:val="001A0E0A"/>
    <w:rsid w:val="001A0E1B"/>
    <w:rsid w:val="001A23B5"/>
    <w:rsid w:val="001A403F"/>
    <w:rsid w:val="001A4633"/>
    <w:rsid w:val="001A7248"/>
    <w:rsid w:val="001B13A2"/>
    <w:rsid w:val="001B3465"/>
    <w:rsid w:val="001B40BB"/>
    <w:rsid w:val="001B4509"/>
    <w:rsid w:val="001B656A"/>
    <w:rsid w:val="001B6A88"/>
    <w:rsid w:val="001C0891"/>
    <w:rsid w:val="001C10AF"/>
    <w:rsid w:val="001C3912"/>
    <w:rsid w:val="001C6DF6"/>
    <w:rsid w:val="001D089A"/>
    <w:rsid w:val="001D0B9D"/>
    <w:rsid w:val="001D0FA4"/>
    <w:rsid w:val="001D1CD6"/>
    <w:rsid w:val="001D226E"/>
    <w:rsid w:val="001D3510"/>
    <w:rsid w:val="001D4FDD"/>
    <w:rsid w:val="001D682D"/>
    <w:rsid w:val="001E0A72"/>
    <w:rsid w:val="001E2CF1"/>
    <w:rsid w:val="001E60BD"/>
    <w:rsid w:val="001F157F"/>
    <w:rsid w:val="001F239A"/>
    <w:rsid w:val="001F49BF"/>
    <w:rsid w:val="001F7FC1"/>
    <w:rsid w:val="00200E58"/>
    <w:rsid w:val="002064D3"/>
    <w:rsid w:val="002106BF"/>
    <w:rsid w:val="0021164D"/>
    <w:rsid w:val="00211766"/>
    <w:rsid w:val="00214778"/>
    <w:rsid w:val="00217302"/>
    <w:rsid w:val="002176B8"/>
    <w:rsid w:val="002178E3"/>
    <w:rsid w:val="002216AD"/>
    <w:rsid w:val="00221D99"/>
    <w:rsid w:val="00222854"/>
    <w:rsid w:val="00222D1F"/>
    <w:rsid w:val="002235AB"/>
    <w:rsid w:val="00223A9F"/>
    <w:rsid w:val="002257F2"/>
    <w:rsid w:val="00225DC8"/>
    <w:rsid w:val="0022674D"/>
    <w:rsid w:val="002273CA"/>
    <w:rsid w:val="00227977"/>
    <w:rsid w:val="00231124"/>
    <w:rsid w:val="00233B71"/>
    <w:rsid w:val="0023449A"/>
    <w:rsid w:val="0023452F"/>
    <w:rsid w:val="002351FD"/>
    <w:rsid w:val="00235F88"/>
    <w:rsid w:val="00236C04"/>
    <w:rsid w:val="002375ED"/>
    <w:rsid w:val="00241772"/>
    <w:rsid w:val="00244070"/>
    <w:rsid w:val="0024638F"/>
    <w:rsid w:val="002513D3"/>
    <w:rsid w:val="0025241B"/>
    <w:rsid w:val="00252D97"/>
    <w:rsid w:val="00252E0A"/>
    <w:rsid w:val="00253C20"/>
    <w:rsid w:val="00255975"/>
    <w:rsid w:val="00257522"/>
    <w:rsid w:val="00261331"/>
    <w:rsid w:val="00263824"/>
    <w:rsid w:val="00264A4D"/>
    <w:rsid w:val="002702F7"/>
    <w:rsid w:val="00271C3C"/>
    <w:rsid w:val="00271FA9"/>
    <w:rsid w:val="00273DA2"/>
    <w:rsid w:val="00273EAA"/>
    <w:rsid w:val="00274205"/>
    <w:rsid w:val="00275398"/>
    <w:rsid w:val="00276702"/>
    <w:rsid w:val="0028328D"/>
    <w:rsid w:val="002838F5"/>
    <w:rsid w:val="0028576B"/>
    <w:rsid w:val="00285BB6"/>
    <w:rsid w:val="00285F92"/>
    <w:rsid w:val="0028665C"/>
    <w:rsid w:val="00287337"/>
    <w:rsid w:val="00294692"/>
    <w:rsid w:val="0029491C"/>
    <w:rsid w:val="00295E74"/>
    <w:rsid w:val="0029635C"/>
    <w:rsid w:val="00296FA3"/>
    <w:rsid w:val="0029793F"/>
    <w:rsid w:val="002A1152"/>
    <w:rsid w:val="002A4078"/>
    <w:rsid w:val="002A5CE0"/>
    <w:rsid w:val="002A75D0"/>
    <w:rsid w:val="002B1393"/>
    <w:rsid w:val="002B2F3C"/>
    <w:rsid w:val="002C0951"/>
    <w:rsid w:val="002C0FD8"/>
    <w:rsid w:val="002C2A58"/>
    <w:rsid w:val="002C32AB"/>
    <w:rsid w:val="002C41F9"/>
    <w:rsid w:val="002C4495"/>
    <w:rsid w:val="002C5AC8"/>
    <w:rsid w:val="002C6464"/>
    <w:rsid w:val="002C76AB"/>
    <w:rsid w:val="002D1174"/>
    <w:rsid w:val="002D35AB"/>
    <w:rsid w:val="002D4536"/>
    <w:rsid w:val="002E099E"/>
    <w:rsid w:val="002E0C75"/>
    <w:rsid w:val="002E3711"/>
    <w:rsid w:val="002E65B6"/>
    <w:rsid w:val="002E6A87"/>
    <w:rsid w:val="002F0086"/>
    <w:rsid w:val="002F48C8"/>
    <w:rsid w:val="002F5068"/>
    <w:rsid w:val="002F55CE"/>
    <w:rsid w:val="002F73E6"/>
    <w:rsid w:val="002F76F5"/>
    <w:rsid w:val="00302A2C"/>
    <w:rsid w:val="0030330F"/>
    <w:rsid w:val="00304378"/>
    <w:rsid w:val="00310C8D"/>
    <w:rsid w:val="00312911"/>
    <w:rsid w:val="00314A8A"/>
    <w:rsid w:val="00314B11"/>
    <w:rsid w:val="00315CCC"/>
    <w:rsid w:val="00320697"/>
    <w:rsid w:val="00323795"/>
    <w:rsid w:val="003242E0"/>
    <w:rsid w:val="00324BB9"/>
    <w:rsid w:val="00324EC2"/>
    <w:rsid w:val="00326AED"/>
    <w:rsid w:val="003279F2"/>
    <w:rsid w:val="003335D5"/>
    <w:rsid w:val="00333ECA"/>
    <w:rsid w:val="0033721C"/>
    <w:rsid w:val="00340C42"/>
    <w:rsid w:val="00342BA9"/>
    <w:rsid w:val="003455BC"/>
    <w:rsid w:val="003465AE"/>
    <w:rsid w:val="00346F17"/>
    <w:rsid w:val="00347892"/>
    <w:rsid w:val="00350C7D"/>
    <w:rsid w:val="0035288D"/>
    <w:rsid w:val="00354503"/>
    <w:rsid w:val="00361502"/>
    <w:rsid w:val="00361796"/>
    <w:rsid w:val="003623F0"/>
    <w:rsid w:val="00370164"/>
    <w:rsid w:val="00370912"/>
    <w:rsid w:val="003711CD"/>
    <w:rsid w:val="00371CFF"/>
    <w:rsid w:val="00371DA5"/>
    <w:rsid w:val="00380DB1"/>
    <w:rsid w:val="00382BEF"/>
    <w:rsid w:val="00383BFC"/>
    <w:rsid w:val="00384611"/>
    <w:rsid w:val="00384CA0"/>
    <w:rsid w:val="003869A9"/>
    <w:rsid w:val="003870BA"/>
    <w:rsid w:val="00391DA6"/>
    <w:rsid w:val="00392EE8"/>
    <w:rsid w:val="00395A89"/>
    <w:rsid w:val="003A0BF2"/>
    <w:rsid w:val="003A2FA8"/>
    <w:rsid w:val="003A3403"/>
    <w:rsid w:val="003A4F41"/>
    <w:rsid w:val="003A7798"/>
    <w:rsid w:val="003B2F9A"/>
    <w:rsid w:val="003B305F"/>
    <w:rsid w:val="003B446F"/>
    <w:rsid w:val="003B4770"/>
    <w:rsid w:val="003B7D8F"/>
    <w:rsid w:val="003C01E9"/>
    <w:rsid w:val="003C20BF"/>
    <w:rsid w:val="003C2FB6"/>
    <w:rsid w:val="003C7B71"/>
    <w:rsid w:val="003D0007"/>
    <w:rsid w:val="003D108C"/>
    <w:rsid w:val="003D415B"/>
    <w:rsid w:val="003D5616"/>
    <w:rsid w:val="003D6953"/>
    <w:rsid w:val="003D7906"/>
    <w:rsid w:val="003D790D"/>
    <w:rsid w:val="003E0833"/>
    <w:rsid w:val="003E16A2"/>
    <w:rsid w:val="003E4F1C"/>
    <w:rsid w:val="003E58D3"/>
    <w:rsid w:val="003E666B"/>
    <w:rsid w:val="003F0A2F"/>
    <w:rsid w:val="003F26F9"/>
    <w:rsid w:val="003F33CE"/>
    <w:rsid w:val="003F3E19"/>
    <w:rsid w:val="003F6E89"/>
    <w:rsid w:val="003F77EB"/>
    <w:rsid w:val="0040103E"/>
    <w:rsid w:val="00402216"/>
    <w:rsid w:val="0040290E"/>
    <w:rsid w:val="004029F8"/>
    <w:rsid w:val="00403E6B"/>
    <w:rsid w:val="00404B5E"/>
    <w:rsid w:val="00405A50"/>
    <w:rsid w:val="00420B01"/>
    <w:rsid w:val="00421203"/>
    <w:rsid w:val="00423092"/>
    <w:rsid w:val="004231E5"/>
    <w:rsid w:val="004253E8"/>
    <w:rsid w:val="00425DA8"/>
    <w:rsid w:val="004264B4"/>
    <w:rsid w:val="00427149"/>
    <w:rsid w:val="00427EA9"/>
    <w:rsid w:val="004319BC"/>
    <w:rsid w:val="004350B0"/>
    <w:rsid w:val="00436CE5"/>
    <w:rsid w:val="004416A1"/>
    <w:rsid w:val="00443492"/>
    <w:rsid w:val="004452BC"/>
    <w:rsid w:val="00453582"/>
    <w:rsid w:val="00453E6C"/>
    <w:rsid w:val="0045437A"/>
    <w:rsid w:val="0045745F"/>
    <w:rsid w:val="004579DB"/>
    <w:rsid w:val="00461FEB"/>
    <w:rsid w:val="00462E67"/>
    <w:rsid w:val="00463A79"/>
    <w:rsid w:val="004650AA"/>
    <w:rsid w:val="004673F7"/>
    <w:rsid w:val="00470AB4"/>
    <w:rsid w:val="00472DC1"/>
    <w:rsid w:val="00472E16"/>
    <w:rsid w:val="004734DF"/>
    <w:rsid w:val="00473B8C"/>
    <w:rsid w:val="00485807"/>
    <w:rsid w:val="00486943"/>
    <w:rsid w:val="004879CA"/>
    <w:rsid w:val="00492F4F"/>
    <w:rsid w:val="00494D80"/>
    <w:rsid w:val="00495B91"/>
    <w:rsid w:val="00495CAE"/>
    <w:rsid w:val="004A2532"/>
    <w:rsid w:val="004A2DF3"/>
    <w:rsid w:val="004A5408"/>
    <w:rsid w:val="004A7D9D"/>
    <w:rsid w:val="004B37C6"/>
    <w:rsid w:val="004B6B56"/>
    <w:rsid w:val="004C038E"/>
    <w:rsid w:val="004C10C7"/>
    <w:rsid w:val="004C18DF"/>
    <w:rsid w:val="004C1F16"/>
    <w:rsid w:val="004C23F4"/>
    <w:rsid w:val="004C29E5"/>
    <w:rsid w:val="004C2B46"/>
    <w:rsid w:val="004C2C49"/>
    <w:rsid w:val="004C34A3"/>
    <w:rsid w:val="004C3BA4"/>
    <w:rsid w:val="004C51C8"/>
    <w:rsid w:val="004C7442"/>
    <w:rsid w:val="004D4C6D"/>
    <w:rsid w:val="004E01A4"/>
    <w:rsid w:val="004E2D91"/>
    <w:rsid w:val="004F0529"/>
    <w:rsid w:val="004F188F"/>
    <w:rsid w:val="004F1FB4"/>
    <w:rsid w:val="004F2417"/>
    <w:rsid w:val="004F2550"/>
    <w:rsid w:val="004F3D39"/>
    <w:rsid w:val="004F40F8"/>
    <w:rsid w:val="004F62A9"/>
    <w:rsid w:val="004F6742"/>
    <w:rsid w:val="004F709B"/>
    <w:rsid w:val="004F712B"/>
    <w:rsid w:val="00500469"/>
    <w:rsid w:val="00503049"/>
    <w:rsid w:val="00503D9C"/>
    <w:rsid w:val="0050422F"/>
    <w:rsid w:val="005042DE"/>
    <w:rsid w:val="00504330"/>
    <w:rsid w:val="005069D2"/>
    <w:rsid w:val="00507529"/>
    <w:rsid w:val="00507987"/>
    <w:rsid w:val="00507C01"/>
    <w:rsid w:val="00507D7B"/>
    <w:rsid w:val="00514C6F"/>
    <w:rsid w:val="00515EDB"/>
    <w:rsid w:val="00516890"/>
    <w:rsid w:val="00524052"/>
    <w:rsid w:val="00524430"/>
    <w:rsid w:val="00525856"/>
    <w:rsid w:val="00525E74"/>
    <w:rsid w:val="0053056B"/>
    <w:rsid w:val="005308F4"/>
    <w:rsid w:val="00533A71"/>
    <w:rsid w:val="00534B03"/>
    <w:rsid w:val="00534C33"/>
    <w:rsid w:val="00536DB4"/>
    <w:rsid w:val="0054025D"/>
    <w:rsid w:val="005428E6"/>
    <w:rsid w:val="005429EB"/>
    <w:rsid w:val="005449EE"/>
    <w:rsid w:val="0054629A"/>
    <w:rsid w:val="0055123E"/>
    <w:rsid w:val="005525C6"/>
    <w:rsid w:val="00564FF3"/>
    <w:rsid w:val="00565749"/>
    <w:rsid w:val="005734B7"/>
    <w:rsid w:val="00574572"/>
    <w:rsid w:val="00581E37"/>
    <w:rsid w:val="00585785"/>
    <w:rsid w:val="00585CA4"/>
    <w:rsid w:val="00585D7A"/>
    <w:rsid w:val="00586EE7"/>
    <w:rsid w:val="00587439"/>
    <w:rsid w:val="005971CE"/>
    <w:rsid w:val="00597948"/>
    <w:rsid w:val="005A004E"/>
    <w:rsid w:val="005A07F9"/>
    <w:rsid w:val="005A2586"/>
    <w:rsid w:val="005A547F"/>
    <w:rsid w:val="005B115C"/>
    <w:rsid w:val="005B1AC5"/>
    <w:rsid w:val="005B1EDE"/>
    <w:rsid w:val="005B2FEA"/>
    <w:rsid w:val="005B5E49"/>
    <w:rsid w:val="005B6910"/>
    <w:rsid w:val="005B6A25"/>
    <w:rsid w:val="005B6ACF"/>
    <w:rsid w:val="005C4647"/>
    <w:rsid w:val="005C7689"/>
    <w:rsid w:val="005E0CF2"/>
    <w:rsid w:val="005E2AEA"/>
    <w:rsid w:val="005E341F"/>
    <w:rsid w:val="005E6B70"/>
    <w:rsid w:val="005E720C"/>
    <w:rsid w:val="005E7F67"/>
    <w:rsid w:val="005F3619"/>
    <w:rsid w:val="005F566F"/>
    <w:rsid w:val="0060001A"/>
    <w:rsid w:val="00601239"/>
    <w:rsid w:val="006035AF"/>
    <w:rsid w:val="00606956"/>
    <w:rsid w:val="00606B4E"/>
    <w:rsid w:val="006122D8"/>
    <w:rsid w:val="0061247A"/>
    <w:rsid w:val="00612F0B"/>
    <w:rsid w:val="00615938"/>
    <w:rsid w:val="00616492"/>
    <w:rsid w:val="0061693D"/>
    <w:rsid w:val="00621B65"/>
    <w:rsid w:val="00621F24"/>
    <w:rsid w:val="00622D4C"/>
    <w:rsid w:val="00622EC3"/>
    <w:rsid w:val="00625F52"/>
    <w:rsid w:val="0063014E"/>
    <w:rsid w:val="00631040"/>
    <w:rsid w:val="00632802"/>
    <w:rsid w:val="0063346D"/>
    <w:rsid w:val="006344D0"/>
    <w:rsid w:val="00634F4D"/>
    <w:rsid w:val="006403A3"/>
    <w:rsid w:val="00646544"/>
    <w:rsid w:val="00646BFD"/>
    <w:rsid w:val="00647959"/>
    <w:rsid w:val="0065112D"/>
    <w:rsid w:val="006517AA"/>
    <w:rsid w:val="00651FA9"/>
    <w:rsid w:val="00656514"/>
    <w:rsid w:val="00656C99"/>
    <w:rsid w:val="00657CCC"/>
    <w:rsid w:val="00660D12"/>
    <w:rsid w:val="00660F6F"/>
    <w:rsid w:val="0066134E"/>
    <w:rsid w:val="006613F4"/>
    <w:rsid w:val="006619F0"/>
    <w:rsid w:val="00664415"/>
    <w:rsid w:val="00665F14"/>
    <w:rsid w:val="00666726"/>
    <w:rsid w:val="006679A9"/>
    <w:rsid w:val="00672F49"/>
    <w:rsid w:val="0067389D"/>
    <w:rsid w:val="00674194"/>
    <w:rsid w:val="0067445B"/>
    <w:rsid w:val="006749CA"/>
    <w:rsid w:val="00675A50"/>
    <w:rsid w:val="006810DE"/>
    <w:rsid w:val="006814BB"/>
    <w:rsid w:val="00681757"/>
    <w:rsid w:val="00682B3A"/>
    <w:rsid w:val="00682BF6"/>
    <w:rsid w:val="00682D87"/>
    <w:rsid w:val="00683B76"/>
    <w:rsid w:val="006840EB"/>
    <w:rsid w:val="0068742C"/>
    <w:rsid w:val="0069177A"/>
    <w:rsid w:val="00691C16"/>
    <w:rsid w:val="0069342C"/>
    <w:rsid w:val="0069415D"/>
    <w:rsid w:val="00696B6F"/>
    <w:rsid w:val="00696DC0"/>
    <w:rsid w:val="006A4DF7"/>
    <w:rsid w:val="006A541C"/>
    <w:rsid w:val="006A5B3B"/>
    <w:rsid w:val="006A5F72"/>
    <w:rsid w:val="006B0576"/>
    <w:rsid w:val="006B1DA6"/>
    <w:rsid w:val="006B20DA"/>
    <w:rsid w:val="006B7A56"/>
    <w:rsid w:val="006C05AB"/>
    <w:rsid w:val="006C55E4"/>
    <w:rsid w:val="006C7006"/>
    <w:rsid w:val="006C7A4C"/>
    <w:rsid w:val="006D13C3"/>
    <w:rsid w:val="006D406B"/>
    <w:rsid w:val="006D40CB"/>
    <w:rsid w:val="006D6378"/>
    <w:rsid w:val="006D6A6C"/>
    <w:rsid w:val="006D6B4B"/>
    <w:rsid w:val="006E1D90"/>
    <w:rsid w:val="006E1E69"/>
    <w:rsid w:val="006E2B32"/>
    <w:rsid w:val="006E393A"/>
    <w:rsid w:val="006F299B"/>
    <w:rsid w:val="006F2B34"/>
    <w:rsid w:val="006F6E80"/>
    <w:rsid w:val="0070016C"/>
    <w:rsid w:val="007057ED"/>
    <w:rsid w:val="0070672F"/>
    <w:rsid w:val="007075FA"/>
    <w:rsid w:val="007105A6"/>
    <w:rsid w:val="00710F2C"/>
    <w:rsid w:val="0071393A"/>
    <w:rsid w:val="00715417"/>
    <w:rsid w:val="00720ADF"/>
    <w:rsid w:val="007211E4"/>
    <w:rsid w:val="0072296B"/>
    <w:rsid w:val="00723175"/>
    <w:rsid w:val="0072369E"/>
    <w:rsid w:val="00723F21"/>
    <w:rsid w:val="00725435"/>
    <w:rsid w:val="00726DD4"/>
    <w:rsid w:val="00730CAD"/>
    <w:rsid w:val="00730F56"/>
    <w:rsid w:val="00731167"/>
    <w:rsid w:val="00731EED"/>
    <w:rsid w:val="007334DC"/>
    <w:rsid w:val="00735F23"/>
    <w:rsid w:val="007418DA"/>
    <w:rsid w:val="00744E2C"/>
    <w:rsid w:val="00746B97"/>
    <w:rsid w:val="0074724C"/>
    <w:rsid w:val="0074752D"/>
    <w:rsid w:val="00747D79"/>
    <w:rsid w:val="00750D63"/>
    <w:rsid w:val="00752119"/>
    <w:rsid w:val="00754408"/>
    <w:rsid w:val="00760B80"/>
    <w:rsid w:val="00762DD6"/>
    <w:rsid w:val="007631C7"/>
    <w:rsid w:val="00763C9D"/>
    <w:rsid w:val="00763CCC"/>
    <w:rsid w:val="00776C72"/>
    <w:rsid w:val="00781665"/>
    <w:rsid w:val="0078258F"/>
    <w:rsid w:val="007828D2"/>
    <w:rsid w:val="007837B2"/>
    <w:rsid w:val="00783CEF"/>
    <w:rsid w:val="007846B6"/>
    <w:rsid w:val="007846BC"/>
    <w:rsid w:val="0078500C"/>
    <w:rsid w:val="00787B8E"/>
    <w:rsid w:val="00791692"/>
    <w:rsid w:val="00793145"/>
    <w:rsid w:val="00794B6E"/>
    <w:rsid w:val="007969A4"/>
    <w:rsid w:val="007A0114"/>
    <w:rsid w:val="007A1597"/>
    <w:rsid w:val="007A5B1E"/>
    <w:rsid w:val="007B0A13"/>
    <w:rsid w:val="007B1321"/>
    <w:rsid w:val="007B1904"/>
    <w:rsid w:val="007B6BE8"/>
    <w:rsid w:val="007C63A3"/>
    <w:rsid w:val="007D27D7"/>
    <w:rsid w:val="007D2DBB"/>
    <w:rsid w:val="007D395E"/>
    <w:rsid w:val="007D4135"/>
    <w:rsid w:val="007D5B76"/>
    <w:rsid w:val="007D6370"/>
    <w:rsid w:val="007D78FA"/>
    <w:rsid w:val="007E092F"/>
    <w:rsid w:val="007E57E4"/>
    <w:rsid w:val="007E5EC0"/>
    <w:rsid w:val="007F0138"/>
    <w:rsid w:val="0080098A"/>
    <w:rsid w:val="00801761"/>
    <w:rsid w:val="00803183"/>
    <w:rsid w:val="008033BE"/>
    <w:rsid w:val="00805118"/>
    <w:rsid w:val="00810A77"/>
    <w:rsid w:val="008111EB"/>
    <w:rsid w:val="0081201B"/>
    <w:rsid w:val="008130C9"/>
    <w:rsid w:val="00813D02"/>
    <w:rsid w:val="00814833"/>
    <w:rsid w:val="0081623C"/>
    <w:rsid w:val="0082033D"/>
    <w:rsid w:val="008222AD"/>
    <w:rsid w:val="008250D4"/>
    <w:rsid w:val="00826142"/>
    <w:rsid w:val="008264D8"/>
    <w:rsid w:val="0082673F"/>
    <w:rsid w:val="0082682B"/>
    <w:rsid w:val="00826995"/>
    <w:rsid w:val="00826A39"/>
    <w:rsid w:val="0083104D"/>
    <w:rsid w:val="008337C2"/>
    <w:rsid w:val="00834173"/>
    <w:rsid w:val="008349AE"/>
    <w:rsid w:val="00834E0B"/>
    <w:rsid w:val="00840F17"/>
    <w:rsid w:val="00842C2C"/>
    <w:rsid w:val="00843317"/>
    <w:rsid w:val="00846887"/>
    <w:rsid w:val="00846D77"/>
    <w:rsid w:val="008519CD"/>
    <w:rsid w:val="00852480"/>
    <w:rsid w:val="00856632"/>
    <w:rsid w:val="008568AE"/>
    <w:rsid w:val="008609A9"/>
    <w:rsid w:val="00860CF3"/>
    <w:rsid w:val="008615B4"/>
    <w:rsid w:val="00864889"/>
    <w:rsid w:val="00864CB7"/>
    <w:rsid w:val="00867308"/>
    <w:rsid w:val="00870B70"/>
    <w:rsid w:val="00880B35"/>
    <w:rsid w:val="00881DC9"/>
    <w:rsid w:val="00886989"/>
    <w:rsid w:val="0089099B"/>
    <w:rsid w:val="00891025"/>
    <w:rsid w:val="00891268"/>
    <w:rsid w:val="008920A5"/>
    <w:rsid w:val="00893AD1"/>
    <w:rsid w:val="00893C3C"/>
    <w:rsid w:val="008A3BE3"/>
    <w:rsid w:val="008A7BAC"/>
    <w:rsid w:val="008B0543"/>
    <w:rsid w:val="008B576B"/>
    <w:rsid w:val="008B580B"/>
    <w:rsid w:val="008B5915"/>
    <w:rsid w:val="008C0888"/>
    <w:rsid w:val="008C2A83"/>
    <w:rsid w:val="008C3505"/>
    <w:rsid w:val="008C5FE3"/>
    <w:rsid w:val="008D0DF2"/>
    <w:rsid w:val="008D30EA"/>
    <w:rsid w:val="008D55C8"/>
    <w:rsid w:val="008D66DD"/>
    <w:rsid w:val="008D79CF"/>
    <w:rsid w:val="008E0F21"/>
    <w:rsid w:val="008E20DE"/>
    <w:rsid w:val="008E32EE"/>
    <w:rsid w:val="008F06EE"/>
    <w:rsid w:val="008F1770"/>
    <w:rsid w:val="008F197F"/>
    <w:rsid w:val="008F68FB"/>
    <w:rsid w:val="008F7B8A"/>
    <w:rsid w:val="009013C5"/>
    <w:rsid w:val="00904495"/>
    <w:rsid w:val="009061A4"/>
    <w:rsid w:val="00907A98"/>
    <w:rsid w:val="00910E05"/>
    <w:rsid w:val="00911BD5"/>
    <w:rsid w:val="00912E02"/>
    <w:rsid w:val="00913380"/>
    <w:rsid w:val="00914D16"/>
    <w:rsid w:val="00915E66"/>
    <w:rsid w:val="00926553"/>
    <w:rsid w:val="009273B0"/>
    <w:rsid w:val="00931DB2"/>
    <w:rsid w:val="00933182"/>
    <w:rsid w:val="0093440F"/>
    <w:rsid w:val="00936879"/>
    <w:rsid w:val="00941194"/>
    <w:rsid w:val="00942024"/>
    <w:rsid w:val="00944550"/>
    <w:rsid w:val="0095031F"/>
    <w:rsid w:val="009544FC"/>
    <w:rsid w:val="009550AD"/>
    <w:rsid w:val="009565D4"/>
    <w:rsid w:val="00956DD9"/>
    <w:rsid w:val="0096042C"/>
    <w:rsid w:val="00960B81"/>
    <w:rsid w:val="009621F2"/>
    <w:rsid w:val="00962680"/>
    <w:rsid w:val="00964F6A"/>
    <w:rsid w:val="0096759B"/>
    <w:rsid w:val="00967609"/>
    <w:rsid w:val="00967D7C"/>
    <w:rsid w:val="0097070B"/>
    <w:rsid w:val="00971B7C"/>
    <w:rsid w:val="00972AFF"/>
    <w:rsid w:val="00972ED7"/>
    <w:rsid w:val="00975506"/>
    <w:rsid w:val="0097600C"/>
    <w:rsid w:val="009774E3"/>
    <w:rsid w:val="00977BF5"/>
    <w:rsid w:val="00977D73"/>
    <w:rsid w:val="00980A81"/>
    <w:rsid w:val="009825EF"/>
    <w:rsid w:val="009839FC"/>
    <w:rsid w:val="00984761"/>
    <w:rsid w:val="00985F4F"/>
    <w:rsid w:val="00986007"/>
    <w:rsid w:val="0099262A"/>
    <w:rsid w:val="00994651"/>
    <w:rsid w:val="009946AF"/>
    <w:rsid w:val="0099739B"/>
    <w:rsid w:val="00997E31"/>
    <w:rsid w:val="009A05F3"/>
    <w:rsid w:val="009A06B4"/>
    <w:rsid w:val="009A3D5F"/>
    <w:rsid w:val="009A514D"/>
    <w:rsid w:val="009B4481"/>
    <w:rsid w:val="009B48E2"/>
    <w:rsid w:val="009B56DA"/>
    <w:rsid w:val="009C069C"/>
    <w:rsid w:val="009C0AB2"/>
    <w:rsid w:val="009C5438"/>
    <w:rsid w:val="009D114A"/>
    <w:rsid w:val="009D13BB"/>
    <w:rsid w:val="009D4742"/>
    <w:rsid w:val="009D50EB"/>
    <w:rsid w:val="009D51FD"/>
    <w:rsid w:val="009D5CC5"/>
    <w:rsid w:val="009D5CFA"/>
    <w:rsid w:val="009D6043"/>
    <w:rsid w:val="009E07B2"/>
    <w:rsid w:val="009E195B"/>
    <w:rsid w:val="009E32F5"/>
    <w:rsid w:val="009E6279"/>
    <w:rsid w:val="009E67D5"/>
    <w:rsid w:val="009E7908"/>
    <w:rsid w:val="009F1F1A"/>
    <w:rsid w:val="009F2649"/>
    <w:rsid w:val="009F31C2"/>
    <w:rsid w:val="009F704C"/>
    <w:rsid w:val="00A016D9"/>
    <w:rsid w:val="00A0215D"/>
    <w:rsid w:val="00A03675"/>
    <w:rsid w:val="00A04854"/>
    <w:rsid w:val="00A05378"/>
    <w:rsid w:val="00A06666"/>
    <w:rsid w:val="00A07D12"/>
    <w:rsid w:val="00A105E0"/>
    <w:rsid w:val="00A111B7"/>
    <w:rsid w:val="00A13818"/>
    <w:rsid w:val="00A1561F"/>
    <w:rsid w:val="00A17822"/>
    <w:rsid w:val="00A178FC"/>
    <w:rsid w:val="00A226E4"/>
    <w:rsid w:val="00A2299E"/>
    <w:rsid w:val="00A26918"/>
    <w:rsid w:val="00A27AAD"/>
    <w:rsid w:val="00A3018B"/>
    <w:rsid w:val="00A30996"/>
    <w:rsid w:val="00A3128D"/>
    <w:rsid w:val="00A324EA"/>
    <w:rsid w:val="00A33A46"/>
    <w:rsid w:val="00A35926"/>
    <w:rsid w:val="00A36271"/>
    <w:rsid w:val="00A4111B"/>
    <w:rsid w:val="00A42FE3"/>
    <w:rsid w:val="00A45ABA"/>
    <w:rsid w:val="00A45B43"/>
    <w:rsid w:val="00A4794A"/>
    <w:rsid w:val="00A52922"/>
    <w:rsid w:val="00A533DE"/>
    <w:rsid w:val="00A53D74"/>
    <w:rsid w:val="00A53E2B"/>
    <w:rsid w:val="00A566B1"/>
    <w:rsid w:val="00A60A09"/>
    <w:rsid w:val="00A62C39"/>
    <w:rsid w:val="00A65EDB"/>
    <w:rsid w:val="00A66251"/>
    <w:rsid w:val="00A669F7"/>
    <w:rsid w:val="00A6755E"/>
    <w:rsid w:val="00A675D6"/>
    <w:rsid w:val="00A67F8C"/>
    <w:rsid w:val="00A7361E"/>
    <w:rsid w:val="00A73C3C"/>
    <w:rsid w:val="00A76898"/>
    <w:rsid w:val="00A777C9"/>
    <w:rsid w:val="00A80E60"/>
    <w:rsid w:val="00A817CE"/>
    <w:rsid w:val="00A90986"/>
    <w:rsid w:val="00A90AB0"/>
    <w:rsid w:val="00A928FA"/>
    <w:rsid w:val="00A93D37"/>
    <w:rsid w:val="00A9538C"/>
    <w:rsid w:val="00A97439"/>
    <w:rsid w:val="00AA0167"/>
    <w:rsid w:val="00AA18CD"/>
    <w:rsid w:val="00AA29C7"/>
    <w:rsid w:val="00AA32B5"/>
    <w:rsid w:val="00AA356A"/>
    <w:rsid w:val="00AA3B7D"/>
    <w:rsid w:val="00AA4780"/>
    <w:rsid w:val="00AA53E9"/>
    <w:rsid w:val="00AA6AFB"/>
    <w:rsid w:val="00AA7B0B"/>
    <w:rsid w:val="00AB091F"/>
    <w:rsid w:val="00AB32CF"/>
    <w:rsid w:val="00AB4548"/>
    <w:rsid w:val="00AB7637"/>
    <w:rsid w:val="00AB7C61"/>
    <w:rsid w:val="00AB7D17"/>
    <w:rsid w:val="00AC0C31"/>
    <w:rsid w:val="00AC3110"/>
    <w:rsid w:val="00AC59EB"/>
    <w:rsid w:val="00AD2235"/>
    <w:rsid w:val="00AD5FB4"/>
    <w:rsid w:val="00AD6564"/>
    <w:rsid w:val="00AE00E8"/>
    <w:rsid w:val="00AE093E"/>
    <w:rsid w:val="00AE0E13"/>
    <w:rsid w:val="00AE13C0"/>
    <w:rsid w:val="00AE17F2"/>
    <w:rsid w:val="00AE7400"/>
    <w:rsid w:val="00AE7745"/>
    <w:rsid w:val="00AF052B"/>
    <w:rsid w:val="00AF2271"/>
    <w:rsid w:val="00B00F41"/>
    <w:rsid w:val="00B01ABA"/>
    <w:rsid w:val="00B0216C"/>
    <w:rsid w:val="00B02599"/>
    <w:rsid w:val="00B029A6"/>
    <w:rsid w:val="00B0414F"/>
    <w:rsid w:val="00B0441C"/>
    <w:rsid w:val="00B12349"/>
    <w:rsid w:val="00B14060"/>
    <w:rsid w:val="00B1433F"/>
    <w:rsid w:val="00B14851"/>
    <w:rsid w:val="00B16B3C"/>
    <w:rsid w:val="00B17100"/>
    <w:rsid w:val="00B171E0"/>
    <w:rsid w:val="00B17735"/>
    <w:rsid w:val="00B25EE3"/>
    <w:rsid w:val="00B269D4"/>
    <w:rsid w:val="00B2728D"/>
    <w:rsid w:val="00B27A83"/>
    <w:rsid w:val="00B3357C"/>
    <w:rsid w:val="00B3566E"/>
    <w:rsid w:val="00B35D32"/>
    <w:rsid w:val="00B36191"/>
    <w:rsid w:val="00B370B2"/>
    <w:rsid w:val="00B37423"/>
    <w:rsid w:val="00B42509"/>
    <w:rsid w:val="00B44550"/>
    <w:rsid w:val="00B47AE4"/>
    <w:rsid w:val="00B53A21"/>
    <w:rsid w:val="00B56DA8"/>
    <w:rsid w:val="00B5730E"/>
    <w:rsid w:val="00B60C15"/>
    <w:rsid w:val="00B61C4A"/>
    <w:rsid w:val="00B61EC9"/>
    <w:rsid w:val="00B63E55"/>
    <w:rsid w:val="00B65D1F"/>
    <w:rsid w:val="00B66A54"/>
    <w:rsid w:val="00B679AD"/>
    <w:rsid w:val="00B70BEA"/>
    <w:rsid w:val="00B7744A"/>
    <w:rsid w:val="00B81B48"/>
    <w:rsid w:val="00B82D4D"/>
    <w:rsid w:val="00B87EE6"/>
    <w:rsid w:val="00B87FCE"/>
    <w:rsid w:val="00B9260A"/>
    <w:rsid w:val="00B92E3C"/>
    <w:rsid w:val="00B94800"/>
    <w:rsid w:val="00B955F5"/>
    <w:rsid w:val="00B96ABD"/>
    <w:rsid w:val="00BA1515"/>
    <w:rsid w:val="00BA2300"/>
    <w:rsid w:val="00BA5983"/>
    <w:rsid w:val="00BB2408"/>
    <w:rsid w:val="00BB382C"/>
    <w:rsid w:val="00BB523E"/>
    <w:rsid w:val="00BB5349"/>
    <w:rsid w:val="00BC36E2"/>
    <w:rsid w:val="00BC628D"/>
    <w:rsid w:val="00BD1766"/>
    <w:rsid w:val="00BD2F7C"/>
    <w:rsid w:val="00BD5A4A"/>
    <w:rsid w:val="00BE1D7B"/>
    <w:rsid w:val="00BE2F9C"/>
    <w:rsid w:val="00BF0A3E"/>
    <w:rsid w:val="00BF122B"/>
    <w:rsid w:val="00BF18DC"/>
    <w:rsid w:val="00C036BB"/>
    <w:rsid w:val="00C04B4F"/>
    <w:rsid w:val="00C0661A"/>
    <w:rsid w:val="00C0704D"/>
    <w:rsid w:val="00C112A9"/>
    <w:rsid w:val="00C13021"/>
    <w:rsid w:val="00C13DE2"/>
    <w:rsid w:val="00C14408"/>
    <w:rsid w:val="00C14776"/>
    <w:rsid w:val="00C15953"/>
    <w:rsid w:val="00C17F58"/>
    <w:rsid w:val="00C20BE7"/>
    <w:rsid w:val="00C22DBF"/>
    <w:rsid w:val="00C23443"/>
    <w:rsid w:val="00C244D9"/>
    <w:rsid w:val="00C2490B"/>
    <w:rsid w:val="00C3060A"/>
    <w:rsid w:val="00C307E7"/>
    <w:rsid w:val="00C34A92"/>
    <w:rsid w:val="00C35829"/>
    <w:rsid w:val="00C370A7"/>
    <w:rsid w:val="00C408B0"/>
    <w:rsid w:val="00C41092"/>
    <w:rsid w:val="00C42A29"/>
    <w:rsid w:val="00C47A3A"/>
    <w:rsid w:val="00C51B8D"/>
    <w:rsid w:val="00C54BF9"/>
    <w:rsid w:val="00C5644F"/>
    <w:rsid w:val="00C57E90"/>
    <w:rsid w:val="00C60DCE"/>
    <w:rsid w:val="00C61E22"/>
    <w:rsid w:val="00C62F1C"/>
    <w:rsid w:val="00C6380F"/>
    <w:rsid w:val="00C64BCC"/>
    <w:rsid w:val="00C73BE8"/>
    <w:rsid w:val="00C744A3"/>
    <w:rsid w:val="00C80482"/>
    <w:rsid w:val="00C808C0"/>
    <w:rsid w:val="00C8195A"/>
    <w:rsid w:val="00C81D83"/>
    <w:rsid w:val="00C81DB5"/>
    <w:rsid w:val="00C8349A"/>
    <w:rsid w:val="00C84E72"/>
    <w:rsid w:val="00C87AEB"/>
    <w:rsid w:val="00C87D17"/>
    <w:rsid w:val="00C900FF"/>
    <w:rsid w:val="00C945E2"/>
    <w:rsid w:val="00C95C23"/>
    <w:rsid w:val="00C97CC7"/>
    <w:rsid w:val="00CA1EFF"/>
    <w:rsid w:val="00CA38E4"/>
    <w:rsid w:val="00CA4BC5"/>
    <w:rsid w:val="00CA7017"/>
    <w:rsid w:val="00CB24FD"/>
    <w:rsid w:val="00CB340A"/>
    <w:rsid w:val="00CB3FC8"/>
    <w:rsid w:val="00CB442A"/>
    <w:rsid w:val="00CB5647"/>
    <w:rsid w:val="00CB76CE"/>
    <w:rsid w:val="00CC1547"/>
    <w:rsid w:val="00CC3355"/>
    <w:rsid w:val="00CC49D4"/>
    <w:rsid w:val="00CC4C34"/>
    <w:rsid w:val="00CC6F70"/>
    <w:rsid w:val="00CD049C"/>
    <w:rsid w:val="00CD1751"/>
    <w:rsid w:val="00CD2044"/>
    <w:rsid w:val="00CD28AF"/>
    <w:rsid w:val="00CD4006"/>
    <w:rsid w:val="00CD4B2E"/>
    <w:rsid w:val="00CD4DE4"/>
    <w:rsid w:val="00CD5C5E"/>
    <w:rsid w:val="00CD6527"/>
    <w:rsid w:val="00CD6B3F"/>
    <w:rsid w:val="00CE0E0B"/>
    <w:rsid w:val="00CE2ECB"/>
    <w:rsid w:val="00CE6080"/>
    <w:rsid w:val="00CF2FCA"/>
    <w:rsid w:val="00CF360E"/>
    <w:rsid w:val="00CF3981"/>
    <w:rsid w:val="00CF3B3B"/>
    <w:rsid w:val="00CF3E63"/>
    <w:rsid w:val="00CF561E"/>
    <w:rsid w:val="00CF6682"/>
    <w:rsid w:val="00D00DD9"/>
    <w:rsid w:val="00D05691"/>
    <w:rsid w:val="00D06292"/>
    <w:rsid w:val="00D07443"/>
    <w:rsid w:val="00D105E2"/>
    <w:rsid w:val="00D1161D"/>
    <w:rsid w:val="00D12DEB"/>
    <w:rsid w:val="00D143BA"/>
    <w:rsid w:val="00D1481D"/>
    <w:rsid w:val="00D14A76"/>
    <w:rsid w:val="00D17536"/>
    <w:rsid w:val="00D20DD2"/>
    <w:rsid w:val="00D21BF1"/>
    <w:rsid w:val="00D23BE5"/>
    <w:rsid w:val="00D253D0"/>
    <w:rsid w:val="00D25FC2"/>
    <w:rsid w:val="00D26157"/>
    <w:rsid w:val="00D2766C"/>
    <w:rsid w:val="00D34A48"/>
    <w:rsid w:val="00D34EEE"/>
    <w:rsid w:val="00D36B9C"/>
    <w:rsid w:val="00D37BAF"/>
    <w:rsid w:val="00D40A64"/>
    <w:rsid w:val="00D4109C"/>
    <w:rsid w:val="00D41AA0"/>
    <w:rsid w:val="00D43848"/>
    <w:rsid w:val="00D51337"/>
    <w:rsid w:val="00D51B1E"/>
    <w:rsid w:val="00D53D83"/>
    <w:rsid w:val="00D53DB1"/>
    <w:rsid w:val="00D5664C"/>
    <w:rsid w:val="00D572D3"/>
    <w:rsid w:val="00D57F5D"/>
    <w:rsid w:val="00D60185"/>
    <w:rsid w:val="00D61BC8"/>
    <w:rsid w:val="00D63F1A"/>
    <w:rsid w:val="00D6473A"/>
    <w:rsid w:val="00D7265E"/>
    <w:rsid w:val="00D74961"/>
    <w:rsid w:val="00D8598A"/>
    <w:rsid w:val="00D906D9"/>
    <w:rsid w:val="00D94A5D"/>
    <w:rsid w:val="00D95B45"/>
    <w:rsid w:val="00D96598"/>
    <w:rsid w:val="00D97843"/>
    <w:rsid w:val="00D979EA"/>
    <w:rsid w:val="00DA02B9"/>
    <w:rsid w:val="00DA1E55"/>
    <w:rsid w:val="00DA2D51"/>
    <w:rsid w:val="00DA42EA"/>
    <w:rsid w:val="00DA5560"/>
    <w:rsid w:val="00DA7FEA"/>
    <w:rsid w:val="00DB203F"/>
    <w:rsid w:val="00DB269B"/>
    <w:rsid w:val="00DB2E3E"/>
    <w:rsid w:val="00DB308E"/>
    <w:rsid w:val="00DB4A85"/>
    <w:rsid w:val="00DB64E6"/>
    <w:rsid w:val="00DB7D4F"/>
    <w:rsid w:val="00DC006E"/>
    <w:rsid w:val="00DC02B5"/>
    <w:rsid w:val="00DC4C13"/>
    <w:rsid w:val="00DC7F38"/>
    <w:rsid w:val="00DD02DA"/>
    <w:rsid w:val="00DD066E"/>
    <w:rsid w:val="00DD1CF2"/>
    <w:rsid w:val="00DD27D1"/>
    <w:rsid w:val="00DD46BF"/>
    <w:rsid w:val="00DD47F1"/>
    <w:rsid w:val="00DD5E5B"/>
    <w:rsid w:val="00DD698C"/>
    <w:rsid w:val="00DE1960"/>
    <w:rsid w:val="00DE221A"/>
    <w:rsid w:val="00DE2334"/>
    <w:rsid w:val="00DE54AF"/>
    <w:rsid w:val="00DE5C1E"/>
    <w:rsid w:val="00DE66BB"/>
    <w:rsid w:val="00DF196C"/>
    <w:rsid w:val="00DF1C52"/>
    <w:rsid w:val="00DF4F1D"/>
    <w:rsid w:val="00DF68F0"/>
    <w:rsid w:val="00DF6CDE"/>
    <w:rsid w:val="00E0113D"/>
    <w:rsid w:val="00E0131C"/>
    <w:rsid w:val="00E039CB"/>
    <w:rsid w:val="00E05B80"/>
    <w:rsid w:val="00E05D63"/>
    <w:rsid w:val="00E06790"/>
    <w:rsid w:val="00E0781C"/>
    <w:rsid w:val="00E11052"/>
    <w:rsid w:val="00E140B7"/>
    <w:rsid w:val="00E1423B"/>
    <w:rsid w:val="00E17D88"/>
    <w:rsid w:val="00E21E4F"/>
    <w:rsid w:val="00E316E3"/>
    <w:rsid w:val="00E317E1"/>
    <w:rsid w:val="00E31959"/>
    <w:rsid w:val="00E31F1C"/>
    <w:rsid w:val="00E33231"/>
    <w:rsid w:val="00E33411"/>
    <w:rsid w:val="00E33B51"/>
    <w:rsid w:val="00E3689E"/>
    <w:rsid w:val="00E438BE"/>
    <w:rsid w:val="00E449B7"/>
    <w:rsid w:val="00E461A3"/>
    <w:rsid w:val="00E466DD"/>
    <w:rsid w:val="00E47F1A"/>
    <w:rsid w:val="00E50D1F"/>
    <w:rsid w:val="00E52F77"/>
    <w:rsid w:val="00E53944"/>
    <w:rsid w:val="00E54E0A"/>
    <w:rsid w:val="00E56126"/>
    <w:rsid w:val="00E6186E"/>
    <w:rsid w:val="00E62975"/>
    <w:rsid w:val="00E63C84"/>
    <w:rsid w:val="00E70431"/>
    <w:rsid w:val="00E72049"/>
    <w:rsid w:val="00E720F9"/>
    <w:rsid w:val="00E72F03"/>
    <w:rsid w:val="00E7429A"/>
    <w:rsid w:val="00E743BA"/>
    <w:rsid w:val="00E756EA"/>
    <w:rsid w:val="00E75D89"/>
    <w:rsid w:val="00E77B74"/>
    <w:rsid w:val="00E8001A"/>
    <w:rsid w:val="00E81451"/>
    <w:rsid w:val="00E82648"/>
    <w:rsid w:val="00E84434"/>
    <w:rsid w:val="00E87551"/>
    <w:rsid w:val="00E87C85"/>
    <w:rsid w:val="00E91C32"/>
    <w:rsid w:val="00E962F7"/>
    <w:rsid w:val="00E9772C"/>
    <w:rsid w:val="00EA0512"/>
    <w:rsid w:val="00EA3DA3"/>
    <w:rsid w:val="00EA43B8"/>
    <w:rsid w:val="00EA593E"/>
    <w:rsid w:val="00EA6AD1"/>
    <w:rsid w:val="00EB20F7"/>
    <w:rsid w:val="00EB2EDE"/>
    <w:rsid w:val="00EB30F5"/>
    <w:rsid w:val="00EB3D18"/>
    <w:rsid w:val="00EB4F85"/>
    <w:rsid w:val="00EB5C8B"/>
    <w:rsid w:val="00EC00B5"/>
    <w:rsid w:val="00EC3CC1"/>
    <w:rsid w:val="00EC47CA"/>
    <w:rsid w:val="00EC5CE4"/>
    <w:rsid w:val="00ED237A"/>
    <w:rsid w:val="00ED263C"/>
    <w:rsid w:val="00ED2A92"/>
    <w:rsid w:val="00ED32A1"/>
    <w:rsid w:val="00ED4309"/>
    <w:rsid w:val="00ED4E94"/>
    <w:rsid w:val="00ED503D"/>
    <w:rsid w:val="00ED7FF7"/>
    <w:rsid w:val="00EE11FD"/>
    <w:rsid w:val="00EE13AA"/>
    <w:rsid w:val="00EE1D07"/>
    <w:rsid w:val="00EE2B3E"/>
    <w:rsid w:val="00EE2DA2"/>
    <w:rsid w:val="00EE35EF"/>
    <w:rsid w:val="00EE36CD"/>
    <w:rsid w:val="00EE38AB"/>
    <w:rsid w:val="00EE3F93"/>
    <w:rsid w:val="00EE4F08"/>
    <w:rsid w:val="00EF0C44"/>
    <w:rsid w:val="00EF16F3"/>
    <w:rsid w:val="00EF2BA9"/>
    <w:rsid w:val="00EF63E3"/>
    <w:rsid w:val="00EF750E"/>
    <w:rsid w:val="00EF7A96"/>
    <w:rsid w:val="00F043D8"/>
    <w:rsid w:val="00F05EBC"/>
    <w:rsid w:val="00F067C7"/>
    <w:rsid w:val="00F07129"/>
    <w:rsid w:val="00F112E0"/>
    <w:rsid w:val="00F13235"/>
    <w:rsid w:val="00F1494E"/>
    <w:rsid w:val="00F1513C"/>
    <w:rsid w:val="00F15B50"/>
    <w:rsid w:val="00F22890"/>
    <w:rsid w:val="00F22E63"/>
    <w:rsid w:val="00F23798"/>
    <w:rsid w:val="00F24692"/>
    <w:rsid w:val="00F260AC"/>
    <w:rsid w:val="00F265D3"/>
    <w:rsid w:val="00F26892"/>
    <w:rsid w:val="00F26DFB"/>
    <w:rsid w:val="00F27043"/>
    <w:rsid w:val="00F27C95"/>
    <w:rsid w:val="00F30A28"/>
    <w:rsid w:val="00F31E50"/>
    <w:rsid w:val="00F32C54"/>
    <w:rsid w:val="00F32E6E"/>
    <w:rsid w:val="00F35CE4"/>
    <w:rsid w:val="00F40156"/>
    <w:rsid w:val="00F41461"/>
    <w:rsid w:val="00F4263A"/>
    <w:rsid w:val="00F4484A"/>
    <w:rsid w:val="00F457F6"/>
    <w:rsid w:val="00F46768"/>
    <w:rsid w:val="00F47575"/>
    <w:rsid w:val="00F47E96"/>
    <w:rsid w:val="00F50A3A"/>
    <w:rsid w:val="00F50A7A"/>
    <w:rsid w:val="00F5110F"/>
    <w:rsid w:val="00F53A4C"/>
    <w:rsid w:val="00F5526E"/>
    <w:rsid w:val="00F56291"/>
    <w:rsid w:val="00F61665"/>
    <w:rsid w:val="00F62A1E"/>
    <w:rsid w:val="00F64DB9"/>
    <w:rsid w:val="00F65513"/>
    <w:rsid w:val="00F6642D"/>
    <w:rsid w:val="00F67F49"/>
    <w:rsid w:val="00F7022C"/>
    <w:rsid w:val="00F7147E"/>
    <w:rsid w:val="00F72903"/>
    <w:rsid w:val="00F729CB"/>
    <w:rsid w:val="00F82DC9"/>
    <w:rsid w:val="00F85399"/>
    <w:rsid w:val="00F87671"/>
    <w:rsid w:val="00F93183"/>
    <w:rsid w:val="00F9786D"/>
    <w:rsid w:val="00FA035F"/>
    <w:rsid w:val="00FA095A"/>
    <w:rsid w:val="00FA0F3C"/>
    <w:rsid w:val="00FA5CBD"/>
    <w:rsid w:val="00FA686C"/>
    <w:rsid w:val="00FA6932"/>
    <w:rsid w:val="00FB0A89"/>
    <w:rsid w:val="00FB0E93"/>
    <w:rsid w:val="00FB3972"/>
    <w:rsid w:val="00FB70DE"/>
    <w:rsid w:val="00FC01EA"/>
    <w:rsid w:val="00FC2BD1"/>
    <w:rsid w:val="00FC630E"/>
    <w:rsid w:val="00FC6590"/>
    <w:rsid w:val="00FD17C2"/>
    <w:rsid w:val="00FD41D1"/>
    <w:rsid w:val="00FD563C"/>
    <w:rsid w:val="00FD634F"/>
    <w:rsid w:val="00FD6396"/>
    <w:rsid w:val="00FE0A7C"/>
    <w:rsid w:val="00FE2611"/>
    <w:rsid w:val="00FE2867"/>
    <w:rsid w:val="00FE6989"/>
    <w:rsid w:val="00FF2067"/>
    <w:rsid w:val="00FF364B"/>
    <w:rsid w:val="00FF3FFA"/>
    <w:rsid w:val="00FF5341"/>
    <w:rsid w:val="00FF570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E3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caption" w:semiHidden="0" w:qFormat="1"/>
    <w:lsdException w:name="footnote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39"/>
    <w:rsid w:val="00DA5560"/>
    <w:pPr>
      <w:spacing w:before="240"/>
    </w:pPr>
    <w:rPr>
      <w:b/>
    </w:rPr>
  </w:style>
  <w:style w:type="character" w:styleId="CommentReference">
    <w:name w:val="annotation reference"/>
    <w:basedOn w:val="DefaultParagraphFont"/>
    <w:uiPriority w:val="99"/>
    <w:rsid w:val="00750D63"/>
    <w:rPr>
      <w:rFonts w:cs="Times New Roman"/>
      <w:sz w:val="16"/>
    </w:rPr>
  </w:style>
  <w:style w:type="paragraph" w:styleId="TOC2">
    <w:name w:val="toc 2"/>
    <w:basedOn w:val="BodyText"/>
    <w:next w:val="BodyText"/>
    <w:uiPriority w:val="39"/>
    <w:rsid w:val="00DA5560"/>
    <w:pPr>
      <w:tabs>
        <w:tab w:val="right" w:leader="dot" w:pos="8990"/>
      </w:tabs>
      <w:spacing w:after="40"/>
      <w:ind w:left="576"/>
    </w:pPr>
    <w:rPr>
      <w:noProof/>
    </w:rPr>
  </w:style>
  <w:style w:type="paragraph" w:styleId="TOC3">
    <w:name w:val="toc 3"/>
    <w:basedOn w:val="BodyText"/>
    <w:next w:val="BodyText"/>
    <w:uiPriority w:val="39"/>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aliases w:val="*Footnote Reference"/>
    <w:basedOn w:val="DefaultParagraphFont"/>
    <w:uiPriority w:val="99"/>
    <w:qFormat/>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uiPriority w:val="99"/>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uiPriority w:val="99"/>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 w:type="character" w:customStyle="1" w:styleId="BulletsChar">
    <w:name w:val="Bullets Char"/>
    <w:link w:val="Bullets"/>
    <w:locked/>
    <w:rsid w:val="00453E6C"/>
    <w:rPr>
      <w:sz w:val="22"/>
    </w:rPr>
  </w:style>
  <w:style w:type="paragraph" w:styleId="Revision">
    <w:name w:val="Revision"/>
    <w:hidden/>
    <w:uiPriority w:val="99"/>
    <w:semiHidden/>
    <w:rsid w:val="00763C9D"/>
    <w:rPr>
      <w:sz w:val="22"/>
    </w:rPr>
  </w:style>
  <w:style w:type="character" w:styleId="Emphasis">
    <w:name w:val="Emphasis"/>
    <w:basedOn w:val="DefaultParagraphFont"/>
    <w:uiPriority w:val="20"/>
    <w:qFormat/>
    <w:rsid w:val="00D53DB1"/>
    <w:rPr>
      <w:b/>
      <w:bCs/>
      <w:i w:val="0"/>
      <w:iCs w:val="0"/>
    </w:rPr>
  </w:style>
  <w:style w:type="character" w:customStyle="1" w:styleId="st1">
    <w:name w:val="st1"/>
    <w:basedOn w:val="DefaultParagraphFont"/>
    <w:rsid w:val="00D53DB1"/>
  </w:style>
  <w:style w:type="paragraph" w:styleId="TOCHeading">
    <w:name w:val="TOC Heading"/>
    <w:basedOn w:val="Heading1"/>
    <w:next w:val="Normal"/>
    <w:uiPriority w:val="39"/>
    <w:semiHidden/>
    <w:unhideWhenUsed/>
    <w:qFormat/>
    <w:rsid w:val="00285F92"/>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caption" w:semiHidden="0" w:qFormat="1"/>
    <w:lsdException w:name="footnote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39"/>
    <w:rsid w:val="00DA5560"/>
    <w:pPr>
      <w:spacing w:before="240"/>
    </w:pPr>
    <w:rPr>
      <w:b/>
    </w:rPr>
  </w:style>
  <w:style w:type="character" w:styleId="CommentReference">
    <w:name w:val="annotation reference"/>
    <w:basedOn w:val="DefaultParagraphFont"/>
    <w:uiPriority w:val="99"/>
    <w:rsid w:val="00750D63"/>
    <w:rPr>
      <w:rFonts w:cs="Times New Roman"/>
      <w:sz w:val="16"/>
    </w:rPr>
  </w:style>
  <w:style w:type="paragraph" w:styleId="TOC2">
    <w:name w:val="toc 2"/>
    <w:basedOn w:val="BodyText"/>
    <w:next w:val="BodyText"/>
    <w:uiPriority w:val="39"/>
    <w:rsid w:val="00DA5560"/>
    <w:pPr>
      <w:tabs>
        <w:tab w:val="right" w:leader="dot" w:pos="8990"/>
      </w:tabs>
      <w:spacing w:after="40"/>
      <w:ind w:left="576"/>
    </w:pPr>
    <w:rPr>
      <w:noProof/>
    </w:rPr>
  </w:style>
  <w:style w:type="paragraph" w:styleId="TOC3">
    <w:name w:val="toc 3"/>
    <w:basedOn w:val="BodyText"/>
    <w:next w:val="BodyText"/>
    <w:uiPriority w:val="39"/>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aliases w:val="*Footnote Reference"/>
    <w:basedOn w:val="DefaultParagraphFont"/>
    <w:uiPriority w:val="99"/>
    <w:qFormat/>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uiPriority w:val="99"/>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uiPriority w:val="99"/>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 w:type="character" w:customStyle="1" w:styleId="BulletsChar">
    <w:name w:val="Bullets Char"/>
    <w:link w:val="Bullets"/>
    <w:locked/>
    <w:rsid w:val="00453E6C"/>
    <w:rPr>
      <w:sz w:val="22"/>
    </w:rPr>
  </w:style>
  <w:style w:type="paragraph" w:styleId="Revision">
    <w:name w:val="Revision"/>
    <w:hidden/>
    <w:uiPriority w:val="99"/>
    <w:semiHidden/>
    <w:rsid w:val="00763C9D"/>
    <w:rPr>
      <w:sz w:val="22"/>
    </w:rPr>
  </w:style>
  <w:style w:type="character" w:styleId="Emphasis">
    <w:name w:val="Emphasis"/>
    <w:basedOn w:val="DefaultParagraphFont"/>
    <w:uiPriority w:val="20"/>
    <w:qFormat/>
    <w:rsid w:val="00D53DB1"/>
    <w:rPr>
      <w:b/>
      <w:bCs/>
      <w:i w:val="0"/>
      <w:iCs w:val="0"/>
    </w:rPr>
  </w:style>
  <w:style w:type="character" w:customStyle="1" w:styleId="st1">
    <w:name w:val="st1"/>
    <w:basedOn w:val="DefaultParagraphFont"/>
    <w:rsid w:val="00D53DB1"/>
  </w:style>
  <w:style w:type="paragraph" w:styleId="TOCHeading">
    <w:name w:val="TOC Heading"/>
    <w:basedOn w:val="Heading1"/>
    <w:next w:val="Normal"/>
    <w:uiPriority w:val="39"/>
    <w:semiHidden/>
    <w:unhideWhenUsed/>
    <w:qFormat/>
    <w:rsid w:val="00285F92"/>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58990">
      <w:bodyDiv w:val="1"/>
      <w:marLeft w:val="0"/>
      <w:marRight w:val="0"/>
      <w:marTop w:val="0"/>
      <w:marBottom w:val="0"/>
      <w:divBdr>
        <w:top w:val="none" w:sz="0" w:space="0" w:color="auto"/>
        <w:left w:val="none" w:sz="0" w:space="0" w:color="auto"/>
        <w:bottom w:val="none" w:sz="0" w:space="0" w:color="auto"/>
        <w:right w:val="none" w:sz="0" w:space="0" w:color="auto"/>
      </w:divBdr>
    </w:div>
    <w:div w:id="145437099">
      <w:bodyDiv w:val="1"/>
      <w:marLeft w:val="0"/>
      <w:marRight w:val="0"/>
      <w:marTop w:val="0"/>
      <w:marBottom w:val="0"/>
      <w:divBdr>
        <w:top w:val="none" w:sz="0" w:space="0" w:color="auto"/>
        <w:left w:val="none" w:sz="0" w:space="0" w:color="auto"/>
        <w:bottom w:val="none" w:sz="0" w:space="0" w:color="auto"/>
        <w:right w:val="none" w:sz="0" w:space="0" w:color="auto"/>
      </w:divBdr>
    </w:div>
    <w:div w:id="263076279">
      <w:bodyDiv w:val="1"/>
      <w:marLeft w:val="0"/>
      <w:marRight w:val="0"/>
      <w:marTop w:val="0"/>
      <w:marBottom w:val="0"/>
      <w:divBdr>
        <w:top w:val="none" w:sz="0" w:space="0" w:color="auto"/>
        <w:left w:val="none" w:sz="0" w:space="0" w:color="auto"/>
        <w:bottom w:val="none" w:sz="0" w:space="0" w:color="auto"/>
        <w:right w:val="none" w:sz="0" w:space="0" w:color="auto"/>
      </w:divBdr>
    </w:div>
    <w:div w:id="279605280">
      <w:bodyDiv w:val="1"/>
      <w:marLeft w:val="0"/>
      <w:marRight w:val="0"/>
      <w:marTop w:val="0"/>
      <w:marBottom w:val="0"/>
      <w:divBdr>
        <w:top w:val="none" w:sz="0" w:space="0" w:color="auto"/>
        <w:left w:val="none" w:sz="0" w:space="0" w:color="auto"/>
        <w:bottom w:val="none" w:sz="0" w:space="0" w:color="auto"/>
        <w:right w:val="none" w:sz="0" w:space="0" w:color="auto"/>
      </w:divBdr>
    </w:div>
    <w:div w:id="391850597">
      <w:bodyDiv w:val="1"/>
      <w:marLeft w:val="0"/>
      <w:marRight w:val="0"/>
      <w:marTop w:val="0"/>
      <w:marBottom w:val="0"/>
      <w:divBdr>
        <w:top w:val="none" w:sz="0" w:space="0" w:color="auto"/>
        <w:left w:val="none" w:sz="0" w:space="0" w:color="auto"/>
        <w:bottom w:val="none" w:sz="0" w:space="0" w:color="auto"/>
        <w:right w:val="none" w:sz="0" w:space="0" w:color="auto"/>
      </w:divBdr>
    </w:div>
    <w:div w:id="408041511">
      <w:bodyDiv w:val="1"/>
      <w:marLeft w:val="0"/>
      <w:marRight w:val="0"/>
      <w:marTop w:val="0"/>
      <w:marBottom w:val="0"/>
      <w:divBdr>
        <w:top w:val="none" w:sz="0" w:space="0" w:color="auto"/>
        <w:left w:val="none" w:sz="0" w:space="0" w:color="auto"/>
        <w:bottom w:val="none" w:sz="0" w:space="0" w:color="auto"/>
        <w:right w:val="none" w:sz="0" w:space="0" w:color="auto"/>
      </w:divBdr>
    </w:div>
    <w:div w:id="550190205">
      <w:bodyDiv w:val="1"/>
      <w:marLeft w:val="0"/>
      <w:marRight w:val="0"/>
      <w:marTop w:val="0"/>
      <w:marBottom w:val="0"/>
      <w:divBdr>
        <w:top w:val="none" w:sz="0" w:space="0" w:color="auto"/>
        <w:left w:val="none" w:sz="0" w:space="0" w:color="auto"/>
        <w:bottom w:val="none" w:sz="0" w:space="0" w:color="auto"/>
        <w:right w:val="none" w:sz="0" w:space="0" w:color="auto"/>
      </w:divBdr>
    </w:div>
    <w:div w:id="554850575">
      <w:bodyDiv w:val="1"/>
      <w:marLeft w:val="0"/>
      <w:marRight w:val="0"/>
      <w:marTop w:val="0"/>
      <w:marBottom w:val="0"/>
      <w:divBdr>
        <w:top w:val="none" w:sz="0" w:space="0" w:color="auto"/>
        <w:left w:val="none" w:sz="0" w:space="0" w:color="auto"/>
        <w:bottom w:val="none" w:sz="0" w:space="0" w:color="auto"/>
        <w:right w:val="none" w:sz="0" w:space="0" w:color="auto"/>
      </w:divBdr>
    </w:div>
    <w:div w:id="579338622">
      <w:bodyDiv w:val="1"/>
      <w:marLeft w:val="0"/>
      <w:marRight w:val="0"/>
      <w:marTop w:val="0"/>
      <w:marBottom w:val="0"/>
      <w:divBdr>
        <w:top w:val="none" w:sz="0" w:space="0" w:color="auto"/>
        <w:left w:val="none" w:sz="0" w:space="0" w:color="auto"/>
        <w:bottom w:val="none" w:sz="0" w:space="0" w:color="auto"/>
        <w:right w:val="none" w:sz="0" w:space="0" w:color="auto"/>
      </w:divBdr>
    </w:div>
    <w:div w:id="661199372">
      <w:bodyDiv w:val="1"/>
      <w:marLeft w:val="0"/>
      <w:marRight w:val="0"/>
      <w:marTop w:val="0"/>
      <w:marBottom w:val="0"/>
      <w:divBdr>
        <w:top w:val="none" w:sz="0" w:space="0" w:color="auto"/>
        <w:left w:val="none" w:sz="0" w:space="0" w:color="auto"/>
        <w:bottom w:val="none" w:sz="0" w:space="0" w:color="auto"/>
        <w:right w:val="none" w:sz="0" w:space="0" w:color="auto"/>
      </w:divBdr>
    </w:div>
    <w:div w:id="775103136">
      <w:bodyDiv w:val="1"/>
      <w:marLeft w:val="0"/>
      <w:marRight w:val="0"/>
      <w:marTop w:val="0"/>
      <w:marBottom w:val="0"/>
      <w:divBdr>
        <w:top w:val="none" w:sz="0" w:space="0" w:color="auto"/>
        <w:left w:val="none" w:sz="0" w:space="0" w:color="auto"/>
        <w:bottom w:val="none" w:sz="0" w:space="0" w:color="auto"/>
        <w:right w:val="none" w:sz="0" w:space="0" w:color="auto"/>
      </w:divBdr>
    </w:div>
    <w:div w:id="931856750">
      <w:bodyDiv w:val="1"/>
      <w:marLeft w:val="0"/>
      <w:marRight w:val="0"/>
      <w:marTop w:val="0"/>
      <w:marBottom w:val="0"/>
      <w:divBdr>
        <w:top w:val="none" w:sz="0" w:space="0" w:color="auto"/>
        <w:left w:val="none" w:sz="0" w:space="0" w:color="auto"/>
        <w:bottom w:val="none" w:sz="0" w:space="0" w:color="auto"/>
        <w:right w:val="none" w:sz="0" w:space="0" w:color="auto"/>
      </w:divBdr>
    </w:div>
    <w:div w:id="1038310580">
      <w:bodyDiv w:val="1"/>
      <w:marLeft w:val="0"/>
      <w:marRight w:val="0"/>
      <w:marTop w:val="0"/>
      <w:marBottom w:val="0"/>
      <w:divBdr>
        <w:top w:val="none" w:sz="0" w:space="0" w:color="auto"/>
        <w:left w:val="none" w:sz="0" w:space="0" w:color="auto"/>
        <w:bottom w:val="none" w:sz="0" w:space="0" w:color="auto"/>
        <w:right w:val="none" w:sz="0" w:space="0" w:color="auto"/>
      </w:divBdr>
    </w:div>
    <w:div w:id="1068577503">
      <w:bodyDiv w:val="1"/>
      <w:marLeft w:val="0"/>
      <w:marRight w:val="0"/>
      <w:marTop w:val="0"/>
      <w:marBottom w:val="0"/>
      <w:divBdr>
        <w:top w:val="none" w:sz="0" w:space="0" w:color="auto"/>
        <w:left w:val="none" w:sz="0" w:space="0" w:color="auto"/>
        <w:bottom w:val="none" w:sz="0" w:space="0" w:color="auto"/>
        <w:right w:val="none" w:sz="0" w:space="0" w:color="auto"/>
      </w:divBdr>
    </w:div>
    <w:div w:id="1089428060">
      <w:bodyDiv w:val="1"/>
      <w:marLeft w:val="0"/>
      <w:marRight w:val="0"/>
      <w:marTop w:val="0"/>
      <w:marBottom w:val="0"/>
      <w:divBdr>
        <w:top w:val="none" w:sz="0" w:space="0" w:color="auto"/>
        <w:left w:val="none" w:sz="0" w:space="0" w:color="auto"/>
        <w:bottom w:val="none" w:sz="0" w:space="0" w:color="auto"/>
        <w:right w:val="none" w:sz="0" w:space="0" w:color="auto"/>
      </w:divBdr>
    </w:div>
    <w:div w:id="1588805218">
      <w:bodyDiv w:val="1"/>
      <w:marLeft w:val="0"/>
      <w:marRight w:val="0"/>
      <w:marTop w:val="0"/>
      <w:marBottom w:val="0"/>
      <w:divBdr>
        <w:top w:val="none" w:sz="0" w:space="0" w:color="auto"/>
        <w:left w:val="none" w:sz="0" w:space="0" w:color="auto"/>
        <w:bottom w:val="none" w:sz="0" w:space="0" w:color="auto"/>
        <w:right w:val="none" w:sz="0" w:space="0" w:color="auto"/>
      </w:divBdr>
    </w:div>
    <w:div w:id="1632780309">
      <w:bodyDiv w:val="1"/>
      <w:marLeft w:val="0"/>
      <w:marRight w:val="0"/>
      <w:marTop w:val="0"/>
      <w:marBottom w:val="0"/>
      <w:divBdr>
        <w:top w:val="none" w:sz="0" w:space="0" w:color="auto"/>
        <w:left w:val="none" w:sz="0" w:space="0" w:color="auto"/>
        <w:bottom w:val="none" w:sz="0" w:space="0" w:color="auto"/>
        <w:right w:val="none" w:sz="0" w:space="0" w:color="auto"/>
      </w:divBdr>
    </w:div>
    <w:div w:id="1667170584">
      <w:bodyDiv w:val="1"/>
      <w:marLeft w:val="0"/>
      <w:marRight w:val="0"/>
      <w:marTop w:val="0"/>
      <w:marBottom w:val="0"/>
      <w:divBdr>
        <w:top w:val="none" w:sz="0" w:space="0" w:color="auto"/>
        <w:left w:val="none" w:sz="0" w:space="0" w:color="auto"/>
        <w:bottom w:val="none" w:sz="0" w:space="0" w:color="auto"/>
        <w:right w:val="none" w:sz="0" w:space="0" w:color="auto"/>
      </w:divBdr>
    </w:div>
    <w:div w:id="1793328314">
      <w:bodyDiv w:val="1"/>
      <w:marLeft w:val="0"/>
      <w:marRight w:val="0"/>
      <w:marTop w:val="0"/>
      <w:marBottom w:val="0"/>
      <w:divBdr>
        <w:top w:val="none" w:sz="0" w:space="0" w:color="auto"/>
        <w:left w:val="none" w:sz="0" w:space="0" w:color="auto"/>
        <w:bottom w:val="none" w:sz="0" w:space="0" w:color="auto"/>
        <w:right w:val="none" w:sz="0" w:space="0" w:color="auto"/>
      </w:divBdr>
    </w:div>
    <w:div w:id="2026008781">
      <w:bodyDiv w:val="1"/>
      <w:marLeft w:val="0"/>
      <w:marRight w:val="0"/>
      <w:marTop w:val="0"/>
      <w:marBottom w:val="0"/>
      <w:divBdr>
        <w:top w:val="none" w:sz="0" w:space="0" w:color="auto"/>
        <w:left w:val="none" w:sz="0" w:space="0" w:color="auto"/>
        <w:bottom w:val="none" w:sz="0" w:space="0" w:color="auto"/>
        <w:right w:val="none" w:sz="0" w:space="0" w:color="auto"/>
      </w:divBdr>
    </w:div>
    <w:div w:id="2095586798">
      <w:bodyDiv w:val="1"/>
      <w:marLeft w:val="0"/>
      <w:marRight w:val="0"/>
      <w:marTop w:val="0"/>
      <w:marBottom w:val="0"/>
      <w:divBdr>
        <w:top w:val="none" w:sz="0" w:space="0" w:color="auto"/>
        <w:left w:val="none" w:sz="0" w:space="0" w:color="auto"/>
        <w:bottom w:val="none" w:sz="0" w:space="0" w:color="auto"/>
        <w:right w:val="none" w:sz="0" w:space="0" w:color="auto"/>
      </w:divBdr>
    </w:div>
    <w:div w:id="210136461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9B6B8-1586-41E0-ADA5-FAA50CE43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7275</Words>
  <Characters>41472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SYSTEM</cp:lastModifiedBy>
  <cp:revision>2</cp:revision>
  <cp:lastPrinted>2017-10-11T13:55:00Z</cp:lastPrinted>
  <dcterms:created xsi:type="dcterms:W3CDTF">2018-02-01T16:20:00Z</dcterms:created>
  <dcterms:modified xsi:type="dcterms:W3CDTF">2018-02-01T16:20:00Z</dcterms:modified>
  <cp:category>Templates</cp:category>
</cp:coreProperties>
</file>