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A1A60" w14:textId="3AD61A5E" w:rsidR="00BA745F" w:rsidRPr="00BA745F" w:rsidRDefault="00B46F2C" w:rsidP="00BA745F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2C78" w:rsidRPr="000C2C78">
        <w:rPr>
          <w:sz w:val="28"/>
        </w:rPr>
        <w:t>0920-0953</w:t>
      </w:r>
      <w:r>
        <w:rPr>
          <w:sz w:val="28"/>
        </w:rPr>
        <w:t>)</w:t>
      </w:r>
    </w:p>
    <w:p w14:paraId="74E2BB39" w14:textId="58AB1D0A" w:rsidR="00B46F2C" w:rsidRDefault="00151E81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DD8BF7" wp14:editId="684F7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D532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65341E">
        <w:t xml:space="preserve">Course Evaluations for the five continuing education webinars for </w:t>
      </w:r>
      <w:r w:rsidR="0065341E" w:rsidRPr="0065341E">
        <w:rPr>
          <w:lang w:val="en"/>
        </w:rPr>
        <w:t>Screening and Treatment of Responders and Survivors and the WTC Health Program</w:t>
      </w:r>
      <w:r w:rsidR="0065341E">
        <w:t>.  Courses include:</w:t>
      </w:r>
    </w:p>
    <w:p w14:paraId="3785FF52" w14:textId="515AB489" w:rsidR="0065341E" w:rsidRPr="001E2DB1" w:rsidRDefault="0065341E" w:rsidP="0065341E">
      <w:pPr>
        <w:pStyle w:val="ListParagraph"/>
        <w:numPr>
          <w:ilvl w:val="0"/>
          <w:numId w:val="20"/>
        </w:numPr>
      </w:pPr>
      <w:r w:rsidRPr="001E2DB1">
        <w:rPr>
          <w:lang w:val="en"/>
        </w:rPr>
        <w:t>Cancer and the World Trade Center Health Program</w:t>
      </w:r>
    </w:p>
    <w:p w14:paraId="39357E8E" w14:textId="5AE43AD2" w:rsidR="00B46F2C" w:rsidRPr="0065341E" w:rsidRDefault="0065341E" w:rsidP="0065341E">
      <w:pPr>
        <w:pStyle w:val="ListParagraph"/>
        <w:numPr>
          <w:ilvl w:val="0"/>
          <w:numId w:val="20"/>
        </w:numPr>
      </w:pPr>
      <w:r w:rsidRPr="0065341E">
        <w:rPr>
          <w:lang w:val="en"/>
        </w:rPr>
        <w:t>Advances in the Screening and Treatment for WTC Responders and Survivors</w:t>
      </w:r>
    </w:p>
    <w:p w14:paraId="00B17704" w14:textId="7268672F" w:rsidR="0065341E" w:rsidRPr="0065341E" w:rsidRDefault="0065341E" w:rsidP="0065341E">
      <w:pPr>
        <w:pStyle w:val="ListParagraph"/>
        <w:numPr>
          <w:ilvl w:val="0"/>
          <w:numId w:val="20"/>
        </w:numPr>
      </w:pPr>
      <w:r w:rsidRPr="0065341E">
        <w:rPr>
          <w:lang w:val="en"/>
        </w:rPr>
        <w:t>Airway, Digestive, and Mental Health Comorbidities in WTC Responders and Survivors</w:t>
      </w:r>
    </w:p>
    <w:p w14:paraId="2A4B7933" w14:textId="5B84A8C4" w:rsidR="0065341E" w:rsidRPr="001E2DB1" w:rsidRDefault="001E2DB1" w:rsidP="001E2DB1">
      <w:pPr>
        <w:pStyle w:val="ListParagraph"/>
        <w:numPr>
          <w:ilvl w:val="0"/>
          <w:numId w:val="20"/>
        </w:numPr>
      </w:pPr>
      <w:r w:rsidRPr="001E2DB1">
        <w:rPr>
          <w:lang w:val="en"/>
        </w:rPr>
        <w:t>Health Risks Associated with 9/11 and the WTC Disaster: Lessons Learned</w:t>
      </w:r>
    </w:p>
    <w:p w14:paraId="0B4B4DEF" w14:textId="597F4B42" w:rsidR="001E2DB1" w:rsidRPr="001E2DB1" w:rsidRDefault="001E2DB1" w:rsidP="001E2DB1">
      <w:pPr>
        <w:pStyle w:val="ListParagraph"/>
        <w:numPr>
          <w:ilvl w:val="0"/>
          <w:numId w:val="20"/>
        </w:numPr>
      </w:pPr>
      <w:r w:rsidRPr="001E2DB1">
        <w:rPr>
          <w:lang w:val="en"/>
        </w:rPr>
        <w:t>After the 9/11 Terrorist Attacks: The World Trade Center Health Program and Disaster Response</w:t>
      </w:r>
    </w:p>
    <w:p w14:paraId="5444E95F" w14:textId="5D6661BE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  <w:r w:rsidR="003B58D7">
        <w:t>Every two years the WTC Health program training courses expire and need to be renewed in CDC Train. These evaluations are used t</w:t>
      </w:r>
      <w:r w:rsidR="006F6BA0">
        <w:t xml:space="preserve">o assess the </w:t>
      </w:r>
      <w:r w:rsidR="009450FA">
        <w:t>learning experience,</w:t>
      </w:r>
      <w:r w:rsidR="006F6BA0">
        <w:t xml:space="preserve"> improve course content and</w:t>
      </w:r>
      <w:r w:rsidR="009450FA">
        <w:t xml:space="preserve"> enhance the quality of the course material.</w:t>
      </w:r>
    </w:p>
    <w:p w14:paraId="5D437B9D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0EA0E14" w14:textId="42B2521C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EA7764" w:rsidRPr="00EA7764">
        <w:t>Administrators,  Licenses Practical/ Vocational Nurses, MDs, Medical Assistants, Medical Students, Nurse Practitioners, Nurse Technicians, Other Health Educators, Pharmacists, Pharmacy Technicians, Physician Assistants, Program Managers, Registered Nurses</w:t>
      </w:r>
    </w:p>
    <w:p w14:paraId="7D9F119B" w14:textId="77777777" w:rsidR="00B46F2C" w:rsidRDefault="00B46F2C">
      <w:pPr>
        <w:rPr>
          <w:b/>
        </w:rPr>
      </w:pPr>
    </w:p>
    <w:p w14:paraId="5A736FD4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95F00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273356" w14:textId="5EC87941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14:paraId="02E93374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7678803" w14:textId="5532C235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54145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A54145">
        <w:rPr>
          <w:bCs/>
          <w:sz w:val="24"/>
          <w:u w:val="single"/>
        </w:rPr>
        <w:t>Course Evaluation</w:t>
      </w:r>
      <w:r>
        <w:rPr>
          <w:bCs/>
          <w:sz w:val="24"/>
          <w:u w:val="single"/>
        </w:rPr>
        <w:tab/>
      </w:r>
    </w:p>
    <w:p w14:paraId="69D9AEA3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F0D81FF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4410B39" w14:textId="77777777" w:rsidR="00B46F2C" w:rsidRDefault="00B46F2C">
      <w:pPr>
        <w:rPr>
          <w:sz w:val="16"/>
          <w:szCs w:val="16"/>
        </w:rPr>
      </w:pPr>
    </w:p>
    <w:p w14:paraId="6E585FA6" w14:textId="77777777" w:rsidR="00B46F2C" w:rsidRPr="009C13B9" w:rsidRDefault="00B46F2C" w:rsidP="008101A5">
      <w:r>
        <w:t xml:space="preserve">I certify the following to be true: </w:t>
      </w:r>
    </w:p>
    <w:p w14:paraId="4F5A4A4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F8F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96028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BFC9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45F6F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20077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FCC5B98" w14:textId="77777777" w:rsidR="00B46F2C" w:rsidRDefault="00B46F2C" w:rsidP="009C13B9"/>
    <w:p w14:paraId="7DE2A27E" w14:textId="3A5AC849" w:rsidR="00B46F2C" w:rsidRDefault="00B46F2C" w:rsidP="009C13B9">
      <w:r>
        <w:t>Name:_</w:t>
      </w:r>
      <w:r w:rsidR="003B58D7">
        <w:rPr>
          <w:u w:val="single"/>
        </w:rPr>
        <w:t>Emily Hurwitz</w:t>
      </w:r>
      <w:r>
        <w:t>_</w:t>
      </w:r>
      <w:r w:rsidR="003B58D7">
        <w:softHyphen/>
      </w:r>
      <w:r>
        <w:t>__________________</w:t>
      </w:r>
    </w:p>
    <w:p w14:paraId="7A80B887" w14:textId="77777777" w:rsidR="00B46F2C" w:rsidRDefault="00B46F2C" w:rsidP="009C13B9">
      <w:pPr>
        <w:pStyle w:val="ListParagraph"/>
        <w:ind w:left="360"/>
      </w:pPr>
    </w:p>
    <w:p w14:paraId="3733FD84" w14:textId="77777777" w:rsidR="00B46F2C" w:rsidRDefault="00B46F2C" w:rsidP="009C13B9">
      <w:r>
        <w:t>To assist review, please provide answers to the following question:</w:t>
      </w:r>
    </w:p>
    <w:p w14:paraId="60918F23" w14:textId="77777777" w:rsidR="00B46F2C" w:rsidRDefault="00B46F2C" w:rsidP="009C13B9">
      <w:pPr>
        <w:pStyle w:val="ListParagraph"/>
        <w:ind w:left="360"/>
      </w:pPr>
    </w:p>
    <w:p w14:paraId="4B2D17EB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BFB62EC" w14:textId="04CCECD5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92B33">
        <w:t xml:space="preserve"> </w:t>
      </w:r>
      <w:r>
        <w:t>] Yes  [</w:t>
      </w:r>
      <w:r w:rsidR="00394B7F">
        <w:t>X</w:t>
      </w:r>
      <w:r w:rsidR="00DE2D67">
        <w:t xml:space="preserve"> </w:t>
      </w:r>
      <w:r>
        <w:t xml:space="preserve">]  No </w:t>
      </w:r>
    </w:p>
    <w:p w14:paraId="04AE1E97" w14:textId="77777777" w:rsidR="00DE2D67" w:rsidRDefault="00DE2D67" w:rsidP="00DE2D67"/>
    <w:p w14:paraId="160EB554" w14:textId="08B36192" w:rsidR="00B46F2C" w:rsidRDefault="00B46F2C" w:rsidP="00DE2D6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4D4F16D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1FA1559" w14:textId="77777777" w:rsidR="00981928" w:rsidRDefault="00981928" w:rsidP="00C86E91">
      <w:pPr>
        <w:pStyle w:val="ListParagraph"/>
        <w:ind w:left="0"/>
        <w:rPr>
          <w:b/>
        </w:rPr>
      </w:pPr>
    </w:p>
    <w:p w14:paraId="6E2BAF82" w14:textId="29FB1FA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CF90F08" w14:textId="4B07502E" w:rsidR="00B46F2C" w:rsidRDefault="00B46F2C" w:rsidP="00C86E91">
      <w:r>
        <w:t>Is an incentive (e.g., money or reimbursement of expenses, token of appreciation) provid</w:t>
      </w:r>
      <w:r w:rsidR="00921926">
        <w:t>ed to participants?  [  ] Yes [</w:t>
      </w:r>
      <w:r w:rsidR="00394B7F">
        <w:t>X</w:t>
      </w:r>
      <w:r>
        <w:t xml:space="preserve">] No  </w:t>
      </w:r>
    </w:p>
    <w:p w14:paraId="0FA35F44" w14:textId="413A4691" w:rsidR="00B46F2C" w:rsidRDefault="00B46F2C">
      <w:pPr>
        <w:rPr>
          <w:b/>
        </w:rPr>
      </w:pPr>
    </w:p>
    <w:p w14:paraId="098A63A9" w14:textId="77777777" w:rsidR="00B46F2C" w:rsidRDefault="00B46F2C">
      <w:pPr>
        <w:rPr>
          <w:b/>
        </w:rPr>
      </w:pPr>
    </w:p>
    <w:p w14:paraId="414DA89F" w14:textId="77777777" w:rsidR="0065341E" w:rsidRDefault="0065341E" w:rsidP="00C86E91">
      <w:pPr>
        <w:rPr>
          <w:b/>
        </w:rPr>
      </w:pPr>
    </w:p>
    <w:p w14:paraId="288D62F7" w14:textId="2479308A" w:rsidR="00B46F2C" w:rsidRDefault="00B46F2C" w:rsidP="003245E3">
      <w:r>
        <w:rPr>
          <w:b/>
        </w:rPr>
        <w:t>BURDEN HOURS</w:t>
      </w:r>
    </w:p>
    <w:p w14:paraId="2A83D168" w14:textId="77777777" w:rsidR="003245E3" w:rsidRDefault="003245E3" w:rsidP="003245E3">
      <w:pPr>
        <w:rPr>
          <w:color w:val="1F497D"/>
          <w:sz w:val="22"/>
          <w:szCs w:val="22"/>
        </w:rPr>
      </w:pPr>
    </w:p>
    <w:tbl>
      <w:tblPr>
        <w:tblW w:w="9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1710"/>
        <w:gridCol w:w="1625"/>
        <w:gridCol w:w="1572"/>
        <w:gridCol w:w="1798"/>
        <w:gridCol w:w="1620"/>
      </w:tblGrid>
      <w:tr w:rsidR="003245E3" w14:paraId="4C96EF8A" w14:textId="77777777" w:rsidTr="003245E3"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52CF" w14:textId="77777777" w:rsidR="003245E3" w:rsidRDefault="003245E3">
            <w:r>
              <w:t xml:space="preserve">Type of Respondent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8260" w14:textId="77777777" w:rsidR="003245E3" w:rsidRDefault="003245E3">
            <w:r>
              <w:t>Form name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790A" w14:textId="77777777" w:rsidR="003245E3" w:rsidRDefault="003245E3">
            <w:r>
              <w:t>No. of Respondents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3825" w14:textId="77777777" w:rsidR="003245E3" w:rsidRDefault="003245E3">
            <w:r>
              <w:t>No. of Responses per Respondent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B02B" w14:textId="77777777" w:rsidR="003245E3" w:rsidRDefault="003245E3">
            <w:r>
              <w:t>Avg. Burden per Response (in hrs.)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3B75" w14:textId="77777777" w:rsidR="003245E3" w:rsidRDefault="003245E3">
            <w:r>
              <w:t>Total Burden Hours</w:t>
            </w:r>
          </w:p>
        </w:tc>
      </w:tr>
      <w:tr w:rsidR="003245E3" w14:paraId="44312E0F" w14:textId="77777777" w:rsidTr="003245E3">
        <w:tc>
          <w:tcPr>
            <w:tcW w:w="16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5A85" w14:textId="77777777" w:rsidR="003245E3" w:rsidRDefault="003245E3"/>
          <w:p w14:paraId="524D94E7" w14:textId="77777777" w:rsidR="003245E3" w:rsidRDefault="003245E3"/>
          <w:p w14:paraId="0556540A" w14:textId="77777777" w:rsidR="003245E3" w:rsidRDefault="003245E3"/>
          <w:p w14:paraId="5BE2A93F" w14:textId="77777777" w:rsidR="003245E3" w:rsidRDefault="003245E3"/>
          <w:p w14:paraId="2183B6C5" w14:textId="77777777" w:rsidR="003245E3" w:rsidRDefault="003245E3"/>
          <w:p w14:paraId="55077816" w14:textId="77777777" w:rsidR="003245E3" w:rsidRDefault="003245E3"/>
          <w:p w14:paraId="1A96B9A3" w14:textId="77777777" w:rsidR="003245E3" w:rsidRDefault="003245E3"/>
          <w:p w14:paraId="235C6D4C" w14:textId="77777777" w:rsidR="003245E3" w:rsidRDefault="003245E3"/>
          <w:p w14:paraId="2BD9B03D" w14:textId="77777777" w:rsidR="003245E3" w:rsidRDefault="003245E3"/>
          <w:p w14:paraId="594ACD67" w14:textId="77777777" w:rsidR="003245E3" w:rsidRDefault="003245E3"/>
          <w:p w14:paraId="25B6DFEE" w14:textId="77777777" w:rsidR="003245E3" w:rsidRDefault="003245E3">
            <w:r>
              <w:t>Medical Professionals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7C6F" w14:textId="77777777" w:rsidR="003245E3" w:rsidRDefault="003245E3">
            <w:r>
              <w:t>Cancer and the World Trade Center Health Program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9966" w14:textId="77777777" w:rsidR="003245E3" w:rsidRDefault="003245E3">
            <w:r>
              <w:t>180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A743" w14:textId="77777777" w:rsidR="003245E3" w:rsidRDefault="003245E3">
            <w: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7A93" w14:textId="77777777" w:rsidR="003245E3" w:rsidRDefault="003245E3">
            <w:r>
              <w:t>5/60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2CF3" w14:textId="77777777" w:rsidR="003245E3" w:rsidRDefault="003245E3">
            <w:r>
              <w:t>15</w:t>
            </w:r>
          </w:p>
        </w:tc>
      </w:tr>
      <w:tr w:rsidR="003245E3" w14:paraId="5801E766" w14:textId="77777777" w:rsidTr="00324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0CFBD" w14:textId="77777777" w:rsidR="003245E3" w:rsidRDefault="003245E3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5AC7" w14:textId="77777777" w:rsidR="003245E3" w:rsidRDefault="003245E3">
            <w:r>
              <w:t>Advances in the Screening and Treatment for WTC Responders and Survivors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6B52" w14:textId="77777777" w:rsidR="003245E3" w:rsidRDefault="003245E3">
            <w:r>
              <w:t>180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F943" w14:textId="77777777" w:rsidR="003245E3" w:rsidRDefault="003245E3">
            <w: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5C54" w14:textId="77777777" w:rsidR="003245E3" w:rsidRDefault="003245E3">
            <w:r>
              <w:t>5/60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C5F4" w14:textId="77777777" w:rsidR="003245E3" w:rsidRDefault="003245E3">
            <w:r>
              <w:t>15</w:t>
            </w:r>
          </w:p>
        </w:tc>
      </w:tr>
      <w:tr w:rsidR="003245E3" w14:paraId="0ACBBC1C" w14:textId="77777777" w:rsidTr="00324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71203" w14:textId="77777777" w:rsidR="003245E3" w:rsidRDefault="003245E3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F4BF" w14:textId="77777777" w:rsidR="003245E3" w:rsidRDefault="003245E3">
            <w:r>
              <w:t>Airway, Digestive, and Mental Health Comorbidities in WTC Responders and Survivors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46AA" w14:textId="77777777" w:rsidR="003245E3" w:rsidRDefault="003245E3">
            <w:r>
              <w:t>265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A43B" w14:textId="77777777" w:rsidR="003245E3" w:rsidRDefault="003245E3">
            <w: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0EF4" w14:textId="77777777" w:rsidR="003245E3" w:rsidRDefault="003245E3">
            <w:r>
              <w:t>5/60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5DDD" w14:textId="77777777" w:rsidR="003245E3" w:rsidRDefault="003245E3">
            <w:r>
              <w:t>22</w:t>
            </w:r>
          </w:p>
        </w:tc>
      </w:tr>
      <w:tr w:rsidR="003245E3" w14:paraId="2825A356" w14:textId="77777777" w:rsidTr="00324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C22F6" w14:textId="77777777" w:rsidR="003245E3" w:rsidRDefault="003245E3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1854" w14:textId="77777777" w:rsidR="003245E3" w:rsidRDefault="003245E3">
            <w:r>
              <w:t>Health Risks Associated with 9/11 and the WTC Disaster: Lessons Learned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03A5" w14:textId="77777777" w:rsidR="003245E3" w:rsidRDefault="003245E3">
            <w: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7C19" w14:textId="77777777" w:rsidR="003245E3" w:rsidRDefault="003245E3">
            <w: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BCE5" w14:textId="77777777" w:rsidR="003245E3" w:rsidRDefault="003245E3">
            <w:r>
              <w:t>5/60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9A05" w14:textId="77777777" w:rsidR="003245E3" w:rsidRDefault="003245E3">
            <w:r>
              <w:t>8</w:t>
            </w:r>
          </w:p>
        </w:tc>
      </w:tr>
      <w:tr w:rsidR="003245E3" w14:paraId="21E96630" w14:textId="77777777" w:rsidTr="003245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7D4D6" w14:textId="77777777" w:rsidR="003245E3" w:rsidRDefault="003245E3">
            <w:pPr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F13B" w14:textId="77777777" w:rsidR="003245E3" w:rsidRDefault="003245E3">
            <w:r>
              <w:t>After the 9/11 Terrorist Attacks: The World Trade Center Health Program and Disaster Response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35F6" w14:textId="77777777" w:rsidR="003245E3" w:rsidRDefault="003245E3">
            <w:r>
              <w:t>275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C375" w14:textId="77777777" w:rsidR="003245E3" w:rsidRDefault="003245E3">
            <w: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35FA" w14:textId="77777777" w:rsidR="003245E3" w:rsidRDefault="003245E3">
            <w:r>
              <w:t>5/60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7376" w14:textId="77777777" w:rsidR="003245E3" w:rsidRDefault="003245E3">
            <w:r>
              <w:t>23</w:t>
            </w:r>
          </w:p>
        </w:tc>
      </w:tr>
      <w:tr w:rsidR="003245E3" w14:paraId="602C3282" w14:textId="77777777" w:rsidTr="003245E3">
        <w:trPr>
          <w:trHeight w:val="60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6CE6" w14:textId="77777777" w:rsidR="003245E3" w:rsidRDefault="003245E3">
            <w:r>
              <w:t>Total</w:t>
            </w:r>
          </w:p>
        </w:tc>
        <w:tc>
          <w:tcPr>
            <w:tcW w:w="67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7F75" w14:textId="77777777" w:rsidR="003245E3" w:rsidRDefault="003245E3">
            <w:pPr>
              <w:rPr>
                <w:color w:val="1F497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856C" w14:textId="1ABCF91E" w:rsidR="003245E3" w:rsidRDefault="000A2633">
            <w:pPr>
              <w:rPr>
                <w:color w:val="1F497D"/>
              </w:rPr>
            </w:pPr>
            <w:r>
              <w:t>83</w:t>
            </w:r>
          </w:p>
        </w:tc>
      </w:tr>
    </w:tbl>
    <w:p w14:paraId="1A9AA0DD" w14:textId="77777777" w:rsidR="003245E3" w:rsidRDefault="003245E3" w:rsidP="003245E3">
      <w:pPr>
        <w:rPr>
          <w:rFonts w:ascii="Calibri" w:eastAsiaTheme="minorHAnsi" w:hAnsi="Calibri" w:cs="Calibri"/>
          <w:color w:val="1F497D"/>
          <w:sz w:val="22"/>
          <w:szCs w:val="22"/>
        </w:rPr>
      </w:pPr>
    </w:p>
    <w:p w14:paraId="5847D4E7" w14:textId="09CAA817" w:rsidR="003245E3" w:rsidRDefault="003245E3" w:rsidP="003245E3"/>
    <w:p w14:paraId="3E9F4343" w14:textId="77777777" w:rsidR="003245E3" w:rsidRDefault="003245E3" w:rsidP="003245E3"/>
    <w:p w14:paraId="44D6DA42" w14:textId="00CB9BA1" w:rsidR="003B58D7" w:rsidRDefault="001E2DB1" w:rsidP="00F3170F">
      <w:r>
        <w:lastRenderedPageBreak/>
        <w:t xml:space="preserve">Burden hours have been estimated based on data </w:t>
      </w:r>
      <w:r w:rsidR="0096607D">
        <w:t>of</w:t>
      </w:r>
      <w:r>
        <w:t xml:space="preserve"> respondents </w:t>
      </w:r>
      <w:r w:rsidR="0096607D">
        <w:t>spanning all five WTCHP courses.</w:t>
      </w:r>
      <w:r w:rsidR="009413EA">
        <w:t xml:space="preserve">  We anticipate having the same or more respondents for future trainings.</w:t>
      </w:r>
      <w:r w:rsidR="00617C39">
        <w:t xml:space="preserve">  </w:t>
      </w:r>
      <w:r w:rsidR="003B58D7">
        <w:t>Each survey ranges from 32 to 39 questions.</w:t>
      </w:r>
    </w:p>
    <w:p w14:paraId="12F87CDF" w14:textId="3438C026" w:rsidR="003B58D7" w:rsidRDefault="003B58D7" w:rsidP="00F3170F"/>
    <w:p w14:paraId="340ECB67" w14:textId="530E3030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921926">
        <w:rPr>
          <w:u w:val="single"/>
        </w:rPr>
        <w:softHyphen/>
        <w:t>$</w:t>
      </w:r>
      <w:r w:rsidR="004D6608" w:rsidRPr="004D6608">
        <w:rPr>
          <w:u w:val="single"/>
        </w:rPr>
        <w:t>0</w:t>
      </w:r>
      <w:r w:rsidR="004D6608">
        <w:t>_</w:t>
      </w:r>
      <w:r>
        <w:t>___</w:t>
      </w:r>
    </w:p>
    <w:p w14:paraId="369DEAA9" w14:textId="77777777" w:rsidR="00B46F2C" w:rsidRDefault="00B46F2C">
      <w:pPr>
        <w:rPr>
          <w:b/>
          <w:bCs/>
          <w:u w:val="single"/>
        </w:rPr>
      </w:pPr>
    </w:p>
    <w:p w14:paraId="634030BB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09A5FE2" w14:textId="77777777" w:rsidR="00B46F2C" w:rsidRDefault="00B46F2C" w:rsidP="00F06866">
      <w:pPr>
        <w:rPr>
          <w:b/>
        </w:rPr>
      </w:pPr>
    </w:p>
    <w:p w14:paraId="2D5D34C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BBF4BD3" w14:textId="315BB535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1E2DB1">
        <w:t>X</w:t>
      </w:r>
      <w:r>
        <w:t xml:space="preserve"> ] Yes</w:t>
      </w:r>
      <w:r>
        <w:tab/>
        <w:t>[] No</w:t>
      </w:r>
    </w:p>
    <w:p w14:paraId="24CCD610" w14:textId="77777777" w:rsidR="00B46F2C" w:rsidRDefault="00B46F2C" w:rsidP="00636621">
      <w:pPr>
        <w:pStyle w:val="ListParagraph"/>
      </w:pPr>
    </w:p>
    <w:p w14:paraId="613CF9C1" w14:textId="40F73594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</w:p>
    <w:p w14:paraId="7B464810" w14:textId="3B7F267F" w:rsidR="00B46F2C" w:rsidRDefault="001E2DB1" w:rsidP="001E2DB1">
      <w:pPr>
        <w:ind w:left="720"/>
      </w:pPr>
      <w:r>
        <w:t>Responses are tracked through CDC Train and Training and Continuing Education Online (TCEO).  The following is a sampling of tracked data.</w:t>
      </w:r>
    </w:p>
    <w:p w14:paraId="52477DAE" w14:textId="05C3455A" w:rsidR="00B46F2C" w:rsidRDefault="005D243D" w:rsidP="00A403BB">
      <w:r>
        <w:t>.</w:t>
      </w:r>
      <w:r w:rsidR="00DE2D67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913"/>
        <w:gridCol w:w="1092"/>
        <w:gridCol w:w="1072"/>
        <w:gridCol w:w="1101"/>
        <w:gridCol w:w="769"/>
        <w:gridCol w:w="917"/>
        <w:gridCol w:w="954"/>
      </w:tblGrid>
      <w:tr w:rsidR="001E2DB1" w14:paraId="1840FC64" w14:textId="77777777" w:rsidTr="001E2DB1">
        <w:trPr>
          <w:trHeight w:val="406"/>
        </w:trPr>
        <w:tc>
          <w:tcPr>
            <w:tcW w:w="39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5BF9876C" w14:textId="77777777" w:rsidR="001E2DB1" w:rsidRDefault="001E2DB1">
            <w:pPr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CE Type</w:t>
            </w:r>
          </w:p>
        </w:tc>
        <w:tc>
          <w:tcPr>
            <w:tcW w:w="929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0ECD2CA7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Available CE</w:t>
            </w:r>
          </w:p>
        </w:tc>
        <w:tc>
          <w:tcPr>
            <w:tcW w:w="116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7036C427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Registered</w:t>
            </w:r>
          </w:p>
        </w:tc>
        <w:tc>
          <w:tcPr>
            <w:tcW w:w="111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001002EF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Completed</w:t>
            </w:r>
          </w:p>
        </w:tc>
        <w:tc>
          <w:tcPr>
            <w:tcW w:w="120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014D3A8F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%</w:t>
            </w:r>
          </w:p>
          <w:p w14:paraId="0ACC281E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 xml:space="preserve">Completed </w:t>
            </w:r>
          </w:p>
        </w:tc>
        <w:tc>
          <w:tcPr>
            <w:tcW w:w="89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552BAF74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Passed</w:t>
            </w:r>
          </w:p>
        </w:tc>
        <w:tc>
          <w:tcPr>
            <w:tcW w:w="116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07F6C5E6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%</w:t>
            </w:r>
          </w:p>
          <w:p w14:paraId="2112BC8F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Passed</w:t>
            </w:r>
          </w:p>
        </w:tc>
        <w:tc>
          <w:tcPr>
            <w:tcW w:w="1109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0000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14:paraId="66D86FAC" w14:textId="77777777" w:rsidR="001E2DB1" w:rsidRDefault="001E2DB1"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Total  CE Awarded</w:t>
            </w:r>
          </w:p>
        </w:tc>
      </w:tr>
      <w:tr w:rsidR="001E2DB1" w14:paraId="1DACECD1" w14:textId="77777777" w:rsidTr="001E2DB1">
        <w:trPr>
          <w:trHeight w:val="282"/>
        </w:trPr>
        <w:tc>
          <w:tcPr>
            <w:tcW w:w="393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1F592E" w14:textId="77777777" w:rsidR="001E2DB1" w:rsidRDefault="001E2DB1"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WB2811 - After the 9/11 Terrorist Attacks: The World Trade Center Health Program and Disaster Response (Web-based) </w:t>
            </w:r>
          </w:p>
        </w:tc>
      </w:tr>
      <w:tr w:rsidR="001E2DB1" w14:paraId="6A27A6E2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05BCC2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Audit  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7261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DCC86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C0E0B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437BE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50.00%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F5712A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311BA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CBF29F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0.00</w:t>
            </w:r>
          </w:p>
        </w:tc>
      </w:tr>
      <w:tr w:rsidR="001E2DB1" w14:paraId="19BBBBDC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3A263D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CEU  (other professionals)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D9A87B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16AF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11A8B3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1B77E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72.13%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6915CB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5EF5B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79.55%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6C2B08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3.50</w:t>
            </w:r>
          </w:p>
        </w:tc>
      </w:tr>
      <w:tr w:rsidR="001E2DB1" w14:paraId="0514A35C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29441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CME  (physicians)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9E5756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929E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1A3EF6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EE69B8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80.00%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5A5F2E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024F6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93.75%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D57F8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7.50</w:t>
            </w:r>
          </w:p>
        </w:tc>
      </w:tr>
      <w:tr w:rsidR="001E2DB1" w14:paraId="6256E672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BA0DF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CME_NON  (attendance for non-physicians)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73114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528A3C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8DDB97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2E07C0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78.95%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C122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19EB0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93.33%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B1A014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7.00</w:t>
            </w:r>
          </w:p>
        </w:tc>
      </w:tr>
      <w:tr w:rsidR="001E2DB1" w14:paraId="011D1C7D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92AF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CME_PAR  (participation for non-physicians)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F134C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42EA4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E0FD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3534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8F656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32BFC5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F3B2BF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0.00</w:t>
            </w:r>
          </w:p>
        </w:tc>
      </w:tr>
      <w:tr w:rsidR="001E2DB1" w14:paraId="5361ECD7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A8561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CNE  (nurses)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BCD41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3E14F3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67C0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C1ED64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83.13%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FA0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0E38A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88.41%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60EC8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12.20</w:t>
            </w:r>
          </w:p>
        </w:tc>
      </w:tr>
      <w:tr w:rsidR="001E2DB1" w14:paraId="458E566A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7DA4E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CPE  (pharmacists)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0ED940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B129EA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1E2A7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1090C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60.00%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4C5CF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575B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2777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0.09</w:t>
            </w:r>
          </w:p>
        </w:tc>
      </w:tr>
      <w:tr w:rsidR="001E2DB1" w14:paraId="0F8CDF2A" w14:textId="77777777" w:rsidTr="001E2DB1">
        <w:trPr>
          <w:trHeight w:val="242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60B49" w14:textId="77777777" w:rsidR="001E2DB1" w:rsidRDefault="001E2DB1">
            <w:r>
              <w:rPr>
                <w:rFonts w:ascii="Tahoma" w:hAnsi="Tahoma" w:cs="Tahoma"/>
                <w:color w:val="000000"/>
                <w:sz w:val="18"/>
                <w:szCs w:val="18"/>
              </w:rPr>
              <w:t>CPH  (public health professionals)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3B9CC7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A4D0B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A80AA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D6DDD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0A3489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E5006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0D15F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1.00</w:t>
            </w:r>
          </w:p>
        </w:tc>
      </w:tr>
      <w:tr w:rsidR="001E2DB1" w14:paraId="0AA1A981" w14:textId="77777777" w:rsidTr="001E2DB1">
        <w:trPr>
          <w:trHeight w:val="300"/>
        </w:trPr>
        <w:tc>
          <w:tcPr>
            <w:tcW w:w="39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5A03D5" w14:textId="77777777" w:rsidR="001E2DB1" w:rsidRDefault="001E2DB1"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51D759" w14:textId="77777777" w:rsidR="001E2DB1" w:rsidRDefault="001E2DB1"/>
        </w:tc>
        <w:tc>
          <w:tcPr>
            <w:tcW w:w="116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BF4A6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6E9F4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99EB83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78.24 %</w:t>
            </w:r>
          </w:p>
        </w:tc>
        <w:tc>
          <w:tcPr>
            <w:tcW w:w="89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ECF170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F6F7EF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87.42 %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923FAD" w14:textId="77777777" w:rsidR="001E2DB1" w:rsidRDefault="001E2DB1">
            <w:pPr>
              <w:jc w:val="right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31.29</w:t>
            </w:r>
          </w:p>
        </w:tc>
      </w:tr>
    </w:tbl>
    <w:p w14:paraId="17B7C5BA" w14:textId="5CE26373" w:rsidR="00B46F2C" w:rsidRDefault="00B46F2C" w:rsidP="00A403BB"/>
    <w:p w14:paraId="00293C7A" w14:textId="77777777" w:rsidR="00B46F2C" w:rsidRDefault="00B46F2C" w:rsidP="00A403BB">
      <w:pPr>
        <w:rPr>
          <w:b/>
        </w:rPr>
      </w:pPr>
    </w:p>
    <w:p w14:paraId="4901C7DF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45D8EA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4368052" w14:textId="7DFAA101" w:rsidR="00B46F2C" w:rsidRDefault="00EA7764" w:rsidP="001B0AAA">
      <w:pPr>
        <w:ind w:left="720"/>
      </w:pPr>
      <w:r>
        <w:t>[X</w:t>
      </w:r>
      <w:r w:rsidR="00B46F2C">
        <w:t xml:space="preserve">] Web-based or other forms of Social Media </w:t>
      </w:r>
    </w:p>
    <w:p w14:paraId="69E5B9F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2D1BC2B3" w14:textId="10FBA3C9" w:rsidR="00B46F2C" w:rsidRDefault="00B46F2C" w:rsidP="001B0AAA">
      <w:pPr>
        <w:ind w:left="720"/>
      </w:pPr>
      <w:r>
        <w:t>[</w:t>
      </w:r>
      <w:r w:rsidR="00106987">
        <w:t xml:space="preserve"> </w:t>
      </w:r>
      <w:r>
        <w:t>] In-person</w:t>
      </w:r>
      <w:r>
        <w:tab/>
      </w:r>
    </w:p>
    <w:p w14:paraId="1D090693" w14:textId="0194875E" w:rsidR="00B46F2C" w:rsidRDefault="00B46F2C" w:rsidP="001B0AAA">
      <w:pPr>
        <w:ind w:left="720"/>
      </w:pPr>
      <w:r>
        <w:t xml:space="preserve">[  ] Mail </w:t>
      </w:r>
    </w:p>
    <w:p w14:paraId="7E4DFC0E" w14:textId="06EF1FF4" w:rsidR="00B46F2C" w:rsidRDefault="00F7074A" w:rsidP="001B0AAA">
      <w:pPr>
        <w:ind w:left="720"/>
      </w:pPr>
      <w:r>
        <w:t xml:space="preserve">[ </w:t>
      </w:r>
      <w:r w:rsidR="00B46F2C">
        <w:t>] Other, Explain</w:t>
      </w:r>
    </w:p>
    <w:p w14:paraId="48440E67" w14:textId="77777777" w:rsidR="00106987" w:rsidRDefault="00106987" w:rsidP="00106987"/>
    <w:p w14:paraId="10CBB04E" w14:textId="3A83C5B3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394B7F">
        <w:t>cilitators be used?  [  ] Yes [X</w:t>
      </w:r>
      <w:r>
        <w:t>] No</w:t>
      </w:r>
    </w:p>
    <w:p w14:paraId="713766B1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56B83A4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8A627C9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9511193" w14:textId="77777777" w:rsidR="00B46F2C" w:rsidRDefault="00B46F2C" w:rsidP="00F24CFC">
      <w:pPr>
        <w:rPr>
          <w:b/>
        </w:rPr>
      </w:pPr>
    </w:p>
    <w:p w14:paraId="161C2027" w14:textId="77777777" w:rsidR="00B46F2C" w:rsidRDefault="00151E8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50A8A7" wp14:editId="4D62E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A1302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00A3349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325E5D6C" w14:textId="77777777" w:rsidR="00B46F2C" w:rsidRPr="008F50D4" w:rsidRDefault="00B46F2C" w:rsidP="00F24CFC"/>
    <w:p w14:paraId="6932D34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DDFF281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367230A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6B83137" w14:textId="77777777" w:rsidR="00B46F2C" w:rsidRPr="008F50D4" w:rsidRDefault="00B46F2C" w:rsidP="00F24CFC">
      <w:pPr>
        <w:rPr>
          <w:b/>
        </w:rPr>
      </w:pPr>
    </w:p>
    <w:p w14:paraId="7344EB1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5FC931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5A3FEB9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F6FD479" w14:textId="77777777" w:rsidR="00B46F2C" w:rsidRDefault="00B46F2C" w:rsidP="00F24CFC">
      <w:pPr>
        <w:rPr>
          <w:sz w:val="16"/>
          <w:szCs w:val="16"/>
        </w:rPr>
      </w:pPr>
    </w:p>
    <w:p w14:paraId="30371AEC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4D10980A" w14:textId="77777777" w:rsidR="00B46F2C" w:rsidRPr="008F50D4" w:rsidRDefault="00B46F2C" w:rsidP="00F24CFC"/>
    <w:p w14:paraId="10A59C57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C6B6DE1" w14:textId="77777777" w:rsidR="00B46F2C" w:rsidRDefault="00B46F2C" w:rsidP="00F24CFC">
      <w:pPr>
        <w:rPr>
          <w:b/>
        </w:rPr>
      </w:pPr>
    </w:p>
    <w:p w14:paraId="00631407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7404085D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9C1BDFD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8A271D7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AF64AA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599D057" w14:textId="77777777" w:rsidR="00B46F2C" w:rsidRPr="006832D9" w:rsidRDefault="00B46F2C" w:rsidP="00F24CFC">
      <w:pPr>
        <w:keepNext/>
        <w:keepLines/>
        <w:rPr>
          <w:b/>
        </w:rPr>
      </w:pPr>
    </w:p>
    <w:p w14:paraId="18DA68E2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DF66053" w14:textId="77777777" w:rsidR="00B46F2C" w:rsidRDefault="00B46F2C" w:rsidP="00F24CFC">
      <w:pPr>
        <w:rPr>
          <w:b/>
          <w:bCs/>
          <w:u w:val="single"/>
        </w:rPr>
      </w:pPr>
    </w:p>
    <w:p w14:paraId="3FDA08CC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A90603D" w14:textId="77777777" w:rsidR="00B46F2C" w:rsidRDefault="00B46F2C" w:rsidP="00F24CFC">
      <w:pPr>
        <w:rPr>
          <w:b/>
        </w:rPr>
      </w:pPr>
    </w:p>
    <w:p w14:paraId="7FC8CDBC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589B3BC" w14:textId="77777777" w:rsidR="00B46F2C" w:rsidRDefault="00B46F2C" w:rsidP="00F24CFC">
      <w:pPr>
        <w:rPr>
          <w:b/>
        </w:rPr>
      </w:pPr>
    </w:p>
    <w:p w14:paraId="1EC118AD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0DC7578" w14:textId="77777777" w:rsidR="00B46F2C" w:rsidRDefault="00B46F2C" w:rsidP="00F24CFC">
      <w:pPr>
        <w:pStyle w:val="ListParagraph"/>
        <w:ind w:left="360"/>
      </w:pPr>
    </w:p>
    <w:p w14:paraId="54936784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5F71496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BBF1A" w14:textId="77777777" w:rsidR="009D5A1B" w:rsidRDefault="009D5A1B">
      <w:r>
        <w:separator/>
      </w:r>
    </w:p>
  </w:endnote>
  <w:endnote w:type="continuationSeparator" w:id="0">
    <w:p w14:paraId="6A442140" w14:textId="77777777" w:rsidR="009D5A1B" w:rsidRDefault="009D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9D55" w14:textId="3C1363F4" w:rsidR="005945A7" w:rsidRDefault="005945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1A8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157E0" w14:textId="77777777" w:rsidR="009D5A1B" w:rsidRDefault="009D5A1B">
      <w:r>
        <w:separator/>
      </w:r>
    </w:p>
  </w:footnote>
  <w:footnote w:type="continuationSeparator" w:id="0">
    <w:p w14:paraId="4065C75E" w14:textId="77777777" w:rsidR="009D5A1B" w:rsidRDefault="009D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E01BB"/>
    <w:multiLevelType w:val="hybridMultilevel"/>
    <w:tmpl w:val="8E5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B84111"/>
    <w:multiLevelType w:val="hybridMultilevel"/>
    <w:tmpl w:val="EDD6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1E89"/>
    <w:rsid w:val="00067329"/>
    <w:rsid w:val="000A1D7E"/>
    <w:rsid w:val="000A2633"/>
    <w:rsid w:val="000B2838"/>
    <w:rsid w:val="000C2C78"/>
    <w:rsid w:val="000D44CA"/>
    <w:rsid w:val="000E200B"/>
    <w:rsid w:val="000F68BE"/>
    <w:rsid w:val="0010112E"/>
    <w:rsid w:val="00106987"/>
    <w:rsid w:val="001070E5"/>
    <w:rsid w:val="00111259"/>
    <w:rsid w:val="00151E81"/>
    <w:rsid w:val="001927A4"/>
    <w:rsid w:val="00194AC6"/>
    <w:rsid w:val="001A23B0"/>
    <w:rsid w:val="001A25CC"/>
    <w:rsid w:val="001B0AAA"/>
    <w:rsid w:val="001C39F7"/>
    <w:rsid w:val="001E2DB1"/>
    <w:rsid w:val="0020024B"/>
    <w:rsid w:val="00237B48"/>
    <w:rsid w:val="0024521E"/>
    <w:rsid w:val="00263C3D"/>
    <w:rsid w:val="00274D0B"/>
    <w:rsid w:val="002821FF"/>
    <w:rsid w:val="002B3C95"/>
    <w:rsid w:val="002D0B92"/>
    <w:rsid w:val="00305A37"/>
    <w:rsid w:val="003245E3"/>
    <w:rsid w:val="0034204A"/>
    <w:rsid w:val="003675DB"/>
    <w:rsid w:val="003817F5"/>
    <w:rsid w:val="00394B7F"/>
    <w:rsid w:val="003A41C3"/>
    <w:rsid w:val="003B169E"/>
    <w:rsid w:val="003B58D7"/>
    <w:rsid w:val="003D5BBE"/>
    <w:rsid w:val="003E3C61"/>
    <w:rsid w:val="003F1C5B"/>
    <w:rsid w:val="0041337D"/>
    <w:rsid w:val="00415D8F"/>
    <w:rsid w:val="00434E33"/>
    <w:rsid w:val="00441434"/>
    <w:rsid w:val="0045264C"/>
    <w:rsid w:val="004550BC"/>
    <w:rsid w:val="00456CE0"/>
    <w:rsid w:val="00460654"/>
    <w:rsid w:val="004876EC"/>
    <w:rsid w:val="004B05B0"/>
    <w:rsid w:val="004D6608"/>
    <w:rsid w:val="004D6E14"/>
    <w:rsid w:val="004F774D"/>
    <w:rsid w:val="005009B0"/>
    <w:rsid w:val="00512CA7"/>
    <w:rsid w:val="005277C2"/>
    <w:rsid w:val="005945A7"/>
    <w:rsid w:val="005A1006"/>
    <w:rsid w:val="005D243D"/>
    <w:rsid w:val="005E714A"/>
    <w:rsid w:val="005F7F53"/>
    <w:rsid w:val="00600869"/>
    <w:rsid w:val="006140A0"/>
    <w:rsid w:val="00617C39"/>
    <w:rsid w:val="00636621"/>
    <w:rsid w:val="00642B49"/>
    <w:rsid w:val="0065341E"/>
    <w:rsid w:val="006832D9"/>
    <w:rsid w:val="0069403B"/>
    <w:rsid w:val="006B1C66"/>
    <w:rsid w:val="006F3DDE"/>
    <w:rsid w:val="006F6BA0"/>
    <w:rsid w:val="00704678"/>
    <w:rsid w:val="007425E7"/>
    <w:rsid w:val="00785E1B"/>
    <w:rsid w:val="007A1A8B"/>
    <w:rsid w:val="00802607"/>
    <w:rsid w:val="008101A5"/>
    <w:rsid w:val="008150B4"/>
    <w:rsid w:val="00822664"/>
    <w:rsid w:val="00843796"/>
    <w:rsid w:val="00892B33"/>
    <w:rsid w:val="00895229"/>
    <w:rsid w:val="008D1497"/>
    <w:rsid w:val="008F0203"/>
    <w:rsid w:val="008F50D4"/>
    <w:rsid w:val="00921926"/>
    <w:rsid w:val="009239AA"/>
    <w:rsid w:val="00935ADA"/>
    <w:rsid w:val="009413EA"/>
    <w:rsid w:val="009450FA"/>
    <w:rsid w:val="00946B6C"/>
    <w:rsid w:val="00955A71"/>
    <w:rsid w:val="0096108F"/>
    <w:rsid w:val="0096607D"/>
    <w:rsid w:val="00981928"/>
    <w:rsid w:val="009C13B9"/>
    <w:rsid w:val="009D01A2"/>
    <w:rsid w:val="009D5A1B"/>
    <w:rsid w:val="009F5923"/>
    <w:rsid w:val="00A04830"/>
    <w:rsid w:val="00A403BB"/>
    <w:rsid w:val="00A54145"/>
    <w:rsid w:val="00A674DF"/>
    <w:rsid w:val="00A83AA6"/>
    <w:rsid w:val="00AA5E2E"/>
    <w:rsid w:val="00AD777F"/>
    <w:rsid w:val="00AE1809"/>
    <w:rsid w:val="00B11FE4"/>
    <w:rsid w:val="00B46F2C"/>
    <w:rsid w:val="00B5594F"/>
    <w:rsid w:val="00B80D76"/>
    <w:rsid w:val="00BA2105"/>
    <w:rsid w:val="00BA745F"/>
    <w:rsid w:val="00BA7E06"/>
    <w:rsid w:val="00BB43B5"/>
    <w:rsid w:val="00BB6219"/>
    <w:rsid w:val="00BD290F"/>
    <w:rsid w:val="00C14CC4"/>
    <w:rsid w:val="00C33C52"/>
    <w:rsid w:val="00C40D8B"/>
    <w:rsid w:val="00C53952"/>
    <w:rsid w:val="00C8407A"/>
    <w:rsid w:val="00C8488C"/>
    <w:rsid w:val="00C86E91"/>
    <w:rsid w:val="00CA2650"/>
    <w:rsid w:val="00CB1078"/>
    <w:rsid w:val="00CC6FAF"/>
    <w:rsid w:val="00CF54E1"/>
    <w:rsid w:val="00D03B7C"/>
    <w:rsid w:val="00D24698"/>
    <w:rsid w:val="00D32997"/>
    <w:rsid w:val="00D6383F"/>
    <w:rsid w:val="00D71221"/>
    <w:rsid w:val="00DA04A5"/>
    <w:rsid w:val="00DB59D0"/>
    <w:rsid w:val="00DC33D3"/>
    <w:rsid w:val="00DE2D67"/>
    <w:rsid w:val="00E26329"/>
    <w:rsid w:val="00E40B50"/>
    <w:rsid w:val="00E50293"/>
    <w:rsid w:val="00E65FFC"/>
    <w:rsid w:val="00E71229"/>
    <w:rsid w:val="00E80951"/>
    <w:rsid w:val="00E854FE"/>
    <w:rsid w:val="00E86CC6"/>
    <w:rsid w:val="00EA711D"/>
    <w:rsid w:val="00EA7764"/>
    <w:rsid w:val="00EB56B3"/>
    <w:rsid w:val="00ED6492"/>
    <w:rsid w:val="00EF2095"/>
    <w:rsid w:val="00F035DF"/>
    <w:rsid w:val="00F06866"/>
    <w:rsid w:val="00F15956"/>
    <w:rsid w:val="00F24CFC"/>
    <w:rsid w:val="00F306EF"/>
    <w:rsid w:val="00F3170F"/>
    <w:rsid w:val="00F4017B"/>
    <w:rsid w:val="00F60774"/>
    <w:rsid w:val="00F7074A"/>
    <w:rsid w:val="00F91992"/>
    <w:rsid w:val="00F976B0"/>
    <w:rsid w:val="00FA6DE7"/>
    <w:rsid w:val="00FC0A8E"/>
    <w:rsid w:val="00FE2FA6"/>
    <w:rsid w:val="00FE3DF2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8FC4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6D8B1D5A864FAF4DF95809C75146" ma:contentTypeVersion="7" ma:contentTypeDescription="Create a new document." ma:contentTypeScope="" ma:versionID="c67ece792bba83736accf4a412925dc4">
  <xsd:schema xmlns:xsd="http://www.w3.org/2001/XMLSchema" xmlns:xs="http://www.w3.org/2001/XMLSchema" xmlns:p="http://schemas.microsoft.com/office/2006/metadata/properties" xmlns:ns2="ab775ff6-e757-446e-addf-3cec327ccf4c" xmlns:ns3="fec0e35f-b5d1-48d3-a180-d8f8df764af2" targetNamespace="http://schemas.microsoft.com/office/2006/metadata/properties" ma:root="true" ma:fieldsID="357cde45a37b5160528d7a58746abde5" ns2:_="" ns3:_="">
    <xsd:import namespace="ab775ff6-e757-446e-addf-3cec327ccf4c"/>
    <xsd:import namespace="fec0e35f-b5d1-48d3-a180-d8f8df764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duct_x002f_Project" minOccurs="0"/>
                <xsd:element ref="ns3:ShowOnHome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e35f-b5d1-48d3-a180-d8f8df764af2" elementFormDefault="qualified">
    <xsd:import namespace="http://schemas.microsoft.com/office/2006/documentManagement/types"/>
    <xsd:import namespace="http://schemas.microsoft.com/office/infopath/2007/PartnerControls"/>
    <xsd:element name="Product_x002f_Project" ma:index="11" nillable="true" ma:displayName="Product/Project" ma:default="Unassigned" ma:internalName="Product_x002f_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ence Analysis"/>
                    <xsd:enumeration value="Benefits Counseling"/>
                    <xsd:enumeration value="Evaluation"/>
                    <xsd:enumeration value="Factsheets"/>
                    <xsd:enumeration value="Internal"/>
                    <xsd:enumeration value="Member Handbook"/>
                    <xsd:enumeration value="Misc."/>
                    <xsd:enumeration value="Multimedia"/>
                    <xsd:enumeration value="Newsletter"/>
                    <xsd:enumeration value="OMB"/>
                    <xsd:enumeration value="Outreach"/>
                    <xsd:enumeration value="Pharmacy"/>
                    <xsd:enumeration value="Planning"/>
                    <xsd:enumeration value="Podcasts"/>
                    <xsd:enumeration value="Public Facing Internet"/>
                    <xsd:enumeration value="Research to Care"/>
                    <xsd:enumeration value="Social Media"/>
                    <xsd:enumeration value="Unassigned"/>
                    <xsd:enumeration value="Web"/>
                    <xsd:enumeration value="Wellness"/>
                  </xsd:restriction>
                </xsd:simpleType>
              </xsd:element>
            </xsd:sequence>
          </xsd:extension>
        </xsd:complexContent>
      </xsd:complexType>
    </xsd:element>
    <xsd:element name="ShowOnHomePage" ma:index="12" nillable="true" ma:displayName="ShowOnHomePage" ma:default="0" ma:internalName="ShowOnHome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ject xmlns="fec0e35f-b5d1-48d3-a180-d8f8df764af2">
      <Value>OMB</Value>
    </Product_x002f_Project>
    <ShowOnHomePage xmlns="fec0e35f-b5d1-48d3-a180-d8f8df764af2">false</ShowOnHomePage>
    <_dlc_DocId xmlns="ab775ff6-e757-446e-addf-3cec327ccf4c">QN5WX52VPMTT-567-529</_dlc_DocId>
    <_dlc_DocIdUrl xmlns="ab775ff6-e757-446e-addf-3cec327ccf4c">
      <Url>https://esp.cdc.gov/sites/niosh/DLO/wtchp/outreach/_layouts/15/DocIdRedir.aspx?ID=QN5WX52VPMTT-567-529</Url>
      <Description>QN5WX52VPMTT-567-529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7989AB-3B59-49FE-94E0-F8F6408B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fec0e35f-b5d1-48d3-a180-d8f8df7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A3ABA-2B67-459D-AD36-AB7F56184BB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b775ff6-e757-446e-addf-3cec327ccf4c"/>
    <ds:schemaRef ds:uri="http://purl.org/dc/dcmitype/"/>
    <ds:schemaRef ds:uri="fec0e35f-b5d1-48d3-a180-d8f8df764af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6147AE-7D1B-4FFF-B826-3AE8A66BF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3940C-28A4-4681-B146-665ED8878A5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C0DDCCF-5F23-4D79-A93C-45AD2CC7F2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MSSM Barriers to Care</vt:lpstr>
    </vt:vector>
  </TitlesOfParts>
  <Company>ssa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MSSM Barriers to Care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2019-04-23T22:20:00Z</dcterms:created>
  <dcterms:modified xsi:type="dcterms:W3CDTF">2019-04-23T22:20:00Z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0x0101003B6B6D8B1D5A864FAF4DF95809C75146</vt:lpwstr>
  </property>
  <property fmtid="{D5CDD505-2E9C-101B-9397-08002B2CF9AE}" pid="4" name="_dlc_DocIdItemGuid">
    <vt:lpwstr>dcad0560-3a51-4894-a1b3-b5f04a783774</vt:lpwstr>
  </property>
</Properties>
</file>