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D83DCF">
        <w:rPr>
          <w:sz w:val="28"/>
        </w:rPr>
        <w:t>0920-0953</w:t>
      </w:r>
      <w:r w:rsidR="00125F2F">
        <w:rPr>
          <w:sz w:val="28"/>
        </w:rPr>
        <w:t>)</w:t>
      </w:r>
    </w:p>
    <w:p w:rsidR="00BF24A6" w:rsidRDefault="003F2667" w:rsidP="00BF24A6">
      <w:r>
        <w:rPr>
          <w:noProof/>
        </w:rPr>
        <mc:AlternateContent>
          <mc:Choice Requires="wps">
            <w:drawing>
              <wp:anchor distT="0" distB="0" distL="114300" distR="114300" simplePos="0" relativeHeight="251658240" behindDoc="0" locked="0" layoutInCell="0" allowOverlap="1" wp14:anchorId="42B1C7B4" wp14:editId="39472978">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53ECCBD"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BF24A6" w:rsidRPr="000D5817">
        <w:t>Three Occupation</w:t>
      </w:r>
      <w:r w:rsidR="00AE031A">
        <w:t>-s</w:t>
      </w:r>
      <w:r w:rsidR="00BF24A6" w:rsidRPr="000D5817">
        <w:t>pecific Units for the Workplace Violence Course</w:t>
      </w:r>
      <w:r w:rsidR="00BF24A6">
        <w:t>: Focus Group Discussion</w:t>
      </w:r>
      <w:r w:rsidR="006366C6">
        <w:t>s</w:t>
      </w:r>
      <w:r w:rsidR="00BF24A6">
        <w:t xml:space="preserve"> for the Stand-alone Facilities, Home Health/Social Services, and Emergency Responder units</w:t>
      </w:r>
    </w:p>
    <w:p w:rsidR="00B46F2C" w:rsidRPr="009239AA" w:rsidRDefault="00B46F2C" w:rsidP="00434E33">
      <w:pPr>
        <w:rPr>
          <w:b/>
        </w:rPr>
      </w:pPr>
    </w:p>
    <w:p w:rsidR="00B46F2C" w:rsidRDefault="00B46F2C"/>
    <w:p w:rsidR="00BB3367" w:rsidRDefault="00B46F2C" w:rsidP="00951731">
      <w:r>
        <w:rPr>
          <w:b/>
        </w:rPr>
        <w:t>PURPOSE</w:t>
      </w:r>
      <w:r w:rsidRPr="009239AA">
        <w:rPr>
          <w:b/>
        </w:rPr>
        <w:t xml:space="preserve">:  </w:t>
      </w:r>
      <w:r w:rsidR="00951731">
        <w:t xml:space="preserve">The Centers for Disease Control and Prevention (CDC), National Institute for Occupational Safety and Health (NIOSH) seeks approval from the Office of Management and Budget (OMB) to collect feedback </w:t>
      </w:r>
      <w:r w:rsidR="00F17E79">
        <w:t>from i</w:t>
      </w:r>
      <w:r w:rsidR="009757BB">
        <w:t>ndividuals who have completed one of three</w:t>
      </w:r>
      <w:r w:rsidR="00F17E79">
        <w:t xml:space="preserve"> occupation-specific online training course</w:t>
      </w:r>
      <w:r w:rsidR="009757BB">
        <w:t>s</w:t>
      </w:r>
      <w:r w:rsidR="00F17E79">
        <w:t xml:space="preserve"> about workplace violence prevention.  </w:t>
      </w:r>
      <w:r w:rsidR="00BB3367">
        <w:t>NIOSH is resubmitting this genIC because the original submission was approved two months before the previous expiration date. The program is requesting a continuation of the data collection.</w:t>
      </w:r>
    </w:p>
    <w:p w:rsidR="00BB3367" w:rsidRDefault="00BB3367" w:rsidP="00951731"/>
    <w:p w:rsidR="006366C6" w:rsidRDefault="006366C6" w:rsidP="00951731">
      <w:r>
        <w:t xml:space="preserve">The training courses are based on NIOSH’s successful Workplace Violence Prevention Course for Nurses, which has been completed by over 32,000 healthcare professionals since its release a little over four years ago. The three online modules currently being developed will expand and tailor course content to three audiences:  </w:t>
      </w:r>
      <w:r w:rsidR="00BF24A6">
        <w:t>employees that work in stand-alone healthcare facilities (physicians, dentists, pharmacies, etc.), Home Health/Social Services, and Emergency Responders.</w:t>
      </w:r>
      <w:r w:rsidR="00FB7029">
        <w:t xml:space="preserve">  When the tailored online modules are complete, NIOSH plans to offer free CEUs to increase their appeal to healthcare professionals.</w:t>
      </w:r>
    </w:p>
    <w:p w:rsidR="006366C6" w:rsidRDefault="006366C6" w:rsidP="00951731"/>
    <w:p w:rsidR="00663C57" w:rsidRDefault="00ED27F2" w:rsidP="00951731">
      <w:r>
        <w:t>Qualitative i</w:t>
      </w:r>
      <w:r w:rsidR="00D01109">
        <w:t xml:space="preserve">nformation </w:t>
      </w:r>
      <w:r w:rsidR="00FB7029">
        <w:t xml:space="preserve">about the three new modules </w:t>
      </w:r>
      <w:r w:rsidR="00D01109">
        <w:t xml:space="preserve">will be collected through </w:t>
      </w:r>
      <w:r w:rsidR="00AA7547">
        <w:t xml:space="preserve">in-person </w:t>
      </w:r>
      <w:r w:rsidR="001916DB">
        <w:t>focus groups segmented by</w:t>
      </w:r>
      <w:r w:rsidR="00D01109">
        <w:t xml:space="preserve"> audience.  </w:t>
      </w:r>
      <w:r w:rsidR="005263F5">
        <w:t xml:space="preserve">Focus group participants will review a completed draft which will be finalized after their review and input.  </w:t>
      </w:r>
      <w:r>
        <w:t>NIOSH will use t</w:t>
      </w:r>
      <w:r w:rsidR="00644857">
        <w:t xml:space="preserve">he feedback </w:t>
      </w:r>
      <w:r>
        <w:t>to ensure the relevance of the materials included in each unit</w:t>
      </w:r>
      <w:r w:rsidDel="00ED27F2">
        <w:t xml:space="preserve"> </w:t>
      </w:r>
      <w:r>
        <w:t>and to</w:t>
      </w:r>
      <w:r w:rsidR="00644857">
        <w:t xml:space="preserve"> facilitate improvements.</w:t>
      </w:r>
      <w:r w:rsidR="00504613">
        <w:t xml:space="preserve">  The time burden for each participant is not expected to exceed three hours.</w:t>
      </w:r>
      <w:r w:rsidR="00D01109">
        <w:t xml:space="preserve">  The burden estimate is based on 1.5 hours for reviewing the online course and 1.5 </w:t>
      </w:r>
      <w:r w:rsidR="00AA7547">
        <w:t xml:space="preserve">hours </w:t>
      </w:r>
      <w:r w:rsidR="00D01109">
        <w:t>for</w:t>
      </w:r>
      <w:r w:rsidR="00AA7547">
        <w:t xml:space="preserve"> participating in the </w:t>
      </w:r>
      <w:r w:rsidR="00D01109">
        <w:t>focus group discussion.</w:t>
      </w:r>
    </w:p>
    <w:p w:rsidR="00663C57" w:rsidRDefault="00663C57" w:rsidP="00951731"/>
    <w:p w:rsidR="00951731" w:rsidRPr="00BF24A6" w:rsidRDefault="00284C9E" w:rsidP="00951731">
      <w:pPr>
        <w:rPr>
          <w:b/>
        </w:rPr>
      </w:pPr>
      <w:r>
        <w:t>There will be no public dissemination of the feedback</w:t>
      </w:r>
      <w:r w:rsidR="00504613">
        <w:t xml:space="preserve"> and the qualitative data generated from the focus groups will not require rigorous statistical analysis to be beneficial to the course</w:t>
      </w:r>
      <w:r>
        <w:t xml:space="preserve">. </w:t>
      </w:r>
      <w:r w:rsidR="00951731">
        <w:t xml:space="preserve">The </w:t>
      </w:r>
      <w:r w:rsidR="003F2667">
        <w:t>discussion guide is attached</w:t>
      </w:r>
      <w:r w:rsidR="00AB2583">
        <w:t xml:space="preserve"> (Attachment A)</w:t>
      </w:r>
      <w:r w:rsidR="00951731">
        <w:t>.</w:t>
      </w:r>
    </w:p>
    <w:p w:rsidR="00BF24A6" w:rsidRDefault="00BF24A6" w:rsidP="00BF24A6">
      <w:pPr>
        <w:autoSpaceDE w:val="0"/>
        <w:autoSpaceDN w:val="0"/>
        <w:adjustRightInd w:val="0"/>
      </w:pPr>
    </w:p>
    <w:p w:rsidR="00B46F2C" w:rsidRDefault="00B46F2C"/>
    <w:p w:rsidR="00BF24A6" w:rsidRDefault="00B46F2C" w:rsidP="00BF24A6">
      <w:r w:rsidRPr="00434E33">
        <w:rPr>
          <w:b/>
        </w:rPr>
        <w:t>DESCRIPTION OF RESPONDENTS</w:t>
      </w:r>
      <w:r>
        <w:t xml:space="preserve">: </w:t>
      </w:r>
      <w:r w:rsidR="00BF24A6">
        <w:t xml:space="preserve">Respondents will be employees that work in stand-alone healthcare facilities (physicians, dentists, pharmacies, etc.), Home Health/Social Services, and Emergency Responders. </w:t>
      </w:r>
      <w:r w:rsidR="00284C9E">
        <w:t>Participating in a focus group is voluntary.</w:t>
      </w:r>
      <w:r w:rsidR="00BF24A6">
        <w:t xml:space="preserve"> </w:t>
      </w:r>
    </w:p>
    <w:p w:rsidR="00B46F2C" w:rsidRDefault="00B46F2C"/>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w:t>
      </w:r>
      <w:r w:rsidR="004D0BF6">
        <w:rPr>
          <w:bCs/>
          <w:sz w:val="24"/>
        </w:rPr>
        <w:t>X</w:t>
      </w:r>
      <w:r w:rsidR="00434DA4">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lastRenderedPageBreak/>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t>Name:</w:t>
      </w:r>
      <w:r w:rsidR="004D0BF6">
        <w:t xml:space="preserve"> </w:t>
      </w:r>
      <w:r w:rsidR="004D0BF6" w:rsidRPr="004D0BF6">
        <w:rPr>
          <w:u w:val="single"/>
        </w:rPr>
        <w:t>Dan Hartley EdD</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4D0BF6">
        <w:t>X</w:t>
      </w:r>
      <w:r>
        <w:t xml:space="preserve">]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w:t>
      </w:r>
      <w:r w:rsidR="004D0BF6">
        <w:t>ce been published?  [  ] Yes  [X</w:t>
      </w:r>
      <w:r>
        <w:t>] No</w:t>
      </w:r>
    </w:p>
    <w:p w:rsidR="00663EDA" w:rsidRDefault="00663EDA" w:rsidP="00C86E91">
      <w:pPr>
        <w:pStyle w:val="ListParagraph"/>
        <w:ind w:left="0"/>
        <w:rPr>
          <w:b/>
        </w:rPr>
      </w:pPr>
    </w:p>
    <w:p w:rsidR="00B46F2C" w:rsidRPr="00C86E91" w:rsidRDefault="00B46F2C" w:rsidP="00C86E91">
      <w:pPr>
        <w:pStyle w:val="ListParagraph"/>
        <w:ind w:left="0"/>
        <w:rPr>
          <w:b/>
        </w:rPr>
      </w:pPr>
      <w:r>
        <w:rPr>
          <w:b/>
        </w:rPr>
        <w:t>Gifts or Payments:</w:t>
      </w:r>
    </w:p>
    <w:p w:rsidR="00434DA4" w:rsidRDefault="00B46F2C" w:rsidP="00434DA4">
      <w:pPr>
        <w:pStyle w:val="ListParagraph"/>
        <w:ind w:left="0"/>
      </w:pPr>
      <w:r>
        <w:t>Is an incentive (e.g., money or reimbursement of expenses, token of appreciation) provided to participants?  [</w:t>
      </w:r>
      <w:r w:rsidR="004D0BF6">
        <w:t>X</w:t>
      </w:r>
      <w:r w:rsidR="00434DA4">
        <w:t xml:space="preserve">] Yes [  ] </w:t>
      </w:r>
      <w:r w:rsidR="00AA7547">
        <w:t>No</w:t>
      </w:r>
    </w:p>
    <w:p w:rsidR="00663EDA" w:rsidRDefault="00663EDA" w:rsidP="00336EEA"/>
    <w:p w:rsidR="00F91858" w:rsidRDefault="006366C6" w:rsidP="00FB72FE">
      <w:r>
        <w:t>An</w:t>
      </w:r>
      <w:r w:rsidR="00434DA4">
        <w:t xml:space="preserve"> incentive</w:t>
      </w:r>
      <w:r w:rsidR="00434DA4" w:rsidRPr="008F50D4">
        <w:t xml:space="preserve"> </w:t>
      </w:r>
      <w:r w:rsidR="00CF22C6">
        <w:t xml:space="preserve">of </w:t>
      </w:r>
      <w:r w:rsidR="003C0AF2">
        <w:t xml:space="preserve">$40 will be </w:t>
      </w:r>
      <w:r w:rsidR="00434DA4">
        <w:t>provid</w:t>
      </w:r>
      <w:r w:rsidR="003C0AF2">
        <w:t>ed for</w:t>
      </w:r>
      <w:r w:rsidR="00434DA4">
        <w:t xml:space="preserve"> feedback </w:t>
      </w:r>
      <w:r w:rsidR="003C0AF2">
        <w:t xml:space="preserve">during </w:t>
      </w:r>
      <w:r w:rsidR="00683B4E">
        <w:t>the</w:t>
      </w:r>
      <w:r w:rsidR="00F568F4">
        <w:t xml:space="preserve"> focus group</w:t>
      </w:r>
      <w:r w:rsidR="00683B4E">
        <w:t xml:space="preserve"> session</w:t>
      </w:r>
      <w:r w:rsidR="00434DA4">
        <w:t>.</w:t>
      </w:r>
      <w:r w:rsidR="00D84C80">
        <w:t xml:space="preserve">  </w:t>
      </w:r>
      <w:r w:rsidR="003C0AF2">
        <w:t>The</w:t>
      </w:r>
      <w:r w:rsidR="00336EEA" w:rsidRPr="00E475D9">
        <w:t xml:space="preserve"> </w:t>
      </w:r>
      <w:r w:rsidR="00336EEA">
        <w:t xml:space="preserve">focus group participants </w:t>
      </w:r>
      <w:r w:rsidR="00336EEA" w:rsidRPr="00E475D9">
        <w:t>will be travelling to an off-site location in order to provide feedback</w:t>
      </w:r>
      <w:r w:rsidR="00FB72FE">
        <w:t xml:space="preserve"> during non-work hours</w:t>
      </w:r>
      <w:r w:rsidR="00336EEA" w:rsidRPr="00E475D9">
        <w:t>.</w:t>
      </w:r>
      <w:r w:rsidR="00FB72FE">
        <w:t xml:space="preserve"> </w:t>
      </w:r>
      <w:r w:rsidR="000E5274">
        <w:t xml:space="preserve">The incentive is necessary to recruit specific participants [employees that work in stand-alone healthcare facilities (physicians, dentists, pharmacies, etc.), Home Health/Social Services, and Emergency Responders] and encourage their participation in the focus groups.  The incentive encourages the </w:t>
      </w:r>
      <w:r w:rsidR="00216CE5">
        <w:t>participants</w:t>
      </w:r>
      <w:r w:rsidR="000E5274">
        <w:t xml:space="preserve"> to </w:t>
      </w:r>
      <w:r w:rsidR="00877715">
        <w:t xml:space="preserve">review the course and </w:t>
      </w:r>
      <w:r w:rsidR="000E5274">
        <w:t>show up for the focus group</w:t>
      </w:r>
      <w:r w:rsidR="00877715">
        <w:t xml:space="preserve">.  The incentive </w:t>
      </w:r>
      <w:r w:rsidR="003C0AF2">
        <w:t>also</w:t>
      </w:r>
      <w:r w:rsidR="000E5274">
        <w:t xml:space="preserve"> increases the likelihood that the participants will </w:t>
      </w:r>
      <w:r w:rsidR="00216CE5">
        <w:t>remain engaged</w:t>
      </w:r>
      <w:r w:rsidR="000E5274">
        <w:t xml:space="preserve"> and provide meaningful feedback</w:t>
      </w:r>
      <w:r w:rsidR="00937716">
        <w:t xml:space="preserve"> for the full duration of the focus grou</w:t>
      </w:r>
      <w:r w:rsidR="00400C6B">
        <w:t>p.  CDC plans to use the participant</w:t>
      </w:r>
      <w:r w:rsidR="00937716">
        <w:t>s</w:t>
      </w:r>
      <w:r w:rsidR="00400C6B">
        <w:t>’</w:t>
      </w:r>
      <w:r w:rsidR="00937716">
        <w:t xml:space="preserve"> feedback to ensure the relevance of the materials included in each unit</w:t>
      </w:r>
      <w:r w:rsidR="00937716" w:rsidDel="00ED27F2">
        <w:t xml:space="preserve"> </w:t>
      </w:r>
      <w:r w:rsidR="00937716">
        <w:t xml:space="preserve">and to facilitate improvements. </w:t>
      </w:r>
      <w:r w:rsidR="00310588">
        <w:t xml:space="preserve">At the conclusion of the focus group discussion, the incentive will be provided in the form of </w:t>
      </w:r>
      <w:r w:rsidR="005263F5">
        <w:t xml:space="preserve">a </w:t>
      </w:r>
      <w:r w:rsidR="00310588">
        <w:t>gift card</w:t>
      </w:r>
      <w:r w:rsidR="00D84C80">
        <w:t>.</w:t>
      </w:r>
      <w:r w:rsidR="00434DA4">
        <w:t xml:space="preserve"> </w:t>
      </w:r>
    </w:p>
    <w:p w:rsidR="00F91858" w:rsidRDefault="00F91858" w:rsidP="00F91858">
      <w:pPr>
        <w:pStyle w:val="ListParagraph"/>
        <w:ind w:left="0"/>
      </w:pPr>
    </w:p>
    <w:p w:rsidR="00FB72FE" w:rsidRDefault="003C0AF2" w:rsidP="00F91858">
      <w:pPr>
        <w:pStyle w:val="ListParagraph"/>
        <w:ind w:left="0"/>
      </w:pPr>
      <w:r>
        <w:t>This incentive amount is consistent with</w:t>
      </w:r>
      <w:r w:rsidR="00F91858" w:rsidRPr="00E475D9">
        <w:t xml:space="preserve"> Supporting Statement</w:t>
      </w:r>
      <w:r>
        <w:t xml:space="preserve"> A</w:t>
      </w:r>
      <w:r w:rsidR="00F91858" w:rsidRPr="00E475D9">
        <w:t xml:space="preserve"> for the NIOSH umbrella agreement </w:t>
      </w:r>
      <w:r>
        <w:t xml:space="preserve">for </w:t>
      </w:r>
      <w:r w:rsidR="00F91858" w:rsidRPr="00E475D9">
        <w:t xml:space="preserve">service delivery generic, section 8A </w:t>
      </w:r>
      <w:r w:rsidRPr="00E475D9">
        <w:t>1, which</w:t>
      </w:r>
      <w:r>
        <w:t xml:space="preserve"> </w:t>
      </w:r>
      <w:r w:rsidR="00F91858" w:rsidRPr="00E475D9">
        <w:t xml:space="preserve">states the following regarding </w:t>
      </w:r>
      <w:r w:rsidR="00F91858" w:rsidRPr="00E475D9">
        <w:rPr>
          <w:b/>
          <w:bCs/>
        </w:rPr>
        <w:t>Payment or Gift:</w:t>
      </w:r>
      <w:r w:rsidR="00F91858" w:rsidRPr="00E475D9">
        <w:t xml:space="preserve"> </w:t>
      </w:r>
      <w:r>
        <w:t>“</w:t>
      </w:r>
      <w:r w:rsidR="00F91858" w:rsidRPr="00004E6E">
        <w:rPr>
          <w:i/>
        </w:rPr>
        <w:t>The Agency will not provide payment or other forms of remuneration to respondents of its various forms of collecting feedback.  Focus groups and cognitive laboratory studies are the exceptions.  In the case of in-person cognitive laboratory and usability studies, the Agency may provide stipends of up to $40.  In the case of in-person focus groups, the Agency may provide stipends of up to $75</w:t>
      </w:r>
      <w:r>
        <w:t>”</w:t>
      </w:r>
      <w:r w:rsidR="00F91858" w:rsidRPr="00E475D9">
        <w:t>. </w:t>
      </w:r>
    </w:p>
    <w:p w:rsidR="00FB72FE" w:rsidRDefault="00FB72FE" w:rsidP="00F91858">
      <w:pPr>
        <w:pStyle w:val="ListParagraph"/>
        <w:ind w:left="0"/>
      </w:pPr>
    </w:p>
    <w:p w:rsidR="00F91858" w:rsidRDefault="00F91858" w:rsidP="00C86E91"/>
    <w:p w:rsidR="00F91858" w:rsidRDefault="00F91858" w:rsidP="00C86E91">
      <w:pPr>
        <w:rPr>
          <w:b/>
        </w:rPr>
      </w:pPr>
    </w:p>
    <w:p w:rsidR="00F91858" w:rsidRDefault="00F91858" w:rsidP="00C86E91">
      <w:pPr>
        <w:rPr>
          <w:b/>
        </w:rPr>
      </w:pPr>
    </w:p>
    <w:p w:rsidR="00F91858" w:rsidRDefault="00F91858" w:rsidP="00C86E91">
      <w:pPr>
        <w:rPr>
          <w:b/>
        </w:rPr>
      </w:pPr>
    </w:p>
    <w:p w:rsidR="00F91858" w:rsidRDefault="00F91858" w:rsidP="00C86E91">
      <w:pPr>
        <w:rPr>
          <w:b/>
        </w:rPr>
      </w:pPr>
    </w:p>
    <w:p w:rsidR="00F91858" w:rsidRDefault="00F91858" w:rsidP="00C86E91">
      <w:pPr>
        <w:rPr>
          <w:b/>
        </w:rPr>
      </w:pPr>
    </w:p>
    <w:p w:rsidR="00F91858" w:rsidRDefault="00F91858" w:rsidP="00C86E91">
      <w:pPr>
        <w:rPr>
          <w:b/>
        </w:rPr>
      </w:pPr>
    </w:p>
    <w:p w:rsidR="00F91858" w:rsidRDefault="00F91858" w:rsidP="00C86E91">
      <w:pPr>
        <w:rPr>
          <w:b/>
        </w:rPr>
      </w:pPr>
    </w:p>
    <w:p w:rsidR="00B46F2C" w:rsidRDefault="00B46F2C" w:rsidP="00C86E91">
      <w:pPr>
        <w:rPr>
          <w:i/>
        </w:rPr>
      </w:pPr>
      <w:r>
        <w:rPr>
          <w:b/>
        </w:rPr>
        <w:t>BURDEN HOURS</w:t>
      </w:r>
      <w:r>
        <w:t xml:space="preserve"> </w:t>
      </w:r>
    </w:p>
    <w:p w:rsidR="00B46F2C" w:rsidRPr="006832D9" w:rsidRDefault="00B46F2C" w:rsidP="00F3170F">
      <w:pPr>
        <w:keepNext/>
        <w:keepLines/>
        <w:rPr>
          <w:b/>
        </w:rPr>
      </w:pPr>
    </w:p>
    <w:p w:rsidR="00B46F2C" w:rsidRDefault="00B46F2C" w:rsidP="00F3170F"/>
    <w:tbl>
      <w:tblPr>
        <w:tblW w:w="8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801"/>
        <w:gridCol w:w="1657"/>
        <w:gridCol w:w="1659"/>
        <w:gridCol w:w="1440"/>
      </w:tblGrid>
      <w:tr w:rsidR="00DE03A7" w:rsidRPr="00FE459D" w:rsidTr="004A2920">
        <w:tc>
          <w:tcPr>
            <w:tcW w:w="1801" w:type="dxa"/>
            <w:shd w:val="clear" w:color="auto" w:fill="auto"/>
          </w:tcPr>
          <w:p w:rsidR="00DE03A7" w:rsidRPr="00FE459D" w:rsidRDefault="00DE03A7" w:rsidP="004A2920">
            <w:pPr>
              <w:keepNext/>
            </w:pPr>
            <w:r w:rsidRPr="00FE459D">
              <w:t>Type of Respondents</w:t>
            </w:r>
          </w:p>
        </w:tc>
        <w:tc>
          <w:tcPr>
            <w:tcW w:w="1801" w:type="dxa"/>
            <w:shd w:val="clear" w:color="auto" w:fill="auto"/>
          </w:tcPr>
          <w:p w:rsidR="00DE03A7" w:rsidRPr="00FE459D" w:rsidRDefault="00DE03A7" w:rsidP="004A2920">
            <w:pPr>
              <w:keepNext/>
            </w:pPr>
            <w:r w:rsidRPr="00FE459D">
              <w:t>Number of Respondents</w:t>
            </w:r>
          </w:p>
        </w:tc>
        <w:tc>
          <w:tcPr>
            <w:tcW w:w="1657" w:type="dxa"/>
            <w:shd w:val="clear" w:color="auto" w:fill="auto"/>
          </w:tcPr>
          <w:p w:rsidR="00DE03A7" w:rsidRPr="00FE459D" w:rsidRDefault="00DE03A7" w:rsidP="004A2920">
            <w:pPr>
              <w:keepNext/>
            </w:pPr>
            <w:r w:rsidRPr="00FE459D">
              <w:t>Number of Responses per Respondent</w:t>
            </w:r>
          </w:p>
        </w:tc>
        <w:tc>
          <w:tcPr>
            <w:tcW w:w="1659" w:type="dxa"/>
            <w:shd w:val="clear" w:color="auto" w:fill="auto"/>
          </w:tcPr>
          <w:p w:rsidR="00DE03A7" w:rsidRPr="00FE459D" w:rsidRDefault="00DE03A7" w:rsidP="004A2920">
            <w:pPr>
              <w:keepNext/>
            </w:pPr>
            <w:r w:rsidRPr="00FE459D">
              <w:t>Average Burden per Response (in hours)</w:t>
            </w:r>
          </w:p>
        </w:tc>
        <w:tc>
          <w:tcPr>
            <w:tcW w:w="1440" w:type="dxa"/>
            <w:shd w:val="clear" w:color="auto" w:fill="auto"/>
          </w:tcPr>
          <w:p w:rsidR="00DE03A7" w:rsidRPr="00FE459D" w:rsidRDefault="00DE03A7" w:rsidP="004A2920">
            <w:pPr>
              <w:keepNext/>
            </w:pPr>
            <w:r w:rsidRPr="00FE459D">
              <w:t>Total Burden (in hours)</w:t>
            </w:r>
          </w:p>
        </w:tc>
      </w:tr>
      <w:tr w:rsidR="00DE03A7" w:rsidRPr="00FE459D" w:rsidTr="004A2920">
        <w:tc>
          <w:tcPr>
            <w:tcW w:w="1801" w:type="dxa"/>
            <w:shd w:val="clear" w:color="auto" w:fill="auto"/>
          </w:tcPr>
          <w:p w:rsidR="00DE03A7" w:rsidRPr="00FE459D" w:rsidRDefault="00DE03A7" w:rsidP="00DE03A7">
            <w:pPr>
              <w:keepNext/>
            </w:pPr>
            <w:r w:rsidRPr="00CA15A4">
              <w:t>Employees that work in stand-alone healthcare facilities (physicians, dentists, pharmacies, etc.)</w:t>
            </w:r>
          </w:p>
        </w:tc>
        <w:tc>
          <w:tcPr>
            <w:tcW w:w="1801" w:type="dxa"/>
            <w:shd w:val="clear" w:color="auto" w:fill="auto"/>
          </w:tcPr>
          <w:p w:rsidR="00DE03A7" w:rsidRPr="00FE459D" w:rsidRDefault="00DE03A7" w:rsidP="00DE03A7">
            <w:pPr>
              <w:keepNext/>
            </w:pPr>
            <w:r w:rsidRPr="00212B67">
              <w:t>16</w:t>
            </w:r>
          </w:p>
        </w:tc>
        <w:tc>
          <w:tcPr>
            <w:tcW w:w="1657" w:type="dxa"/>
            <w:shd w:val="clear" w:color="auto" w:fill="auto"/>
          </w:tcPr>
          <w:p w:rsidR="00DE03A7" w:rsidRPr="00FE459D" w:rsidRDefault="00DE03A7" w:rsidP="00DE03A7">
            <w:pPr>
              <w:keepNext/>
            </w:pPr>
            <w:r>
              <w:t>1</w:t>
            </w:r>
          </w:p>
        </w:tc>
        <w:tc>
          <w:tcPr>
            <w:tcW w:w="1659" w:type="dxa"/>
            <w:shd w:val="clear" w:color="auto" w:fill="auto"/>
          </w:tcPr>
          <w:p w:rsidR="00DE03A7" w:rsidRPr="00FE459D" w:rsidRDefault="00AA7547" w:rsidP="00DE03A7">
            <w:pPr>
              <w:keepNext/>
            </w:pPr>
            <w:r>
              <w:t>3</w:t>
            </w:r>
          </w:p>
        </w:tc>
        <w:tc>
          <w:tcPr>
            <w:tcW w:w="1440" w:type="dxa"/>
            <w:shd w:val="clear" w:color="auto" w:fill="auto"/>
          </w:tcPr>
          <w:p w:rsidR="00DE03A7" w:rsidRPr="00FE459D" w:rsidRDefault="00AA7547" w:rsidP="00DE03A7">
            <w:pPr>
              <w:keepNext/>
            </w:pPr>
            <w:r>
              <w:t>48</w:t>
            </w:r>
          </w:p>
        </w:tc>
      </w:tr>
      <w:tr w:rsidR="00DE03A7" w:rsidRPr="00FE459D" w:rsidTr="004A2920">
        <w:tc>
          <w:tcPr>
            <w:tcW w:w="1801" w:type="dxa"/>
            <w:shd w:val="clear" w:color="auto" w:fill="auto"/>
          </w:tcPr>
          <w:p w:rsidR="00DE03A7" w:rsidRPr="00FE459D" w:rsidRDefault="00DE03A7" w:rsidP="00DE03A7">
            <w:pPr>
              <w:keepNext/>
            </w:pPr>
            <w:r w:rsidRPr="00CA15A4">
              <w:t>Home Health/Social Services employees</w:t>
            </w:r>
          </w:p>
        </w:tc>
        <w:tc>
          <w:tcPr>
            <w:tcW w:w="1801" w:type="dxa"/>
            <w:shd w:val="clear" w:color="auto" w:fill="auto"/>
          </w:tcPr>
          <w:p w:rsidR="00DE03A7" w:rsidRPr="00FE459D" w:rsidRDefault="00DE03A7" w:rsidP="00DE03A7">
            <w:pPr>
              <w:keepNext/>
            </w:pPr>
            <w:r w:rsidRPr="00212B67">
              <w:t>16</w:t>
            </w:r>
          </w:p>
        </w:tc>
        <w:tc>
          <w:tcPr>
            <w:tcW w:w="1657" w:type="dxa"/>
            <w:shd w:val="clear" w:color="auto" w:fill="auto"/>
          </w:tcPr>
          <w:p w:rsidR="00DE03A7" w:rsidRDefault="00DE03A7" w:rsidP="00DE03A7">
            <w:pPr>
              <w:keepNext/>
            </w:pPr>
            <w:r>
              <w:t>1</w:t>
            </w:r>
          </w:p>
        </w:tc>
        <w:tc>
          <w:tcPr>
            <w:tcW w:w="1659" w:type="dxa"/>
            <w:shd w:val="clear" w:color="auto" w:fill="auto"/>
          </w:tcPr>
          <w:p w:rsidR="00DE03A7" w:rsidRDefault="00AA7547" w:rsidP="00DE03A7">
            <w:pPr>
              <w:keepNext/>
            </w:pPr>
            <w:r>
              <w:t>3</w:t>
            </w:r>
          </w:p>
        </w:tc>
        <w:tc>
          <w:tcPr>
            <w:tcW w:w="1440" w:type="dxa"/>
            <w:shd w:val="clear" w:color="auto" w:fill="auto"/>
          </w:tcPr>
          <w:p w:rsidR="00DE03A7" w:rsidRDefault="00AA7547" w:rsidP="00DE03A7">
            <w:pPr>
              <w:keepNext/>
            </w:pPr>
            <w:r>
              <w:t>48</w:t>
            </w:r>
          </w:p>
        </w:tc>
      </w:tr>
      <w:tr w:rsidR="00DE03A7" w:rsidRPr="00FE459D" w:rsidTr="004A2920">
        <w:tc>
          <w:tcPr>
            <w:tcW w:w="1801" w:type="dxa"/>
            <w:shd w:val="clear" w:color="auto" w:fill="auto"/>
          </w:tcPr>
          <w:p w:rsidR="00DE03A7" w:rsidRPr="00CA15A4" w:rsidRDefault="00DE03A7" w:rsidP="00DE03A7">
            <w:pPr>
              <w:keepNext/>
            </w:pPr>
            <w:r w:rsidRPr="00DE03A7">
              <w:t>Emergency Responders</w:t>
            </w:r>
          </w:p>
        </w:tc>
        <w:tc>
          <w:tcPr>
            <w:tcW w:w="1801" w:type="dxa"/>
            <w:shd w:val="clear" w:color="auto" w:fill="auto"/>
          </w:tcPr>
          <w:p w:rsidR="00DE03A7" w:rsidRDefault="00DE03A7" w:rsidP="00DE03A7">
            <w:pPr>
              <w:keepNext/>
            </w:pPr>
            <w:r w:rsidRPr="00212B67">
              <w:t>16</w:t>
            </w:r>
          </w:p>
        </w:tc>
        <w:tc>
          <w:tcPr>
            <w:tcW w:w="1657" w:type="dxa"/>
            <w:shd w:val="clear" w:color="auto" w:fill="auto"/>
          </w:tcPr>
          <w:p w:rsidR="00DE03A7" w:rsidRDefault="00DE03A7" w:rsidP="00DE03A7">
            <w:pPr>
              <w:keepNext/>
            </w:pPr>
            <w:r>
              <w:t>1</w:t>
            </w:r>
          </w:p>
        </w:tc>
        <w:tc>
          <w:tcPr>
            <w:tcW w:w="1659" w:type="dxa"/>
            <w:shd w:val="clear" w:color="auto" w:fill="auto"/>
          </w:tcPr>
          <w:p w:rsidR="00DE03A7" w:rsidRDefault="00AA7547" w:rsidP="00DE03A7">
            <w:pPr>
              <w:keepNext/>
            </w:pPr>
            <w:r>
              <w:t>3</w:t>
            </w:r>
          </w:p>
        </w:tc>
        <w:tc>
          <w:tcPr>
            <w:tcW w:w="1440" w:type="dxa"/>
            <w:shd w:val="clear" w:color="auto" w:fill="auto"/>
          </w:tcPr>
          <w:p w:rsidR="00DE03A7" w:rsidRDefault="00AA7547" w:rsidP="00DE03A7">
            <w:pPr>
              <w:keepNext/>
            </w:pPr>
            <w:r>
              <w:t>48</w:t>
            </w:r>
          </w:p>
        </w:tc>
      </w:tr>
      <w:tr w:rsidR="00DE03A7" w:rsidRPr="00FE459D" w:rsidTr="004A2920">
        <w:tc>
          <w:tcPr>
            <w:tcW w:w="1801" w:type="dxa"/>
            <w:shd w:val="clear" w:color="auto" w:fill="auto"/>
          </w:tcPr>
          <w:p w:rsidR="00DE03A7" w:rsidRPr="00FE459D" w:rsidRDefault="00DE03A7" w:rsidP="004A2920">
            <w:pPr>
              <w:keepNext/>
            </w:pPr>
            <w:r>
              <w:t>Total</w:t>
            </w:r>
          </w:p>
        </w:tc>
        <w:tc>
          <w:tcPr>
            <w:tcW w:w="6557" w:type="dxa"/>
            <w:gridSpan w:val="4"/>
            <w:shd w:val="clear" w:color="auto" w:fill="auto"/>
          </w:tcPr>
          <w:p w:rsidR="00DE03A7" w:rsidRDefault="00DE03A7" w:rsidP="00244884">
            <w:pPr>
              <w:keepNext/>
            </w:pPr>
            <w:r>
              <w:t xml:space="preserve">                                                                                       </w:t>
            </w:r>
            <w:r w:rsidR="00AA7547">
              <w:t>144</w:t>
            </w:r>
          </w:p>
        </w:tc>
      </w:tr>
    </w:tbl>
    <w:p w:rsidR="00B46F2C" w:rsidRDefault="00B46F2C" w:rsidP="00F3170F"/>
    <w:p w:rsidR="00B46F2C" w:rsidRDefault="00B46F2C">
      <w:pPr>
        <w:rPr>
          <w:b/>
        </w:rPr>
      </w:pPr>
      <w:r>
        <w:rPr>
          <w:b/>
        </w:rPr>
        <w:t xml:space="preserve">FEDERAL COST:  </w:t>
      </w:r>
      <w:r>
        <w:t xml:space="preserve">The estimated annual </w:t>
      </w:r>
      <w:r w:rsidR="00910DC2">
        <w:t>(</w:t>
      </w:r>
      <w:r w:rsidR="00206F8C">
        <w:t>one-time</w:t>
      </w:r>
      <w:r w:rsidR="00910DC2">
        <w:t>)</w:t>
      </w:r>
      <w:r w:rsidR="00206F8C">
        <w:t xml:space="preserve"> </w:t>
      </w:r>
      <w:r>
        <w:t>cos</w:t>
      </w:r>
      <w:r w:rsidR="003F2667">
        <w:t xml:space="preserve">t to the Federal government is </w:t>
      </w:r>
      <w:r w:rsidR="003F2667" w:rsidRPr="00910DC2">
        <w:rPr>
          <w:u w:val="single"/>
        </w:rPr>
        <w:t>$</w:t>
      </w:r>
      <w:r w:rsidR="00302F70">
        <w:rPr>
          <w:u w:val="single"/>
        </w:rPr>
        <w:t>26</w:t>
      </w:r>
      <w:r w:rsidR="003F2667" w:rsidRPr="00910DC2">
        <w:rPr>
          <w:u w:val="single"/>
        </w:rPr>
        <w:t>,000</w:t>
      </w:r>
      <w:r w:rsidR="00F60BC6" w:rsidRPr="00F60BC6">
        <w:t>.</w:t>
      </w:r>
    </w:p>
    <w:p w:rsidR="003F2667" w:rsidRDefault="003F2667" w:rsidP="00F06866">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rsidRPr="00434DA4">
        <w:t>Do you have a customer list or something similar that defines the universe of potential respondents and do you have a sampling plan for selecting from this universe?</w:t>
      </w:r>
      <w:r w:rsidR="00434DA4">
        <w:tab/>
      </w:r>
      <w:r w:rsidR="00434DA4">
        <w:tab/>
      </w:r>
      <w:r w:rsidR="00434DA4">
        <w:tab/>
      </w:r>
      <w:r w:rsidR="00434DA4">
        <w:tab/>
      </w:r>
      <w:r w:rsidR="00434DA4">
        <w:tab/>
      </w:r>
      <w:r w:rsidR="00434DA4">
        <w:tab/>
      </w:r>
      <w:r w:rsidR="00434DA4">
        <w:tab/>
      </w:r>
      <w:r w:rsidR="00434DA4">
        <w:tab/>
      </w:r>
      <w:r w:rsidR="00434DA4">
        <w:tab/>
      </w:r>
      <w:r w:rsidR="00434DA4">
        <w:tab/>
      </w:r>
      <w:r w:rsidR="00434DA4">
        <w:tab/>
        <w:t>[ ] Yes</w:t>
      </w:r>
      <w:r w:rsidR="00434DA4">
        <w:tab/>
        <w:t>[X</w:t>
      </w:r>
      <w:r>
        <w:t>]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Pr>
        <w:pStyle w:val="ListParagraph"/>
      </w:pPr>
    </w:p>
    <w:p w:rsidR="004D0BF6" w:rsidRDefault="004D0BF6" w:rsidP="004D0BF6">
      <w:r>
        <w:t>Participation will be completely voluntary</w:t>
      </w:r>
      <w:r w:rsidR="00AA7547">
        <w:t>.</w:t>
      </w:r>
      <w:r>
        <w:t xml:space="preserve"> </w:t>
      </w:r>
      <w:r w:rsidR="00AA7547">
        <w:t xml:space="preserve"> R</w:t>
      </w:r>
      <w:r>
        <w:t xml:space="preserve">espondents will be </w:t>
      </w:r>
      <w:r w:rsidR="00AA7547">
        <w:t>recruit</w:t>
      </w:r>
      <w:r>
        <w:t xml:space="preserve">ed </w:t>
      </w:r>
      <w:r w:rsidR="00AA7547">
        <w:t xml:space="preserve">based on current employment in one of the following healthcare services: </w:t>
      </w:r>
      <w:r>
        <w:t xml:space="preserve"> </w:t>
      </w:r>
      <w:r w:rsidR="00AA7547">
        <w:t>a</w:t>
      </w:r>
      <w:r>
        <w:t xml:space="preserve"> stand-alone healthcare facilit</w:t>
      </w:r>
      <w:r w:rsidR="00AA7547">
        <w:t>y</w:t>
      </w:r>
      <w:r>
        <w:t xml:space="preserve"> (physicians, dentists, pharmacies, etc.), Home Health/Social Services, and Emergency Responders.</w:t>
      </w:r>
      <w:r w:rsidR="005263F5">
        <w:t xml:space="preserve">  Participants will be recruited from the commuting area of the focus group location chosen by the contractor.</w:t>
      </w:r>
      <w:r w:rsidR="003F05F7">
        <w:t xml:space="preserve">  Proposed contractors are located in: </w:t>
      </w:r>
      <w:r w:rsidR="00541D04">
        <w:t xml:space="preserve">Iowa City, IA; </w:t>
      </w:r>
      <w:r w:rsidR="003F05F7">
        <w:t xml:space="preserve">Cincinnati, OH; </w:t>
      </w:r>
      <w:r w:rsidR="00541D04">
        <w:t>Indianapolis, IN; and Norfolk, VA.</w:t>
      </w:r>
      <w:r w:rsidR="005263F5">
        <w:t xml:space="preserve"> Letters of introduction will be sent to the appropriate </w:t>
      </w:r>
      <w:r w:rsidR="00367295">
        <w:t>professional</w:t>
      </w:r>
      <w:r w:rsidR="005263F5">
        <w:t xml:space="preserve"> organizations (i.e. American Pharmacist Association) and agencies (i.e. Home Healthcare Agency).  </w:t>
      </w:r>
      <w:r w:rsidR="00367295">
        <w:t xml:space="preserve">The letters of introduction will be </w:t>
      </w:r>
      <w:r w:rsidR="005263F5">
        <w:t>followed by phone calls</w:t>
      </w:r>
      <w:r w:rsidR="00367295">
        <w:t>.</w:t>
      </w:r>
    </w:p>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 xml:space="preserve">[  ] Web-based or other forms of Social Media </w:t>
      </w:r>
    </w:p>
    <w:p w:rsidR="00B46F2C" w:rsidRDefault="00B46F2C" w:rsidP="001B0AAA">
      <w:pPr>
        <w:ind w:left="720"/>
      </w:pPr>
      <w:r>
        <w:t>[  ] Telephone</w:t>
      </w:r>
      <w:r>
        <w:tab/>
      </w:r>
    </w:p>
    <w:p w:rsidR="00B46F2C" w:rsidRDefault="00B46F2C" w:rsidP="001B0AAA">
      <w:pPr>
        <w:ind w:left="720"/>
      </w:pPr>
      <w:r>
        <w:t>[</w:t>
      </w:r>
      <w:r w:rsidR="004D0BF6">
        <w:t>X</w:t>
      </w:r>
      <w:r>
        <w:t>]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w:t>
      </w:r>
      <w:r w:rsidR="004D0BF6">
        <w:t>rs or facilitators be used?  [X</w:t>
      </w:r>
      <w:r>
        <w:t>] Yes [  ] No</w:t>
      </w:r>
    </w:p>
    <w:p w:rsidR="00B46F2C" w:rsidRDefault="00B46F2C" w:rsidP="00F24CFC">
      <w:pPr>
        <w:pStyle w:val="ListParagraph"/>
        <w:ind w:left="360"/>
      </w:pPr>
      <w:r>
        <w:t xml:space="preserve"> </w:t>
      </w:r>
    </w:p>
    <w:p w:rsidR="00B46F2C" w:rsidRPr="00F24CFC" w:rsidRDefault="00B46F2C" w:rsidP="0024521E">
      <w:pPr>
        <w:rPr>
          <w:b/>
        </w:rPr>
      </w:pPr>
      <w:r w:rsidRPr="00F24CFC">
        <w:rPr>
          <w:b/>
        </w:rPr>
        <w:t>Please make sure that all instruments, instructions, and scripts are submitted with the request.</w:t>
      </w:r>
    </w:p>
    <w:p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RDefault="00B46F2C" w:rsidP="00F24CFC">
      <w:pPr>
        <w:rPr>
          <w:b/>
        </w:rPr>
      </w:pPr>
    </w:p>
    <w:p w:rsidR="00B46F2C" w:rsidRDefault="003F2667" w:rsidP="00F24CFC">
      <w:pPr>
        <w:rPr>
          <w:b/>
        </w:rPr>
      </w:pPr>
      <w:r>
        <w:rPr>
          <w:noProof/>
        </w:rPr>
        <mc:AlternateContent>
          <mc:Choice Requires="wps">
            <w:drawing>
              <wp:anchor distT="0" distB="0" distL="114300" distR="114300" simplePos="0" relativeHeight="251659264" behindDoc="0" locked="0" layoutInCell="0" allowOverlap="1" wp14:anchorId="7A0EBBB4" wp14:editId="2243E3CD">
                <wp:simplePos x="0" y="0"/>
                <wp:positionH relativeFrom="column">
                  <wp:posOffset>0</wp:posOffset>
                </wp:positionH>
                <wp:positionV relativeFrom="paragraph">
                  <wp:posOffset>0</wp:posOffset>
                </wp:positionV>
                <wp:extent cx="5943600" cy="0"/>
                <wp:effectExtent l="9525" t="12065" r="9525" b="1651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6A493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RDefault="00B46F2C" w:rsidP="00F24CFC"/>
    <w:p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RDefault="00B46F2C" w:rsidP="00F24CFC">
      <w:pPr>
        <w:rPr>
          <w:b/>
        </w:rPr>
      </w:pPr>
    </w:p>
    <w:p w:rsidR="00B46F2C" w:rsidRDefault="00B46F2C" w:rsidP="00F24CFC">
      <w:pPr>
        <w:rPr>
          <w:b/>
        </w:rPr>
      </w:pPr>
      <w:r>
        <w:rPr>
          <w:b/>
        </w:rPr>
        <w:t>BURDEN HOURS:</w:t>
      </w:r>
    </w:p>
    <w:p w:rsidR="00B46F2C" w:rsidRDefault="00B46F2C" w:rsidP="00F24CFC">
      <w:r>
        <w:rPr>
          <w:b/>
        </w:rPr>
        <w:t xml:space="preserve">Category of Respondents:  </w:t>
      </w:r>
      <w:r>
        <w:t>Identify who you expect the respondents to be in terms of the following categories: (1) Individuals or Households;</w:t>
      </w:r>
      <w:r w:rsidR="007D5DE3">
        <w:t xml:space="preserve"> </w:t>
      </w:r>
      <w:r>
        <w:t xml:space="preserve">(2)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t>Provide an estimate of the annual cost to the Federal government.</w:t>
      </w:r>
    </w:p>
    <w:p w:rsidR="00B46F2C" w:rsidRDefault="00B46F2C" w:rsidP="00F24CFC">
      <w:pPr>
        <w:rPr>
          <w:b/>
          <w:bCs/>
          <w:u w:val="single"/>
        </w:rPr>
      </w:pPr>
    </w:p>
    <w:p w:rsidR="00B46F2C" w:rsidRDefault="00B46F2C" w:rsidP="00F24CFC">
      <w:pPr>
        <w:rPr>
          <w:b/>
        </w:rPr>
      </w:pPr>
      <w:r>
        <w:rPr>
          <w:b/>
          <w:bCs/>
          <w:u w:val="single"/>
        </w:rPr>
        <w:t>If you are conducting a focus group, survey, or plan to employ statistical methods, please  provide answers to the following questions:</w:t>
      </w:r>
    </w:p>
    <w:p w:rsidR="00B46F2C" w:rsidRDefault="00B46F2C" w:rsidP="00F24CFC">
      <w:pPr>
        <w:rPr>
          <w:b/>
        </w:rPr>
      </w:pPr>
    </w:p>
    <w:p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RDefault="00B46F2C" w:rsidP="00F24CFC">
      <w:pPr>
        <w:rPr>
          <w:b/>
        </w:rPr>
      </w:pPr>
    </w:p>
    <w:p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46F2C" w:rsidRDefault="00B46F2C" w:rsidP="00F24CFC">
      <w:pPr>
        <w:pStyle w:val="ListParagraph"/>
        <w:ind w:left="360"/>
      </w:pPr>
    </w:p>
    <w:p w:rsidR="00B46F2C" w:rsidRPr="00F24CFC" w:rsidRDefault="00B46F2C" w:rsidP="00F24CFC">
      <w:pPr>
        <w:rPr>
          <w:b/>
        </w:rPr>
      </w:pPr>
      <w:r w:rsidRPr="00F24CFC">
        <w:rPr>
          <w:b/>
        </w:rPr>
        <w:t>Please make sure that all instruments, instructions, and scripts are submitted with the request.</w:t>
      </w:r>
    </w:p>
    <w:p w:rsidR="00B46F2C" w:rsidRDefault="00B46F2C" w:rsidP="00F24CFC">
      <w:pPr>
        <w:tabs>
          <w:tab w:val="left" w:pos="5670"/>
        </w:tabs>
        <w:suppressAutoHyphens/>
      </w:pPr>
    </w:p>
    <w:sectPr w:rsidR="00B46F2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F2C" w:rsidRDefault="00B46F2C">
      <w:r>
        <w:separator/>
      </w:r>
    </w:p>
  </w:endnote>
  <w:endnote w:type="continuationSeparator" w:id="0">
    <w:p w:rsidR="00B46F2C" w:rsidRDefault="00B4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2C" w:rsidRDefault="00D71221">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402C9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F2C" w:rsidRDefault="00B46F2C">
      <w:r>
        <w:separator/>
      </w:r>
    </w:p>
  </w:footnote>
  <w:footnote w:type="continuationSeparator" w:id="0">
    <w:p w:rsidR="00B46F2C" w:rsidRDefault="00B46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EC174E2"/>
    <w:multiLevelType w:val="hybridMultilevel"/>
    <w:tmpl w:val="F8E4E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4E6E"/>
    <w:rsid w:val="00023A57"/>
    <w:rsid w:val="00047A64"/>
    <w:rsid w:val="00067329"/>
    <w:rsid w:val="000B2838"/>
    <w:rsid w:val="000D44CA"/>
    <w:rsid w:val="000E200B"/>
    <w:rsid w:val="000E5274"/>
    <w:rsid w:val="000F68BE"/>
    <w:rsid w:val="00125F2F"/>
    <w:rsid w:val="001916DB"/>
    <w:rsid w:val="001927A4"/>
    <w:rsid w:val="00194AC6"/>
    <w:rsid w:val="001A23B0"/>
    <w:rsid w:val="001A25CC"/>
    <w:rsid w:val="001B0AAA"/>
    <w:rsid w:val="001C39F7"/>
    <w:rsid w:val="00206F8C"/>
    <w:rsid w:val="00216CE5"/>
    <w:rsid w:val="00237B48"/>
    <w:rsid w:val="00244884"/>
    <w:rsid w:val="0024521E"/>
    <w:rsid w:val="00263C3D"/>
    <w:rsid w:val="00274D0B"/>
    <w:rsid w:val="002821FF"/>
    <w:rsid w:val="00284C9E"/>
    <w:rsid w:val="002B3C95"/>
    <w:rsid w:val="002D0B92"/>
    <w:rsid w:val="00302F70"/>
    <w:rsid w:val="00310588"/>
    <w:rsid w:val="00336EEA"/>
    <w:rsid w:val="00367295"/>
    <w:rsid w:val="003675DB"/>
    <w:rsid w:val="003B4796"/>
    <w:rsid w:val="003C0AF2"/>
    <w:rsid w:val="003D5BBE"/>
    <w:rsid w:val="003E3C61"/>
    <w:rsid w:val="003F05F7"/>
    <w:rsid w:val="003F1C5B"/>
    <w:rsid w:val="003F2667"/>
    <w:rsid w:val="00400C6B"/>
    <w:rsid w:val="00402C9D"/>
    <w:rsid w:val="00407836"/>
    <w:rsid w:val="0041337D"/>
    <w:rsid w:val="00434DA4"/>
    <w:rsid w:val="00434E33"/>
    <w:rsid w:val="00441434"/>
    <w:rsid w:val="0045264C"/>
    <w:rsid w:val="004876EC"/>
    <w:rsid w:val="004D0BF6"/>
    <w:rsid w:val="004D6E14"/>
    <w:rsid w:val="005009B0"/>
    <w:rsid w:val="00504613"/>
    <w:rsid w:val="00512CA7"/>
    <w:rsid w:val="005263F5"/>
    <w:rsid w:val="00541D04"/>
    <w:rsid w:val="0056349D"/>
    <w:rsid w:val="005A1006"/>
    <w:rsid w:val="005C1D7B"/>
    <w:rsid w:val="005E714A"/>
    <w:rsid w:val="006140A0"/>
    <w:rsid w:val="00635AC7"/>
    <w:rsid w:val="00636621"/>
    <w:rsid w:val="006366C6"/>
    <w:rsid w:val="00642B49"/>
    <w:rsid w:val="00644857"/>
    <w:rsid w:val="006632E6"/>
    <w:rsid w:val="00663C57"/>
    <w:rsid w:val="00663EDA"/>
    <w:rsid w:val="006832D9"/>
    <w:rsid w:val="00683B4E"/>
    <w:rsid w:val="0069403B"/>
    <w:rsid w:val="00697989"/>
    <w:rsid w:val="006F3DDE"/>
    <w:rsid w:val="00704678"/>
    <w:rsid w:val="007425E7"/>
    <w:rsid w:val="007D5DE3"/>
    <w:rsid w:val="00802607"/>
    <w:rsid w:val="008101A5"/>
    <w:rsid w:val="00822664"/>
    <w:rsid w:val="00843796"/>
    <w:rsid w:val="008473EA"/>
    <w:rsid w:val="00877715"/>
    <w:rsid w:val="00895229"/>
    <w:rsid w:val="008E4DA9"/>
    <w:rsid w:val="008F0203"/>
    <w:rsid w:val="008F50D4"/>
    <w:rsid w:val="00910DC2"/>
    <w:rsid w:val="009239AA"/>
    <w:rsid w:val="00935ADA"/>
    <w:rsid w:val="00937716"/>
    <w:rsid w:val="00946B6C"/>
    <w:rsid w:val="00951731"/>
    <w:rsid w:val="00955A71"/>
    <w:rsid w:val="0096108F"/>
    <w:rsid w:val="009757BB"/>
    <w:rsid w:val="009C13B9"/>
    <w:rsid w:val="009D01A2"/>
    <w:rsid w:val="009F5923"/>
    <w:rsid w:val="00A07944"/>
    <w:rsid w:val="00A403BB"/>
    <w:rsid w:val="00A674DF"/>
    <w:rsid w:val="00A83AA6"/>
    <w:rsid w:val="00AA7547"/>
    <w:rsid w:val="00AB2583"/>
    <w:rsid w:val="00AE031A"/>
    <w:rsid w:val="00AE1809"/>
    <w:rsid w:val="00B46F2C"/>
    <w:rsid w:val="00B80D76"/>
    <w:rsid w:val="00BA2105"/>
    <w:rsid w:val="00BA7E06"/>
    <w:rsid w:val="00BB3367"/>
    <w:rsid w:val="00BB43B5"/>
    <w:rsid w:val="00BB6219"/>
    <w:rsid w:val="00BD290F"/>
    <w:rsid w:val="00BF24A6"/>
    <w:rsid w:val="00C14CC4"/>
    <w:rsid w:val="00C33C52"/>
    <w:rsid w:val="00C40D8B"/>
    <w:rsid w:val="00C8407A"/>
    <w:rsid w:val="00C8488C"/>
    <w:rsid w:val="00C86E91"/>
    <w:rsid w:val="00CA2650"/>
    <w:rsid w:val="00CB1078"/>
    <w:rsid w:val="00CC6FAF"/>
    <w:rsid w:val="00CF22C6"/>
    <w:rsid w:val="00D01109"/>
    <w:rsid w:val="00D15C44"/>
    <w:rsid w:val="00D23A74"/>
    <w:rsid w:val="00D24698"/>
    <w:rsid w:val="00D54630"/>
    <w:rsid w:val="00D6383F"/>
    <w:rsid w:val="00D71221"/>
    <w:rsid w:val="00D758A4"/>
    <w:rsid w:val="00D83DCF"/>
    <w:rsid w:val="00D84C80"/>
    <w:rsid w:val="00DB59D0"/>
    <w:rsid w:val="00DC33D3"/>
    <w:rsid w:val="00DE03A7"/>
    <w:rsid w:val="00DE64EC"/>
    <w:rsid w:val="00E26329"/>
    <w:rsid w:val="00E40B50"/>
    <w:rsid w:val="00E50293"/>
    <w:rsid w:val="00E65FFC"/>
    <w:rsid w:val="00E80951"/>
    <w:rsid w:val="00E854FE"/>
    <w:rsid w:val="00E86CC6"/>
    <w:rsid w:val="00EB56B3"/>
    <w:rsid w:val="00ED27F2"/>
    <w:rsid w:val="00ED6492"/>
    <w:rsid w:val="00EF2095"/>
    <w:rsid w:val="00F06866"/>
    <w:rsid w:val="00F15956"/>
    <w:rsid w:val="00F17E79"/>
    <w:rsid w:val="00F24CFC"/>
    <w:rsid w:val="00F261B4"/>
    <w:rsid w:val="00F3170F"/>
    <w:rsid w:val="00F4017B"/>
    <w:rsid w:val="00F53F7D"/>
    <w:rsid w:val="00F568F4"/>
    <w:rsid w:val="00F60BC6"/>
    <w:rsid w:val="00F91858"/>
    <w:rsid w:val="00F976B0"/>
    <w:rsid w:val="00FA6DE7"/>
    <w:rsid w:val="00FB7029"/>
    <w:rsid w:val="00FB72FE"/>
    <w:rsid w:val="00FB7754"/>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2010-10-04T16:59:00Z</cp:lastPrinted>
  <dcterms:created xsi:type="dcterms:W3CDTF">2018-09-27T21:04:00Z</dcterms:created>
  <dcterms:modified xsi:type="dcterms:W3CDTF">2018-09-27T21:04:00Z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