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41AB31F3" w14:textId="7CE6B890" w:rsidR="00E10E25" w:rsidRPr="00E10E25" w:rsidRDefault="00E10E25" w:rsidP="00E10E25">
      <w:pPr>
        <w:rPr>
          <w:rFonts w:ascii="Cambria" w:hAnsi="Cambria"/>
          <w:sz w:val="56"/>
          <w:szCs w:val="56"/>
        </w:rPr>
      </w:pPr>
      <w:r w:rsidRPr="00E10E25">
        <w:rPr>
          <w:rFonts w:ascii="Cambria" w:hAnsi="Cambria"/>
          <w:sz w:val="56"/>
          <w:szCs w:val="56"/>
        </w:rPr>
        <w:t xml:space="preserve">Healthy Homes and Lead Poisoning Prevention </w:t>
      </w:r>
      <w:r w:rsidRPr="00E10E25">
        <w:rPr>
          <w:rFonts w:ascii="Cambria" w:hAnsi="Cambria"/>
          <w:color w:val="000000"/>
          <w:sz w:val="56"/>
          <w:szCs w:val="56"/>
        </w:rPr>
        <w:t>Surveillance System</w:t>
      </w:r>
      <w:r w:rsidRPr="00E10E25">
        <w:rPr>
          <w:rFonts w:ascii="Cambria" w:hAnsi="Cambria"/>
          <w:sz w:val="56"/>
          <w:szCs w:val="56"/>
        </w:rPr>
        <w:t xml:space="preserve"> (</w:t>
      </w:r>
      <w:r w:rsidR="00705799">
        <w:rPr>
          <w:rFonts w:ascii="Cambria" w:hAnsi="Cambria"/>
          <w:sz w:val="56"/>
          <w:szCs w:val="56"/>
        </w:rPr>
        <w:t>HHLPSS</w:t>
      </w:r>
      <w:r w:rsidRPr="00E10E25">
        <w:rPr>
          <w:rFonts w:ascii="Cambria" w:hAnsi="Cambria"/>
          <w:sz w:val="56"/>
          <w:szCs w:val="56"/>
        </w:rPr>
        <w:t>)</w:t>
      </w:r>
    </w:p>
    <w:p w14:paraId="2EC4EBB3" w14:textId="10C3F7D3" w:rsidR="006615FB" w:rsidRPr="004C1EB2" w:rsidRDefault="006615FB" w:rsidP="006615FB">
      <w:pPr>
        <w:pStyle w:val="Subtitle"/>
        <w:rPr>
          <w:rFonts w:ascii="Cambria" w:hAnsi="Cambria"/>
          <w:color w:val="auto"/>
        </w:rPr>
      </w:pPr>
      <w:r w:rsidRPr="004C1EB2">
        <w:rPr>
          <w:rFonts w:ascii="Cambria" w:hAnsi="Cambria"/>
          <w:color w:val="auto"/>
        </w:rPr>
        <w:t>OMB Control No. 0920-</w:t>
      </w:r>
      <w:r w:rsidR="00E10E25" w:rsidRPr="004C1EB2">
        <w:rPr>
          <w:rFonts w:ascii="Cambria" w:hAnsi="Cambria"/>
          <w:color w:val="auto"/>
        </w:rPr>
        <w:t>0931</w:t>
      </w:r>
      <w:r w:rsidRPr="004C1EB2">
        <w:rPr>
          <w:rFonts w:ascii="Cambria" w:hAnsi="Cambria"/>
          <w:color w:val="auto"/>
        </w:rPr>
        <w:t xml:space="preserve"> (Expiration Date: </w:t>
      </w:r>
      <w:r w:rsidR="00E10E25" w:rsidRPr="004C1EB2">
        <w:rPr>
          <w:rFonts w:ascii="Cambria" w:hAnsi="Cambria"/>
          <w:color w:val="auto"/>
        </w:rPr>
        <w:t>05</w:t>
      </w:r>
      <w:r w:rsidRPr="004C1EB2">
        <w:rPr>
          <w:rFonts w:ascii="Cambria" w:hAnsi="Cambria"/>
          <w:color w:val="auto"/>
        </w:rPr>
        <w:t>/</w:t>
      </w:r>
      <w:r w:rsidR="00E10E25" w:rsidRPr="004C1EB2">
        <w:rPr>
          <w:rFonts w:ascii="Cambria" w:hAnsi="Cambria"/>
          <w:color w:val="auto"/>
        </w:rPr>
        <w:t>31</w:t>
      </w:r>
      <w:r w:rsidRPr="004C1EB2">
        <w:rPr>
          <w:rFonts w:ascii="Cambria" w:hAnsi="Cambria"/>
          <w:color w:val="auto"/>
        </w:rPr>
        <w:t>/</w:t>
      </w:r>
      <w:r w:rsidR="00E10E25" w:rsidRPr="004C1EB2">
        <w:rPr>
          <w:rFonts w:ascii="Cambria" w:hAnsi="Cambria"/>
          <w:color w:val="auto"/>
        </w:rPr>
        <w:t>2018</w:t>
      </w:r>
      <w:r w:rsidRPr="004C1EB2">
        <w:rPr>
          <w:rFonts w:ascii="Cambria" w:hAnsi="Cambria"/>
          <w:color w:val="auto"/>
        </w:rPr>
        <w:t xml:space="preserve">) </w:t>
      </w:r>
    </w:p>
    <w:p w14:paraId="53930CB1" w14:textId="09975ED2" w:rsidR="006615FB" w:rsidRPr="006615FB" w:rsidRDefault="00E10E25" w:rsidP="006615FB">
      <w:pPr>
        <w:spacing w:after="200" w:line="276" w:lineRule="auto"/>
        <w:rPr>
          <w:rFonts w:ascii="Cambria" w:hAnsi="Cambria" w:cs="Arial"/>
          <w:sz w:val="36"/>
          <w:szCs w:val="36"/>
        </w:rPr>
      </w:pPr>
      <w:r w:rsidRPr="004C1EB2">
        <w:rPr>
          <w:rFonts w:ascii="Cambria" w:hAnsi="Cambria" w:cs="Arial"/>
          <w:sz w:val="36"/>
          <w:szCs w:val="36"/>
        </w:rPr>
        <w:t>Request for Extension</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308B48D" w:rsidR="00D33AE3" w:rsidRDefault="00D33AE3" w:rsidP="00D33AE3">
      <w:pPr>
        <w:rPr>
          <w:rFonts w:ascii="Cambria" w:hAnsi="Cambria"/>
        </w:rPr>
      </w:pPr>
    </w:p>
    <w:p w14:paraId="30037932" w14:textId="104D357B" w:rsidR="004C1EB2" w:rsidRDefault="004C1EB2" w:rsidP="00D33AE3">
      <w:pPr>
        <w:rPr>
          <w:rFonts w:ascii="Cambria" w:hAnsi="Cambria"/>
        </w:rPr>
      </w:pPr>
    </w:p>
    <w:p w14:paraId="04112508" w14:textId="20C64986" w:rsidR="004C1EB2" w:rsidRPr="00E707C0" w:rsidRDefault="004C1EB2" w:rsidP="00D33AE3">
      <w:pPr>
        <w:rPr>
          <w:rFonts w:ascii="Cambria" w:hAnsi="Cambria"/>
        </w:rPr>
      </w:pPr>
    </w:p>
    <w:p w14:paraId="756233B8" w14:textId="77777777" w:rsidR="00D33AE3" w:rsidRPr="00E707C0" w:rsidRDefault="00D33AE3" w:rsidP="00D33AE3">
      <w:pPr>
        <w:spacing w:after="200" w:line="276" w:lineRule="auto"/>
        <w:rPr>
          <w:rFonts w:ascii="Cambria" w:hAnsi="Cambria" w:cs="Arial"/>
          <w:sz w:val="36"/>
          <w:szCs w:val="36"/>
        </w:rPr>
      </w:pPr>
    </w:p>
    <w:p w14:paraId="1138B839" w14:textId="77777777" w:rsidR="00E10E25" w:rsidRPr="00E10E25" w:rsidRDefault="00E10E25" w:rsidP="00E10E25">
      <w:pPr>
        <w:spacing w:after="0" w:line="240" w:lineRule="auto"/>
        <w:rPr>
          <w:rFonts w:ascii="Cambria" w:hAnsi="Cambria"/>
          <w:sz w:val="30"/>
          <w:szCs w:val="30"/>
        </w:rPr>
      </w:pPr>
      <w:r w:rsidRPr="00E10E25">
        <w:rPr>
          <w:rFonts w:ascii="Cambria" w:hAnsi="Cambria"/>
          <w:sz w:val="30"/>
          <w:szCs w:val="30"/>
        </w:rPr>
        <w:t xml:space="preserve">Program Official/Project Officer: </w:t>
      </w:r>
    </w:p>
    <w:p w14:paraId="48000EFD" w14:textId="77777777" w:rsidR="00E10E25" w:rsidRPr="00E10E25" w:rsidRDefault="00E10E25" w:rsidP="00E10E25">
      <w:pPr>
        <w:spacing w:after="0" w:line="240" w:lineRule="auto"/>
        <w:rPr>
          <w:rFonts w:ascii="Cambria" w:hAnsi="Cambria"/>
          <w:sz w:val="30"/>
          <w:szCs w:val="30"/>
        </w:rPr>
      </w:pPr>
      <w:r w:rsidRPr="00E10E25">
        <w:rPr>
          <w:rFonts w:ascii="Cambria" w:hAnsi="Cambria"/>
          <w:sz w:val="30"/>
          <w:szCs w:val="30"/>
        </w:rPr>
        <w:t>Adrienne S. Ettinger, ScD, MPH, MS</w:t>
      </w:r>
    </w:p>
    <w:p w14:paraId="454BE729" w14:textId="77777777" w:rsidR="00E10E25" w:rsidRPr="00E10E25" w:rsidRDefault="00E10E25" w:rsidP="00E10E25">
      <w:pPr>
        <w:spacing w:after="0" w:line="240" w:lineRule="auto"/>
        <w:rPr>
          <w:rFonts w:ascii="Cambria" w:hAnsi="Cambria"/>
          <w:sz w:val="30"/>
          <w:szCs w:val="30"/>
        </w:rPr>
      </w:pPr>
      <w:r w:rsidRPr="00E10E25">
        <w:rPr>
          <w:rFonts w:ascii="Cambria" w:hAnsi="Cambria"/>
          <w:sz w:val="30"/>
          <w:szCs w:val="30"/>
        </w:rPr>
        <w:t>Chief, Healthy Homes and Lead Poisoning Prevention Program</w:t>
      </w:r>
    </w:p>
    <w:p w14:paraId="0BEFF547" w14:textId="77777777" w:rsidR="00E10E25" w:rsidRPr="00E10E25" w:rsidRDefault="00E10E25" w:rsidP="00E10E25">
      <w:pPr>
        <w:spacing w:after="0" w:line="240" w:lineRule="auto"/>
        <w:rPr>
          <w:rFonts w:ascii="Cambria" w:hAnsi="Cambria"/>
          <w:sz w:val="30"/>
          <w:szCs w:val="30"/>
        </w:rPr>
      </w:pPr>
      <w:r w:rsidRPr="00E10E25">
        <w:rPr>
          <w:rFonts w:ascii="Cambria" w:hAnsi="Cambria"/>
          <w:sz w:val="30"/>
          <w:szCs w:val="30"/>
        </w:rPr>
        <w:t>National Center for Environmental Health</w:t>
      </w:r>
    </w:p>
    <w:p w14:paraId="0FA14F0E" w14:textId="77777777" w:rsidR="00E10E25" w:rsidRPr="00E10E25" w:rsidRDefault="00E10E25" w:rsidP="00E10E25">
      <w:pPr>
        <w:spacing w:after="0" w:line="240" w:lineRule="auto"/>
        <w:rPr>
          <w:rFonts w:ascii="Cambria" w:hAnsi="Cambria"/>
          <w:sz w:val="30"/>
          <w:szCs w:val="30"/>
        </w:rPr>
      </w:pPr>
      <w:r w:rsidRPr="00E10E25">
        <w:rPr>
          <w:rFonts w:ascii="Cambria" w:hAnsi="Cambria"/>
          <w:sz w:val="30"/>
          <w:szCs w:val="30"/>
        </w:rPr>
        <w:t>U.S. Centers for Disease Control and Prevention (CDC)</w:t>
      </w:r>
    </w:p>
    <w:p w14:paraId="3A6290A5" w14:textId="77777777" w:rsidR="00E10E25" w:rsidRPr="00E10E25" w:rsidRDefault="00E10E25" w:rsidP="00E10E25">
      <w:pPr>
        <w:spacing w:after="0" w:line="240" w:lineRule="auto"/>
        <w:rPr>
          <w:rFonts w:ascii="Cambria" w:hAnsi="Cambria" w:cs="Arial"/>
          <w:sz w:val="30"/>
          <w:szCs w:val="30"/>
        </w:rPr>
      </w:pPr>
      <w:r w:rsidRPr="00E10E25">
        <w:rPr>
          <w:rFonts w:ascii="Cambria" w:hAnsi="Cambria" w:cs="Arial"/>
          <w:sz w:val="30"/>
          <w:szCs w:val="30"/>
        </w:rPr>
        <w:t>4770 Buford Hwy N.E., MS-F58</w:t>
      </w:r>
    </w:p>
    <w:p w14:paraId="7253EB7F" w14:textId="77777777" w:rsidR="00E10E25" w:rsidRPr="00E10E25" w:rsidRDefault="00E10E25" w:rsidP="00E10E25">
      <w:pPr>
        <w:spacing w:after="0" w:line="240" w:lineRule="auto"/>
        <w:rPr>
          <w:rFonts w:ascii="Cambria" w:hAnsi="Cambria" w:cs="Arial"/>
          <w:sz w:val="30"/>
          <w:szCs w:val="30"/>
          <w:lang w:val="es-ES"/>
        </w:rPr>
      </w:pPr>
      <w:r w:rsidRPr="00E10E25">
        <w:rPr>
          <w:rFonts w:ascii="Cambria" w:hAnsi="Cambria" w:cs="Arial"/>
          <w:sz w:val="30"/>
          <w:szCs w:val="30"/>
          <w:lang w:val="es-ES"/>
        </w:rPr>
        <w:t>Atlanta, GA 30341</w:t>
      </w:r>
    </w:p>
    <w:p w14:paraId="187E5403" w14:textId="77777777" w:rsidR="00E10E25" w:rsidRPr="00E10E25" w:rsidRDefault="00E10E25" w:rsidP="00E10E25">
      <w:pPr>
        <w:pStyle w:val="Subtitle"/>
        <w:spacing w:after="0"/>
        <w:rPr>
          <w:rFonts w:ascii="Cambria" w:hAnsi="Cambria"/>
          <w:color w:val="auto"/>
        </w:rPr>
      </w:pPr>
      <w:r w:rsidRPr="00E10E25">
        <w:rPr>
          <w:rFonts w:ascii="Cambria" w:hAnsi="Cambria"/>
          <w:color w:val="auto"/>
        </w:rPr>
        <w:t>Email: aettinger@cdc.gov</w:t>
      </w:r>
    </w:p>
    <w:p w14:paraId="4169A7B8" w14:textId="77777777" w:rsidR="00E10E25" w:rsidRPr="00E10E25" w:rsidRDefault="00E10E25" w:rsidP="00E10E25">
      <w:pPr>
        <w:pStyle w:val="Subtitle"/>
        <w:tabs>
          <w:tab w:val="left" w:pos="1908"/>
        </w:tabs>
        <w:spacing w:after="0"/>
        <w:rPr>
          <w:rFonts w:ascii="Cambria" w:hAnsi="Cambria"/>
          <w:color w:val="auto"/>
        </w:rPr>
      </w:pPr>
      <w:r w:rsidRPr="00E10E25">
        <w:rPr>
          <w:rFonts w:ascii="Cambria" w:hAnsi="Cambria"/>
          <w:color w:val="auto"/>
        </w:rPr>
        <w:t>Phone: (770) 488-7492</w:t>
      </w:r>
      <w:r w:rsidRPr="00E10E25">
        <w:rPr>
          <w:rFonts w:ascii="Cambria" w:hAnsi="Cambria"/>
          <w:color w:val="auto"/>
        </w:rPr>
        <w:tab/>
      </w:r>
    </w:p>
    <w:p w14:paraId="0D541344" w14:textId="77777777" w:rsidR="00E10E25" w:rsidRPr="00E10E25" w:rsidRDefault="00E10E25" w:rsidP="00E10E25">
      <w:pPr>
        <w:pStyle w:val="Subtitle"/>
        <w:spacing w:after="0"/>
        <w:rPr>
          <w:rFonts w:ascii="Cambria" w:hAnsi="Cambria"/>
          <w:color w:val="auto"/>
        </w:rPr>
      </w:pPr>
      <w:r w:rsidRPr="00E10E25">
        <w:rPr>
          <w:rFonts w:ascii="Cambria" w:hAnsi="Cambria"/>
          <w:color w:val="auto"/>
        </w:rPr>
        <w:t>Fax: (770) 488-3635</w:t>
      </w:r>
    </w:p>
    <w:p w14:paraId="6D73CDE0" w14:textId="77777777" w:rsidR="00E10E25" w:rsidRPr="00E10E25" w:rsidRDefault="00E10E25" w:rsidP="00E10E25">
      <w:pPr>
        <w:pStyle w:val="Subtitle"/>
        <w:spacing w:after="0"/>
        <w:rPr>
          <w:rFonts w:ascii="Cambria" w:hAnsi="Cambria"/>
          <w:color w:val="auto"/>
        </w:rPr>
      </w:pPr>
    </w:p>
    <w:p w14:paraId="39E16D28" w14:textId="1CF93050" w:rsidR="00965C2A" w:rsidRPr="00E10E25" w:rsidRDefault="00E10E25" w:rsidP="00E10E25">
      <w:pPr>
        <w:rPr>
          <w:rFonts w:ascii="Arial" w:hAnsi="Arial" w:cs="Arial"/>
          <w:sz w:val="30"/>
          <w:szCs w:val="30"/>
        </w:rPr>
      </w:pPr>
      <w:r w:rsidRPr="00E10E25">
        <w:rPr>
          <w:rFonts w:ascii="Cambria" w:hAnsi="Cambria"/>
          <w:sz w:val="30"/>
          <w:szCs w:val="30"/>
        </w:rPr>
        <w:t xml:space="preserve">Date: </w:t>
      </w:r>
      <w:r w:rsidR="00705799">
        <w:rPr>
          <w:rFonts w:ascii="Cambria" w:hAnsi="Cambria"/>
          <w:sz w:val="30"/>
          <w:szCs w:val="30"/>
        </w:rPr>
        <w:t>January 9, 2018</w:t>
      </w:r>
      <w:r w:rsidR="00BA2DBE" w:rsidRPr="00E10E25">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7AEFD9CB" w14:textId="0EBD3439" w:rsidR="00B22E1B"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93853752" w:history="1">
            <w:r w:rsidR="00B22E1B" w:rsidRPr="00EF64A1">
              <w:rPr>
                <w:rStyle w:val="Hyperlink"/>
                <w:rFonts w:ascii="Cambria" w:hAnsi="Cambria"/>
                <w:noProof/>
              </w:rPr>
              <w:t>B.1.</w:t>
            </w:r>
            <w:r w:rsidR="00B22E1B">
              <w:rPr>
                <w:noProof/>
                <w:sz w:val="22"/>
                <w:szCs w:val="22"/>
              </w:rPr>
              <w:tab/>
            </w:r>
            <w:r w:rsidR="00B22E1B" w:rsidRPr="00EF64A1">
              <w:rPr>
                <w:rStyle w:val="Hyperlink"/>
                <w:rFonts w:ascii="Cambria" w:hAnsi="Cambria"/>
                <w:noProof/>
              </w:rPr>
              <w:t>Respondent Universe and Sampling Methods</w:t>
            </w:r>
            <w:r w:rsidR="00B22E1B">
              <w:rPr>
                <w:noProof/>
                <w:webHidden/>
              </w:rPr>
              <w:tab/>
            </w:r>
            <w:r w:rsidR="00B22E1B">
              <w:rPr>
                <w:noProof/>
                <w:webHidden/>
              </w:rPr>
              <w:fldChar w:fldCharType="begin"/>
            </w:r>
            <w:r w:rsidR="00B22E1B">
              <w:rPr>
                <w:noProof/>
                <w:webHidden/>
              </w:rPr>
              <w:instrText xml:space="preserve"> PAGEREF _Toc493853752 \h </w:instrText>
            </w:r>
            <w:r w:rsidR="00B22E1B">
              <w:rPr>
                <w:noProof/>
                <w:webHidden/>
              </w:rPr>
            </w:r>
            <w:r w:rsidR="00B22E1B">
              <w:rPr>
                <w:noProof/>
                <w:webHidden/>
              </w:rPr>
              <w:fldChar w:fldCharType="separate"/>
            </w:r>
            <w:r w:rsidR="00600510">
              <w:rPr>
                <w:noProof/>
                <w:webHidden/>
              </w:rPr>
              <w:t>4</w:t>
            </w:r>
            <w:r w:rsidR="00B22E1B">
              <w:rPr>
                <w:noProof/>
                <w:webHidden/>
              </w:rPr>
              <w:fldChar w:fldCharType="end"/>
            </w:r>
          </w:hyperlink>
        </w:p>
        <w:p w14:paraId="5E8344C5" w14:textId="2B46EF8C" w:rsidR="00B22E1B" w:rsidRDefault="002D41F6">
          <w:pPr>
            <w:pStyle w:val="TOC1"/>
            <w:tabs>
              <w:tab w:val="left" w:pos="660"/>
              <w:tab w:val="right" w:leader="dot" w:pos="9350"/>
            </w:tabs>
            <w:rPr>
              <w:noProof/>
              <w:sz w:val="22"/>
              <w:szCs w:val="22"/>
            </w:rPr>
          </w:pPr>
          <w:hyperlink w:anchor="_Toc493853753" w:history="1">
            <w:r w:rsidR="00B22E1B" w:rsidRPr="00EF64A1">
              <w:rPr>
                <w:rStyle w:val="Hyperlink"/>
                <w:rFonts w:ascii="Cambria" w:hAnsi="Cambria"/>
                <w:noProof/>
              </w:rPr>
              <w:t>B.2.</w:t>
            </w:r>
            <w:r w:rsidR="00B22E1B">
              <w:rPr>
                <w:noProof/>
                <w:sz w:val="22"/>
                <w:szCs w:val="22"/>
              </w:rPr>
              <w:tab/>
            </w:r>
            <w:r w:rsidR="00B22E1B" w:rsidRPr="00EF64A1">
              <w:rPr>
                <w:rStyle w:val="Hyperlink"/>
                <w:rFonts w:ascii="Cambria" w:hAnsi="Cambria"/>
                <w:noProof/>
              </w:rPr>
              <w:t>Procedures for the Collection of Information</w:t>
            </w:r>
            <w:r w:rsidR="00B22E1B">
              <w:rPr>
                <w:noProof/>
                <w:webHidden/>
              </w:rPr>
              <w:tab/>
            </w:r>
            <w:r w:rsidR="00B22E1B">
              <w:rPr>
                <w:noProof/>
                <w:webHidden/>
              </w:rPr>
              <w:fldChar w:fldCharType="begin"/>
            </w:r>
            <w:r w:rsidR="00B22E1B">
              <w:rPr>
                <w:noProof/>
                <w:webHidden/>
              </w:rPr>
              <w:instrText xml:space="preserve"> PAGEREF _Toc493853753 \h </w:instrText>
            </w:r>
            <w:r w:rsidR="00B22E1B">
              <w:rPr>
                <w:noProof/>
                <w:webHidden/>
              </w:rPr>
            </w:r>
            <w:r w:rsidR="00B22E1B">
              <w:rPr>
                <w:noProof/>
                <w:webHidden/>
              </w:rPr>
              <w:fldChar w:fldCharType="separate"/>
            </w:r>
            <w:r w:rsidR="00600510">
              <w:rPr>
                <w:noProof/>
                <w:webHidden/>
              </w:rPr>
              <w:t>4</w:t>
            </w:r>
            <w:r w:rsidR="00B22E1B">
              <w:rPr>
                <w:noProof/>
                <w:webHidden/>
              </w:rPr>
              <w:fldChar w:fldCharType="end"/>
            </w:r>
          </w:hyperlink>
        </w:p>
        <w:p w14:paraId="6CF21580" w14:textId="26088FF6" w:rsidR="00B22E1B" w:rsidRDefault="002D41F6">
          <w:pPr>
            <w:pStyle w:val="TOC1"/>
            <w:tabs>
              <w:tab w:val="left" w:pos="660"/>
              <w:tab w:val="right" w:leader="dot" w:pos="9350"/>
            </w:tabs>
            <w:rPr>
              <w:noProof/>
              <w:sz w:val="22"/>
              <w:szCs w:val="22"/>
            </w:rPr>
          </w:pPr>
          <w:hyperlink w:anchor="_Toc493853754" w:history="1">
            <w:r w:rsidR="00B22E1B" w:rsidRPr="00EF64A1">
              <w:rPr>
                <w:rStyle w:val="Hyperlink"/>
                <w:rFonts w:ascii="Cambria" w:hAnsi="Cambria"/>
                <w:noProof/>
              </w:rPr>
              <w:t>B.3.</w:t>
            </w:r>
            <w:r w:rsidR="00B22E1B">
              <w:rPr>
                <w:noProof/>
                <w:sz w:val="22"/>
                <w:szCs w:val="22"/>
              </w:rPr>
              <w:tab/>
            </w:r>
            <w:r w:rsidR="00B22E1B" w:rsidRPr="00EF64A1">
              <w:rPr>
                <w:rStyle w:val="Hyperlink"/>
                <w:rFonts w:ascii="Cambria" w:hAnsi="Cambria"/>
                <w:noProof/>
              </w:rPr>
              <w:t>Methods to Maximize Response Rates and Deal with No Response</w:t>
            </w:r>
            <w:r w:rsidR="00B22E1B">
              <w:rPr>
                <w:noProof/>
                <w:webHidden/>
              </w:rPr>
              <w:tab/>
            </w:r>
            <w:r w:rsidR="00B22E1B">
              <w:rPr>
                <w:noProof/>
                <w:webHidden/>
              </w:rPr>
              <w:fldChar w:fldCharType="begin"/>
            </w:r>
            <w:r w:rsidR="00B22E1B">
              <w:rPr>
                <w:noProof/>
                <w:webHidden/>
              </w:rPr>
              <w:instrText xml:space="preserve"> PAGEREF _Toc493853754 \h </w:instrText>
            </w:r>
            <w:r w:rsidR="00B22E1B">
              <w:rPr>
                <w:noProof/>
                <w:webHidden/>
              </w:rPr>
            </w:r>
            <w:r w:rsidR="00B22E1B">
              <w:rPr>
                <w:noProof/>
                <w:webHidden/>
              </w:rPr>
              <w:fldChar w:fldCharType="separate"/>
            </w:r>
            <w:r w:rsidR="00600510">
              <w:rPr>
                <w:noProof/>
                <w:webHidden/>
              </w:rPr>
              <w:t>5</w:t>
            </w:r>
            <w:r w:rsidR="00B22E1B">
              <w:rPr>
                <w:noProof/>
                <w:webHidden/>
              </w:rPr>
              <w:fldChar w:fldCharType="end"/>
            </w:r>
          </w:hyperlink>
        </w:p>
        <w:p w14:paraId="1E2FCAD6" w14:textId="3804B9B1" w:rsidR="00B22E1B" w:rsidRDefault="002D41F6">
          <w:pPr>
            <w:pStyle w:val="TOC1"/>
            <w:tabs>
              <w:tab w:val="left" w:pos="660"/>
              <w:tab w:val="right" w:leader="dot" w:pos="9350"/>
            </w:tabs>
            <w:rPr>
              <w:noProof/>
              <w:sz w:val="22"/>
              <w:szCs w:val="22"/>
            </w:rPr>
          </w:pPr>
          <w:hyperlink w:anchor="_Toc493853755" w:history="1">
            <w:r w:rsidR="00B22E1B" w:rsidRPr="00EF64A1">
              <w:rPr>
                <w:rStyle w:val="Hyperlink"/>
                <w:rFonts w:ascii="Cambria" w:hAnsi="Cambria"/>
                <w:noProof/>
              </w:rPr>
              <w:t>B.4.</w:t>
            </w:r>
            <w:r w:rsidR="00B22E1B">
              <w:rPr>
                <w:noProof/>
                <w:sz w:val="22"/>
                <w:szCs w:val="22"/>
              </w:rPr>
              <w:tab/>
            </w:r>
            <w:r w:rsidR="00B22E1B" w:rsidRPr="00EF64A1">
              <w:rPr>
                <w:rStyle w:val="Hyperlink"/>
                <w:rFonts w:ascii="Cambria" w:hAnsi="Cambria"/>
                <w:noProof/>
              </w:rPr>
              <w:t>Test of Procedures or Methods to be Undertaken</w:t>
            </w:r>
            <w:r w:rsidR="00B22E1B">
              <w:rPr>
                <w:noProof/>
                <w:webHidden/>
              </w:rPr>
              <w:tab/>
            </w:r>
            <w:r w:rsidR="00B22E1B">
              <w:rPr>
                <w:noProof/>
                <w:webHidden/>
              </w:rPr>
              <w:fldChar w:fldCharType="begin"/>
            </w:r>
            <w:r w:rsidR="00B22E1B">
              <w:rPr>
                <w:noProof/>
                <w:webHidden/>
              </w:rPr>
              <w:instrText xml:space="preserve"> PAGEREF _Toc493853755 \h </w:instrText>
            </w:r>
            <w:r w:rsidR="00B22E1B">
              <w:rPr>
                <w:noProof/>
                <w:webHidden/>
              </w:rPr>
            </w:r>
            <w:r w:rsidR="00B22E1B">
              <w:rPr>
                <w:noProof/>
                <w:webHidden/>
              </w:rPr>
              <w:fldChar w:fldCharType="separate"/>
            </w:r>
            <w:r w:rsidR="00600510">
              <w:rPr>
                <w:noProof/>
                <w:webHidden/>
              </w:rPr>
              <w:t>5</w:t>
            </w:r>
            <w:r w:rsidR="00B22E1B">
              <w:rPr>
                <w:noProof/>
                <w:webHidden/>
              </w:rPr>
              <w:fldChar w:fldCharType="end"/>
            </w:r>
          </w:hyperlink>
        </w:p>
        <w:p w14:paraId="2A85269F" w14:textId="4EDC23E8" w:rsidR="00B22E1B" w:rsidRDefault="002D41F6">
          <w:pPr>
            <w:pStyle w:val="TOC1"/>
            <w:tabs>
              <w:tab w:val="left" w:pos="660"/>
              <w:tab w:val="right" w:leader="dot" w:pos="9350"/>
            </w:tabs>
            <w:rPr>
              <w:noProof/>
              <w:sz w:val="22"/>
              <w:szCs w:val="22"/>
            </w:rPr>
          </w:pPr>
          <w:hyperlink w:anchor="_Toc493853756" w:history="1">
            <w:r w:rsidR="00B22E1B" w:rsidRPr="00EF64A1">
              <w:rPr>
                <w:rStyle w:val="Hyperlink"/>
                <w:rFonts w:ascii="Cambria" w:hAnsi="Cambria"/>
                <w:noProof/>
              </w:rPr>
              <w:t>B.5.</w:t>
            </w:r>
            <w:r w:rsidR="00B22E1B">
              <w:rPr>
                <w:noProof/>
                <w:sz w:val="22"/>
                <w:szCs w:val="22"/>
              </w:rPr>
              <w:tab/>
            </w:r>
            <w:r w:rsidR="00B22E1B" w:rsidRPr="00EF64A1">
              <w:rPr>
                <w:rStyle w:val="Hyperlink"/>
                <w:rFonts w:ascii="Cambria" w:hAnsi="Cambria"/>
                <w:noProof/>
              </w:rPr>
              <w:t>Individuals Consulted on Statistical Aspects and Individuals Collecting and/or Analyzing Data</w:t>
            </w:r>
            <w:r w:rsidR="00B22E1B">
              <w:rPr>
                <w:noProof/>
                <w:webHidden/>
              </w:rPr>
              <w:tab/>
            </w:r>
            <w:r w:rsidR="00B22E1B">
              <w:rPr>
                <w:noProof/>
                <w:webHidden/>
              </w:rPr>
              <w:fldChar w:fldCharType="begin"/>
            </w:r>
            <w:r w:rsidR="00B22E1B">
              <w:rPr>
                <w:noProof/>
                <w:webHidden/>
              </w:rPr>
              <w:instrText xml:space="preserve"> PAGEREF _Toc493853756 \h </w:instrText>
            </w:r>
            <w:r w:rsidR="00B22E1B">
              <w:rPr>
                <w:noProof/>
                <w:webHidden/>
              </w:rPr>
            </w:r>
            <w:r w:rsidR="00B22E1B">
              <w:rPr>
                <w:noProof/>
                <w:webHidden/>
              </w:rPr>
              <w:fldChar w:fldCharType="separate"/>
            </w:r>
            <w:r w:rsidR="00600510">
              <w:rPr>
                <w:noProof/>
                <w:webHidden/>
              </w:rPr>
              <w:t>6</w:t>
            </w:r>
            <w:r w:rsidR="00B22E1B">
              <w:rPr>
                <w:noProof/>
                <w:webHidden/>
              </w:rPr>
              <w:fldChar w:fldCharType="end"/>
            </w:r>
          </w:hyperlink>
        </w:p>
        <w:p w14:paraId="5127620D" w14:textId="1AFED23F" w:rsidR="00B22E1B" w:rsidRDefault="002D41F6">
          <w:pPr>
            <w:pStyle w:val="TOC1"/>
            <w:tabs>
              <w:tab w:val="right" w:leader="dot" w:pos="9350"/>
            </w:tabs>
            <w:rPr>
              <w:noProof/>
              <w:sz w:val="22"/>
              <w:szCs w:val="22"/>
            </w:rPr>
          </w:pPr>
          <w:hyperlink w:anchor="_Toc493853757" w:history="1">
            <w:r w:rsidR="00B22E1B" w:rsidRPr="00EF64A1">
              <w:rPr>
                <w:rStyle w:val="Hyperlink"/>
                <w:rFonts w:ascii="Cambria" w:hAnsi="Cambria"/>
                <w:noProof/>
              </w:rPr>
              <w:t>References</w:t>
            </w:r>
            <w:r w:rsidR="00B22E1B">
              <w:rPr>
                <w:noProof/>
                <w:webHidden/>
              </w:rPr>
              <w:tab/>
            </w:r>
            <w:r w:rsidR="00B22E1B">
              <w:rPr>
                <w:noProof/>
                <w:webHidden/>
              </w:rPr>
              <w:fldChar w:fldCharType="begin"/>
            </w:r>
            <w:r w:rsidR="00B22E1B">
              <w:rPr>
                <w:noProof/>
                <w:webHidden/>
              </w:rPr>
              <w:instrText xml:space="preserve"> PAGEREF _Toc493853757 \h </w:instrText>
            </w:r>
            <w:r w:rsidR="00B22E1B">
              <w:rPr>
                <w:noProof/>
                <w:webHidden/>
              </w:rPr>
            </w:r>
            <w:r w:rsidR="00B22E1B">
              <w:rPr>
                <w:noProof/>
                <w:webHidden/>
              </w:rPr>
              <w:fldChar w:fldCharType="separate"/>
            </w:r>
            <w:r w:rsidR="00600510">
              <w:rPr>
                <w:noProof/>
                <w:webHidden/>
              </w:rPr>
              <w:t>8</w:t>
            </w:r>
            <w:r w:rsidR="00B22E1B">
              <w:rPr>
                <w:noProof/>
                <w:webHidden/>
              </w:rPr>
              <w:fldChar w:fldCharType="end"/>
            </w:r>
          </w:hyperlink>
        </w:p>
        <w:p w14:paraId="6EE960B7" w14:textId="3E21A5DE" w:rsidR="00B22E1B" w:rsidRDefault="002D41F6">
          <w:pPr>
            <w:pStyle w:val="TOC1"/>
            <w:tabs>
              <w:tab w:val="right" w:leader="dot" w:pos="9350"/>
            </w:tabs>
            <w:rPr>
              <w:noProof/>
              <w:sz w:val="22"/>
              <w:szCs w:val="22"/>
            </w:rPr>
          </w:pPr>
          <w:hyperlink w:anchor="_Toc493853758" w:history="1">
            <w:r w:rsidR="00B22E1B" w:rsidRPr="00EF64A1">
              <w:rPr>
                <w:rStyle w:val="Hyperlink"/>
                <w:rFonts w:ascii="Cambria" w:hAnsi="Cambria"/>
                <w:noProof/>
              </w:rPr>
              <w:t>List of Attachments</w:t>
            </w:r>
            <w:r w:rsidR="00B22E1B">
              <w:rPr>
                <w:noProof/>
                <w:webHidden/>
              </w:rPr>
              <w:tab/>
            </w:r>
            <w:r w:rsidR="00B22E1B">
              <w:rPr>
                <w:noProof/>
                <w:webHidden/>
              </w:rPr>
              <w:fldChar w:fldCharType="begin"/>
            </w:r>
            <w:r w:rsidR="00B22E1B">
              <w:rPr>
                <w:noProof/>
                <w:webHidden/>
              </w:rPr>
              <w:instrText xml:space="preserve"> PAGEREF _Toc493853758 \h </w:instrText>
            </w:r>
            <w:r w:rsidR="00B22E1B">
              <w:rPr>
                <w:noProof/>
                <w:webHidden/>
              </w:rPr>
            </w:r>
            <w:r w:rsidR="00B22E1B">
              <w:rPr>
                <w:noProof/>
                <w:webHidden/>
              </w:rPr>
              <w:fldChar w:fldCharType="separate"/>
            </w:r>
            <w:r w:rsidR="00600510">
              <w:rPr>
                <w:noProof/>
                <w:webHidden/>
              </w:rPr>
              <w:t>8</w:t>
            </w:r>
            <w:r w:rsidR="00B22E1B">
              <w:rPr>
                <w:noProof/>
                <w:webHidden/>
              </w:rPr>
              <w:fldChar w:fldCharType="end"/>
            </w:r>
          </w:hyperlink>
        </w:p>
        <w:p w14:paraId="25E671BB" w14:textId="1AC10BD6"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4B971ED5" w:rsidR="00DD2606"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0CC020CB" w14:textId="46118802" w:rsidR="003F1D74" w:rsidRPr="004C1EB2" w:rsidRDefault="003F1D74" w:rsidP="001E61E2">
      <w:pPr>
        <w:spacing w:before="240" w:after="240" w:line="23" w:lineRule="atLeast"/>
        <w:rPr>
          <w:sz w:val="24"/>
          <w:szCs w:val="24"/>
        </w:rPr>
      </w:pPr>
      <w:r w:rsidRPr="004C1EB2">
        <w:rPr>
          <w:sz w:val="24"/>
          <w:szCs w:val="24"/>
        </w:rPr>
        <w:t>The primary purpose of the Healthy Homes and Lead Poisoning Prev</w:t>
      </w:r>
      <w:r w:rsidR="00705799">
        <w:rPr>
          <w:sz w:val="24"/>
          <w:szCs w:val="24"/>
        </w:rPr>
        <w:t>ention Surveillance System (HHL</w:t>
      </w:r>
      <w:r w:rsidRPr="004C1EB2">
        <w:rPr>
          <w:sz w:val="24"/>
          <w:szCs w:val="24"/>
        </w:rPr>
        <w:t xml:space="preserve">PSS) is to improve program management and oversight. State, local, and territorial programs collect extensive information as part of home visits conducted by their staff.  These visits can occur in response to: 1) complaints from residents;   2) case-management for asthma, injury, childhood blood lead, etc.; and 3) healthy housing community outreach efforts.  The </w:t>
      </w:r>
      <w:r w:rsidR="00705799">
        <w:rPr>
          <w:sz w:val="24"/>
          <w:szCs w:val="24"/>
        </w:rPr>
        <w:t>HHLPSS</w:t>
      </w:r>
      <w:r w:rsidRPr="004C1EB2">
        <w:rPr>
          <w:sz w:val="24"/>
          <w:szCs w:val="24"/>
        </w:rPr>
        <w:t xml:space="preserve"> extracts data from these files for submission to the CDC National Center for Environmental Health.  Data extracted are a smaller portion of the original information housed at the programs.   </w:t>
      </w:r>
    </w:p>
    <w:p w14:paraId="1B347AFC" w14:textId="25BBD886" w:rsidR="003F1D74" w:rsidRPr="004C1EB2" w:rsidRDefault="00705799" w:rsidP="001E61E2">
      <w:pPr>
        <w:pStyle w:val="NormalOMB"/>
        <w:spacing w:after="240" w:line="23" w:lineRule="atLeast"/>
        <w:ind w:firstLine="0"/>
        <w:rPr>
          <w:rFonts w:asciiTheme="minorHAnsi" w:hAnsiTheme="minorHAnsi"/>
          <w:szCs w:val="24"/>
        </w:rPr>
      </w:pPr>
      <w:r>
        <w:rPr>
          <w:rFonts w:asciiTheme="minorHAnsi" w:hAnsiTheme="minorHAnsi"/>
          <w:szCs w:val="24"/>
        </w:rPr>
        <w:t>HHLPSS</w:t>
      </w:r>
      <w:r w:rsidR="003F1D74" w:rsidRPr="004C1EB2">
        <w:rPr>
          <w:rFonts w:asciiTheme="minorHAnsi" w:hAnsiTheme="minorHAnsi"/>
          <w:szCs w:val="24"/>
        </w:rPr>
        <w:t xml:space="preserve"> can be used to compare changes over time in a given area when the method by which housing units are chosen for inclusion remains the same.  </w:t>
      </w:r>
      <w:r>
        <w:rPr>
          <w:rFonts w:asciiTheme="minorHAnsi" w:hAnsiTheme="minorHAnsi"/>
          <w:szCs w:val="24"/>
        </w:rPr>
        <w:t>HHLPSS</w:t>
      </w:r>
      <w:r w:rsidR="003F1D74" w:rsidRPr="004C1EB2">
        <w:rPr>
          <w:rFonts w:asciiTheme="minorHAnsi" w:hAnsiTheme="minorHAnsi"/>
          <w:szCs w:val="24"/>
        </w:rPr>
        <w:t xml:space="preserve"> provides useful information using descriptive statistics such as the number of individuals in a given area with both a specific housing hazard and health condition and the association between this number and the population geographic descriptors such as poverty, age of housing, tenancy, and health conditions. </w:t>
      </w:r>
    </w:p>
    <w:p w14:paraId="1C41269C" w14:textId="2DD53D7B" w:rsidR="003F1D74" w:rsidRPr="004C1EB2" w:rsidRDefault="003F1D74" w:rsidP="001E61E2">
      <w:pPr>
        <w:spacing w:after="240" w:line="23" w:lineRule="atLeast"/>
        <w:rPr>
          <w:sz w:val="24"/>
          <w:szCs w:val="24"/>
          <w:u w:val="single"/>
        </w:rPr>
      </w:pPr>
      <w:r w:rsidRPr="004C1EB2">
        <w:t xml:space="preserve"> </w:t>
      </w:r>
      <w:r w:rsidRPr="004C1EB2">
        <w:rPr>
          <w:sz w:val="24"/>
          <w:szCs w:val="24"/>
          <w:u w:val="single"/>
        </w:rPr>
        <w:t>Limitations</w:t>
      </w:r>
    </w:p>
    <w:p w14:paraId="0A72F5C8" w14:textId="7B984F20" w:rsidR="003F1D74" w:rsidRDefault="003F1D74" w:rsidP="001E61E2">
      <w:pPr>
        <w:spacing w:after="240" w:line="23" w:lineRule="atLeast"/>
        <w:rPr>
          <w:sz w:val="24"/>
          <w:szCs w:val="24"/>
        </w:rPr>
      </w:pPr>
      <w:r w:rsidRPr="004C1EB2">
        <w:rPr>
          <w:sz w:val="24"/>
          <w:szCs w:val="24"/>
        </w:rPr>
        <w:t>Housing, injury, and asthma surveillance data are currently being collected through the use of several systems [e.g., The National Health and Nutrition Examination Survey (NHANES), National Health Interview Survey (NHIS), Behavioral Risk Factor Surveillance System (BRFSS), and the American Housing Survey (AHS)] (see Section A.4). These surveys are episodic evaluations and representative of the entire non-institutionalized US population</w:t>
      </w:r>
      <w:r>
        <w:rPr>
          <w:sz w:val="24"/>
          <w:szCs w:val="24"/>
        </w:rPr>
        <w:t xml:space="preserve">. Because the </w:t>
      </w:r>
      <w:r w:rsidR="00705799">
        <w:rPr>
          <w:sz w:val="24"/>
          <w:szCs w:val="24"/>
        </w:rPr>
        <w:t>HHLPSS</w:t>
      </w:r>
      <w:r>
        <w:rPr>
          <w:sz w:val="24"/>
          <w:szCs w:val="24"/>
        </w:rPr>
        <w:t xml:space="preserve"> is not a representative sample, data in </w:t>
      </w:r>
      <w:r w:rsidR="00705799">
        <w:rPr>
          <w:sz w:val="24"/>
          <w:szCs w:val="24"/>
        </w:rPr>
        <w:t>HHLPSS</w:t>
      </w:r>
      <w:r>
        <w:rPr>
          <w:sz w:val="24"/>
          <w:szCs w:val="24"/>
        </w:rPr>
        <w:t xml:space="preserve"> </w:t>
      </w:r>
      <w:r w:rsidR="00240F13">
        <w:rPr>
          <w:sz w:val="24"/>
          <w:szCs w:val="24"/>
        </w:rPr>
        <w:t>cannot</w:t>
      </w:r>
      <w:r>
        <w:rPr>
          <w:sz w:val="24"/>
          <w:szCs w:val="24"/>
        </w:rPr>
        <w:t xml:space="preserve"> be compared to the data in any of the above surveys.  State-to-state comparisons also </w:t>
      </w:r>
      <w:r w:rsidR="00240F13">
        <w:rPr>
          <w:sz w:val="24"/>
          <w:szCs w:val="24"/>
        </w:rPr>
        <w:t>cannot</w:t>
      </w:r>
      <w:r>
        <w:rPr>
          <w:sz w:val="24"/>
          <w:szCs w:val="24"/>
        </w:rPr>
        <w:t xml:space="preserve"> be made because of varying state policies and practices for blood lead testing and housing health hazards that are local priorities.  The participating cooperative agreements state, local, and territorial health departments do require electronic reporting of all blood lead testing done on state residents; however</w:t>
      </w:r>
      <w:r w:rsidR="00240F13">
        <w:rPr>
          <w:sz w:val="24"/>
          <w:szCs w:val="24"/>
        </w:rPr>
        <w:t>,</w:t>
      </w:r>
      <w:r>
        <w:rPr>
          <w:sz w:val="24"/>
          <w:szCs w:val="24"/>
        </w:rPr>
        <w:t xml:space="preserve"> targeting strategies vary as state and local jurisdictions use local demonstration of need to determine subpopulations at high risk.  </w:t>
      </w:r>
    </w:p>
    <w:p w14:paraId="2F688A11" w14:textId="26269206" w:rsidR="003F1D74" w:rsidRDefault="00705799" w:rsidP="001E61E2">
      <w:pPr>
        <w:spacing w:after="240" w:line="23" w:lineRule="atLeast"/>
        <w:rPr>
          <w:sz w:val="24"/>
          <w:szCs w:val="24"/>
        </w:rPr>
      </w:pPr>
      <w:r>
        <w:rPr>
          <w:sz w:val="24"/>
          <w:szCs w:val="24"/>
        </w:rPr>
        <w:t>HHLPSS</w:t>
      </w:r>
      <w:r w:rsidR="003F1D74">
        <w:rPr>
          <w:sz w:val="24"/>
          <w:szCs w:val="24"/>
        </w:rPr>
        <w:t xml:space="preserve"> can be used to determine whether targeting screening strategies are indeed identifying high risk and whether interventions are successful within homes visited.  It is also useful to determine the number of children tested and the number of visits conducted in order to ascertain the programs’ fidelity to their protocols.  Finally, population-based data such as census and tax assessor data have been demonstrated to be adequate predictors of elevated blood lead levels, substandard housing and poor health.  </w:t>
      </w:r>
      <w:r>
        <w:rPr>
          <w:sz w:val="24"/>
          <w:szCs w:val="24"/>
        </w:rPr>
        <w:t>HHLPSS</w:t>
      </w:r>
      <w:r w:rsidR="003F1D74">
        <w:rPr>
          <w:sz w:val="24"/>
          <w:szCs w:val="24"/>
        </w:rPr>
        <w:t xml:space="preserve"> data can be linked to this data to help programs better understand their coverage of areas most in need.</w:t>
      </w:r>
    </w:p>
    <w:p w14:paraId="4A8E1D90" w14:textId="53992ECB" w:rsidR="003F1D74" w:rsidRPr="00847547" w:rsidRDefault="003F1D74" w:rsidP="001E61E2">
      <w:pPr>
        <w:spacing w:after="240" w:line="23" w:lineRule="atLeast"/>
        <w:rPr>
          <w:sz w:val="20"/>
          <w:szCs w:val="20"/>
        </w:rPr>
      </w:pPr>
      <w:r>
        <w:rPr>
          <w:sz w:val="24"/>
          <w:szCs w:val="24"/>
        </w:rPr>
        <w:t xml:space="preserve">CDC uses </w:t>
      </w:r>
      <w:r w:rsidR="00705799">
        <w:rPr>
          <w:sz w:val="24"/>
          <w:szCs w:val="24"/>
        </w:rPr>
        <w:t>HHLPSS</w:t>
      </w:r>
      <w:r>
        <w:rPr>
          <w:sz w:val="24"/>
          <w:szCs w:val="24"/>
        </w:rPr>
        <w:t xml:space="preserve"> data not only as a program management tool, but in the aggregate, CDC produces summaries for states and counties in order to report to Congress and stakeholders the status of healthy homes services.  These reports are in keeping with the Congress’s intent that CDC provide such reports.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93853752"/>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3099DC69" w14:textId="4DAF631D" w:rsidR="003F1D74" w:rsidRDefault="003F1D74" w:rsidP="001E61E2">
      <w:pPr>
        <w:spacing w:before="240" w:after="240" w:line="276" w:lineRule="auto"/>
        <w:rPr>
          <w:bCs/>
          <w:sz w:val="24"/>
          <w:szCs w:val="24"/>
        </w:rPr>
      </w:pPr>
      <w:r>
        <w:rPr>
          <w:sz w:val="24"/>
          <w:szCs w:val="24"/>
        </w:rPr>
        <w:t xml:space="preserve">The respondents are the recipients of CDC cooperative agreement funds.  All respondents come from the following pool of eligible applicants: the official state, local, or territorial health departments, and/or departments of the environment.  Currently, </w:t>
      </w:r>
      <w:r w:rsidR="00ED448F" w:rsidRPr="00456553">
        <w:rPr>
          <w:sz w:val="24"/>
          <w:szCs w:val="24"/>
        </w:rPr>
        <w:t xml:space="preserve">up to </w:t>
      </w:r>
      <w:r w:rsidRPr="00456553">
        <w:rPr>
          <w:sz w:val="24"/>
          <w:szCs w:val="24"/>
        </w:rPr>
        <w:t>40</w:t>
      </w:r>
      <w:r>
        <w:rPr>
          <w:sz w:val="24"/>
          <w:szCs w:val="24"/>
        </w:rPr>
        <w:t xml:space="preserve"> state and local programs are funded by CDC’s Healthy Homes and Lead Poisoning Prevention Program (HHLPPP – hereafter, the “Program”) after an objective review process by the Program. We anticipate a 100% response for the respondents to submit their data (these data are part of their quarterly progress report).  All funded respondents will submit their surveillance data as described in Section B.2 - </w:t>
      </w:r>
      <w:r>
        <w:rPr>
          <w:bCs/>
          <w:sz w:val="24"/>
          <w:szCs w:val="24"/>
        </w:rPr>
        <w:t>Procedures for the Collection of Information.</w:t>
      </w:r>
    </w:p>
    <w:p w14:paraId="12F89FBF" w14:textId="7186F45F" w:rsidR="003F1D74" w:rsidRDefault="00BE3248" w:rsidP="001E61E2">
      <w:pPr>
        <w:spacing w:after="240" w:line="276" w:lineRule="auto"/>
        <w:rPr>
          <w:sz w:val="20"/>
          <w:szCs w:val="20"/>
        </w:rPr>
      </w:pPr>
      <w:r>
        <w:rPr>
          <w:bCs/>
          <w:sz w:val="24"/>
          <w:szCs w:val="24"/>
        </w:rPr>
        <w:t>Data are</w:t>
      </w:r>
      <w:r w:rsidR="003F1D74">
        <w:rPr>
          <w:bCs/>
          <w:sz w:val="24"/>
          <w:szCs w:val="24"/>
        </w:rPr>
        <w:t xml:space="preserve"> collected during home visits for families referred by their primary health care provider, other social service provider, self-referred, or, as in the case of blood lead levels, reported by laboratories. In most funded cooperative agreement programs, blood lead testing and laboratory reporting of all blood lead levels is required by law (see for example: National Conference of State Legislatures: </w:t>
      </w:r>
      <w:r w:rsidR="003F1D74">
        <w:rPr>
          <w:rFonts w:eastAsiaTheme="minorHAnsi"/>
          <w:bCs/>
          <w:sz w:val="24"/>
          <w:szCs w:val="24"/>
        </w:rPr>
        <w:t>State Lead Poisoning Prevention Statutes at</w:t>
      </w:r>
      <w:r w:rsidR="003F1D74">
        <w:rPr>
          <w:bCs/>
          <w:sz w:val="24"/>
          <w:szCs w:val="24"/>
        </w:rPr>
        <w:t xml:space="preserve"> </w:t>
      </w:r>
      <w:hyperlink r:id="rId9" w:history="1">
        <w:r w:rsidR="003F1D74">
          <w:rPr>
            <w:rStyle w:val="Hyperlink"/>
            <w:sz w:val="24"/>
            <w:szCs w:val="24"/>
          </w:rPr>
          <w:t>http://www.ncsl.org/documents/environ/stlaws10.pdf</w:t>
        </w:r>
      </w:hyperlink>
      <w:r w:rsidR="003F1D74">
        <w:rPr>
          <w:bCs/>
          <w:sz w:val="24"/>
          <w:szCs w:val="24"/>
        </w:rPr>
        <w:t xml:space="preserve">).  Data regarding race/ethnicity are collected by the parent or self-report in the clinical office or during the home visit.  All programs use the 5 category race variable found </w:t>
      </w:r>
      <w:r w:rsidR="003F1D74" w:rsidRPr="00307E98">
        <w:rPr>
          <w:bCs/>
          <w:sz w:val="24"/>
          <w:szCs w:val="24"/>
        </w:rPr>
        <w:t xml:space="preserve">in Attachment </w:t>
      </w:r>
      <w:r w:rsidR="00E83841" w:rsidRPr="00307E98">
        <w:rPr>
          <w:bCs/>
          <w:sz w:val="24"/>
          <w:szCs w:val="24"/>
        </w:rPr>
        <w:t>4</w:t>
      </w:r>
      <w:r w:rsidR="00101B32">
        <w:rPr>
          <w:bCs/>
          <w:sz w:val="24"/>
          <w:szCs w:val="24"/>
        </w:rPr>
        <w:t>.</w:t>
      </w:r>
      <w:r w:rsidR="003F1D74">
        <w:rPr>
          <w:bCs/>
          <w:sz w:val="24"/>
          <w:szCs w:val="24"/>
        </w:rPr>
        <w:t xml:space="preserve"> During meetings with the cooperative agreement partners, they agreed to and through our authority under the cooperative agreement, CDC requires programs to use the standardized healthy homes questions also found in </w:t>
      </w:r>
      <w:r w:rsidR="00364587">
        <w:rPr>
          <w:bCs/>
          <w:sz w:val="24"/>
          <w:szCs w:val="24"/>
        </w:rPr>
        <w:t>Attachment</w:t>
      </w:r>
      <w:r w:rsidR="00307E98" w:rsidRPr="00307E98">
        <w:rPr>
          <w:bCs/>
          <w:sz w:val="24"/>
          <w:szCs w:val="24"/>
        </w:rPr>
        <w:t xml:space="preserve"> 4</w:t>
      </w:r>
      <w:r w:rsidR="003F1D74">
        <w:rPr>
          <w:bCs/>
          <w:sz w:val="24"/>
          <w:szCs w:val="24"/>
        </w:rPr>
        <w:t xml:space="preserve">.  These include the questions related to asthma diagnosis and symptoms cognitively tested by the National Center for Health Statistics (NCHS). However, unlike NCHS, </w:t>
      </w:r>
      <w:r w:rsidR="00705799">
        <w:rPr>
          <w:bCs/>
          <w:sz w:val="24"/>
          <w:szCs w:val="24"/>
        </w:rPr>
        <w:t>HHLPSS</w:t>
      </w:r>
      <w:r w:rsidR="003F1D74">
        <w:rPr>
          <w:bCs/>
          <w:sz w:val="24"/>
          <w:szCs w:val="24"/>
        </w:rPr>
        <w:t xml:space="preserve"> uses the clinically relevant age threshold of 6 years old as recommended by the </w:t>
      </w:r>
      <w:r w:rsidR="003F1D74">
        <w:rPr>
          <w:sz w:val="24"/>
          <w:szCs w:val="24"/>
        </w:rPr>
        <w:t>National Heart Lung and Blood Institute.</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93853753"/>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75A34468" w14:textId="4DA1BA29" w:rsidR="003F1D74" w:rsidRPr="00847547" w:rsidRDefault="003F1D74" w:rsidP="001E61E2">
      <w:pPr>
        <w:pStyle w:val="NormalOMB"/>
        <w:spacing w:before="240" w:after="240" w:line="23" w:lineRule="atLeast"/>
        <w:ind w:firstLine="0"/>
        <w:rPr>
          <w:rFonts w:asciiTheme="minorHAnsi" w:hAnsiTheme="minorHAnsi"/>
        </w:rPr>
      </w:pPr>
      <w:r w:rsidRPr="00847547">
        <w:rPr>
          <w:rFonts w:asciiTheme="minorHAnsi" w:hAnsiTheme="minorHAnsi"/>
        </w:rPr>
        <w:t xml:space="preserve">Recipients of cooperative agreement awards are required to submit a summary data file within 90 days of the end of each quarter of the federal fiscal year.  </w:t>
      </w:r>
      <w:r w:rsidRPr="00847547">
        <w:rPr>
          <w:rFonts w:asciiTheme="minorHAnsi" w:hAnsiTheme="minorHAnsi" w:cs="TimesNewRoman"/>
          <w:szCs w:val="24"/>
        </w:rPr>
        <w:t xml:space="preserve">Data will be entered by the state, local, and territorial programs into a database (e.g. Microsoft SQL) which will also be password-protected by state IT security protocols and processes.  State, local, and territorial programs will extract the </w:t>
      </w:r>
      <w:r w:rsidR="00705799">
        <w:rPr>
          <w:rFonts w:asciiTheme="minorHAnsi" w:hAnsiTheme="minorHAnsi" w:cs="TimesNewRoman"/>
          <w:szCs w:val="24"/>
        </w:rPr>
        <w:t>HHLPSS</w:t>
      </w:r>
      <w:r w:rsidRPr="00847547">
        <w:rPr>
          <w:rFonts w:asciiTheme="minorHAnsi" w:hAnsiTheme="minorHAnsi" w:cs="TimesNewRoman"/>
          <w:szCs w:val="24"/>
        </w:rPr>
        <w:t xml:space="preserve"> data from their existing records and send the encrypted files electronically to Program staff at CDC.</w:t>
      </w:r>
    </w:p>
    <w:p w14:paraId="1384517B" w14:textId="77777777" w:rsidR="003F1D74" w:rsidRPr="00847547" w:rsidRDefault="003F1D74" w:rsidP="001E61E2">
      <w:pPr>
        <w:spacing w:after="240" w:line="23" w:lineRule="atLeast"/>
        <w:rPr>
          <w:sz w:val="24"/>
          <w:szCs w:val="24"/>
        </w:rPr>
      </w:pPr>
    </w:p>
    <w:p w14:paraId="56368D5C" w14:textId="65355544" w:rsidR="003F1D74" w:rsidRPr="00847547" w:rsidRDefault="003F1D74" w:rsidP="001E61E2">
      <w:pPr>
        <w:spacing w:after="240" w:line="23" w:lineRule="atLeast"/>
        <w:rPr>
          <w:sz w:val="24"/>
          <w:szCs w:val="24"/>
        </w:rPr>
      </w:pPr>
      <w:r w:rsidRPr="00847547">
        <w:rPr>
          <w:sz w:val="24"/>
          <w:szCs w:val="24"/>
        </w:rPr>
        <w:t xml:space="preserve">The </w:t>
      </w:r>
      <w:r w:rsidR="00705799">
        <w:rPr>
          <w:sz w:val="24"/>
          <w:szCs w:val="24"/>
        </w:rPr>
        <w:t>HHLPSS</w:t>
      </w:r>
      <w:r w:rsidRPr="00847547">
        <w:rPr>
          <w:sz w:val="24"/>
          <w:szCs w:val="24"/>
        </w:rPr>
        <w:t xml:space="preserve"> is primarily a program management tool and essential to the branch evaluation and monitoring responsibilities related to the cooperative agreements with state and local healthy homes lead poisoning prevention programs.  As such, there is no group assignment and no comparison of participants and non-participants.  Thus, calculation of statistical power is immaterial in this context.</w:t>
      </w:r>
    </w:p>
    <w:p w14:paraId="14594BB1" w14:textId="6302EE2E" w:rsidR="003F1D74" w:rsidRPr="00847547" w:rsidRDefault="003F1D74" w:rsidP="001E61E2">
      <w:pPr>
        <w:spacing w:after="240" w:line="23" w:lineRule="atLeast"/>
        <w:rPr>
          <w:sz w:val="24"/>
          <w:szCs w:val="24"/>
        </w:rPr>
      </w:pPr>
      <w:r w:rsidRPr="00847547">
        <w:rPr>
          <w:sz w:val="24"/>
          <w:szCs w:val="24"/>
        </w:rPr>
        <w:t xml:space="preserve">All data from the funded programs </w:t>
      </w:r>
      <w:r w:rsidR="00BE3248">
        <w:rPr>
          <w:sz w:val="24"/>
          <w:szCs w:val="24"/>
        </w:rPr>
        <w:t>are</w:t>
      </w:r>
      <w:r w:rsidRPr="00847547">
        <w:rPr>
          <w:sz w:val="24"/>
          <w:szCs w:val="24"/>
        </w:rPr>
        <w:t xml:space="preserve"> entered into the </w:t>
      </w:r>
      <w:r w:rsidR="00705799">
        <w:rPr>
          <w:sz w:val="24"/>
          <w:szCs w:val="24"/>
        </w:rPr>
        <w:t>HHLPSS</w:t>
      </w:r>
      <w:r w:rsidRPr="00847547">
        <w:rPr>
          <w:sz w:val="24"/>
          <w:szCs w:val="24"/>
        </w:rPr>
        <w:t xml:space="preserve">.  For the main objective of </w:t>
      </w:r>
      <w:r w:rsidR="00705799">
        <w:rPr>
          <w:sz w:val="24"/>
          <w:szCs w:val="24"/>
        </w:rPr>
        <w:t>HHLPSS</w:t>
      </w:r>
      <w:r w:rsidRPr="00847547">
        <w:rPr>
          <w:sz w:val="24"/>
          <w:szCs w:val="24"/>
        </w:rPr>
        <w:t>, the prevalence of housing hazards and adverse health effects (e.g., injuries and asthma) must be collected within a single surveillance system.  Only then can we begin to assess timeliness of program responses to unsafe housing and the degree to which programs are meeting their goals and objectives.</w:t>
      </w:r>
    </w:p>
    <w:p w14:paraId="636A5C3C" w14:textId="015C0665" w:rsidR="003F1D74" w:rsidRPr="00847547" w:rsidRDefault="003F1D74" w:rsidP="001E61E2">
      <w:pPr>
        <w:spacing w:after="240" w:line="23" w:lineRule="atLeast"/>
        <w:rPr>
          <w:sz w:val="24"/>
          <w:szCs w:val="24"/>
        </w:rPr>
      </w:pPr>
      <w:r w:rsidRPr="00847547">
        <w:rPr>
          <w:sz w:val="24"/>
          <w:szCs w:val="24"/>
        </w:rPr>
        <w:t>Descriptive statistics such as means and ranges will be used to characterize the collected data.  For example, mean blood lead level in micrograms per deciliter (µg/dL) for the children under 6 years of age tested for lead poisoning and living in the state of Texas, or the range of homes with reported mold-damage in various New York counties, are a possible type of descriptive statistics.  The descriptive statistics can be used to evaluate program progress in meeting stated goals, identify subpopulations or small geographic areas where risk for specific housing conditions is high and to target resources to these areas.  These statistics can be used to evaluate program management in terms of timely response to individual cases.</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93853754"/>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311D59E" w14:textId="14994648" w:rsidR="003F1D74" w:rsidRDefault="003F1D74" w:rsidP="001E61E2">
      <w:pPr>
        <w:spacing w:before="240" w:after="240" w:line="276" w:lineRule="auto"/>
        <w:rPr>
          <w:rFonts w:ascii="Arial" w:hAnsi="Arial" w:cs="Arial"/>
        </w:rPr>
      </w:pPr>
      <w:r>
        <w:rPr>
          <w:sz w:val="24"/>
          <w:szCs w:val="24"/>
        </w:rPr>
        <w:t xml:space="preserve">Since data for the </w:t>
      </w:r>
      <w:r w:rsidR="00705799">
        <w:rPr>
          <w:sz w:val="24"/>
          <w:szCs w:val="24"/>
        </w:rPr>
        <w:t>HHLPSS</w:t>
      </w:r>
      <w:r>
        <w:rPr>
          <w:sz w:val="24"/>
          <w:szCs w:val="24"/>
        </w:rPr>
        <w:t xml:space="preserve"> are required to be submitted as part of the awarded cooperative agreement, we anticipate a 100% response rate (as stated in Section B.1).  In the event that an awardee does not submit its quarterly progress report (and consequently, </w:t>
      </w:r>
      <w:r w:rsidR="00705799">
        <w:rPr>
          <w:sz w:val="24"/>
          <w:szCs w:val="24"/>
        </w:rPr>
        <w:t>HHLPSS</w:t>
      </w:r>
      <w:r>
        <w:rPr>
          <w:sz w:val="24"/>
          <w:szCs w:val="24"/>
        </w:rPr>
        <w:t xml:space="preserve"> data); the assigned project officer will contact the program to help them overcome any barriers to submitting the progress report.  In addition, CDC will develop reports to provide feedback to each state, local, and territorial program funded by the CDC Program about the quality of their data.  CDC project officers will use these reports to highlight weaknesses in data and recommend ways to improve program activities and ensure consistency with stated objectives.</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93853755"/>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04E8AA89" w14:textId="77777777" w:rsidR="003F1D74" w:rsidRDefault="003F1D74" w:rsidP="001E61E2">
      <w:pPr>
        <w:spacing w:before="240" w:line="276" w:lineRule="auto"/>
        <w:rPr>
          <w:sz w:val="24"/>
          <w:szCs w:val="24"/>
        </w:rPr>
      </w:pPr>
      <w:r>
        <w:rPr>
          <w:sz w:val="24"/>
          <w:szCs w:val="24"/>
        </w:rPr>
        <w:t>Tests of Procedures or Methods is currently not applicable. No tests or procedures were employed.</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93853756"/>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66BB7131" w14:textId="77777777" w:rsidR="00381F74" w:rsidRDefault="00381F74" w:rsidP="00381F74">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rPr>
      </w:pPr>
    </w:p>
    <w:p w14:paraId="3087185C" w14:textId="5B20753A" w:rsidR="00D60175" w:rsidRPr="00B4455B" w:rsidRDefault="003F1D74" w:rsidP="001E61E2">
      <w:pPr>
        <w:pStyle w:val="Footer"/>
        <w:tabs>
          <w:tab w:val="left" w:pos="0"/>
          <w:tab w:val="left" w:pos="720"/>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contextualSpacing/>
        <w:rPr>
          <w:b/>
          <w:sz w:val="24"/>
          <w:szCs w:val="24"/>
        </w:rPr>
      </w:pPr>
      <w:r w:rsidRPr="00B4455B">
        <w:rPr>
          <w:b/>
          <w:sz w:val="24"/>
          <w:szCs w:val="24"/>
        </w:rPr>
        <w:t>Individual(s) Consulted on Statistical Aspects of the Design and Analyzing Information for the Agency</w:t>
      </w:r>
      <w:r w:rsidR="00F962FE" w:rsidRPr="00B4455B">
        <w:rPr>
          <w:b/>
          <w:sz w:val="24"/>
          <w:szCs w:val="24"/>
        </w:rPr>
        <w:t>:</w:t>
      </w:r>
      <w:r w:rsidR="003615B2" w:rsidRPr="00B4455B">
        <w:rPr>
          <w:b/>
          <w:sz w:val="24"/>
          <w:szCs w:val="24"/>
        </w:rPr>
        <w:t xml:space="preserve"> </w:t>
      </w:r>
    </w:p>
    <w:p w14:paraId="67B051D7" w14:textId="522633B8" w:rsidR="00BE1C2E" w:rsidRPr="00B4455B" w:rsidRDefault="00BE1C2E" w:rsidP="001E61E2">
      <w:pPr>
        <w:spacing w:after="240" w:line="240" w:lineRule="auto"/>
        <w:contextualSpacing/>
        <w:rPr>
          <w:sz w:val="24"/>
          <w:szCs w:val="24"/>
        </w:rPr>
      </w:pPr>
      <w:r w:rsidRPr="00B4455B">
        <w:rPr>
          <w:sz w:val="24"/>
          <w:szCs w:val="24"/>
        </w:rPr>
        <w:t>Adrienne S. Ettinger, ScD, MPH, MS</w:t>
      </w:r>
      <w:r w:rsidR="00913012" w:rsidRPr="00B4455B">
        <w:rPr>
          <w:sz w:val="24"/>
          <w:szCs w:val="24"/>
        </w:rPr>
        <w:t xml:space="preserve"> (</w:t>
      </w:r>
      <w:r w:rsidR="00913012" w:rsidRPr="00B4455B">
        <w:rPr>
          <w:b/>
          <w:sz w:val="24"/>
          <w:szCs w:val="24"/>
        </w:rPr>
        <w:t xml:space="preserve">beginning </w:t>
      </w:r>
      <w:r w:rsidR="00822094" w:rsidRPr="00B4455B">
        <w:rPr>
          <w:b/>
          <w:sz w:val="24"/>
          <w:szCs w:val="24"/>
        </w:rPr>
        <w:t xml:space="preserve">in </w:t>
      </w:r>
      <w:r w:rsidR="00913012" w:rsidRPr="00B4455B">
        <w:rPr>
          <w:b/>
          <w:sz w:val="24"/>
          <w:szCs w:val="24"/>
        </w:rPr>
        <w:t>2017</w:t>
      </w:r>
      <w:r w:rsidR="00913012" w:rsidRPr="00B4455B">
        <w:rPr>
          <w:sz w:val="24"/>
          <w:szCs w:val="24"/>
        </w:rPr>
        <w:t>)</w:t>
      </w:r>
    </w:p>
    <w:p w14:paraId="72408084" w14:textId="7EE40FAC" w:rsidR="00BE1C2E" w:rsidRPr="00B4455B" w:rsidRDefault="00BE1C2E" w:rsidP="001E61E2">
      <w:pPr>
        <w:spacing w:after="240" w:line="240" w:lineRule="auto"/>
        <w:contextualSpacing/>
        <w:rPr>
          <w:sz w:val="24"/>
          <w:szCs w:val="24"/>
        </w:rPr>
      </w:pPr>
      <w:r w:rsidRPr="00B4455B">
        <w:rPr>
          <w:sz w:val="24"/>
          <w:szCs w:val="24"/>
        </w:rPr>
        <w:t>Chief, Healthy Homes and Lead Poisoning Prevention Program</w:t>
      </w:r>
      <w:r w:rsidR="00CF776D" w:rsidRPr="00B4455B">
        <w:rPr>
          <w:sz w:val="24"/>
          <w:szCs w:val="24"/>
        </w:rPr>
        <w:t xml:space="preserve"> (HHLPPP)</w:t>
      </w:r>
    </w:p>
    <w:p w14:paraId="2F8F38DF" w14:textId="77777777" w:rsidR="00BE1C2E" w:rsidRPr="00B4455B" w:rsidRDefault="00BE1C2E" w:rsidP="001E61E2">
      <w:pPr>
        <w:spacing w:after="240" w:line="240" w:lineRule="auto"/>
        <w:contextualSpacing/>
        <w:rPr>
          <w:sz w:val="24"/>
          <w:szCs w:val="24"/>
        </w:rPr>
      </w:pPr>
      <w:r w:rsidRPr="00B4455B">
        <w:rPr>
          <w:sz w:val="24"/>
          <w:szCs w:val="24"/>
        </w:rPr>
        <w:t>National Center for Environmental Health</w:t>
      </w:r>
    </w:p>
    <w:p w14:paraId="248592AA" w14:textId="77777777" w:rsidR="00BE1C2E" w:rsidRPr="00B4455B" w:rsidRDefault="00BE1C2E" w:rsidP="001E61E2">
      <w:pPr>
        <w:spacing w:after="240" w:line="240" w:lineRule="auto"/>
        <w:contextualSpacing/>
        <w:rPr>
          <w:sz w:val="24"/>
          <w:szCs w:val="24"/>
        </w:rPr>
      </w:pPr>
      <w:r w:rsidRPr="00B4455B">
        <w:rPr>
          <w:sz w:val="24"/>
          <w:szCs w:val="24"/>
        </w:rPr>
        <w:t>U.S. Centers for Disease Control and Prevention (CDC)</w:t>
      </w:r>
    </w:p>
    <w:p w14:paraId="33583A75" w14:textId="77777777" w:rsidR="00BE1C2E" w:rsidRPr="00B4455B" w:rsidRDefault="00BE1C2E" w:rsidP="001E61E2">
      <w:pPr>
        <w:spacing w:after="240" w:line="240" w:lineRule="auto"/>
        <w:contextualSpacing/>
        <w:rPr>
          <w:rFonts w:cs="Arial"/>
          <w:sz w:val="24"/>
          <w:szCs w:val="24"/>
        </w:rPr>
      </w:pPr>
      <w:r w:rsidRPr="00B4455B">
        <w:rPr>
          <w:rFonts w:cs="Arial"/>
          <w:sz w:val="24"/>
          <w:szCs w:val="24"/>
        </w:rPr>
        <w:t>4770 Buford Hwy N.E., MS-F58</w:t>
      </w:r>
    </w:p>
    <w:p w14:paraId="75A4139E" w14:textId="77777777" w:rsidR="001E61E2" w:rsidRPr="00B4455B" w:rsidRDefault="00BE1C2E" w:rsidP="001E61E2">
      <w:pPr>
        <w:spacing w:after="240" w:line="240" w:lineRule="auto"/>
        <w:contextualSpacing/>
        <w:rPr>
          <w:rFonts w:cs="Arial"/>
          <w:sz w:val="24"/>
          <w:szCs w:val="24"/>
          <w:lang w:val="es-ES"/>
        </w:rPr>
      </w:pPr>
      <w:r w:rsidRPr="00B4455B">
        <w:rPr>
          <w:rFonts w:cs="Arial"/>
          <w:sz w:val="24"/>
          <w:szCs w:val="24"/>
          <w:lang w:val="es-ES"/>
        </w:rPr>
        <w:t>Atlanta, GA 30341</w:t>
      </w:r>
    </w:p>
    <w:p w14:paraId="78FC6E49" w14:textId="77777777" w:rsidR="001E61E2" w:rsidRPr="00B4455B" w:rsidRDefault="00BE1C2E" w:rsidP="001E61E2">
      <w:pPr>
        <w:spacing w:after="240" w:line="240" w:lineRule="auto"/>
        <w:contextualSpacing/>
        <w:rPr>
          <w:sz w:val="24"/>
          <w:szCs w:val="24"/>
        </w:rPr>
      </w:pPr>
      <w:r w:rsidRPr="00B4455B">
        <w:rPr>
          <w:sz w:val="24"/>
          <w:szCs w:val="24"/>
        </w:rPr>
        <w:t xml:space="preserve">Email: </w:t>
      </w:r>
      <w:hyperlink r:id="rId10" w:history="1">
        <w:r w:rsidR="001E61E2" w:rsidRPr="00B4455B">
          <w:rPr>
            <w:rStyle w:val="Hyperlink"/>
            <w:color w:val="auto"/>
            <w:sz w:val="24"/>
            <w:szCs w:val="24"/>
          </w:rPr>
          <w:t>aettinger@cdc.gov</w:t>
        </w:r>
      </w:hyperlink>
      <w:r w:rsidR="001E61E2" w:rsidRPr="00B4455B">
        <w:rPr>
          <w:sz w:val="24"/>
          <w:szCs w:val="24"/>
        </w:rPr>
        <w:t xml:space="preserve"> </w:t>
      </w:r>
    </w:p>
    <w:p w14:paraId="1767D3C8" w14:textId="77777777" w:rsidR="001E61E2" w:rsidRPr="00B4455B" w:rsidRDefault="00BE1C2E" w:rsidP="001E61E2">
      <w:pPr>
        <w:spacing w:after="240" w:line="240" w:lineRule="auto"/>
        <w:contextualSpacing/>
        <w:rPr>
          <w:sz w:val="24"/>
          <w:szCs w:val="24"/>
        </w:rPr>
      </w:pPr>
      <w:r w:rsidRPr="00B4455B">
        <w:rPr>
          <w:sz w:val="24"/>
          <w:szCs w:val="24"/>
        </w:rPr>
        <w:t>Phone: (770) 488-7492</w:t>
      </w:r>
      <w:r w:rsidRPr="00B4455B">
        <w:rPr>
          <w:sz w:val="24"/>
          <w:szCs w:val="24"/>
        </w:rPr>
        <w:tab/>
      </w:r>
      <w:r w:rsidR="001E61E2" w:rsidRPr="00B4455B">
        <w:rPr>
          <w:sz w:val="24"/>
          <w:szCs w:val="24"/>
        </w:rPr>
        <w:t xml:space="preserve"> </w:t>
      </w:r>
    </w:p>
    <w:p w14:paraId="4C16B78C" w14:textId="774F5AC6" w:rsidR="00BE1C2E" w:rsidRPr="00B4455B" w:rsidRDefault="00BE1C2E" w:rsidP="001E61E2">
      <w:pPr>
        <w:spacing w:after="240" w:line="240" w:lineRule="auto"/>
        <w:contextualSpacing/>
        <w:rPr>
          <w:sz w:val="24"/>
          <w:szCs w:val="24"/>
        </w:rPr>
      </w:pPr>
      <w:r w:rsidRPr="00B4455B">
        <w:rPr>
          <w:sz w:val="24"/>
          <w:szCs w:val="24"/>
        </w:rPr>
        <w:t>Fax: (770) 488-3635</w:t>
      </w:r>
    </w:p>
    <w:p w14:paraId="3A5A4362" w14:textId="77777777" w:rsidR="001E61E2" w:rsidRPr="00B4455B" w:rsidRDefault="001E61E2" w:rsidP="001E61E2">
      <w:pPr>
        <w:spacing w:after="240" w:line="240" w:lineRule="auto"/>
        <w:contextualSpacing/>
        <w:rPr>
          <w:sz w:val="24"/>
          <w:szCs w:val="24"/>
        </w:rPr>
      </w:pPr>
    </w:p>
    <w:p w14:paraId="43256DEB" w14:textId="78EA7571" w:rsidR="00822094" w:rsidRPr="00B4455B" w:rsidRDefault="00822094" w:rsidP="001E61E2">
      <w:pPr>
        <w:autoSpaceDE w:val="0"/>
        <w:autoSpaceDN w:val="0"/>
        <w:adjustRightInd w:val="0"/>
        <w:spacing w:after="240" w:line="240" w:lineRule="auto"/>
        <w:contextualSpacing/>
        <w:rPr>
          <w:rFonts w:cs="ITCFranklinGothicStd-Book"/>
          <w:b/>
          <w:sz w:val="24"/>
          <w:szCs w:val="24"/>
        </w:rPr>
      </w:pPr>
      <w:r w:rsidRPr="00B4455B">
        <w:rPr>
          <w:rFonts w:cs="ITCFranklinGothicStd-Book"/>
          <w:b/>
          <w:sz w:val="24"/>
          <w:szCs w:val="24"/>
        </w:rPr>
        <w:t>Designed the data collection:</w:t>
      </w:r>
    </w:p>
    <w:p w14:paraId="55A860B4" w14:textId="77777777" w:rsidR="00B4455B" w:rsidRPr="00B4455B" w:rsidRDefault="00B4455B" w:rsidP="001E61E2">
      <w:pPr>
        <w:autoSpaceDE w:val="0"/>
        <w:autoSpaceDN w:val="0"/>
        <w:adjustRightInd w:val="0"/>
        <w:spacing w:after="240" w:line="240" w:lineRule="auto"/>
        <w:contextualSpacing/>
        <w:rPr>
          <w:rFonts w:cs="ITCFranklinGothicStd-Book"/>
          <w:b/>
          <w:sz w:val="24"/>
          <w:szCs w:val="24"/>
        </w:rPr>
      </w:pPr>
    </w:p>
    <w:p w14:paraId="0DF69B01" w14:textId="77777777" w:rsidR="00822094" w:rsidRPr="00B4455B" w:rsidRDefault="00822094" w:rsidP="001E61E2">
      <w:pPr>
        <w:spacing w:after="240" w:line="240" w:lineRule="auto"/>
        <w:contextualSpacing/>
        <w:rPr>
          <w:sz w:val="24"/>
          <w:szCs w:val="24"/>
        </w:rPr>
      </w:pPr>
      <w:r w:rsidRPr="00B4455B">
        <w:rPr>
          <w:sz w:val="24"/>
          <w:szCs w:val="24"/>
        </w:rPr>
        <w:t>Mary Jean Brown ScD, RN (</w:t>
      </w:r>
      <w:r w:rsidRPr="00B4455B">
        <w:rPr>
          <w:b/>
          <w:sz w:val="24"/>
          <w:szCs w:val="24"/>
        </w:rPr>
        <w:t>retired 2016</w:t>
      </w:r>
      <w:r w:rsidRPr="00B4455B">
        <w:rPr>
          <w:sz w:val="24"/>
          <w:szCs w:val="24"/>
        </w:rPr>
        <w:t>)</w:t>
      </w:r>
    </w:p>
    <w:p w14:paraId="48A5258B" w14:textId="77777777" w:rsidR="00822094" w:rsidRPr="00B4455B" w:rsidRDefault="00822094" w:rsidP="001E61E2">
      <w:pPr>
        <w:spacing w:after="240" w:line="240" w:lineRule="auto"/>
        <w:contextualSpacing/>
        <w:rPr>
          <w:sz w:val="24"/>
          <w:szCs w:val="24"/>
        </w:rPr>
      </w:pPr>
      <w:r w:rsidRPr="00B4455B">
        <w:rPr>
          <w:sz w:val="24"/>
          <w:szCs w:val="24"/>
        </w:rPr>
        <w:t>Healthy Homes and Lead Poisoning Prevention Program</w:t>
      </w:r>
    </w:p>
    <w:p w14:paraId="029E1779" w14:textId="77777777" w:rsidR="00822094" w:rsidRPr="00B4455B" w:rsidRDefault="00822094" w:rsidP="001E61E2">
      <w:pPr>
        <w:spacing w:after="240" w:line="240" w:lineRule="auto"/>
        <w:contextualSpacing/>
        <w:rPr>
          <w:sz w:val="24"/>
          <w:szCs w:val="24"/>
        </w:rPr>
      </w:pPr>
      <w:r w:rsidRPr="00B4455B">
        <w:rPr>
          <w:sz w:val="24"/>
          <w:szCs w:val="24"/>
        </w:rPr>
        <w:t>National Center for Environmental Health</w:t>
      </w:r>
    </w:p>
    <w:p w14:paraId="05F7257F" w14:textId="77777777" w:rsidR="00822094" w:rsidRPr="00B4455B" w:rsidRDefault="00822094" w:rsidP="001E61E2">
      <w:pPr>
        <w:spacing w:after="240" w:line="240" w:lineRule="auto"/>
        <w:contextualSpacing/>
        <w:rPr>
          <w:sz w:val="24"/>
          <w:szCs w:val="24"/>
        </w:rPr>
      </w:pPr>
      <w:r w:rsidRPr="00B4455B">
        <w:rPr>
          <w:sz w:val="24"/>
          <w:szCs w:val="24"/>
        </w:rPr>
        <w:t>Centers for Disease Control and Prevention (CDC)</w:t>
      </w:r>
    </w:p>
    <w:p w14:paraId="756636E1" w14:textId="77777777" w:rsidR="00822094" w:rsidRPr="00B4455B" w:rsidRDefault="00822094" w:rsidP="001E61E2">
      <w:pPr>
        <w:spacing w:after="240" w:line="240" w:lineRule="auto"/>
        <w:contextualSpacing/>
        <w:rPr>
          <w:rFonts w:cs="Arial"/>
          <w:sz w:val="24"/>
          <w:szCs w:val="24"/>
        </w:rPr>
      </w:pPr>
      <w:r w:rsidRPr="00B4455B">
        <w:rPr>
          <w:rFonts w:cs="Arial"/>
          <w:sz w:val="24"/>
          <w:szCs w:val="24"/>
        </w:rPr>
        <w:t>4770 Buford Hwy., N.E., MS-F60</w:t>
      </w:r>
    </w:p>
    <w:p w14:paraId="6D5439FB" w14:textId="77777777" w:rsidR="00822094" w:rsidRPr="00B4455B" w:rsidRDefault="00822094" w:rsidP="001E61E2">
      <w:pPr>
        <w:spacing w:after="240" w:line="240" w:lineRule="auto"/>
        <w:contextualSpacing/>
        <w:rPr>
          <w:rFonts w:cs="Arial"/>
          <w:sz w:val="24"/>
          <w:szCs w:val="24"/>
          <w:lang w:val="es-ES"/>
        </w:rPr>
      </w:pPr>
      <w:r w:rsidRPr="00B4455B">
        <w:rPr>
          <w:rFonts w:cs="Arial"/>
          <w:sz w:val="24"/>
          <w:szCs w:val="24"/>
          <w:lang w:val="es-ES"/>
        </w:rPr>
        <w:t>Atlanta, GA 30341</w:t>
      </w:r>
    </w:p>
    <w:p w14:paraId="53414499" w14:textId="77777777" w:rsidR="00822094" w:rsidRPr="00B4455B" w:rsidRDefault="00822094" w:rsidP="001E61E2">
      <w:pPr>
        <w:spacing w:after="240" w:line="240" w:lineRule="auto"/>
        <w:contextualSpacing/>
        <w:rPr>
          <w:rFonts w:cs="Arial"/>
          <w:sz w:val="24"/>
          <w:szCs w:val="24"/>
          <w:lang w:val="es-ES"/>
        </w:rPr>
      </w:pPr>
      <w:r w:rsidRPr="00B4455B">
        <w:rPr>
          <w:rFonts w:cs="Arial"/>
          <w:sz w:val="24"/>
          <w:szCs w:val="24"/>
          <w:lang w:val="es-ES"/>
        </w:rPr>
        <w:t>Tel: (770) 488-3992</w:t>
      </w:r>
    </w:p>
    <w:p w14:paraId="09F18983" w14:textId="77777777" w:rsidR="00822094" w:rsidRPr="00B4455B" w:rsidRDefault="00822094" w:rsidP="001E61E2">
      <w:pPr>
        <w:spacing w:after="240" w:line="240" w:lineRule="auto"/>
        <w:contextualSpacing/>
        <w:rPr>
          <w:rFonts w:cs="Arial"/>
          <w:sz w:val="24"/>
          <w:szCs w:val="24"/>
          <w:lang w:val="es-ES"/>
        </w:rPr>
      </w:pPr>
      <w:r w:rsidRPr="00B4455B">
        <w:rPr>
          <w:rFonts w:cs="Arial"/>
          <w:sz w:val="24"/>
          <w:szCs w:val="24"/>
          <w:lang w:val="es-ES"/>
        </w:rPr>
        <w:t>Fax: (770) 488-3635</w:t>
      </w:r>
    </w:p>
    <w:p w14:paraId="12351799" w14:textId="77777777" w:rsidR="00822094" w:rsidRPr="00B4455B" w:rsidRDefault="002D41F6" w:rsidP="001E61E2">
      <w:pPr>
        <w:spacing w:after="240" w:line="240" w:lineRule="auto"/>
        <w:contextualSpacing/>
        <w:rPr>
          <w:rFonts w:cs="Arial"/>
          <w:sz w:val="24"/>
          <w:szCs w:val="24"/>
          <w:u w:val="single"/>
        </w:rPr>
      </w:pPr>
      <w:hyperlink r:id="rId11" w:history="1">
        <w:r w:rsidR="00822094" w:rsidRPr="00B4455B">
          <w:rPr>
            <w:rStyle w:val="Hyperlink"/>
            <w:rFonts w:cs="Arial"/>
            <w:color w:val="auto"/>
            <w:sz w:val="24"/>
            <w:szCs w:val="24"/>
          </w:rPr>
          <w:t>mjb5@cdc.gov</w:t>
        </w:r>
      </w:hyperlink>
      <w:r w:rsidR="00822094" w:rsidRPr="00B4455B">
        <w:rPr>
          <w:rFonts w:cs="Arial"/>
          <w:sz w:val="24"/>
          <w:szCs w:val="24"/>
          <w:u w:val="single"/>
        </w:rPr>
        <w:t xml:space="preserve"> </w:t>
      </w:r>
    </w:p>
    <w:p w14:paraId="19D6F41E" w14:textId="77777777" w:rsidR="00822094" w:rsidRPr="00B4455B" w:rsidRDefault="00822094" w:rsidP="001E61E2">
      <w:pPr>
        <w:spacing w:after="240" w:line="240" w:lineRule="auto"/>
        <w:contextualSpacing/>
        <w:rPr>
          <w:rFonts w:cs="Times New Roman"/>
          <w:sz w:val="24"/>
          <w:szCs w:val="24"/>
        </w:rPr>
      </w:pPr>
    </w:p>
    <w:p w14:paraId="187A4A5A" w14:textId="6E1910A2" w:rsidR="005176DE" w:rsidRPr="00B4455B" w:rsidRDefault="005176DE" w:rsidP="001E61E2">
      <w:pPr>
        <w:spacing w:after="240" w:line="240" w:lineRule="auto"/>
        <w:contextualSpacing/>
        <w:rPr>
          <w:b/>
          <w:sz w:val="24"/>
          <w:szCs w:val="24"/>
        </w:rPr>
      </w:pPr>
      <w:r w:rsidRPr="00B4455B">
        <w:rPr>
          <w:b/>
          <w:sz w:val="24"/>
          <w:szCs w:val="24"/>
        </w:rPr>
        <w:t>Individuals consulted in study design in 2009:</w:t>
      </w:r>
    </w:p>
    <w:p w14:paraId="52A008D1" w14:textId="77777777" w:rsidR="00B4455B" w:rsidRPr="00B4455B" w:rsidRDefault="00B4455B" w:rsidP="001E61E2">
      <w:pPr>
        <w:spacing w:after="240" w:line="240" w:lineRule="auto"/>
        <w:contextualSpacing/>
        <w:rPr>
          <w:b/>
          <w:sz w:val="24"/>
          <w:szCs w:val="24"/>
        </w:rPr>
      </w:pPr>
    </w:p>
    <w:p w14:paraId="73F036EE" w14:textId="357AFD08" w:rsidR="005176DE" w:rsidRPr="00B4455B" w:rsidRDefault="005176DE" w:rsidP="001E61E2">
      <w:pPr>
        <w:spacing w:after="240" w:line="240" w:lineRule="auto"/>
        <w:contextualSpacing/>
        <w:rPr>
          <w:sz w:val="24"/>
          <w:szCs w:val="24"/>
        </w:rPr>
      </w:pPr>
      <w:r w:rsidRPr="00B4455B">
        <w:rPr>
          <w:sz w:val="24"/>
          <w:szCs w:val="24"/>
        </w:rPr>
        <w:t>Ralph Caraballo, PhD</w:t>
      </w:r>
    </w:p>
    <w:p w14:paraId="4A49EE07" w14:textId="2A81F5A7" w:rsidR="005176DE" w:rsidRPr="00B4455B" w:rsidRDefault="005176DE" w:rsidP="001E61E2">
      <w:pPr>
        <w:spacing w:after="240" w:line="240" w:lineRule="auto"/>
        <w:contextualSpacing/>
        <w:rPr>
          <w:bCs/>
          <w:sz w:val="24"/>
          <w:szCs w:val="24"/>
        </w:rPr>
      </w:pPr>
      <w:r w:rsidRPr="00B4455B">
        <w:rPr>
          <w:sz w:val="24"/>
          <w:szCs w:val="24"/>
        </w:rPr>
        <w:t xml:space="preserve">Program Chief, </w:t>
      </w:r>
      <w:r w:rsidRPr="00B4455B">
        <w:rPr>
          <w:bCs/>
          <w:sz w:val="24"/>
          <w:szCs w:val="24"/>
        </w:rPr>
        <w:t>Epidemiology Program, Office on Smoking and Health, National Center for Chronic Disease Prevention &amp; Health Promotion</w:t>
      </w:r>
      <w:r w:rsidR="007D166D" w:rsidRPr="00B4455B">
        <w:rPr>
          <w:bCs/>
          <w:sz w:val="24"/>
          <w:szCs w:val="24"/>
        </w:rPr>
        <w:t xml:space="preserve"> (NCCDPHP)</w:t>
      </w:r>
      <w:r w:rsidRPr="00B4455B">
        <w:rPr>
          <w:bCs/>
          <w:sz w:val="24"/>
          <w:szCs w:val="24"/>
        </w:rPr>
        <w:t>, CDC</w:t>
      </w:r>
    </w:p>
    <w:p w14:paraId="320B3675" w14:textId="30103412" w:rsidR="005176DE" w:rsidRPr="00B4455B" w:rsidRDefault="002D41F6" w:rsidP="001E61E2">
      <w:pPr>
        <w:spacing w:after="240" w:line="240" w:lineRule="auto"/>
        <w:contextualSpacing/>
        <w:rPr>
          <w:bCs/>
          <w:sz w:val="24"/>
          <w:szCs w:val="24"/>
        </w:rPr>
      </w:pPr>
      <w:hyperlink r:id="rId12" w:history="1">
        <w:r w:rsidR="007D166D" w:rsidRPr="00B4455B">
          <w:rPr>
            <w:rStyle w:val="Hyperlink"/>
            <w:rFonts w:cs="Arial"/>
            <w:color w:val="auto"/>
            <w:sz w:val="24"/>
            <w:szCs w:val="24"/>
          </w:rPr>
          <w:t>rfc8@cdc.gov</w:t>
        </w:r>
      </w:hyperlink>
    </w:p>
    <w:p w14:paraId="71603BD1" w14:textId="0E5BBEF3" w:rsidR="005176DE" w:rsidRPr="00B4455B" w:rsidRDefault="005176DE" w:rsidP="001E61E2">
      <w:pPr>
        <w:spacing w:after="240" w:line="240" w:lineRule="auto"/>
        <w:contextualSpacing/>
        <w:rPr>
          <w:bCs/>
          <w:sz w:val="24"/>
          <w:szCs w:val="24"/>
        </w:rPr>
      </w:pPr>
      <w:r w:rsidRPr="00B4455B">
        <w:rPr>
          <w:bCs/>
          <w:sz w:val="24"/>
          <w:szCs w:val="24"/>
        </w:rPr>
        <w:t>770-488-5732</w:t>
      </w:r>
    </w:p>
    <w:p w14:paraId="207B076A" w14:textId="1C955B47" w:rsidR="005176DE" w:rsidRPr="00B4455B" w:rsidRDefault="005176DE" w:rsidP="001E61E2">
      <w:pPr>
        <w:spacing w:after="240" w:line="240" w:lineRule="auto"/>
        <w:contextualSpacing/>
        <w:rPr>
          <w:rFonts w:eastAsiaTheme="majorEastAsia" w:cstheme="majorBidi"/>
          <w:sz w:val="24"/>
          <w:szCs w:val="24"/>
        </w:rPr>
      </w:pPr>
      <w:r w:rsidRPr="00B4455B">
        <w:rPr>
          <w:rFonts w:eastAsiaTheme="majorEastAsia" w:cstheme="majorBidi"/>
          <w:sz w:val="24"/>
          <w:szCs w:val="24"/>
        </w:rPr>
        <w:t>Michael Ballesteros, PhD</w:t>
      </w:r>
    </w:p>
    <w:p w14:paraId="766D43B2" w14:textId="6627ACFC" w:rsidR="005176DE" w:rsidRPr="00B4455B" w:rsidRDefault="005176DE" w:rsidP="001E61E2">
      <w:pPr>
        <w:spacing w:after="240" w:line="240" w:lineRule="auto"/>
        <w:contextualSpacing/>
        <w:rPr>
          <w:sz w:val="24"/>
          <w:szCs w:val="24"/>
        </w:rPr>
      </w:pPr>
      <w:r w:rsidRPr="00B4455B">
        <w:rPr>
          <w:rFonts w:eastAsiaTheme="majorEastAsia" w:cstheme="majorBidi"/>
          <w:sz w:val="24"/>
          <w:szCs w:val="24"/>
        </w:rPr>
        <w:t xml:space="preserve">Deputy Associate Director for Science, </w:t>
      </w:r>
      <w:r w:rsidRPr="00B4455B">
        <w:rPr>
          <w:sz w:val="24"/>
          <w:szCs w:val="24"/>
        </w:rPr>
        <w:t>Division of Unintentional Injury Prevention National Center for Injury Prevention &amp; Control (NCIPC), CDC</w:t>
      </w:r>
    </w:p>
    <w:p w14:paraId="36A6DB54" w14:textId="0BBCFAC0" w:rsidR="007D166D" w:rsidRPr="00B4455B" w:rsidRDefault="002D41F6" w:rsidP="001E61E2">
      <w:pPr>
        <w:spacing w:after="240" w:line="240" w:lineRule="auto"/>
        <w:contextualSpacing/>
        <w:rPr>
          <w:rStyle w:val="Hyperlink"/>
          <w:rFonts w:cs="Arial"/>
          <w:color w:val="auto"/>
          <w:sz w:val="24"/>
          <w:szCs w:val="24"/>
        </w:rPr>
      </w:pPr>
      <w:hyperlink r:id="rId13" w:history="1">
        <w:r w:rsidR="007D166D" w:rsidRPr="00B4455B">
          <w:rPr>
            <w:rStyle w:val="Hyperlink"/>
            <w:rFonts w:cs="Arial"/>
            <w:color w:val="auto"/>
            <w:sz w:val="24"/>
            <w:szCs w:val="24"/>
          </w:rPr>
          <w:t>zzb0@cdc.gov</w:t>
        </w:r>
      </w:hyperlink>
    </w:p>
    <w:p w14:paraId="2FB70FF9" w14:textId="13A9D31E" w:rsidR="005176DE" w:rsidRPr="00B4455B" w:rsidRDefault="005176DE" w:rsidP="001E61E2">
      <w:pPr>
        <w:spacing w:after="240" w:line="240" w:lineRule="auto"/>
        <w:contextualSpacing/>
        <w:rPr>
          <w:sz w:val="24"/>
          <w:szCs w:val="24"/>
        </w:rPr>
      </w:pPr>
      <w:r w:rsidRPr="00B4455B">
        <w:rPr>
          <w:sz w:val="24"/>
          <w:szCs w:val="24"/>
        </w:rPr>
        <w:t>770-488-1308</w:t>
      </w:r>
    </w:p>
    <w:p w14:paraId="7514E9A2" w14:textId="3BD81C6D" w:rsidR="005176DE" w:rsidRPr="00B4455B" w:rsidRDefault="005176DE" w:rsidP="001E61E2">
      <w:pPr>
        <w:spacing w:after="240" w:line="240" w:lineRule="auto"/>
        <w:contextualSpacing/>
        <w:rPr>
          <w:sz w:val="24"/>
          <w:szCs w:val="24"/>
        </w:rPr>
      </w:pPr>
    </w:p>
    <w:p w14:paraId="251145F5" w14:textId="77777777" w:rsidR="00B4455B" w:rsidRPr="00B4455B" w:rsidRDefault="00B4455B" w:rsidP="001E61E2">
      <w:pPr>
        <w:spacing w:after="240" w:line="240" w:lineRule="auto"/>
        <w:contextualSpacing/>
        <w:rPr>
          <w:sz w:val="24"/>
          <w:szCs w:val="24"/>
        </w:rPr>
      </w:pPr>
    </w:p>
    <w:p w14:paraId="55CAAA3D" w14:textId="77777777" w:rsidR="00B4455B" w:rsidRPr="00B4455B" w:rsidRDefault="00B4455B" w:rsidP="001E61E2">
      <w:pPr>
        <w:spacing w:after="240" w:line="240" w:lineRule="auto"/>
        <w:contextualSpacing/>
        <w:rPr>
          <w:sz w:val="24"/>
          <w:szCs w:val="24"/>
        </w:rPr>
      </w:pPr>
    </w:p>
    <w:p w14:paraId="6CC74DF2" w14:textId="4912155F" w:rsidR="005176DE" w:rsidRPr="00B4455B" w:rsidRDefault="005176DE" w:rsidP="001E61E2">
      <w:pPr>
        <w:spacing w:after="240" w:line="240" w:lineRule="auto"/>
        <w:contextualSpacing/>
        <w:rPr>
          <w:sz w:val="24"/>
          <w:szCs w:val="24"/>
        </w:rPr>
      </w:pPr>
      <w:r w:rsidRPr="00B4455B">
        <w:rPr>
          <w:sz w:val="24"/>
          <w:szCs w:val="24"/>
        </w:rPr>
        <w:t>Jeanne Moorman, PhD</w:t>
      </w:r>
    </w:p>
    <w:p w14:paraId="2366829A" w14:textId="05FD3EF2" w:rsidR="005176DE" w:rsidRPr="00B4455B" w:rsidRDefault="005176DE" w:rsidP="001E61E2">
      <w:pPr>
        <w:spacing w:after="240" w:line="240" w:lineRule="auto"/>
        <w:contextualSpacing/>
        <w:rPr>
          <w:sz w:val="24"/>
          <w:szCs w:val="24"/>
        </w:rPr>
      </w:pPr>
      <w:r w:rsidRPr="00B4455B">
        <w:rPr>
          <w:sz w:val="24"/>
          <w:szCs w:val="24"/>
        </w:rPr>
        <w:t xml:space="preserve">Survey Statistician, Air Pollution and Respiratory Health Program, Division of Environmental Hazards and Health Effects, </w:t>
      </w:r>
      <w:r w:rsidR="007D166D" w:rsidRPr="00B4455B">
        <w:rPr>
          <w:sz w:val="24"/>
          <w:szCs w:val="24"/>
        </w:rPr>
        <w:t xml:space="preserve">NCEH, </w:t>
      </w:r>
      <w:r w:rsidRPr="00B4455B">
        <w:rPr>
          <w:sz w:val="24"/>
          <w:szCs w:val="24"/>
        </w:rPr>
        <w:t>CDC</w:t>
      </w:r>
    </w:p>
    <w:p w14:paraId="61D27E67" w14:textId="1439BC66" w:rsidR="005176DE" w:rsidRPr="00B4455B" w:rsidRDefault="002D41F6" w:rsidP="001E61E2">
      <w:pPr>
        <w:spacing w:after="240" w:line="240" w:lineRule="auto"/>
        <w:contextualSpacing/>
        <w:rPr>
          <w:sz w:val="24"/>
          <w:szCs w:val="24"/>
        </w:rPr>
      </w:pPr>
      <w:hyperlink r:id="rId14" w:history="1">
        <w:r w:rsidR="007D166D" w:rsidRPr="00B4455B">
          <w:rPr>
            <w:rStyle w:val="Hyperlink"/>
            <w:rFonts w:cs="Arial"/>
            <w:color w:val="auto"/>
            <w:sz w:val="24"/>
            <w:szCs w:val="24"/>
          </w:rPr>
          <w:t>zva9@cdc.gov</w:t>
        </w:r>
      </w:hyperlink>
    </w:p>
    <w:p w14:paraId="6985BA63" w14:textId="6C1B151B" w:rsidR="005176DE" w:rsidRPr="00B4455B" w:rsidRDefault="005176DE" w:rsidP="001E61E2">
      <w:pPr>
        <w:spacing w:after="240" w:line="240" w:lineRule="auto"/>
        <w:contextualSpacing/>
        <w:rPr>
          <w:sz w:val="24"/>
          <w:szCs w:val="24"/>
        </w:rPr>
      </w:pPr>
      <w:r w:rsidRPr="00B4455B">
        <w:rPr>
          <w:sz w:val="24"/>
          <w:szCs w:val="24"/>
        </w:rPr>
        <w:t>770-488-3726</w:t>
      </w:r>
    </w:p>
    <w:p w14:paraId="28DB7F72" w14:textId="4D9DB3A7" w:rsidR="005176DE" w:rsidRPr="00B4455B" w:rsidRDefault="005176DE" w:rsidP="001E61E2">
      <w:pPr>
        <w:spacing w:after="240" w:line="240" w:lineRule="auto"/>
        <w:contextualSpacing/>
        <w:rPr>
          <w:rFonts w:eastAsiaTheme="majorEastAsia" w:cstheme="majorBidi"/>
          <w:sz w:val="24"/>
          <w:szCs w:val="24"/>
        </w:rPr>
      </w:pPr>
    </w:p>
    <w:p w14:paraId="72F509AC" w14:textId="74B14F3C" w:rsidR="007C4D98" w:rsidRPr="00B4455B" w:rsidRDefault="00F962FE" w:rsidP="001E61E2">
      <w:pPr>
        <w:spacing w:after="240" w:line="240" w:lineRule="auto"/>
        <w:contextualSpacing/>
        <w:rPr>
          <w:rFonts w:eastAsiaTheme="majorEastAsia" w:cstheme="majorBidi"/>
          <w:b/>
          <w:sz w:val="24"/>
          <w:szCs w:val="24"/>
        </w:rPr>
      </w:pPr>
      <w:r w:rsidRPr="00B4455B">
        <w:rPr>
          <w:rFonts w:eastAsiaTheme="majorEastAsia" w:cstheme="majorBidi"/>
          <w:b/>
          <w:sz w:val="24"/>
          <w:szCs w:val="24"/>
        </w:rPr>
        <w:t>Individual</w:t>
      </w:r>
      <w:r w:rsidR="00822094" w:rsidRPr="00B4455B">
        <w:rPr>
          <w:rFonts w:eastAsiaTheme="majorEastAsia" w:cstheme="majorBidi"/>
          <w:b/>
          <w:sz w:val="24"/>
          <w:szCs w:val="24"/>
        </w:rPr>
        <w:t>s</w:t>
      </w:r>
      <w:r w:rsidRPr="00B4455B">
        <w:rPr>
          <w:rFonts w:eastAsiaTheme="majorEastAsia" w:cstheme="majorBidi"/>
          <w:b/>
          <w:sz w:val="24"/>
          <w:szCs w:val="24"/>
        </w:rPr>
        <w:t xml:space="preserve"> Responsible for Collecting Information</w:t>
      </w:r>
      <w:r w:rsidR="007C4D98" w:rsidRPr="00B4455B">
        <w:rPr>
          <w:rFonts w:eastAsiaTheme="majorEastAsia" w:cstheme="majorBidi"/>
          <w:b/>
          <w:sz w:val="24"/>
          <w:szCs w:val="24"/>
        </w:rPr>
        <w:t xml:space="preserve"> and Analyzing the Data</w:t>
      </w:r>
      <w:r w:rsidRPr="00B4455B">
        <w:rPr>
          <w:rFonts w:eastAsiaTheme="majorEastAsia" w:cstheme="majorBidi"/>
          <w:b/>
          <w:sz w:val="24"/>
          <w:szCs w:val="24"/>
        </w:rPr>
        <w:t xml:space="preserve"> for the Agency</w:t>
      </w:r>
      <w:r w:rsidR="007C4D98" w:rsidRPr="00B4455B">
        <w:rPr>
          <w:rFonts w:eastAsiaTheme="majorEastAsia" w:cstheme="majorBidi"/>
          <w:b/>
          <w:sz w:val="24"/>
          <w:szCs w:val="24"/>
        </w:rPr>
        <w:t>:</w:t>
      </w:r>
    </w:p>
    <w:p w14:paraId="51399DAB" w14:textId="77777777" w:rsidR="00B4455B" w:rsidRPr="00B4455B" w:rsidRDefault="00B4455B" w:rsidP="001E61E2">
      <w:pPr>
        <w:spacing w:after="240" w:line="240" w:lineRule="auto"/>
        <w:contextualSpacing/>
        <w:rPr>
          <w:rFonts w:eastAsiaTheme="majorEastAsia" w:cstheme="majorBidi"/>
          <w:b/>
          <w:sz w:val="24"/>
          <w:szCs w:val="24"/>
        </w:rPr>
      </w:pPr>
    </w:p>
    <w:p w14:paraId="74DB74E2" w14:textId="59B083B8" w:rsidR="00A83B67" w:rsidRPr="00B4455B" w:rsidRDefault="00A83B67" w:rsidP="001E61E2">
      <w:pPr>
        <w:spacing w:after="240" w:line="240" w:lineRule="auto"/>
        <w:contextualSpacing/>
        <w:rPr>
          <w:sz w:val="24"/>
          <w:szCs w:val="24"/>
        </w:rPr>
      </w:pPr>
      <w:r w:rsidRPr="00B4455B">
        <w:rPr>
          <w:rFonts w:eastAsia="Times New Roman" w:cs="Times New Roman"/>
          <w:sz w:val="24"/>
          <w:szCs w:val="24"/>
        </w:rPr>
        <w:t>Adrienne S. Ettinger, ScD, MPH, MS</w:t>
      </w:r>
    </w:p>
    <w:p w14:paraId="22200587" w14:textId="77777777" w:rsidR="00A83B67" w:rsidRPr="00B4455B" w:rsidRDefault="00A83B67" w:rsidP="001E61E2">
      <w:pPr>
        <w:spacing w:after="240" w:line="240" w:lineRule="auto"/>
        <w:contextualSpacing/>
        <w:rPr>
          <w:sz w:val="24"/>
          <w:szCs w:val="24"/>
        </w:rPr>
      </w:pPr>
      <w:r w:rsidRPr="00B4455B">
        <w:rPr>
          <w:sz w:val="24"/>
          <w:szCs w:val="24"/>
        </w:rPr>
        <w:t>Chief, Healthy Homes and Lead Poisoning Prevention Program</w:t>
      </w:r>
    </w:p>
    <w:p w14:paraId="4180D699" w14:textId="77777777" w:rsidR="00A83B67" w:rsidRPr="00B4455B" w:rsidRDefault="00A83B67" w:rsidP="001E61E2">
      <w:pPr>
        <w:spacing w:after="240" w:line="240" w:lineRule="auto"/>
        <w:contextualSpacing/>
        <w:rPr>
          <w:sz w:val="24"/>
          <w:szCs w:val="24"/>
        </w:rPr>
      </w:pPr>
      <w:r w:rsidRPr="00B4455B">
        <w:rPr>
          <w:sz w:val="24"/>
          <w:szCs w:val="24"/>
        </w:rPr>
        <w:t>National Center for Environmental Health</w:t>
      </w:r>
    </w:p>
    <w:p w14:paraId="06B57B29" w14:textId="77777777" w:rsidR="00A83B67" w:rsidRPr="00B4455B" w:rsidRDefault="00A83B67" w:rsidP="001E61E2">
      <w:pPr>
        <w:spacing w:after="240" w:line="240" w:lineRule="auto"/>
        <w:contextualSpacing/>
        <w:rPr>
          <w:sz w:val="24"/>
          <w:szCs w:val="24"/>
        </w:rPr>
      </w:pPr>
      <w:r w:rsidRPr="00B4455B">
        <w:rPr>
          <w:sz w:val="24"/>
          <w:szCs w:val="24"/>
        </w:rPr>
        <w:t>U.S. Centers for Disease Control and Prevention (CDC)</w:t>
      </w:r>
    </w:p>
    <w:p w14:paraId="7B42839F" w14:textId="77777777" w:rsidR="00A83B67" w:rsidRPr="00B4455B" w:rsidRDefault="00A83B67" w:rsidP="001E61E2">
      <w:pPr>
        <w:spacing w:after="240" w:line="240" w:lineRule="auto"/>
        <w:contextualSpacing/>
        <w:rPr>
          <w:rFonts w:cs="Arial"/>
          <w:sz w:val="24"/>
          <w:szCs w:val="24"/>
        </w:rPr>
      </w:pPr>
      <w:r w:rsidRPr="00B4455B">
        <w:rPr>
          <w:rFonts w:cs="Arial"/>
          <w:sz w:val="24"/>
          <w:szCs w:val="24"/>
        </w:rPr>
        <w:t>4770 Buford Hwy N.E., MS-F58</w:t>
      </w:r>
    </w:p>
    <w:p w14:paraId="194FF1C2" w14:textId="77777777" w:rsidR="001E61E2" w:rsidRPr="00B4455B" w:rsidRDefault="00A83B67" w:rsidP="001E61E2">
      <w:pPr>
        <w:spacing w:after="240" w:line="240" w:lineRule="auto"/>
        <w:contextualSpacing/>
        <w:rPr>
          <w:rFonts w:cs="Arial"/>
          <w:sz w:val="24"/>
          <w:szCs w:val="24"/>
          <w:lang w:val="es-ES"/>
        </w:rPr>
      </w:pPr>
      <w:r w:rsidRPr="00B4455B">
        <w:rPr>
          <w:rFonts w:cs="Arial"/>
          <w:sz w:val="24"/>
          <w:szCs w:val="24"/>
          <w:lang w:val="es-ES"/>
        </w:rPr>
        <w:t>Atlanta, GA 30341</w:t>
      </w:r>
    </w:p>
    <w:p w14:paraId="0C658FC8" w14:textId="01E41C1E" w:rsidR="001E61E2" w:rsidRPr="00B4455B" w:rsidRDefault="00A83B67" w:rsidP="001E61E2">
      <w:pPr>
        <w:spacing w:after="240" w:line="240" w:lineRule="auto"/>
        <w:contextualSpacing/>
        <w:rPr>
          <w:sz w:val="24"/>
          <w:szCs w:val="24"/>
        </w:rPr>
      </w:pPr>
      <w:r w:rsidRPr="00B4455B">
        <w:rPr>
          <w:sz w:val="24"/>
          <w:szCs w:val="24"/>
        </w:rPr>
        <w:t xml:space="preserve">Email: </w:t>
      </w:r>
      <w:hyperlink r:id="rId15" w:history="1">
        <w:r w:rsidR="001E61E2" w:rsidRPr="00B4455B">
          <w:rPr>
            <w:rStyle w:val="Hyperlink"/>
            <w:color w:val="auto"/>
            <w:sz w:val="24"/>
            <w:szCs w:val="24"/>
          </w:rPr>
          <w:t>aettinger@cdc.gov</w:t>
        </w:r>
      </w:hyperlink>
    </w:p>
    <w:p w14:paraId="5D0C2475" w14:textId="77777777" w:rsidR="001E61E2" w:rsidRPr="00B4455B" w:rsidRDefault="00A83B67" w:rsidP="001E61E2">
      <w:pPr>
        <w:spacing w:after="240" w:line="240" w:lineRule="auto"/>
        <w:contextualSpacing/>
        <w:rPr>
          <w:sz w:val="24"/>
          <w:szCs w:val="24"/>
        </w:rPr>
      </w:pPr>
      <w:r w:rsidRPr="00B4455B">
        <w:rPr>
          <w:sz w:val="24"/>
          <w:szCs w:val="24"/>
        </w:rPr>
        <w:t>Phone: (770) 488-7492</w:t>
      </w:r>
      <w:r w:rsidRPr="00B4455B">
        <w:rPr>
          <w:sz w:val="24"/>
          <w:szCs w:val="24"/>
        </w:rPr>
        <w:tab/>
      </w:r>
    </w:p>
    <w:p w14:paraId="59980525" w14:textId="74718396" w:rsidR="00B02E5F" w:rsidRPr="00B4455B" w:rsidRDefault="00A83B67" w:rsidP="001E61E2">
      <w:pPr>
        <w:spacing w:after="240" w:line="240" w:lineRule="auto"/>
        <w:contextualSpacing/>
        <w:rPr>
          <w:sz w:val="24"/>
          <w:szCs w:val="24"/>
        </w:rPr>
      </w:pPr>
      <w:r w:rsidRPr="00B4455B">
        <w:rPr>
          <w:sz w:val="24"/>
          <w:szCs w:val="24"/>
        </w:rPr>
        <w:t>Fax: (770) 488-3635</w:t>
      </w:r>
    </w:p>
    <w:p w14:paraId="41D20661" w14:textId="77777777" w:rsidR="001E61E2" w:rsidRPr="00B4455B" w:rsidRDefault="001E61E2" w:rsidP="001E61E2">
      <w:pPr>
        <w:spacing w:after="240" w:line="240" w:lineRule="auto"/>
        <w:contextualSpacing/>
        <w:rPr>
          <w:sz w:val="24"/>
          <w:szCs w:val="24"/>
        </w:rPr>
      </w:pPr>
    </w:p>
    <w:p w14:paraId="6C4BDAAF" w14:textId="77777777" w:rsidR="0078482C" w:rsidRPr="00B4455B" w:rsidRDefault="0078482C" w:rsidP="001E61E2">
      <w:pPr>
        <w:tabs>
          <w:tab w:val="left" w:pos="-1440"/>
        </w:tabs>
        <w:spacing w:after="240" w:line="240" w:lineRule="auto"/>
        <w:contextualSpacing/>
        <w:rPr>
          <w:sz w:val="24"/>
          <w:szCs w:val="24"/>
        </w:rPr>
      </w:pPr>
      <w:r w:rsidRPr="00B4455B">
        <w:rPr>
          <w:rFonts w:eastAsia="Times New Roman" w:cs="Times New Roman"/>
          <w:sz w:val="24"/>
          <w:szCs w:val="24"/>
        </w:rPr>
        <w:t>David Wright, MS</w:t>
      </w:r>
      <w:r w:rsidRPr="00B4455B">
        <w:rPr>
          <w:sz w:val="24"/>
          <w:szCs w:val="24"/>
        </w:rPr>
        <w:br/>
        <w:t>Senior IT Specialist, HHLPPPP, NCEH, CDC</w:t>
      </w:r>
    </w:p>
    <w:p w14:paraId="35116D0D" w14:textId="77777777" w:rsidR="0078482C" w:rsidRPr="00B4455B" w:rsidRDefault="002D41F6" w:rsidP="001E61E2">
      <w:pPr>
        <w:tabs>
          <w:tab w:val="left" w:pos="-1440"/>
        </w:tabs>
        <w:spacing w:after="240" w:line="240" w:lineRule="auto"/>
        <w:contextualSpacing/>
        <w:rPr>
          <w:sz w:val="24"/>
          <w:szCs w:val="24"/>
        </w:rPr>
      </w:pPr>
      <w:hyperlink r:id="rId16" w:history="1">
        <w:r w:rsidR="0078482C" w:rsidRPr="00B4455B">
          <w:rPr>
            <w:rStyle w:val="Hyperlink"/>
            <w:color w:val="auto"/>
            <w:sz w:val="24"/>
            <w:szCs w:val="24"/>
          </w:rPr>
          <w:t>ybq2@cdc.gov</w:t>
        </w:r>
      </w:hyperlink>
      <w:r w:rsidR="0078482C" w:rsidRPr="00B4455B">
        <w:rPr>
          <w:sz w:val="24"/>
          <w:szCs w:val="24"/>
        </w:rPr>
        <w:t xml:space="preserve"> </w:t>
      </w:r>
    </w:p>
    <w:p w14:paraId="5CCE2215" w14:textId="633A078C" w:rsidR="0078482C" w:rsidRPr="00B4455B" w:rsidRDefault="0078482C" w:rsidP="001E61E2">
      <w:pPr>
        <w:spacing w:after="240" w:line="240" w:lineRule="auto"/>
        <w:contextualSpacing/>
        <w:rPr>
          <w:sz w:val="24"/>
          <w:szCs w:val="24"/>
        </w:rPr>
      </w:pPr>
      <w:r w:rsidRPr="00B4455B">
        <w:rPr>
          <w:sz w:val="24"/>
          <w:szCs w:val="24"/>
        </w:rPr>
        <w:t>770-488-4715</w:t>
      </w:r>
    </w:p>
    <w:p w14:paraId="11F8F91D" w14:textId="77777777" w:rsidR="001E61E2" w:rsidRPr="00B4455B" w:rsidRDefault="001E61E2" w:rsidP="001E61E2">
      <w:pPr>
        <w:spacing w:after="240" w:line="240" w:lineRule="auto"/>
        <w:contextualSpacing/>
        <w:rPr>
          <w:rFonts w:eastAsia="Times New Roman" w:cs="Times New Roman"/>
          <w:sz w:val="24"/>
          <w:szCs w:val="24"/>
        </w:rPr>
      </w:pPr>
    </w:p>
    <w:p w14:paraId="044C0979" w14:textId="6F43AAB6" w:rsidR="007D166D" w:rsidRPr="00B4455B" w:rsidRDefault="007D166D" w:rsidP="001E61E2">
      <w:pPr>
        <w:spacing w:after="240" w:line="240" w:lineRule="auto"/>
        <w:contextualSpacing/>
        <w:rPr>
          <w:rFonts w:eastAsia="Times New Roman" w:cs="Times New Roman"/>
          <w:sz w:val="24"/>
          <w:szCs w:val="24"/>
        </w:rPr>
      </w:pPr>
      <w:r w:rsidRPr="00B4455B">
        <w:rPr>
          <w:rFonts w:eastAsia="Times New Roman" w:cs="Times New Roman"/>
          <w:sz w:val="24"/>
          <w:szCs w:val="24"/>
        </w:rPr>
        <w:t>Stella Chuke, MBBS, MPH</w:t>
      </w:r>
    </w:p>
    <w:p w14:paraId="74141855" w14:textId="77777777" w:rsidR="007D166D" w:rsidRPr="00B4455B" w:rsidRDefault="007D166D" w:rsidP="001E61E2">
      <w:pPr>
        <w:spacing w:after="240" w:line="240" w:lineRule="auto"/>
        <w:contextualSpacing/>
        <w:rPr>
          <w:sz w:val="24"/>
          <w:szCs w:val="24"/>
        </w:rPr>
      </w:pPr>
      <w:r w:rsidRPr="00B4455B">
        <w:rPr>
          <w:rFonts w:eastAsia="Times New Roman" w:cs="Times New Roman"/>
          <w:sz w:val="24"/>
          <w:szCs w:val="24"/>
        </w:rPr>
        <w:t xml:space="preserve">Epidemiologist, </w:t>
      </w:r>
      <w:r w:rsidRPr="00B4455B">
        <w:rPr>
          <w:sz w:val="24"/>
          <w:szCs w:val="24"/>
        </w:rPr>
        <w:t>HHLPPPP, NCEH, CDC</w:t>
      </w:r>
    </w:p>
    <w:p w14:paraId="41F6699E" w14:textId="77777777" w:rsidR="007D166D" w:rsidRPr="00B4455B" w:rsidRDefault="002D41F6" w:rsidP="001E61E2">
      <w:pPr>
        <w:spacing w:after="240" w:line="240" w:lineRule="auto"/>
        <w:contextualSpacing/>
        <w:rPr>
          <w:sz w:val="24"/>
          <w:szCs w:val="24"/>
        </w:rPr>
      </w:pPr>
      <w:hyperlink r:id="rId17" w:history="1">
        <w:r w:rsidR="007D166D" w:rsidRPr="00B4455B">
          <w:rPr>
            <w:rStyle w:val="Hyperlink"/>
            <w:color w:val="auto"/>
            <w:sz w:val="24"/>
            <w:szCs w:val="24"/>
          </w:rPr>
          <w:t>slc7@cdc.gov</w:t>
        </w:r>
      </w:hyperlink>
    </w:p>
    <w:p w14:paraId="56D18592" w14:textId="253EAC3D" w:rsidR="00B02E5F" w:rsidRPr="00B4455B" w:rsidRDefault="007D166D" w:rsidP="001E61E2">
      <w:pPr>
        <w:spacing w:after="240" w:line="240" w:lineRule="auto"/>
        <w:contextualSpacing/>
        <w:rPr>
          <w:sz w:val="24"/>
          <w:szCs w:val="24"/>
        </w:rPr>
      </w:pPr>
      <w:r w:rsidRPr="00B4455B">
        <w:rPr>
          <w:sz w:val="24"/>
          <w:szCs w:val="24"/>
        </w:rPr>
        <w:t>770-488-3475</w:t>
      </w:r>
    </w:p>
    <w:p w14:paraId="295BF8C8" w14:textId="77777777" w:rsidR="007D166D" w:rsidRPr="00B4455B" w:rsidRDefault="007D166D" w:rsidP="001E61E2">
      <w:pPr>
        <w:spacing w:after="240" w:line="240" w:lineRule="auto"/>
        <w:contextualSpacing/>
        <w:rPr>
          <w:sz w:val="24"/>
          <w:szCs w:val="24"/>
        </w:rPr>
      </w:pPr>
    </w:p>
    <w:p w14:paraId="3870669E" w14:textId="77777777" w:rsidR="007D166D" w:rsidRPr="00B4455B" w:rsidRDefault="007D166D" w:rsidP="001E61E2">
      <w:pPr>
        <w:spacing w:after="240" w:line="240" w:lineRule="auto"/>
        <w:contextualSpacing/>
        <w:rPr>
          <w:rFonts w:eastAsia="Times New Roman" w:cs="Times New Roman"/>
          <w:sz w:val="24"/>
          <w:szCs w:val="24"/>
        </w:rPr>
      </w:pPr>
      <w:r w:rsidRPr="00B4455B">
        <w:rPr>
          <w:rFonts w:eastAsia="Times New Roman" w:cs="Times New Roman"/>
          <w:sz w:val="24"/>
          <w:szCs w:val="24"/>
        </w:rPr>
        <w:t>Kathryn Egan, PhD, MPhil, MPH</w:t>
      </w:r>
    </w:p>
    <w:p w14:paraId="4B1D83C7" w14:textId="77777777" w:rsidR="007D166D" w:rsidRPr="00B4455B" w:rsidRDefault="007D166D" w:rsidP="001E61E2">
      <w:pPr>
        <w:spacing w:after="240" w:line="240" w:lineRule="auto"/>
        <w:contextualSpacing/>
        <w:rPr>
          <w:sz w:val="24"/>
          <w:szCs w:val="24"/>
        </w:rPr>
      </w:pPr>
      <w:r w:rsidRPr="00B4455B">
        <w:rPr>
          <w:rFonts w:eastAsia="Times New Roman" w:cs="Times New Roman"/>
          <w:sz w:val="24"/>
          <w:szCs w:val="24"/>
        </w:rPr>
        <w:t xml:space="preserve">Epidemiologist, </w:t>
      </w:r>
      <w:r w:rsidRPr="00B4455B">
        <w:rPr>
          <w:sz w:val="24"/>
          <w:szCs w:val="24"/>
        </w:rPr>
        <w:t>HHLPPPP, NCEH, CDC</w:t>
      </w:r>
    </w:p>
    <w:p w14:paraId="465554F7" w14:textId="77777777" w:rsidR="007D166D" w:rsidRPr="00B4455B" w:rsidRDefault="002D41F6" w:rsidP="001E61E2">
      <w:pPr>
        <w:spacing w:after="240" w:line="240" w:lineRule="auto"/>
        <w:contextualSpacing/>
        <w:rPr>
          <w:sz w:val="24"/>
          <w:szCs w:val="24"/>
        </w:rPr>
      </w:pPr>
      <w:hyperlink r:id="rId18" w:history="1">
        <w:r w:rsidR="007D166D" w:rsidRPr="00B4455B">
          <w:rPr>
            <w:rStyle w:val="Hyperlink"/>
            <w:rFonts w:eastAsia="Times New Roman" w:cs="Times New Roman"/>
            <w:color w:val="auto"/>
            <w:sz w:val="24"/>
            <w:szCs w:val="24"/>
          </w:rPr>
          <w:t>nky9@cdc.gov</w:t>
        </w:r>
      </w:hyperlink>
    </w:p>
    <w:p w14:paraId="62E56B99" w14:textId="52B376DF" w:rsidR="00E945E3" w:rsidRPr="00B4455B" w:rsidRDefault="007D166D" w:rsidP="001E61E2">
      <w:pPr>
        <w:spacing w:after="240" w:line="240" w:lineRule="auto"/>
        <w:contextualSpacing/>
        <w:rPr>
          <w:sz w:val="24"/>
          <w:szCs w:val="24"/>
        </w:rPr>
      </w:pPr>
      <w:r w:rsidRPr="00B4455B">
        <w:rPr>
          <w:rFonts w:eastAsia="Times New Roman" w:cs="Times New Roman"/>
          <w:sz w:val="24"/>
          <w:szCs w:val="24"/>
        </w:rPr>
        <w:t>404-718-5778</w:t>
      </w:r>
      <w:bookmarkStart w:id="8" w:name="_Toc431814724"/>
    </w:p>
    <w:p w14:paraId="40943D94" w14:textId="77777777" w:rsidR="00B4455B" w:rsidRDefault="00B4455B">
      <w:pPr>
        <w:rPr>
          <w:rFonts w:ascii="Cambria" w:eastAsiaTheme="majorEastAsia" w:hAnsi="Cambria" w:cstheme="majorBidi"/>
          <w:sz w:val="36"/>
          <w:szCs w:val="36"/>
        </w:rPr>
      </w:pPr>
      <w:r>
        <w:rPr>
          <w:rFonts w:ascii="Cambria" w:hAnsi="Cambria"/>
        </w:rPr>
        <w:br w:type="page"/>
      </w:r>
    </w:p>
    <w:p w14:paraId="7BB07EF2" w14:textId="5CBFC549" w:rsidR="00A76C6D" w:rsidRDefault="00A76C6D" w:rsidP="000A013E">
      <w:pPr>
        <w:pStyle w:val="Heading1"/>
        <w:pBdr>
          <w:bottom w:val="none" w:sz="0" w:space="0" w:color="auto"/>
        </w:pBdr>
        <w:spacing w:before="0" w:after="120"/>
        <w:rPr>
          <w:rFonts w:ascii="Cambria" w:hAnsi="Cambria"/>
          <w:color w:val="auto"/>
        </w:rPr>
      </w:pPr>
      <w:bookmarkStart w:id="9" w:name="_Toc493853757"/>
      <w:r w:rsidRPr="00E707C0">
        <w:rPr>
          <w:rFonts w:ascii="Cambria" w:hAnsi="Cambria"/>
          <w:color w:val="auto"/>
        </w:rPr>
        <w:t>References</w:t>
      </w:r>
      <w:bookmarkEnd w:id="8"/>
      <w:bookmarkEnd w:id="9"/>
    </w:p>
    <w:p w14:paraId="44007116" w14:textId="7E95BB66" w:rsidR="0058295F" w:rsidRPr="0058295F" w:rsidRDefault="0058295F" w:rsidP="0058295F">
      <w:pPr>
        <w:spacing w:after="240"/>
        <w:rPr>
          <w:sz w:val="24"/>
          <w:szCs w:val="24"/>
        </w:rPr>
      </w:pPr>
      <w:r w:rsidRPr="0058295F">
        <w:rPr>
          <w:sz w:val="24"/>
          <w:szCs w:val="24"/>
        </w:rPr>
        <w:t xml:space="preserve">See Supporting Statement A. </w:t>
      </w:r>
    </w:p>
    <w:p w14:paraId="24C1C237" w14:textId="01A46676" w:rsidR="000329FE" w:rsidRPr="00D20211" w:rsidRDefault="000329FE" w:rsidP="000329FE">
      <w:pPr>
        <w:pStyle w:val="Heading1"/>
        <w:pBdr>
          <w:bottom w:val="none" w:sz="0" w:space="0" w:color="auto"/>
        </w:pBdr>
        <w:rPr>
          <w:rFonts w:ascii="Cambria" w:hAnsi="Cambria"/>
          <w:color w:val="auto"/>
        </w:rPr>
      </w:pPr>
      <w:bookmarkStart w:id="10" w:name="_Toc432356299"/>
      <w:bookmarkStart w:id="11" w:name="_Toc493853758"/>
      <w:r w:rsidRPr="00D20211">
        <w:rPr>
          <w:rFonts w:ascii="Cambria" w:hAnsi="Cambria"/>
          <w:color w:val="auto"/>
        </w:rPr>
        <w:t>List of Attachments</w:t>
      </w:r>
      <w:bookmarkEnd w:id="10"/>
      <w:bookmarkEnd w:id="11"/>
    </w:p>
    <w:p w14:paraId="38446FE1" w14:textId="77777777" w:rsidR="000329FE" w:rsidRPr="00D20211" w:rsidRDefault="000329FE" w:rsidP="000D76C5">
      <w:pPr>
        <w:spacing w:after="0" w:line="240" w:lineRule="auto"/>
      </w:pPr>
    </w:p>
    <w:p w14:paraId="1AA43D60" w14:textId="2CCF42F8" w:rsidR="007B0C33" w:rsidRPr="00B4455B" w:rsidRDefault="00C71BA4" w:rsidP="00B4455B">
      <w:pPr>
        <w:spacing w:after="240" w:line="276" w:lineRule="auto"/>
        <w:rPr>
          <w:rFonts w:ascii="Cambria" w:hAnsi="Cambria"/>
          <w:sz w:val="24"/>
          <w:szCs w:val="24"/>
        </w:rPr>
      </w:pPr>
      <w:r>
        <w:rPr>
          <w:rFonts w:ascii="Cambria" w:hAnsi="Cambria"/>
          <w:sz w:val="24"/>
          <w:szCs w:val="24"/>
        </w:rPr>
        <w:t>Attachment 1</w:t>
      </w:r>
      <w:r w:rsidR="007B0C33" w:rsidRPr="00B4455B">
        <w:rPr>
          <w:rFonts w:ascii="Cambria" w:hAnsi="Cambria"/>
          <w:sz w:val="24"/>
          <w:szCs w:val="24"/>
        </w:rPr>
        <w:t xml:space="preserve">: </w:t>
      </w:r>
      <w:r w:rsidR="00705799">
        <w:rPr>
          <w:rFonts w:ascii="Cambria" w:hAnsi="Cambria"/>
          <w:sz w:val="24"/>
          <w:szCs w:val="24"/>
        </w:rPr>
        <w:t>HHLPSS</w:t>
      </w:r>
      <w:r w:rsidR="00E83841" w:rsidRPr="00B4455B">
        <w:rPr>
          <w:rFonts w:ascii="Cambria" w:hAnsi="Cambria"/>
          <w:sz w:val="24"/>
          <w:szCs w:val="24"/>
        </w:rPr>
        <w:t xml:space="preserve"> Authority Authorizing Legislation</w:t>
      </w:r>
    </w:p>
    <w:p w14:paraId="100670E9" w14:textId="2E23F71A" w:rsidR="00E83841" w:rsidRPr="00B4455B" w:rsidRDefault="00E83841" w:rsidP="00B4455B">
      <w:pPr>
        <w:spacing w:after="240" w:line="276" w:lineRule="auto"/>
        <w:rPr>
          <w:rFonts w:ascii="Cambria" w:hAnsi="Cambria"/>
          <w:sz w:val="24"/>
          <w:szCs w:val="24"/>
        </w:rPr>
      </w:pPr>
      <w:r w:rsidRPr="00B4455B">
        <w:rPr>
          <w:rFonts w:ascii="Cambria" w:hAnsi="Cambria"/>
          <w:sz w:val="24"/>
          <w:szCs w:val="24"/>
        </w:rPr>
        <w:t>Attachment 2</w:t>
      </w:r>
      <w:r w:rsidR="00D74A5B" w:rsidRPr="00B4455B">
        <w:rPr>
          <w:rFonts w:ascii="Cambria" w:hAnsi="Cambria"/>
          <w:sz w:val="24"/>
          <w:szCs w:val="24"/>
        </w:rPr>
        <w:t>. 60-D</w:t>
      </w:r>
      <w:r w:rsidRPr="00B4455B">
        <w:rPr>
          <w:rFonts w:ascii="Cambria" w:hAnsi="Cambria"/>
          <w:sz w:val="24"/>
          <w:szCs w:val="24"/>
        </w:rPr>
        <w:t>ay Federal Register Notice</w:t>
      </w:r>
    </w:p>
    <w:p w14:paraId="4CB4361E" w14:textId="7D85D948" w:rsidR="00514A05" w:rsidRPr="00B4455B" w:rsidRDefault="00E83841" w:rsidP="00B4455B">
      <w:pPr>
        <w:spacing w:after="240" w:line="276" w:lineRule="auto"/>
        <w:rPr>
          <w:rFonts w:ascii="Cambria" w:hAnsi="Cambria"/>
          <w:sz w:val="24"/>
          <w:szCs w:val="24"/>
        </w:rPr>
      </w:pPr>
      <w:r w:rsidRPr="00B4455B">
        <w:rPr>
          <w:rFonts w:ascii="Cambria" w:hAnsi="Cambria"/>
          <w:sz w:val="24"/>
          <w:szCs w:val="24"/>
        </w:rPr>
        <w:t xml:space="preserve">Attachment 3. 2013 </w:t>
      </w:r>
      <w:r w:rsidR="00705799">
        <w:rPr>
          <w:rFonts w:ascii="Cambria" w:hAnsi="Cambria"/>
          <w:sz w:val="24"/>
          <w:szCs w:val="24"/>
        </w:rPr>
        <w:t>HHLPSS</w:t>
      </w:r>
      <w:r w:rsidRPr="00B4455B">
        <w:rPr>
          <w:rFonts w:ascii="Cambria" w:hAnsi="Cambria"/>
          <w:sz w:val="24"/>
          <w:szCs w:val="24"/>
        </w:rPr>
        <w:t xml:space="preserve"> Deployment </w:t>
      </w:r>
    </w:p>
    <w:p w14:paraId="746457DA" w14:textId="407A8495" w:rsidR="00E83841" w:rsidRPr="00B4455B" w:rsidRDefault="00E83841" w:rsidP="00B4455B">
      <w:pPr>
        <w:spacing w:after="240" w:line="276" w:lineRule="auto"/>
        <w:rPr>
          <w:rFonts w:ascii="Cambria" w:hAnsi="Cambria"/>
          <w:sz w:val="24"/>
          <w:szCs w:val="24"/>
        </w:rPr>
      </w:pPr>
      <w:r w:rsidRPr="00B4455B">
        <w:rPr>
          <w:rFonts w:ascii="Cambria" w:hAnsi="Cambria"/>
          <w:sz w:val="24"/>
          <w:szCs w:val="24"/>
        </w:rPr>
        <w:t>Attachment 4. Healthy Homes and Lead Poisoning Prevention Surveillance System (</w:t>
      </w:r>
      <w:r w:rsidR="00705799">
        <w:rPr>
          <w:rFonts w:ascii="Cambria" w:hAnsi="Cambria"/>
          <w:sz w:val="24"/>
          <w:szCs w:val="24"/>
        </w:rPr>
        <w:t>HHLPSS</w:t>
      </w:r>
      <w:r w:rsidRPr="00B4455B">
        <w:rPr>
          <w:rFonts w:ascii="Cambria" w:hAnsi="Cambria"/>
          <w:sz w:val="24"/>
          <w:szCs w:val="24"/>
        </w:rPr>
        <w:t>) Variables</w:t>
      </w:r>
    </w:p>
    <w:p w14:paraId="7B1215C6" w14:textId="0781EED1" w:rsidR="007B0C33" w:rsidRPr="00B4455B" w:rsidRDefault="007B0C33" w:rsidP="00B4455B">
      <w:pPr>
        <w:spacing w:after="240" w:line="276" w:lineRule="auto"/>
        <w:rPr>
          <w:rFonts w:ascii="Cambria" w:hAnsi="Cambria"/>
          <w:sz w:val="24"/>
          <w:szCs w:val="24"/>
        </w:rPr>
      </w:pPr>
      <w:r w:rsidRPr="00B4455B">
        <w:rPr>
          <w:rFonts w:ascii="Cambria" w:hAnsi="Cambria"/>
          <w:sz w:val="24"/>
          <w:szCs w:val="24"/>
        </w:rPr>
        <w:t>Attachment 5. CDC-RFA-EH14-</w:t>
      </w:r>
      <w:r w:rsidRPr="00B4455B">
        <w:rPr>
          <w:rFonts w:ascii="Cambria" w:hAnsi="Cambria"/>
          <w:color w:val="000000"/>
          <w:sz w:val="24"/>
          <w:szCs w:val="24"/>
        </w:rPr>
        <w:t>1408PPHF14 Corporative Agreement</w:t>
      </w:r>
    </w:p>
    <w:p w14:paraId="1F190B42" w14:textId="102D3806" w:rsidR="00E83841" w:rsidRPr="00B4455B" w:rsidRDefault="00E83841" w:rsidP="00B4455B">
      <w:pPr>
        <w:spacing w:after="240" w:line="276" w:lineRule="auto"/>
        <w:rPr>
          <w:rFonts w:ascii="Cambria" w:hAnsi="Cambria"/>
          <w:color w:val="000000"/>
          <w:sz w:val="24"/>
          <w:szCs w:val="24"/>
        </w:rPr>
      </w:pPr>
      <w:r w:rsidRPr="00B4455B">
        <w:rPr>
          <w:rFonts w:ascii="Cambria" w:hAnsi="Cambria"/>
          <w:sz w:val="24"/>
          <w:szCs w:val="24"/>
        </w:rPr>
        <w:t xml:space="preserve">Attachment 6. </w:t>
      </w:r>
      <w:r w:rsidRPr="00B4455B">
        <w:rPr>
          <w:rFonts w:ascii="Cambria" w:hAnsi="Cambria"/>
          <w:color w:val="000000"/>
          <w:sz w:val="24"/>
          <w:szCs w:val="24"/>
        </w:rPr>
        <w:t>Enforcement of Federal Lead Disclosure Rule Section 1018 of Title X and Lead-Safe Housing Rule (45 CFR 164.512(b)</w:t>
      </w:r>
      <w:r w:rsidR="00600510">
        <w:rPr>
          <w:rFonts w:ascii="Cambria" w:hAnsi="Cambria"/>
          <w:color w:val="000000"/>
          <w:sz w:val="24"/>
          <w:szCs w:val="24"/>
        </w:rPr>
        <w:t>)</w:t>
      </w:r>
    </w:p>
    <w:p w14:paraId="6F79EDDD" w14:textId="77777777" w:rsidR="007B0C33" w:rsidRPr="00B4455B" w:rsidRDefault="00E83841" w:rsidP="00B4455B">
      <w:pPr>
        <w:spacing w:after="240" w:line="276" w:lineRule="auto"/>
        <w:rPr>
          <w:rFonts w:ascii="Cambria" w:hAnsi="Cambria"/>
          <w:sz w:val="24"/>
          <w:szCs w:val="24"/>
        </w:rPr>
      </w:pPr>
      <w:r w:rsidRPr="00B4455B">
        <w:rPr>
          <w:rFonts w:ascii="Cambria" w:hAnsi="Cambria"/>
          <w:sz w:val="24"/>
          <w:szCs w:val="24"/>
        </w:rPr>
        <w:t xml:space="preserve">Attachment 7. HUD Lead Safe Housing Rule (24 CFR 35) </w:t>
      </w:r>
    </w:p>
    <w:p w14:paraId="6D5FA574" w14:textId="730590E6" w:rsidR="00E83841" w:rsidRDefault="00E83841" w:rsidP="00B4455B">
      <w:pPr>
        <w:spacing w:after="240" w:line="276" w:lineRule="auto"/>
        <w:rPr>
          <w:rFonts w:ascii="Cambria" w:hAnsi="Cambria"/>
          <w:sz w:val="24"/>
          <w:szCs w:val="24"/>
        </w:rPr>
      </w:pPr>
      <w:r w:rsidRPr="00B4455B">
        <w:rPr>
          <w:rFonts w:ascii="Cambria" w:hAnsi="Cambria"/>
          <w:sz w:val="24"/>
          <w:szCs w:val="24"/>
        </w:rPr>
        <w:t>Attachment 8. Research Determination</w:t>
      </w:r>
    </w:p>
    <w:p w14:paraId="3794B088" w14:textId="22F9D2C7" w:rsidR="00A23619" w:rsidRPr="00B4455B" w:rsidRDefault="00A23619" w:rsidP="00B4455B">
      <w:pPr>
        <w:spacing w:after="240" w:line="276" w:lineRule="auto"/>
        <w:rPr>
          <w:rFonts w:ascii="Cambria" w:hAnsi="Cambria"/>
          <w:sz w:val="24"/>
          <w:szCs w:val="24"/>
        </w:rPr>
      </w:pPr>
      <w:r>
        <w:rPr>
          <w:rFonts w:ascii="Cambria" w:hAnsi="Cambria"/>
          <w:sz w:val="24"/>
          <w:szCs w:val="24"/>
        </w:rPr>
        <w:t>Attachment 9. Privacy Impact Assessment</w:t>
      </w:r>
    </w:p>
    <w:p w14:paraId="14463714" w14:textId="77777777" w:rsidR="00984634" w:rsidRDefault="00984634" w:rsidP="00D80B60"/>
    <w:p w14:paraId="0FBFA76C" w14:textId="77777777" w:rsidR="007B0C33" w:rsidRPr="00E707C0" w:rsidRDefault="007B0C33" w:rsidP="00D80B60"/>
    <w:sectPr w:rsidR="007B0C33" w:rsidRPr="00E707C0" w:rsidSect="00196116">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3847"/>
      <w:docPartObj>
        <w:docPartGallery w:val="Page Numbers (Bottom of Page)"/>
        <w:docPartUnique/>
      </w:docPartObj>
    </w:sdtPr>
    <w:sdtEndPr>
      <w:rPr>
        <w:noProof/>
      </w:rPr>
    </w:sdtEndPr>
    <w:sdtContent>
      <w:p w14:paraId="413191DD" w14:textId="1FA7C75C" w:rsidR="00A47B66" w:rsidRDefault="00A47B66">
        <w:pPr>
          <w:pStyle w:val="Footer"/>
          <w:jc w:val="right"/>
        </w:pPr>
        <w:r>
          <w:fldChar w:fldCharType="begin"/>
        </w:r>
        <w:r>
          <w:instrText xml:space="preserve"> PAGE   \* MERGEFORMAT </w:instrText>
        </w:r>
        <w:r>
          <w:fldChar w:fldCharType="separate"/>
        </w:r>
        <w:r w:rsidR="002D41F6">
          <w:rPr>
            <w:noProof/>
          </w:rPr>
          <w:t>1</w:t>
        </w:r>
        <w:r>
          <w:rPr>
            <w:noProof/>
          </w:rPr>
          <w:fldChar w:fldCharType="end"/>
        </w:r>
      </w:p>
    </w:sdtContent>
  </w:sdt>
  <w:p w14:paraId="4EEA2CF1" w14:textId="77777777" w:rsidR="00A47B66" w:rsidRDefault="00A47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2083E"/>
    <w:rsid w:val="000329FE"/>
    <w:rsid w:val="000337CA"/>
    <w:rsid w:val="00096AB1"/>
    <w:rsid w:val="000A013E"/>
    <w:rsid w:val="000D41A0"/>
    <w:rsid w:val="000D76C5"/>
    <w:rsid w:val="00101B32"/>
    <w:rsid w:val="00143D86"/>
    <w:rsid w:val="00150EE6"/>
    <w:rsid w:val="00156EEB"/>
    <w:rsid w:val="00196116"/>
    <w:rsid w:val="001C121D"/>
    <w:rsid w:val="001C2319"/>
    <w:rsid w:val="001D4336"/>
    <w:rsid w:val="001E61E2"/>
    <w:rsid w:val="00231414"/>
    <w:rsid w:val="00240F13"/>
    <w:rsid w:val="002751FF"/>
    <w:rsid w:val="002869DD"/>
    <w:rsid w:val="002D0271"/>
    <w:rsid w:val="002D41F6"/>
    <w:rsid w:val="003041F7"/>
    <w:rsid w:val="00307E98"/>
    <w:rsid w:val="0031214F"/>
    <w:rsid w:val="00330F29"/>
    <w:rsid w:val="003567AB"/>
    <w:rsid w:val="003615B2"/>
    <w:rsid w:val="00362D31"/>
    <w:rsid w:val="00364587"/>
    <w:rsid w:val="00381F74"/>
    <w:rsid w:val="00384C56"/>
    <w:rsid w:val="003F1D74"/>
    <w:rsid w:val="00411881"/>
    <w:rsid w:val="00425A8D"/>
    <w:rsid w:val="00456553"/>
    <w:rsid w:val="0048550B"/>
    <w:rsid w:val="004A7B18"/>
    <w:rsid w:val="004C1EB2"/>
    <w:rsid w:val="004F0BE4"/>
    <w:rsid w:val="00500B15"/>
    <w:rsid w:val="00502447"/>
    <w:rsid w:val="00514A05"/>
    <w:rsid w:val="005176DE"/>
    <w:rsid w:val="00522073"/>
    <w:rsid w:val="0052586D"/>
    <w:rsid w:val="005624FE"/>
    <w:rsid w:val="0058295F"/>
    <w:rsid w:val="00600510"/>
    <w:rsid w:val="00605765"/>
    <w:rsid w:val="0062315C"/>
    <w:rsid w:val="006560B1"/>
    <w:rsid w:val="006615FB"/>
    <w:rsid w:val="006C6578"/>
    <w:rsid w:val="006E2B82"/>
    <w:rsid w:val="006E3DF8"/>
    <w:rsid w:val="006F2ABA"/>
    <w:rsid w:val="0070554F"/>
    <w:rsid w:val="00705799"/>
    <w:rsid w:val="00711B28"/>
    <w:rsid w:val="00717257"/>
    <w:rsid w:val="00721C16"/>
    <w:rsid w:val="007348F2"/>
    <w:rsid w:val="00754B3D"/>
    <w:rsid w:val="00760BBA"/>
    <w:rsid w:val="00776C28"/>
    <w:rsid w:val="0078482C"/>
    <w:rsid w:val="00792A59"/>
    <w:rsid w:val="00796D76"/>
    <w:rsid w:val="007B0C33"/>
    <w:rsid w:val="007B7F20"/>
    <w:rsid w:val="007C4D98"/>
    <w:rsid w:val="007D166D"/>
    <w:rsid w:val="007D595C"/>
    <w:rsid w:val="007F0E10"/>
    <w:rsid w:val="007F266C"/>
    <w:rsid w:val="007F46BB"/>
    <w:rsid w:val="00805B09"/>
    <w:rsid w:val="00820F5D"/>
    <w:rsid w:val="00822094"/>
    <w:rsid w:val="00847547"/>
    <w:rsid w:val="00880D41"/>
    <w:rsid w:val="008861AB"/>
    <w:rsid w:val="008B5D54"/>
    <w:rsid w:val="008D0F27"/>
    <w:rsid w:val="008D3BE8"/>
    <w:rsid w:val="008E3AA1"/>
    <w:rsid w:val="00913012"/>
    <w:rsid w:val="00935FD5"/>
    <w:rsid w:val="00965C2A"/>
    <w:rsid w:val="00976C14"/>
    <w:rsid w:val="00984634"/>
    <w:rsid w:val="009C2F5A"/>
    <w:rsid w:val="00A23619"/>
    <w:rsid w:val="00A32279"/>
    <w:rsid w:val="00A34C11"/>
    <w:rsid w:val="00A47B66"/>
    <w:rsid w:val="00A76C6D"/>
    <w:rsid w:val="00A83B67"/>
    <w:rsid w:val="00AC3B7E"/>
    <w:rsid w:val="00AC4C54"/>
    <w:rsid w:val="00AE046E"/>
    <w:rsid w:val="00AE2F5E"/>
    <w:rsid w:val="00AE70E7"/>
    <w:rsid w:val="00B02E5F"/>
    <w:rsid w:val="00B21D28"/>
    <w:rsid w:val="00B22E1B"/>
    <w:rsid w:val="00B31F1B"/>
    <w:rsid w:val="00B34A49"/>
    <w:rsid w:val="00B4455B"/>
    <w:rsid w:val="00B45002"/>
    <w:rsid w:val="00B5171E"/>
    <w:rsid w:val="00B55735"/>
    <w:rsid w:val="00B608AC"/>
    <w:rsid w:val="00B73D70"/>
    <w:rsid w:val="00BA2DBE"/>
    <w:rsid w:val="00BA30FE"/>
    <w:rsid w:val="00BD2639"/>
    <w:rsid w:val="00BE1C2E"/>
    <w:rsid w:val="00BE3248"/>
    <w:rsid w:val="00C51659"/>
    <w:rsid w:val="00C71BA4"/>
    <w:rsid w:val="00C929D2"/>
    <w:rsid w:val="00CD0E02"/>
    <w:rsid w:val="00CE6D2C"/>
    <w:rsid w:val="00CF776D"/>
    <w:rsid w:val="00D0744A"/>
    <w:rsid w:val="00D14114"/>
    <w:rsid w:val="00D33AE3"/>
    <w:rsid w:val="00D479BA"/>
    <w:rsid w:val="00D60175"/>
    <w:rsid w:val="00D74A5B"/>
    <w:rsid w:val="00D75D68"/>
    <w:rsid w:val="00D80142"/>
    <w:rsid w:val="00D80B60"/>
    <w:rsid w:val="00DA796B"/>
    <w:rsid w:val="00DC57CC"/>
    <w:rsid w:val="00DD2606"/>
    <w:rsid w:val="00E10E25"/>
    <w:rsid w:val="00E2405B"/>
    <w:rsid w:val="00E410B4"/>
    <w:rsid w:val="00E5157D"/>
    <w:rsid w:val="00E632AF"/>
    <w:rsid w:val="00E707C0"/>
    <w:rsid w:val="00E83841"/>
    <w:rsid w:val="00E945E3"/>
    <w:rsid w:val="00EA6E06"/>
    <w:rsid w:val="00ED448F"/>
    <w:rsid w:val="00EF2494"/>
    <w:rsid w:val="00EF5132"/>
    <w:rsid w:val="00F845F2"/>
    <w:rsid w:val="00F962FE"/>
    <w:rsid w:val="00FE399D"/>
    <w:rsid w:val="00FF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NormalOMB">
    <w:name w:val="Normal OMB"/>
    <w:basedOn w:val="Normal"/>
    <w:rsid w:val="003F1D74"/>
    <w:pPr>
      <w:overflowPunct w:val="0"/>
      <w:autoSpaceDE w:val="0"/>
      <w:autoSpaceDN w:val="0"/>
      <w:adjustRightInd w:val="0"/>
      <w:spacing w:after="0" w:line="240" w:lineRule="auto"/>
      <w:ind w:firstLine="720"/>
    </w:pPr>
    <w:rPr>
      <w:rFonts w:ascii="Times New Roman" w:eastAsia="Times New Roman" w:hAnsi="Times New Roman" w:cs="Times New Roman"/>
      <w:sz w:val="24"/>
      <w:szCs w:val="20"/>
    </w:rPr>
  </w:style>
  <w:style w:type="paragraph" w:customStyle="1" w:styleId="BHLevel6">
    <w:name w:val="BHLevel6"/>
    <w:basedOn w:val="Normal"/>
    <w:next w:val="Normal"/>
    <w:rsid w:val="003F1D74"/>
    <w:pPr>
      <w:widowControl w:val="0"/>
      <w:overflowPunct w:val="0"/>
      <w:autoSpaceDE w:val="0"/>
      <w:autoSpaceDN w:val="0"/>
      <w:adjustRightInd w:val="0"/>
      <w:spacing w:before="480" w:after="240" w:line="240" w:lineRule="auto"/>
    </w:pPr>
    <w:rPr>
      <w:rFonts w:ascii="Times New Roman" w:eastAsia="Times New Roman" w:hAnsi="Times New Roman" w:cs="Times New Roman"/>
      <w:b/>
      <w:smallCaps/>
      <w:sz w:val="24"/>
      <w:szCs w:val="20"/>
    </w:rPr>
  </w:style>
  <w:style w:type="character" w:styleId="FollowedHyperlink">
    <w:name w:val="FollowedHyperlink"/>
    <w:basedOn w:val="DefaultParagraphFont"/>
    <w:uiPriority w:val="99"/>
    <w:semiHidden/>
    <w:unhideWhenUsed/>
    <w:rsid w:val="00847547"/>
    <w:rPr>
      <w:color w:val="954F72" w:themeColor="followedHyperlink"/>
      <w:u w:val="single"/>
    </w:rPr>
  </w:style>
  <w:style w:type="table" w:styleId="TableGrid">
    <w:name w:val="Table Grid"/>
    <w:basedOn w:val="TableNormal"/>
    <w:uiPriority w:val="59"/>
    <w:rsid w:val="00B02E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tailsecondary1">
    <w:name w:val="itemdetailsecondary1"/>
    <w:basedOn w:val="DefaultParagraphFont"/>
    <w:rsid w:val="00B02E5F"/>
    <w:rPr>
      <w:rFonts w:ascii="Tahoma" w:hAnsi="Tahoma" w:cs="Tahoma" w:hint="default"/>
      <w:b/>
      <w:bCs/>
      <w:color w:val="FFFFF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NormalOMB">
    <w:name w:val="Normal OMB"/>
    <w:basedOn w:val="Normal"/>
    <w:rsid w:val="003F1D74"/>
    <w:pPr>
      <w:overflowPunct w:val="0"/>
      <w:autoSpaceDE w:val="0"/>
      <w:autoSpaceDN w:val="0"/>
      <w:adjustRightInd w:val="0"/>
      <w:spacing w:after="0" w:line="240" w:lineRule="auto"/>
      <w:ind w:firstLine="720"/>
    </w:pPr>
    <w:rPr>
      <w:rFonts w:ascii="Times New Roman" w:eastAsia="Times New Roman" w:hAnsi="Times New Roman" w:cs="Times New Roman"/>
      <w:sz w:val="24"/>
      <w:szCs w:val="20"/>
    </w:rPr>
  </w:style>
  <w:style w:type="paragraph" w:customStyle="1" w:styleId="BHLevel6">
    <w:name w:val="BHLevel6"/>
    <w:basedOn w:val="Normal"/>
    <w:next w:val="Normal"/>
    <w:rsid w:val="003F1D74"/>
    <w:pPr>
      <w:widowControl w:val="0"/>
      <w:overflowPunct w:val="0"/>
      <w:autoSpaceDE w:val="0"/>
      <w:autoSpaceDN w:val="0"/>
      <w:adjustRightInd w:val="0"/>
      <w:spacing w:before="480" w:after="240" w:line="240" w:lineRule="auto"/>
    </w:pPr>
    <w:rPr>
      <w:rFonts w:ascii="Times New Roman" w:eastAsia="Times New Roman" w:hAnsi="Times New Roman" w:cs="Times New Roman"/>
      <w:b/>
      <w:smallCaps/>
      <w:sz w:val="24"/>
      <w:szCs w:val="20"/>
    </w:rPr>
  </w:style>
  <w:style w:type="character" w:styleId="FollowedHyperlink">
    <w:name w:val="FollowedHyperlink"/>
    <w:basedOn w:val="DefaultParagraphFont"/>
    <w:uiPriority w:val="99"/>
    <w:semiHidden/>
    <w:unhideWhenUsed/>
    <w:rsid w:val="00847547"/>
    <w:rPr>
      <w:color w:val="954F72" w:themeColor="followedHyperlink"/>
      <w:u w:val="single"/>
    </w:rPr>
  </w:style>
  <w:style w:type="table" w:styleId="TableGrid">
    <w:name w:val="Table Grid"/>
    <w:basedOn w:val="TableNormal"/>
    <w:uiPriority w:val="59"/>
    <w:rsid w:val="00B02E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tailsecondary1">
    <w:name w:val="itemdetailsecondary1"/>
    <w:basedOn w:val="DefaultParagraphFont"/>
    <w:rsid w:val="00B02E5F"/>
    <w:rPr>
      <w:rFonts w:ascii="Tahoma" w:hAnsi="Tahoma" w:cs="Tahoma" w:hint="default"/>
      <w:b/>
      <w:bCs/>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3515">
      <w:bodyDiv w:val="1"/>
      <w:marLeft w:val="0"/>
      <w:marRight w:val="0"/>
      <w:marTop w:val="0"/>
      <w:marBottom w:val="0"/>
      <w:divBdr>
        <w:top w:val="none" w:sz="0" w:space="0" w:color="auto"/>
        <w:left w:val="none" w:sz="0" w:space="0" w:color="auto"/>
        <w:bottom w:val="none" w:sz="0" w:space="0" w:color="auto"/>
        <w:right w:val="none" w:sz="0" w:space="0" w:color="auto"/>
      </w:divBdr>
    </w:div>
    <w:div w:id="472254693">
      <w:bodyDiv w:val="1"/>
      <w:marLeft w:val="0"/>
      <w:marRight w:val="0"/>
      <w:marTop w:val="0"/>
      <w:marBottom w:val="0"/>
      <w:divBdr>
        <w:top w:val="none" w:sz="0" w:space="0" w:color="auto"/>
        <w:left w:val="none" w:sz="0" w:space="0" w:color="auto"/>
        <w:bottom w:val="none" w:sz="0" w:space="0" w:color="auto"/>
        <w:right w:val="none" w:sz="0" w:space="0" w:color="auto"/>
      </w:divBdr>
    </w:div>
    <w:div w:id="490681102">
      <w:bodyDiv w:val="1"/>
      <w:marLeft w:val="0"/>
      <w:marRight w:val="0"/>
      <w:marTop w:val="0"/>
      <w:marBottom w:val="0"/>
      <w:divBdr>
        <w:top w:val="none" w:sz="0" w:space="0" w:color="auto"/>
        <w:left w:val="none" w:sz="0" w:space="0" w:color="auto"/>
        <w:bottom w:val="none" w:sz="0" w:space="0" w:color="auto"/>
        <w:right w:val="none" w:sz="0" w:space="0" w:color="auto"/>
      </w:divBdr>
    </w:div>
    <w:div w:id="759373329">
      <w:bodyDiv w:val="1"/>
      <w:marLeft w:val="0"/>
      <w:marRight w:val="0"/>
      <w:marTop w:val="0"/>
      <w:marBottom w:val="0"/>
      <w:divBdr>
        <w:top w:val="none" w:sz="0" w:space="0" w:color="auto"/>
        <w:left w:val="none" w:sz="0" w:space="0" w:color="auto"/>
        <w:bottom w:val="none" w:sz="0" w:space="0" w:color="auto"/>
        <w:right w:val="none" w:sz="0" w:space="0" w:color="auto"/>
      </w:divBdr>
    </w:div>
    <w:div w:id="848907257">
      <w:bodyDiv w:val="1"/>
      <w:marLeft w:val="0"/>
      <w:marRight w:val="0"/>
      <w:marTop w:val="0"/>
      <w:marBottom w:val="0"/>
      <w:divBdr>
        <w:top w:val="none" w:sz="0" w:space="0" w:color="auto"/>
        <w:left w:val="none" w:sz="0" w:space="0" w:color="auto"/>
        <w:bottom w:val="none" w:sz="0" w:space="0" w:color="auto"/>
        <w:right w:val="none" w:sz="0" w:space="0" w:color="auto"/>
      </w:divBdr>
    </w:div>
    <w:div w:id="1017929558">
      <w:bodyDiv w:val="1"/>
      <w:marLeft w:val="0"/>
      <w:marRight w:val="0"/>
      <w:marTop w:val="0"/>
      <w:marBottom w:val="0"/>
      <w:divBdr>
        <w:top w:val="none" w:sz="0" w:space="0" w:color="auto"/>
        <w:left w:val="none" w:sz="0" w:space="0" w:color="auto"/>
        <w:bottom w:val="none" w:sz="0" w:space="0" w:color="auto"/>
        <w:right w:val="none" w:sz="0" w:space="0" w:color="auto"/>
      </w:divBdr>
    </w:div>
    <w:div w:id="1153839025">
      <w:bodyDiv w:val="1"/>
      <w:marLeft w:val="0"/>
      <w:marRight w:val="0"/>
      <w:marTop w:val="0"/>
      <w:marBottom w:val="0"/>
      <w:divBdr>
        <w:top w:val="none" w:sz="0" w:space="0" w:color="auto"/>
        <w:left w:val="none" w:sz="0" w:space="0" w:color="auto"/>
        <w:bottom w:val="none" w:sz="0" w:space="0" w:color="auto"/>
        <w:right w:val="none" w:sz="0" w:space="0" w:color="auto"/>
      </w:divBdr>
    </w:div>
    <w:div w:id="1155410124">
      <w:bodyDiv w:val="1"/>
      <w:marLeft w:val="0"/>
      <w:marRight w:val="0"/>
      <w:marTop w:val="0"/>
      <w:marBottom w:val="0"/>
      <w:divBdr>
        <w:top w:val="none" w:sz="0" w:space="0" w:color="auto"/>
        <w:left w:val="none" w:sz="0" w:space="0" w:color="auto"/>
        <w:bottom w:val="none" w:sz="0" w:space="0" w:color="auto"/>
        <w:right w:val="none" w:sz="0" w:space="0" w:color="auto"/>
      </w:divBdr>
    </w:div>
    <w:div w:id="1278294955">
      <w:bodyDiv w:val="1"/>
      <w:marLeft w:val="0"/>
      <w:marRight w:val="0"/>
      <w:marTop w:val="0"/>
      <w:marBottom w:val="0"/>
      <w:divBdr>
        <w:top w:val="none" w:sz="0" w:space="0" w:color="auto"/>
        <w:left w:val="none" w:sz="0" w:space="0" w:color="auto"/>
        <w:bottom w:val="none" w:sz="0" w:space="0" w:color="auto"/>
        <w:right w:val="none" w:sz="0" w:space="0" w:color="auto"/>
      </w:divBdr>
    </w:div>
    <w:div w:id="1515919043">
      <w:bodyDiv w:val="1"/>
      <w:marLeft w:val="0"/>
      <w:marRight w:val="0"/>
      <w:marTop w:val="0"/>
      <w:marBottom w:val="0"/>
      <w:divBdr>
        <w:top w:val="none" w:sz="0" w:space="0" w:color="auto"/>
        <w:left w:val="none" w:sz="0" w:space="0" w:color="auto"/>
        <w:bottom w:val="none" w:sz="0" w:space="0" w:color="auto"/>
        <w:right w:val="none" w:sz="0" w:space="0" w:color="auto"/>
      </w:divBdr>
    </w:div>
    <w:div w:id="1533497694">
      <w:bodyDiv w:val="1"/>
      <w:marLeft w:val="0"/>
      <w:marRight w:val="0"/>
      <w:marTop w:val="0"/>
      <w:marBottom w:val="0"/>
      <w:divBdr>
        <w:top w:val="none" w:sz="0" w:space="0" w:color="auto"/>
        <w:left w:val="none" w:sz="0" w:space="0" w:color="auto"/>
        <w:bottom w:val="none" w:sz="0" w:space="0" w:color="auto"/>
        <w:right w:val="none" w:sz="0" w:space="0" w:color="auto"/>
      </w:divBdr>
    </w:div>
    <w:div w:id="1547067385">
      <w:bodyDiv w:val="1"/>
      <w:marLeft w:val="0"/>
      <w:marRight w:val="0"/>
      <w:marTop w:val="0"/>
      <w:marBottom w:val="0"/>
      <w:divBdr>
        <w:top w:val="none" w:sz="0" w:space="0" w:color="auto"/>
        <w:left w:val="none" w:sz="0" w:space="0" w:color="auto"/>
        <w:bottom w:val="none" w:sz="0" w:space="0" w:color="auto"/>
        <w:right w:val="none" w:sz="0" w:space="0" w:color="auto"/>
      </w:divBdr>
    </w:div>
    <w:div w:id="1547372251">
      <w:bodyDiv w:val="1"/>
      <w:marLeft w:val="0"/>
      <w:marRight w:val="0"/>
      <w:marTop w:val="0"/>
      <w:marBottom w:val="0"/>
      <w:divBdr>
        <w:top w:val="none" w:sz="0" w:space="0" w:color="auto"/>
        <w:left w:val="none" w:sz="0" w:space="0" w:color="auto"/>
        <w:bottom w:val="none" w:sz="0" w:space="0" w:color="auto"/>
        <w:right w:val="none" w:sz="0" w:space="0" w:color="auto"/>
      </w:divBdr>
    </w:div>
    <w:div w:id="15908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zb0@cdc.gov" TargetMode="External"/><Relationship Id="rId18" Type="http://schemas.openxmlformats.org/officeDocument/2006/relationships/hyperlink" Target="mailto:nky9@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fc8@cdc.gov" TargetMode="External"/><Relationship Id="rId17" Type="http://schemas.openxmlformats.org/officeDocument/2006/relationships/hyperlink" Target="mailto:slc7@cdc.gov" TargetMode="External"/><Relationship Id="rId2" Type="http://schemas.openxmlformats.org/officeDocument/2006/relationships/numbering" Target="numbering.xml"/><Relationship Id="rId16" Type="http://schemas.openxmlformats.org/officeDocument/2006/relationships/hyperlink" Target="mailto:ybq2@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jb5@cdc.gov" TargetMode="External"/><Relationship Id="rId5" Type="http://schemas.openxmlformats.org/officeDocument/2006/relationships/settings" Target="settings.xml"/><Relationship Id="rId15" Type="http://schemas.openxmlformats.org/officeDocument/2006/relationships/hyperlink" Target="mailto:aettinger@cdc.gov" TargetMode="External"/><Relationship Id="rId10" Type="http://schemas.openxmlformats.org/officeDocument/2006/relationships/hyperlink" Target="mailto:aettinger@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csl.org/documents/environ/stlaws10.pdf" TargetMode="External"/><Relationship Id="rId14" Type="http://schemas.openxmlformats.org/officeDocument/2006/relationships/hyperlink" Target="mailto:zva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C460-6317-4224-B7DD-45EC93E9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2018-01-10T15:23:00Z</cp:lastPrinted>
  <dcterms:created xsi:type="dcterms:W3CDTF">2018-03-23T20:57:00Z</dcterms:created>
  <dcterms:modified xsi:type="dcterms:W3CDTF">2018-03-23T20:57:00Z</dcterms:modified>
</cp:coreProperties>
</file>