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B3D6" w14:textId="77777777" w:rsidR="0028629C" w:rsidRPr="00406570" w:rsidRDefault="0028629C" w:rsidP="0028629C">
      <w:pPr>
        <w:pStyle w:val="Heading1"/>
        <w:tabs>
          <w:tab w:val="right" w:pos="100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406570">
        <w:rPr>
          <w:rFonts w:asciiTheme="minorHAnsi" w:hAnsiTheme="minorHAnsi" w:cstheme="minorHAnsi"/>
          <w:b/>
          <w:bCs/>
          <w:sz w:val="22"/>
          <w:szCs w:val="22"/>
        </w:rPr>
        <w:t>Change Request</w:t>
      </w:r>
    </w:p>
    <w:p w14:paraId="4EF82442" w14:textId="7234D738" w:rsidR="0028629C" w:rsidRPr="00406570" w:rsidRDefault="00DB4F7B" w:rsidP="0028629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January </w:t>
      </w:r>
      <w:r w:rsidR="002B0F8B">
        <w:rPr>
          <w:rFonts w:cstheme="minorHAnsi"/>
        </w:rPr>
        <w:t>18</w:t>
      </w:r>
      <w:r>
        <w:rPr>
          <w:rFonts w:cstheme="minorHAnsi"/>
        </w:rPr>
        <w:t>, 2018</w:t>
      </w:r>
    </w:p>
    <w:p w14:paraId="2093DA36" w14:textId="77777777" w:rsidR="0028629C" w:rsidRDefault="0028629C" w:rsidP="004D4977">
      <w:pPr>
        <w:pStyle w:val="Heading1"/>
        <w:tabs>
          <w:tab w:val="right" w:pos="100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327021C" w14:textId="092B2B4B" w:rsidR="00D76657" w:rsidRDefault="0003020D" w:rsidP="00D76657">
      <w:pPr>
        <w:spacing w:after="0" w:line="240" w:lineRule="auto"/>
        <w:ind w:left="3312" w:hanging="3312"/>
        <w:rPr>
          <w:bCs/>
        </w:rPr>
      </w:pPr>
      <w:r>
        <w:rPr>
          <w:rFonts w:cstheme="minorHAnsi"/>
          <w:b/>
          <w:bCs/>
        </w:rPr>
        <w:t>Information Collection Request:</w:t>
      </w:r>
      <w:r w:rsidR="00D76657">
        <w:rPr>
          <w:rFonts w:cstheme="minorHAnsi"/>
          <w:b/>
          <w:bCs/>
        </w:rPr>
        <w:t xml:space="preserve">        </w:t>
      </w:r>
      <w:r w:rsidR="00FF59E5">
        <w:rPr>
          <w:bCs/>
        </w:rPr>
        <w:t>Case Investigation of Cervical Cancer (CICC) Study</w:t>
      </w:r>
    </w:p>
    <w:p w14:paraId="6A88EAB9" w14:textId="3A24A8B9" w:rsidR="00D76657" w:rsidRPr="00D76657" w:rsidRDefault="00D76657" w:rsidP="00D76657">
      <w:pPr>
        <w:spacing w:after="0" w:line="240" w:lineRule="auto"/>
        <w:ind w:left="6624" w:hanging="3312"/>
        <w:rPr>
          <w:bCs/>
        </w:rPr>
      </w:pPr>
      <w:r w:rsidRPr="00D76657">
        <w:rPr>
          <w:bCs/>
        </w:rPr>
        <w:t xml:space="preserve">(OMB No. </w:t>
      </w:r>
      <w:r w:rsidR="00FF59E5" w:rsidRPr="00FF59E5">
        <w:rPr>
          <w:bCs/>
        </w:rPr>
        <w:t>0920-1162</w:t>
      </w:r>
      <w:r w:rsidRPr="00D76657">
        <w:rPr>
          <w:bCs/>
        </w:rPr>
        <w:t xml:space="preserve">, exp. </w:t>
      </w:r>
      <w:r w:rsidR="00FF59E5" w:rsidRPr="00FF59E5">
        <w:rPr>
          <w:bCs/>
        </w:rPr>
        <w:t>02/28/2019</w:t>
      </w:r>
      <w:r w:rsidRPr="00D76657">
        <w:rPr>
          <w:bCs/>
        </w:rPr>
        <w:t>)</w:t>
      </w:r>
    </w:p>
    <w:p w14:paraId="21A1B365" w14:textId="77777777" w:rsidR="00891FA4" w:rsidRPr="009E20FD" w:rsidRDefault="0068768F" w:rsidP="00DF2DC7">
      <w:pPr>
        <w:tabs>
          <w:tab w:val="left" w:pos="3240"/>
        </w:tabs>
        <w:spacing w:after="0" w:line="240" w:lineRule="auto"/>
        <w:rPr>
          <w:u w:val="single"/>
        </w:rPr>
      </w:pP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</w:p>
    <w:p w14:paraId="536BEAA7" w14:textId="77777777" w:rsidR="00541707" w:rsidRPr="00406570" w:rsidRDefault="00541707" w:rsidP="004D4977">
      <w:pPr>
        <w:pStyle w:val="Heading1"/>
        <w:tabs>
          <w:tab w:val="right" w:pos="10080"/>
        </w:tabs>
        <w:rPr>
          <w:rFonts w:asciiTheme="minorHAnsi" w:hAnsiTheme="minorHAnsi" w:cstheme="minorHAnsi"/>
          <w:sz w:val="22"/>
          <w:szCs w:val="22"/>
        </w:rPr>
      </w:pPr>
    </w:p>
    <w:p w14:paraId="6E15F503" w14:textId="77777777" w:rsidR="00541707" w:rsidRPr="00406570" w:rsidRDefault="00541707" w:rsidP="00311951">
      <w:pPr>
        <w:pStyle w:val="Heading1"/>
        <w:tabs>
          <w:tab w:val="right" w:pos="10080"/>
        </w:tabs>
        <w:rPr>
          <w:rFonts w:asciiTheme="minorHAnsi" w:hAnsiTheme="minorHAnsi" w:cstheme="minorHAnsi"/>
          <w:b/>
          <w:sz w:val="22"/>
          <w:szCs w:val="22"/>
        </w:rPr>
      </w:pPr>
      <w:r w:rsidRPr="00406570">
        <w:rPr>
          <w:rFonts w:asciiTheme="minorHAnsi" w:hAnsiTheme="minorHAnsi" w:cstheme="minorHAnsi"/>
          <w:b/>
          <w:sz w:val="22"/>
          <w:szCs w:val="22"/>
        </w:rPr>
        <w:t>Summary</w:t>
      </w:r>
    </w:p>
    <w:p w14:paraId="5B6566F4" w14:textId="77777777" w:rsidR="00184ED5" w:rsidRPr="00406570" w:rsidRDefault="00184ED5" w:rsidP="00311951">
      <w:pPr>
        <w:pStyle w:val="Heading1"/>
        <w:tabs>
          <w:tab w:val="right" w:pos="10080"/>
        </w:tabs>
        <w:rPr>
          <w:rFonts w:asciiTheme="minorHAnsi" w:eastAsiaTheme="minorHAnsi" w:hAnsiTheme="minorHAnsi" w:cstheme="minorHAnsi"/>
          <w:sz w:val="22"/>
          <w:szCs w:val="22"/>
        </w:rPr>
      </w:pPr>
    </w:p>
    <w:p w14:paraId="5FB816AB" w14:textId="6A05A4F9" w:rsidR="00466E6F" w:rsidRDefault="00184ED5" w:rsidP="00466E6F">
      <w:pPr>
        <w:rPr>
          <w:rFonts w:cstheme="minorHAnsi"/>
        </w:rPr>
      </w:pPr>
      <w:r w:rsidRPr="00406570">
        <w:rPr>
          <w:rFonts w:cstheme="minorHAnsi"/>
        </w:rPr>
        <w:t>CDC i</w:t>
      </w:r>
      <w:r w:rsidR="00BD66A9" w:rsidRPr="00406570">
        <w:rPr>
          <w:rFonts w:cstheme="minorHAnsi"/>
        </w:rPr>
        <w:t>s currently approved to collect</w:t>
      </w:r>
      <w:r w:rsidRPr="00406570">
        <w:rPr>
          <w:rFonts w:cstheme="minorHAnsi"/>
        </w:rPr>
        <w:t xml:space="preserve"> i</w:t>
      </w:r>
      <w:r w:rsidR="00541707" w:rsidRPr="00406570">
        <w:rPr>
          <w:rFonts w:cstheme="minorHAnsi"/>
        </w:rPr>
        <w:t>nfor</w:t>
      </w:r>
      <w:r w:rsidR="00BD66A9" w:rsidRPr="00406570">
        <w:rPr>
          <w:rFonts w:cstheme="minorHAnsi"/>
        </w:rPr>
        <w:t xml:space="preserve">mation </w:t>
      </w:r>
      <w:r w:rsidR="008008BD" w:rsidRPr="00406570">
        <w:rPr>
          <w:rFonts w:cstheme="minorHAnsi"/>
        </w:rPr>
        <w:t xml:space="preserve">from </w:t>
      </w:r>
      <w:r w:rsidR="00C32948">
        <w:rPr>
          <w:rFonts w:cstheme="minorHAnsi"/>
        </w:rPr>
        <w:t xml:space="preserve">cervical cancer survivors identified by three </w:t>
      </w:r>
      <w:r w:rsidR="00FE3AB6">
        <w:rPr>
          <w:rFonts w:cstheme="minorHAnsi"/>
        </w:rPr>
        <w:t>state</w:t>
      </w:r>
      <w:r w:rsidR="00CB0E5C" w:rsidRPr="00406570">
        <w:rPr>
          <w:rFonts w:cstheme="minorHAnsi"/>
        </w:rPr>
        <w:t xml:space="preserve"> </w:t>
      </w:r>
      <w:r w:rsidR="00C32948">
        <w:rPr>
          <w:rFonts w:cstheme="minorHAnsi"/>
        </w:rPr>
        <w:t>cancer registries</w:t>
      </w:r>
      <w:r w:rsidR="00BD66A9" w:rsidRPr="00406570">
        <w:rPr>
          <w:rFonts w:cstheme="minorHAnsi"/>
        </w:rPr>
        <w:t xml:space="preserve"> funded under </w:t>
      </w:r>
      <w:r w:rsidR="00C32948">
        <w:rPr>
          <w:rFonts w:cstheme="minorHAnsi"/>
        </w:rPr>
        <w:t xml:space="preserve">contract </w:t>
      </w:r>
      <w:r w:rsidR="00466E6F" w:rsidRPr="00466E6F">
        <w:rPr>
          <w:rFonts w:cstheme="minorHAnsi"/>
        </w:rPr>
        <w:t>HHSD2002013M53942B / 200-2016-F-90920</w:t>
      </w:r>
      <w:r w:rsidR="00466E6F">
        <w:rPr>
          <w:rFonts w:cstheme="minorHAnsi"/>
        </w:rPr>
        <w:t>. The</w:t>
      </w:r>
      <w:r w:rsidR="00BD66A9" w:rsidRPr="00406570">
        <w:rPr>
          <w:rFonts w:cstheme="minorHAnsi"/>
        </w:rPr>
        <w:t xml:space="preserve"> </w:t>
      </w:r>
      <w:r w:rsidR="00C32948">
        <w:rPr>
          <w:rFonts w:cstheme="minorHAnsi"/>
          <w:i/>
        </w:rPr>
        <w:t>Case Investigation of Cervical Cancer</w:t>
      </w:r>
      <w:r w:rsidR="00466E6F">
        <w:rPr>
          <w:rFonts w:cstheme="minorHAnsi"/>
          <w:i/>
        </w:rPr>
        <w:t xml:space="preserve"> Study (CICC) Study </w:t>
      </w:r>
      <w:r w:rsidR="00466E6F" w:rsidRPr="00466E6F">
        <w:rPr>
          <w:rFonts w:cstheme="minorHAnsi"/>
        </w:rPr>
        <w:t>seeks to understand screening and care histories of women with invasive cervical cancer, which can be prevented by a vaccine and timely screening tests.</w:t>
      </w:r>
      <w:r w:rsidR="00466E6F">
        <w:rPr>
          <w:rFonts w:cstheme="minorHAnsi"/>
        </w:rPr>
        <w:t xml:space="preserve"> </w:t>
      </w:r>
      <w:r w:rsidR="000823E9">
        <w:rPr>
          <w:rFonts w:cstheme="minorHAnsi"/>
        </w:rPr>
        <w:t>T</w:t>
      </w:r>
      <w:r w:rsidR="00FD5741" w:rsidRPr="00FD5741">
        <w:rPr>
          <w:rFonts w:cstheme="minorHAnsi"/>
        </w:rPr>
        <w:t>h</w:t>
      </w:r>
      <w:r w:rsidR="000823E9">
        <w:rPr>
          <w:rFonts w:cstheme="minorHAnsi"/>
        </w:rPr>
        <w:t>e</w:t>
      </w:r>
      <w:r w:rsidR="00FD5741" w:rsidRPr="00FD5741">
        <w:rPr>
          <w:rFonts w:cstheme="minorHAnsi"/>
        </w:rPr>
        <w:t xml:space="preserve"> </w:t>
      </w:r>
      <w:r w:rsidR="000823E9">
        <w:rPr>
          <w:rFonts w:cstheme="minorHAnsi"/>
        </w:rPr>
        <w:t xml:space="preserve">primary data </w:t>
      </w:r>
      <w:r w:rsidR="00C32948">
        <w:rPr>
          <w:rFonts w:cstheme="minorHAnsi"/>
        </w:rPr>
        <w:t>collection</w:t>
      </w:r>
      <w:r w:rsidR="000823E9">
        <w:rPr>
          <w:rFonts w:cstheme="minorHAnsi"/>
        </w:rPr>
        <w:t xml:space="preserve"> in</w:t>
      </w:r>
      <w:r w:rsidR="00FD5741" w:rsidRPr="00FD5741">
        <w:rPr>
          <w:rFonts w:cstheme="minorHAnsi"/>
        </w:rPr>
        <w:t xml:space="preserve">cludes a </w:t>
      </w:r>
      <w:r w:rsidR="00C32948" w:rsidRPr="00C32948">
        <w:rPr>
          <w:rFonts w:cstheme="minorHAnsi"/>
        </w:rPr>
        <w:t xml:space="preserve">survey </w:t>
      </w:r>
      <w:r w:rsidR="009E2F2A">
        <w:rPr>
          <w:rFonts w:cstheme="minorHAnsi"/>
        </w:rPr>
        <w:t xml:space="preserve">offered through </w:t>
      </w:r>
      <w:r w:rsidR="00FE3AB6">
        <w:rPr>
          <w:rFonts w:cstheme="minorHAnsi"/>
        </w:rPr>
        <w:t>paper</w:t>
      </w:r>
      <w:r w:rsidR="009E2F2A">
        <w:rPr>
          <w:rFonts w:cstheme="minorHAnsi"/>
        </w:rPr>
        <w:t>-</w:t>
      </w:r>
      <w:r w:rsidR="00FE3AB6">
        <w:rPr>
          <w:rFonts w:cstheme="minorHAnsi"/>
        </w:rPr>
        <w:t xml:space="preserve"> and phone</w:t>
      </w:r>
      <w:r w:rsidR="009E2F2A">
        <w:rPr>
          <w:rFonts w:cstheme="minorHAnsi"/>
        </w:rPr>
        <w:t>-based</w:t>
      </w:r>
      <w:r w:rsidR="00FE3AB6">
        <w:rPr>
          <w:rFonts w:cstheme="minorHAnsi"/>
        </w:rPr>
        <w:t xml:space="preserve"> options</w:t>
      </w:r>
      <w:r w:rsidR="00466E6F">
        <w:rPr>
          <w:rFonts w:cstheme="minorHAnsi"/>
        </w:rPr>
        <w:t>, and medical chart abstraction</w:t>
      </w:r>
      <w:r w:rsidR="00FD5741" w:rsidRPr="00C32948">
        <w:rPr>
          <w:rFonts w:cstheme="minorHAnsi"/>
        </w:rPr>
        <w:t xml:space="preserve">. </w:t>
      </w:r>
      <w:r w:rsidR="00B15766">
        <w:rPr>
          <w:rFonts w:cstheme="minorHAnsi"/>
        </w:rPr>
        <w:t>The</w:t>
      </w:r>
      <w:r w:rsidR="00037E94">
        <w:rPr>
          <w:rFonts w:cstheme="minorHAnsi"/>
        </w:rPr>
        <w:t xml:space="preserve"> r</w:t>
      </w:r>
      <w:r w:rsidR="00466E6F">
        <w:rPr>
          <w:rFonts w:cstheme="minorHAnsi"/>
        </w:rPr>
        <w:t xml:space="preserve">ecruitment of cervical cancer survivors </w:t>
      </w:r>
      <w:r w:rsidR="00B15766">
        <w:rPr>
          <w:rFonts w:cstheme="minorHAnsi"/>
        </w:rPr>
        <w:t xml:space="preserve">to the study </w:t>
      </w:r>
      <w:r w:rsidR="00466E6F">
        <w:rPr>
          <w:rFonts w:cstheme="minorHAnsi"/>
        </w:rPr>
        <w:t>has been challenging</w:t>
      </w:r>
      <w:r w:rsidR="00037E94">
        <w:rPr>
          <w:rFonts w:cstheme="minorHAnsi"/>
        </w:rPr>
        <w:t xml:space="preserve">. </w:t>
      </w:r>
      <w:r w:rsidR="00EB58B9">
        <w:rPr>
          <w:rFonts w:cstheme="minorHAnsi"/>
        </w:rPr>
        <w:t>T</w:t>
      </w:r>
      <w:r w:rsidR="00037E94">
        <w:rPr>
          <w:rFonts w:cstheme="minorHAnsi"/>
        </w:rPr>
        <w:t xml:space="preserve">he study </w:t>
      </w:r>
      <w:r w:rsidR="00B15766">
        <w:rPr>
          <w:rFonts w:cstheme="minorHAnsi"/>
        </w:rPr>
        <w:t xml:space="preserve">presently </w:t>
      </w:r>
      <w:r w:rsidR="00037E94">
        <w:rPr>
          <w:rFonts w:cstheme="minorHAnsi"/>
        </w:rPr>
        <w:t xml:space="preserve">has a response rate of 20% with 329 completed surveys from 1,682 </w:t>
      </w:r>
      <w:r w:rsidR="00B15766">
        <w:rPr>
          <w:rFonts w:cstheme="minorHAnsi"/>
        </w:rPr>
        <w:t xml:space="preserve">eligible </w:t>
      </w:r>
      <w:r w:rsidR="00037E94">
        <w:rPr>
          <w:rFonts w:cstheme="minorHAnsi"/>
        </w:rPr>
        <w:t>survivors</w:t>
      </w:r>
      <w:r w:rsidR="00B15766">
        <w:rPr>
          <w:rFonts w:cstheme="minorHAnsi"/>
        </w:rPr>
        <w:t xml:space="preserve">.  </w:t>
      </w:r>
      <w:r w:rsidR="00037E94">
        <w:rPr>
          <w:rFonts w:cstheme="minorHAnsi"/>
        </w:rPr>
        <w:t xml:space="preserve"> </w:t>
      </w:r>
      <w:r w:rsidR="00466E6F">
        <w:rPr>
          <w:rFonts w:cstheme="minorHAnsi"/>
        </w:rPr>
        <w:t xml:space="preserve"> </w:t>
      </w:r>
    </w:p>
    <w:p w14:paraId="7FDCE463" w14:textId="3CD41A18" w:rsidR="00B15766" w:rsidRPr="002B0F8B" w:rsidRDefault="00B15766" w:rsidP="00C02D54">
      <w:pPr>
        <w:rPr>
          <w:rFonts w:cstheme="minorHAnsi"/>
        </w:rPr>
      </w:pPr>
      <w:bookmarkStart w:id="1" w:name="_Hlk504018508"/>
      <w:r>
        <w:rPr>
          <w:rFonts w:cstheme="minorHAnsi"/>
        </w:rPr>
        <w:t xml:space="preserve">In </w:t>
      </w:r>
      <w:r w:rsidR="00207090">
        <w:rPr>
          <w:rFonts w:cstheme="minorHAnsi"/>
        </w:rPr>
        <w:t>an effort to</w:t>
      </w:r>
      <w:r>
        <w:rPr>
          <w:rFonts w:cstheme="minorHAnsi"/>
        </w:rPr>
        <w:t xml:space="preserve"> increase the response rate, </w:t>
      </w:r>
      <w:r w:rsidR="00CB0E5C" w:rsidRPr="00C32948">
        <w:rPr>
          <w:rFonts w:cstheme="minorHAnsi"/>
        </w:rPr>
        <w:t xml:space="preserve">CDC proposes </w:t>
      </w:r>
      <w:r w:rsidR="00207090">
        <w:rPr>
          <w:rFonts w:cstheme="minorHAnsi"/>
        </w:rPr>
        <w:t>allowing</w:t>
      </w:r>
      <w:r w:rsidR="00207090" w:rsidRPr="002B0F8B">
        <w:rPr>
          <w:rFonts w:cstheme="minorHAnsi"/>
        </w:rPr>
        <w:t xml:space="preserve"> </w:t>
      </w:r>
      <w:r w:rsidR="00AD78D1" w:rsidRPr="002B0F8B">
        <w:rPr>
          <w:rFonts w:cstheme="minorHAnsi"/>
        </w:rPr>
        <w:t xml:space="preserve">cancer registries to </w:t>
      </w:r>
      <w:r w:rsidRPr="002B0F8B">
        <w:rPr>
          <w:rFonts w:cstheme="minorHAnsi"/>
        </w:rPr>
        <w:t>send</w:t>
      </w:r>
      <w:r w:rsidR="00AD78D1" w:rsidRPr="002B0F8B">
        <w:rPr>
          <w:rFonts w:cstheme="minorHAnsi"/>
        </w:rPr>
        <w:t xml:space="preserve"> the </w:t>
      </w:r>
      <w:r w:rsidR="00EF6F9C">
        <w:rPr>
          <w:rFonts w:cstheme="minorHAnsi"/>
        </w:rPr>
        <w:t xml:space="preserve">approved </w:t>
      </w:r>
      <w:r w:rsidR="00AD78D1" w:rsidRPr="002B0F8B">
        <w:rPr>
          <w:rFonts w:cstheme="minorHAnsi"/>
        </w:rPr>
        <w:t>incentive</w:t>
      </w:r>
      <w:r w:rsidR="00207090" w:rsidRPr="002B0F8B">
        <w:rPr>
          <w:rFonts w:cstheme="minorHAnsi"/>
        </w:rPr>
        <w:t xml:space="preserve"> </w:t>
      </w:r>
      <w:r w:rsidR="005E4801">
        <w:rPr>
          <w:rFonts w:cstheme="minorHAnsi"/>
        </w:rPr>
        <w:t>($</w:t>
      </w:r>
      <w:r w:rsidR="002B0F8B">
        <w:rPr>
          <w:rFonts w:cstheme="minorHAnsi"/>
        </w:rPr>
        <w:t xml:space="preserve">25 </w:t>
      </w:r>
      <w:r w:rsidR="00C02D54">
        <w:rPr>
          <w:rFonts w:cstheme="minorHAnsi"/>
        </w:rPr>
        <w:t>gift card</w:t>
      </w:r>
      <w:r w:rsidR="005E4801">
        <w:rPr>
          <w:rFonts w:cstheme="minorHAnsi"/>
        </w:rPr>
        <w:t xml:space="preserve">) </w:t>
      </w:r>
      <w:r w:rsidR="00C02D54">
        <w:rPr>
          <w:rFonts w:cstheme="minorHAnsi"/>
        </w:rPr>
        <w:t>inside the mailing</w:t>
      </w:r>
      <w:r w:rsidR="00EB58B9" w:rsidRPr="002B0F8B">
        <w:rPr>
          <w:rFonts w:cstheme="minorHAnsi"/>
        </w:rPr>
        <w:t xml:space="preserve"> with the final request for participation </w:t>
      </w:r>
      <w:r w:rsidRPr="002B0F8B">
        <w:rPr>
          <w:rFonts w:cstheme="minorHAnsi"/>
        </w:rPr>
        <w:t xml:space="preserve">to </w:t>
      </w:r>
      <w:r w:rsidR="002B0F8B">
        <w:rPr>
          <w:rFonts w:cstheme="minorHAnsi"/>
        </w:rPr>
        <w:t>non-respondents</w:t>
      </w:r>
      <w:r w:rsidR="00EB58B9" w:rsidRPr="002B0F8B">
        <w:rPr>
          <w:rFonts w:cstheme="minorHAnsi"/>
        </w:rPr>
        <w:t xml:space="preserve"> </w:t>
      </w:r>
      <w:r w:rsidRPr="002B0F8B">
        <w:rPr>
          <w:rFonts w:cstheme="minorHAnsi"/>
        </w:rPr>
        <w:t xml:space="preserve">who have </w:t>
      </w:r>
      <w:r w:rsidR="00EB58B9" w:rsidRPr="00C02D54">
        <w:rPr>
          <w:rFonts w:cstheme="minorHAnsi"/>
        </w:rPr>
        <w:t xml:space="preserve">indicated over the phone </w:t>
      </w:r>
      <w:r w:rsidR="002B0F8B">
        <w:rPr>
          <w:rFonts w:cstheme="minorHAnsi"/>
        </w:rPr>
        <w:t xml:space="preserve">to registry staff </w:t>
      </w:r>
      <w:r w:rsidR="00EB58B9" w:rsidRPr="00C02D54">
        <w:rPr>
          <w:rFonts w:cstheme="minorHAnsi"/>
        </w:rPr>
        <w:t xml:space="preserve">that they </w:t>
      </w:r>
      <w:r w:rsidR="002B0F8B">
        <w:rPr>
          <w:rFonts w:cstheme="minorHAnsi"/>
        </w:rPr>
        <w:t>are willing to</w:t>
      </w:r>
      <w:r w:rsidR="00EB58B9" w:rsidRPr="00C02D54">
        <w:rPr>
          <w:rFonts w:cstheme="minorHAnsi"/>
        </w:rPr>
        <w:t xml:space="preserve"> complete the study materials</w:t>
      </w:r>
      <w:r w:rsidR="00207090">
        <w:rPr>
          <w:rFonts w:cstheme="minorHAnsi"/>
        </w:rPr>
        <w:t>.</w:t>
      </w:r>
      <w:r w:rsidR="002B0F8B">
        <w:rPr>
          <w:rFonts w:cstheme="minorHAnsi"/>
        </w:rPr>
        <w:t xml:space="preserve"> </w:t>
      </w:r>
    </w:p>
    <w:bookmarkEnd w:id="1"/>
    <w:p w14:paraId="630ABEDD" w14:textId="77777777" w:rsidR="00B95159" w:rsidRDefault="00B95159" w:rsidP="00B95159">
      <w:pPr>
        <w:pStyle w:val="BodyText21"/>
        <w:rPr>
          <w:rFonts w:asciiTheme="minorHAnsi" w:hAnsiTheme="minorHAnsi" w:cstheme="minorHAnsi"/>
          <w:sz w:val="22"/>
          <w:szCs w:val="22"/>
        </w:rPr>
      </w:pPr>
    </w:p>
    <w:p w14:paraId="1FB65E79" w14:textId="77777777" w:rsidR="00556AE5" w:rsidRPr="00406570" w:rsidRDefault="00556AE5" w:rsidP="00556AE5">
      <w:pPr>
        <w:spacing w:after="0" w:line="240" w:lineRule="auto"/>
        <w:rPr>
          <w:rFonts w:cstheme="minorHAnsi"/>
          <w:b/>
        </w:rPr>
      </w:pPr>
      <w:r w:rsidRPr="00406570">
        <w:rPr>
          <w:rFonts w:cstheme="minorHAnsi"/>
          <w:b/>
        </w:rPr>
        <w:t>Background and Justification</w:t>
      </w:r>
    </w:p>
    <w:p w14:paraId="325317FB" w14:textId="77777777" w:rsidR="00556AE5" w:rsidRPr="00406570" w:rsidRDefault="00556AE5" w:rsidP="0022008E">
      <w:pPr>
        <w:spacing w:after="0" w:line="240" w:lineRule="auto"/>
        <w:rPr>
          <w:rFonts w:cstheme="minorHAnsi"/>
        </w:rPr>
      </w:pPr>
    </w:p>
    <w:p w14:paraId="38CBD1B9" w14:textId="69802226" w:rsidR="007B4586" w:rsidRDefault="005D0DE1">
      <w:pPr>
        <w:spacing w:after="0" w:line="240" w:lineRule="auto"/>
        <w:rPr>
          <w:rFonts w:cstheme="minorHAnsi"/>
        </w:rPr>
      </w:pPr>
      <w:r w:rsidRPr="003A0099">
        <w:rPr>
          <w:rFonts w:cstheme="minorHAnsi"/>
        </w:rPr>
        <w:t>CDC is</w:t>
      </w:r>
      <w:r w:rsidR="00556AE5" w:rsidRPr="003A0099">
        <w:rPr>
          <w:rFonts w:cstheme="minorHAnsi"/>
        </w:rPr>
        <w:t xml:space="preserve"> approved to collect </w:t>
      </w:r>
      <w:r w:rsidR="009E4A6C" w:rsidRPr="003A0099">
        <w:rPr>
          <w:rFonts w:cstheme="minorHAnsi"/>
        </w:rPr>
        <w:t xml:space="preserve">the </w:t>
      </w:r>
      <w:r w:rsidR="00556AE5" w:rsidRPr="003A0099">
        <w:rPr>
          <w:rFonts w:cstheme="minorHAnsi"/>
        </w:rPr>
        <w:t xml:space="preserve">information needed </w:t>
      </w:r>
      <w:r w:rsidR="000823E9" w:rsidRPr="003A0099">
        <w:rPr>
          <w:rFonts w:cstheme="minorHAnsi"/>
        </w:rPr>
        <w:t xml:space="preserve">to </w:t>
      </w:r>
      <w:r w:rsidR="009E2F2A" w:rsidRPr="003A0099">
        <w:rPr>
          <w:rFonts w:cstheme="minorHAnsi"/>
        </w:rPr>
        <w:t>better understand the facilitators and barriers to cervical cancer screening and follow up</w:t>
      </w:r>
      <w:r w:rsidR="00D249BF" w:rsidRPr="003A0099">
        <w:rPr>
          <w:rFonts w:cstheme="minorHAnsi"/>
        </w:rPr>
        <w:t xml:space="preserve"> </w:t>
      </w:r>
      <w:r w:rsidR="009E2F2A" w:rsidRPr="003A0099">
        <w:rPr>
          <w:rFonts w:cstheme="minorHAnsi"/>
        </w:rPr>
        <w:t xml:space="preserve">of abnormal results </w:t>
      </w:r>
      <w:r w:rsidR="00D249BF" w:rsidRPr="003A0099">
        <w:rPr>
          <w:rFonts w:cstheme="minorHAnsi"/>
        </w:rPr>
        <w:t>(</w:t>
      </w:r>
      <w:r w:rsidR="00541F42" w:rsidRPr="003A0099">
        <w:rPr>
          <w:rFonts w:cstheme="minorHAnsi"/>
        </w:rPr>
        <w:t>OMB No. 0920-1162, exp. 02/28/2019</w:t>
      </w:r>
      <w:r w:rsidR="00D249BF" w:rsidRPr="003A0099">
        <w:rPr>
          <w:rFonts w:cstheme="minorHAnsi"/>
        </w:rPr>
        <w:t>)</w:t>
      </w:r>
      <w:r w:rsidR="00556AE5" w:rsidRPr="003A0099">
        <w:rPr>
          <w:rFonts w:cstheme="minorHAnsi"/>
        </w:rPr>
        <w:t xml:space="preserve">. </w:t>
      </w:r>
      <w:r w:rsidR="003A0099" w:rsidRPr="003A0099">
        <w:rPr>
          <w:rFonts w:cstheme="minorHAnsi"/>
        </w:rPr>
        <w:t>This information will be used to develop interventions targeted to reach never or rarely screened women, and to understand missed opportunities for treatment of precancer.</w:t>
      </w:r>
    </w:p>
    <w:p w14:paraId="73AB07A9" w14:textId="7841DBE1" w:rsidR="00AD78D1" w:rsidRDefault="00AD78D1">
      <w:pPr>
        <w:spacing w:after="0" w:line="240" w:lineRule="auto"/>
        <w:rPr>
          <w:rFonts w:cstheme="minorHAnsi"/>
        </w:rPr>
      </w:pPr>
    </w:p>
    <w:p w14:paraId="4FA169C4" w14:textId="754E01C4" w:rsidR="00A52AFA" w:rsidRDefault="00D51DBE" w:rsidP="00A52AF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Cervical cancer survivors </w:t>
      </w:r>
      <w:r w:rsidR="00E005A1">
        <w:rPr>
          <w:rFonts w:cstheme="minorHAnsi"/>
        </w:rPr>
        <w:t>are a challenging population to recruit.</w:t>
      </w:r>
      <w:r w:rsidR="00A52AFA">
        <w:rPr>
          <w:rFonts w:cstheme="minorHAnsi"/>
        </w:rPr>
        <w:t xml:space="preserve"> A pilot study that was completed by the New Jersey cancer registry (Herman, et al., 2017) found that cervical cancer survivors had significantly lower response rates c</w:t>
      </w:r>
      <w:r w:rsidR="00A52AFA" w:rsidRPr="00BD0701">
        <w:rPr>
          <w:rFonts w:cstheme="minorHAnsi"/>
        </w:rPr>
        <w:t xml:space="preserve">ompared to breast, colorectal, and prostate </w:t>
      </w:r>
      <w:r w:rsidR="00A52AFA">
        <w:rPr>
          <w:rFonts w:cstheme="minorHAnsi"/>
        </w:rPr>
        <w:t>survivors</w:t>
      </w:r>
      <w:r w:rsidR="00A52AFA" w:rsidRPr="00BD0701">
        <w:rPr>
          <w:rFonts w:cstheme="minorHAnsi"/>
        </w:rPr>
        <w:t>. Many cervical cancer survivors in the study were socioeconomically disadvantaged and younger than survivors of other cancers (mean age is 40 years old).</w:t>
      </w:r>
      <w:r w:rsidR="001A0F74">
        <w:rPr>
          <w:rFonts w:cstheme="minorHAnsi"/>
        </w:rPr>
        <w:t xml:space="preserve"> </w:t>
      </w:r>
    </w:p>
    <w:p w14:paraId="5B2F2ABA" w14:textId="481D9543" w:rsidR="002519B4" w:rsidRDefault="002519B4">
      <w:pPr>
        <w:spacing w:after="0" w:line="240" w:lineRule="auto"/>
        <w:rPr>
          <w:rFonts w:cstheme="minorHAnsi"/>
        </w:rPr>
      </w:pPr>
    </w:p>
    <w:p w14:paraId="31F3F5F8" w14:textId="10A73C18" w:rsidR="00A52AFA" w:rsidRDefault="001A0F74">
      <w:pPr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="00A52AFA">
        <w:rPr>
          <w:rFonts w:cstheme="minorHAnsi"/>
        </w:rPr>
        <w:t xml:space="preserve">he CICC Study is approved to </w:t>
      </w:r>
      <w:r>
        <w:rPr>
          <w:rFonts w:cstheme="minorHAnsi"/>
        </w:rPr>
        <w:t xml:space="preserve">provide a $25 incentive upon the receipt of a completed survey. </w:t>
      </w:r>
      <w:r w:rsidR="00A35321">
        <w:rPr>
          <w:rFonts w:cstheme="minorHAnsi"/>
        </w:rPr>
        <w:t>T</w:t>
      </w:r>
      <w:r>
        <w:rPr>
          <w:rFonts w:cstheme="minorHAnsi"/>
        </w:rPr>
        <w:t xml:space="preserve">his approach is called a </w:t>
      </w:r>
      <w:r w:rsidRPr="001A0F74">
        <w:rPr>
          <w:rFonts w:cstheme="minorHAnsi"/>
          <w:i/>
        </w:rPr>
        <w:t>promised</w:t>
      </w:r>
      <w:r>
        <w:rPr>
          <w:rFonts w:cstheme="minorHAnsi"/>
        </w:rPr>
        <w:t xml:space="preserve"> incentive. The study seeks approval to add the option of providing the incentive at the time of the final mailing to women who have indicated a willingness to participate but who have not yet returned the materials. This option is referred to as a </w:t>
      </w:r>
      <w:r w:rsidRPr="001A0F74">
        <w:rPr>
          <w:rFonts w:cstheme="minorHAnsi"/>
          <w:i/>
        </w:rPr>
        <w:t>prepaid</w:t>
      </w:r>
      <w:r>
        <w:rPr>
          <w:rFonts w:cstheme="minorHAnsi"/>
        </w:rPr>
        <w:t xml:space="preserve"> incentive approach. </w:t>
      </w:r>
    </w:p>
    <w:p w14:paraId="3535E8E6" w14:textId="144D17EF" w:rsidR="00860D85" w:rsidRDefault="00860D85">
      <w:pPr>
        <w:spacing w:after="0" w:line="240" w:lineRule="auto"/>
        <w:rPr>
          <w:rFonts w:cstheme="minorHAnsi"/>
        </w:rPr>
      </w:pPr>
    </w:p>
    <w:p w14:paraId="6C9BE020" w14:textId="121D617B" w:rsidR="00860D85" w:rsidRDefault="00640BAE">
      <w:pPr>
        <w:spacing w:after="0" w:line="240" w:lineRule="auto"/>
        <w:rPr>
          <w:rFonts w:cstheme="minorHAnsi"/>
        </w:rPr>
      </w:pPr>
      <w:r w:rsidRPr="00640BAE">
        <w:rPr>
          <w:rFonts w:cstheme="minorHAnsi"/>
        </w:rPr>
        <w:t xml:space="preserve">A systematic review of multiple studies has shown that </w:t>
      </w:r>
      <w:r>
        <w:rPr>
          <w:rFonts w:cstheme="minorHAnsi"/>
        </w:rPr>
        <w:t>the use of</w:t>
      </w:r>
      <w:r w:rsidRPr="00640BAE">
        <w:rPr>
          <w:rFonts w:cstheme="minorHAnsi"/>
        </w:rPr>
        <w:t xml:space="preserve"> </w:t>
      </w:r>
      <w:r w:rsidR="00860D85" w:rsidRPr="00860D85">
        <w:rPr>
          <w:rFonts w:cstheme="minorHAnsi"/>
          <w:i/>
        </w:rPr>
        <w:t>prepaid</w:t>
      </w:r>
      <w:r w:rsidR="00860D85">
        <w:rPr>
          <w:rFonts w:cstheme="minorHAnsi"/>
        </w:rPr>
        <w:t xml:space="preserve"> incentive</w:t>
      </w:r>
      <w:r>
        <w:rPr>
          <w:rFonts w:cstheme="minorHAnsi"/>
        </w:rPr>
        <w:t>s</w:t>
      </w:r>
      <w:r w:rsidR="00860D85">
        <w:rPr>
          <w:rFonts w:cstheme="minorHAnsi"/>
        </w:rPr>
        <w:t xml:space="preserve"> </w:t>
      </w:r>
      <w:r w:rsidRPr="00640BAE">
        <w:rPr>
          <w:rFonts w:cstheme="minorHAnsi"/>
        </w:rPr>
        <w:t xml:space="preserve">(when compared to a </w:t>
      </w:r>
      <w:r w:rsidRPr="00640BAE">
        <w:rPr>
          <w:rFonts w:cstheme="minorHAnsi"/>
          <w:i/>
        </w:rPr>
        <w:t>promised</w:t>
      </w:r>
      <w:r w:rsidRPr="00640BAE">
        <w:rPr>
          <w:rFonts w:cstheme="minorHAnsi"/>
        </w:rPr>
        <w:t xml:space="preserve"> incentive)</w:t>
      </w:r>
      <w:r>
        <w:rPr>
          <w:rFonts w:cstheme="minorHAnsi"/>
        </w:rPr>
        <w:t xml:space="preserve"> significantly increases survey response rates</w:t>
      </w:r>
      <w:r w:rsidR="00860D85">
        <w:rPr>
          <w:rFonts w:cstheme="minorHAnsi"/>
        </w:rPr>
        <w:t xml:space="preserve"> </w:t>
      </w:r>
      <w:r>
        <w:rPr>
          <w:rFonts w:cstheme="minorHAnsi"/>
        </w:rPr>
        <w:t xml:space="preserve">(Singer &amp; Ye, 2013). </w:t>
      </w:r>
      <w:r w:rsidR="001B4E25">
        <w:rPr>
          <w:rFonts w:cstheme="minorHAnsi"/>
        </w:rPr>
        <w:t xml:space="preserve">For this modification, we propose using the prepaid incentive approach only in the final contact with women who have indicated they will participate.  </w:t>
      </w:r>
      <w:r w:rsidR="004100E1">
        <w:rPr>
          <w:rFonts w:cstheme="minorHAnsi"/>
        </w:rPr>
        <w:t xml:space="preserve">It is hoped that this change will increase the likelihood of response among </w:t>
      </w:r>
      <w:r w:rsidR="004100E1" w:rsidRPr="004100E1">
        <w:rPr>
          <w:rFonts w:cstheme="minorHAnsi"/>
        </w:rPr>
        <w:t>this hard to reach population.</w:t>
      </w:r>
      <w:r w:rsidR="001B4E25">
        <w:rPr>
          <w:rFonts w:cstheme="minorHAnsi"/>
        </w:rPr>
        <w:t xml:space="preserve">  </w:t>
      </w:r>
    </w:p>
    <w:p w14:paraId="262DEA5F" w14:textId="77777777" w:rsidR="00D51DBE" w:rsidRDefault="00D51DBE">
      <w:pPr>
        <w:spacing w:after="0" w:line="240" w:lineRule="auto"/>
        <w:rPr>
          <w:rFonts w:cstheme="minorHAnsi"/>
        </w:rPr>
      </w:pPr>
    </w:p>
    <w:p w14:paraId="3E8711E6" w14:textId="5180D4C9" w:rsidR="000F1E26" w:rsidRDefault="000F1E26" w:rsidP="0000323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Explanation of </w:t>
      </w:r>
      <w:r w:rsidR="00A35321">
        <w:rPr>
          <w:rFonts w:cstheme="minorHAnsi"/>
          <w:b/>
        </w:rPr>
        <w:t>C</w:t>
      </w:r>
      <w:r>
        <w:rPr>
          <w:rFonts w:cstheme="minorHAnsi"/>
          <w:b/>
        </w:rPr>
        <w:t xml:space="preserve">hanges </w:t>
      </w:r>
    </w:p>
    <w:p w14:paraId="7EF1A59C" w14:textId="77777777" w:rsidR="000F1E26" w:rsidRPr="000F1E26" w:rsidRDefault="000F1E26" w:rsidP="00003231">
      <w:pPr>
        <w:spacing w:after="0" w:line="240" w:lineRule="auto"/>
        <w:rPr>
          <w:rFonts w:cstheme="minorHAnsi"/>
        </w:rPr>
      </w:pPr>
    </w:p>
    <w:p w14:paraId="261E6F6B" w14:textId="6E6967DB" w:rsidR="00DC65C1" w:rsidRDefault="00D51DBE" w:rsidP="00BD070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CDC requests </w:t>
      </w:r>
      <w:r w:rsidR="00C02D54">
        <w:rPr>
          <w:rFonts w:cstheme="minorHAnsi"/>
        </w:rPr>
        <w:t>permission to</w:t>
      </w:r>
      <w:r w:rsidR="00BD0701">
        <w:t xml:space="preserve"> </w:t>
      </w:r>
      <w:r w:rsidR="00C02D54">
        <w:rPr>
          <w:rFonts w:cstheme="minorHAnsi"/>
        </w:rPr>
        <w:t>allow</w:t>
      </w:r>
      <w:r w:rsidR="00C02D54" w:rsidRPr="002B0F8B">
        <w:rPr>
          <w:rFonts w:cstheme="minorHAnsi"/>
        </w:rPr>
        <w:t xml:space="preserve"> cancer registries to </w:t>
      </w:r>
      <w:r w:rsidR="00860D85">
        <w:rPr>
          <w:rFonts w:cstheme="minorHAnsi"/>
        </w:rPr>
        <w:t>include</w:t>
      </w:r>
      <w:r w:rsidR="00C02D54" w:rsidRPr="002B0F8B">
        <w:rPr>
          <w:rFonts w:cstheme="minorHAnsi"/>
        </w:rPr>
        <w:t xml:space="preserve"> the incentive </w:t>
      </w:r>
      <w:r w:rsidR="00C02D54">
        <w:rPr>
          <w:rFonts w:cstheme="minorHAnsi"/>
        </w:rPr>
        <w:t>($25 gift card) inside the final mailing</w:t>
      </w:r>
      <w:r w:rsidR="00C02D54" w:rsidRPr="002B0F8B">
        <w:rPr>
          <w:rFonts w:cstheme="minorHAnsi"/>
        </w:rPr>
        <w:t xml:space="preserve"> for participation to </w:t>
      </w:r>
      <w:r w:rsidR="00C02D54">
        <w:rPr>
          <w:rFonts w:cstheme="minorHAnsi"/>
        </w:rPr>
        <w:t>non-respondents</w:t>
      </w:r>
      <w:r w:rsidR="00C02D54" w:rsidRPr="002B0F8B">
        <w:rPr>
          <w:rFonts w:cstheme="minorHAnsi"/>
        </w:rPr>
        <w:t xml:space="preserve"> who have </w:t>
      </w:r>
      <w:r w:rsidR="00C02D54" w:rsidRPr="00834F14">
        <w:rPr>
          <w:rFonts w:cstheme="minorHAnsi"/>
        </w:rPr>
        <w:t xml:space="preserve">indicated over the phone </w:t>
      </w:r>
      <w:r w:rsidR="00C02D54">
        <w:rPr>
          <w:rFonts w:cstheme="minorHAnsi"/>
        </w:rPr>
        <w:t xml:space="preserve">to registry staff </w:t>
      </w:r>
      <w:r w:rsidR="00C02D54" w:rsidRPr="00834F14">
        <w:rPr>
          <w:rFonts w:cstheme="minorHAnsi"/>
        </w:rPr>
        <w:t xml:space="preserve">that they </w:t>
      </w:r>
      <w:r w:rsidR="00C02D54">
        <w:rPr>
          <w:rFonts w:cstheme="minorHAnsi"/>
        </w:rPr>
        <w:t>are willing to</w:t>
      </w:r>
      <w:r w:rsidR="00C02D54" w:rsidRPr="00834F14">
        <w:rPr>
          <w:rFonts w:cstheme="minorHAnsi"/>
        </w:rPr>
        <w:t xml:space="preserve"> complete the study materials</w:t>
      </w:r>
      <w:r w:rsidR="00C02D54">
        <w:rPr>
          <w:rFonts w:cstheme="minorHAnsi"/>
        </w:rPr>
        <w:t xml:space="preserve">. </w:t>
      </w:r>
      <w:r w:rsidR="00A52AFA">
        <w:rPr>
          <w:rFonts w:cstheme="minorHAnsi"/>
        </w:rPr>
        <w:t>The study has identified</w:t>
      </w:r>
      <w:r w:rsidR="00BD0701" w:rsidRPr="00BD0701">
        <w:rPr>
          <w:rFonts w:cstheme="minorHAnsi"/>
        </w:rPr>
        <w:t xml:space="preserve"> 118 potential participants whom a member of </w:t>
      </w:r>
      <w:r w:rsidR="00DB4F7B">
        <w:rPr>
          <w:rFonts w:cstheme="minorHAnsi"/>
        </w:rPr>
        <w:t xml:space="preserve">the </w:t>
      </w:r>
      <w:r w:rsidR="00BD0701" w:rsidRPr="00BD0701">
        <w:rPr>
          <w:rFonts w:cstheme="minorHAnsi"/>
        </w:rPr>
        <w:t xml:space="preserve">study team has spoken with and expressed a willingness to participate. All of these participants have received two mailings and multiple phone calls in an attempt to reach out to them. </w:t>
      </w:r>
      <w:r w:rsidR="004100E1">
        <w:rPr>
          <w:rFonts w:cstheme="minorHAnsi"/>
        </w:rPr>
        <w:t xml:space="preserve">As a show of “good faith” we will enclose the $25 incentive with the third mailing letter asking for them to return the study materials (instead of </w:t>
      </w:r>
      <w:r w:rsidR="000D731C">
        <w:rPr>
          <w:rFonts w:cstheme="minorHAnsi"/>
        </w:rPr>
        <w:t>needing to return the study documents first).</w:t>
      </w:r>
    </w:p>
    <w:p w14:paraId="5646C59C" w14:textId="4208C6EB" w:rsidR="004100E1" w:rsidRDefault="004100E1" w:rsidP="00BD0701">
      <w:pPr>
        <w:spacing w:after="0" w:line="240" w:lineRule="auto"/>
        <w:rPr>
          <w:rFonts w:cstheme="minorHAnsi"/>
        </w:rPr>
      </w:pPr>
    </w:p>
    <w:p w14:paraId="65C3F338" w14:textId="1409D2D5" w:rsidR="004100E1" w:rsidRDefault="004100E1" w:rsidP="00BD070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This requested change </w:t>
      </w:r>
      <w:r w:rsidR="000D731C">
        <w:rPr>
          <w:rFonts w:cstheme="minorHAnsi"/>
        </w:rPr>
        <w:t>does not impact</w:t>
      </w:r>
      <w:r>
        <w:rPr>
          <w:rFonts w:cstheme="minorHAnsi"/>
        </w:rPr>
        <w:t xml:space="preserve"> other approved study protocols.  </w:t>
      </w:r>
      <w:r w:rsidR="000D731C">
        <w:rPr>
          <w:rFonts w:cstheme="minorHAnsi"/>
        </w:rPr>
        <w:t xml:space="preserve">For example, </w:t>
      </w:r>
    </w:p>
    <w:p w14:paraId="6F2F8E2C" w14:textId="0F9D0DFB" w:rsidR="000D731C" w:rsidRPr="000D731C" w:rsidRDefault="000D731C" w:rsidP="000D731C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0D731C">
        <w:rPr>
          <w:rFonts w:cstheme="minorHAnsi"/>
        </w:rPr>
        <w:t>The third mailing to non-respondents is already approved.</w:t>
      </w:r>
    </w:p>
    <w:p w14:paraId="172E21F0" w14:textId="6146BAA4" w:rsidR="000D731C" w:rsidRPr="000D731C" w:rsidRDefault="000D731C" w:rsidP="000D731C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0D731C">
        <w:rPr>
          <w:rFonts w:cstheme="minorHAnsi"/>
        </w:rPr>
        <w:t>The amount of the incentive is already approved for $25.</w:t>
      </w:r>
    </w:p>
    <w:p w14:paraId="4E9923A1" w14:textId="19591736" w:rsidR="000D731C" w:rsidRPr="000D731C" w:rsidRDefault="000D731C" w:rsidP="000D731C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0D731C">
        <w:rPr>
          <w:rFonts w:cstheme="minorHAnsi"/>
        </w:rPr>
        <w:t>The burden to each participant is not changed.</w:t>
      </w:r>
    </w:p>
    <w:p w14:paraId="09DC2D5D" w14:textId="4B3FE46C" w:rsidR="000D731C" w:rsidRPr="000D731C" w:rsidRDefault="000D731C" w:rsidP="000D731C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0D731C">
        <w:rPr>
          <w:rFonts w:cstheme="minorHAnsi"/>
        </w:rPr>
        <w:t xml:space="preserve">The number of respondents is not expected to exceed that proposed in the </w:t>
      </w:r>
      <w:r>
        <w:rPr>
          <w:rFonts w:cstheme="minorHAnsi"/>
        </w:rPr>
        <w:t>approved</w:t>
      </w:r>
      <w:r w:rsidRPr="000D731C">
        <w:rPr>
          <w:rFonts w:cstheme="minorHAnsi"/>
        </w:rPr>
        <w:t xml:space="preserve"> burden table.</w:t>
      </w:r>
    </w:p>
    <w:p w14:paraId="4A84F6B5" w14:textId="77777777" w:rsidR="00D51DBE" w:rsidRDefault="00D51DBE" w:rsidP="000F1E26">
      <w:pPr>
        <w:spacing w:after="0" w:line="240" w:lineRule="auto"/>
        <w:rPr>
          <w:rFonts w:cstheme="minorHAnsi"/>
        </w:rPr>
      </w:pPr>
    </w:p>
    <w:p w14:paraId="6C79EF7B" w14:textId="77777777" w:rsidR="000D731C" w:rsidRDefault="000D731C" w:rsidP="000F1E26">
      <w:pPr>
        <w:spacing w:after="0" w:line="240" w:lineRule="auto"/>
        <w:rPr>
          <w:b/>
        </w:rPr>
      </w:pPr>
    </w:p>
    <w:p w14:paraId="5BADF68B" w14:textId="3769AF61" w:rsidR="00F144DF" w:rsidRPr="00A35321" w:rsidRDefault="00A35321" w:rsidP="000F1E26">
      <w:pPr>
        <w:spacing w:after="0" w:line="240" w:lineRule="auto"/>
        <w:rPr>
          <w:b/>
        </w:rPr>
      </w:pPr>
      <w:r w:rsidRPr="00A35321">
        <w:rPr>
          <w:b/>
        </w:rPr>
        <w:t xml:space="preserve">Request for </w:t>
      </w:r>
      <w:r>
        <w:rPr>
          <w:b/>
        </w:rPr>
        <w:t>A</w:t>
      </w:r>
      <w:r w:rsidRPr="00A35321">
        <w:rPr>
          <w:b/>
        </w:rPr>
        <w:t>pproval</w:t>
      </w:r>
    </w:p>
    <w:p w14:paraId="3D52C87D" w14:textId="4212CBAC" w:rsidR="000F1E26" w:rsidRPr="003E51D9" w:rsidRDefault="000F1E26" w:rsidP="000F1E26">
      <w:pPr>
        <w:spacing w:after="0" w:line="240" w:lineRule="auto"/>
      </w:pPr>
      <w:r w:rsidRPr="003E51D9">
        <w:rPr>
          <w:rFonts w:cstheme="minorHAnsi"/>
        </w:rPr>
        <w:t>OMB approval is requested effective immediately</w:t>
      </w:r>
      <w:r>
        <w:rPr>
          <w:rFonts w:cstheme="minorHAnsi"/>
        </w:rPr>
        <w:t xml:space="preserve"> after the approval</w:t>
      </w:r>
      <w:r w:rsidRPr="003E51D9">
        <w:rPr>
          <w:rFonts w:cstheme="minorHAnsi"/>
        </w:rPr>
        <w:t>.</w:t>
      </w:r>
      <w:r w:rsidRPr="00406570">
        <w:rPr>
          <w:rFonts w:cstheme="minorHAnsi"/>
        </w:rPr>
        <w:t xml:space="preserve">  </w:t>
      </w:r>
      <w:r w:rsidR="00A35321">
        <w:rPr>
          <w:rFonts w:cstheme="minorHAnsi"/>
        </w:rPr>
        <w:t>This request is of high priority to the study because the cancer registries are ready to begin the final outreach.</w:t>
      </w:r>
    </w:p>
    <w:p w14:paraId="10EBB386" w14:textId="25132721" w:rsidR="000F1E26" w:rsidRDefault="000F1E26" w:rsidP="00311951">
      <w:pPr>
        <w:spacing w:after="0" w:line="240" w:lineRule="auto"/>
        <w:rPr>
          <w:rFonts w:cstheme="minorHAnsi"/>
        </w:rPr>
      </w:pPr>
    </w:p>
    <w:p w14:paraId="6AD0DED9" w14:textId="08734547" w:rsidR="00A35321" w:rsidRDefault="00A35321" w:rsidP="00311951">
      <w:pPr>
        <w:spacing w:after="0" w:line="240" w:lineRule="auto"/>
        <w:rPr>
          <w:rFonts w:cstheme="minorHAnsi"/>
        </w:rPr>
      </w:pPr>
    </w:p>
    <w:p w14:paraId="49355F21" w14:textId="77777777" w:rsidR="000D731C" w:rsidRDefault="000D731C" w:rsidP="00311951">
      <w:pPr>
        <w:spacing w:after="0" w:line="240" w:lineRule="auto"/>
        <w:rPr>
          <w:rFonts w:cstheme="minorHAnsi"/>
        </w:rPr>
      </w:pPr>
    </w:p>
    <w:p w14:paraId="203CBBA1" w14:textId="3319D75F" w:rsidR="00A35321" w:rsidRPr="000D731C" w:rsidRDefault="00A35321" w:rsidP="00311951">
      <w:pPr>
        <w:spacing w:after="0" w:line="240" w:lineRule="auto"/>
        <w:rPr>
          <w:rFonts w:cstheme="minorHAnsi"/>
          <w:b/>
        </w:rPr>
      </w:pPr>
      <w:r w:rsidRPr="000D731C">
        <w:rPr>
          <w:rFonts w:cstheme="minorHAnsi"/>
          <w:b/>
        </w:rPr>
        <w:t>References:</w:t>
      </w:r>
    </w:p>
    <w:p w14:paraId="01682105" w14:textId="77777777" w:rsidR="00A35321" w:rsidRDefault="00A35321" w:rsidP="00311951">
      <w:pPr>
        <w:spacing w:after="0" w:line="240" w:lineRule="auto"/>
        <w:rPr>
          <w:rFonts w:cstheme="minorHAnsi"/>
        </w:rPr>
      </w:pPr>
    </w:p>
    <w:p w14:paraId="125221EE" w14:textId="741A31B2" w:rsidR="00A35321" w:rsidRDefault="00A35321" w:rsidP="00A35321">
      <w:pPr>
        <w:spacing w:after="0" w:line="240" w:lineRule="auto"/>
        <w:ind w:left="360" w:hanging="360"/>
        <w:rPr>
          <w:rFonts w:cstheme="minorHAnsi"/>
        </w:rPr>
      </w:pPr>
      <w:r w:rsidRPr="00A35321">
        <w:rPr>
          <w:rFonts w:cstheme="minorHAnsi"/>
        </w:rPr>
        <w:t>Herman, N., Stroup A., et al. (2017)</w:t>
      </w:r>
      <w:r w:rsidR="00640BAE">
        <w:rPr>
          <w:rFonts w:cstheme="minorHAnsi"/>
        </w:rPr>
        <w:t>.</w:t>
      </w:r>
      <w:r w:rsidRPr="00A35321">
        <w:rPr>
          <w:rFonts w:cstheme="minorHAnsi"/>
        </w:rPr>
        <w:t xml:space="preserve"> Making an IMPACT: Optimizing Patient Recruitment in Hard to Reach Populations with NJSCR. Submitted to the North American Association of Central Cancer Registries (NAACCR) Annual Meeting, NM June 2017.</w:t>
      </w:r>
    </w:p>
    <w:p w14:paraId="2D2B42F6" w14:textId="531B8D12" w:rsidR="002D3869" w:rsidRDefault="002D3869" w:rsidP="00A35321">
      <w:pPr>
        <w:spacing w:after="0" w:line="240" w:lineRule="auto"/>
        <w:ind w:left="360" w:hanging="360"/>
        <w:rPr>
          <w:rFonts w:cstheme="minorHAnsi"/>
        </w:rPr>
      </w:pPr>
    </w:p>
    <w:p w14:paraId="6E210898" w14:textId="34924F6E" w:rsidR="002D3869" w:rsidRDefault="002D3869" w:rsidP="002D3869">
      <w:pPr>
        <w:ind w:left="360" w:hanging="360"/>
        <w:rPr>
          <w:noProof/>
        </w:rPr>
      </w:pPr>
      <w:r>
        <w:rPr>
          <w:noProof/>
        </w:rPr>
        <w:t xml:space="preserve">Singer, E., Ye, C. </w:t>
      </w:r>
      <w:r w:rsidR="00640BAE">
        <w:rPr>
          <w:noProof/>
        </w:rPr>
        <w:t>(</w:t>
      </w:r>
      <w:r>
        <w:rPr>
          <w:noProof/>
        </w:rPr>
        <w:t>2013</w:t>
      </w:r>
      <w:r w:rsidR="00640BAE">
        <w:rPr>
          <w:noProof/>
        </w:rPr>
        <w:t>)</w:t>
      </w:r>
      <w:r>
        <w:rPr>
          <w:noProof/>
        </w:rPr>
        <w:t>. The Use and Effects of Incentives in Surveys. Annals of the American Academy of Political and Social Science</w:t>
      </w:r>
      <w:r w:rsidR="00640BAE">
        <w:rPr>
          <w:noProof/>
        </w:rPr>
        <w:t>;</w:t>
      </w:r>
      <w:r>
        <w:rPr>
          <w:noProof/>
        </w:rPr>
        <w:t xml:space="preserve"> 645(1): 112-141. </w:t>
      </w:r>
    </w:p>
    <w:p w14:paraId="62FFBD49" w14:textId="77777777" w:rsidR="002D3869" w:rsidRPr="000F1E26" w:rsidRDefault="002D3869" w:rsidP="00A35321">
      <w:pPr>
        <w:spacing w:after="0" w:line="240" w:lineRule="auto"/>
        <w:ind w:left="360" w:hanging="360"/>
        <w:rPr>
          <w:rFonts w:cstheme="minorHAnsi"/>
        </w:rPr>
      </w:pPr>
    </w:p>
    <w:sectPr w:rsidR="002D3869" w:rsidRPr="000F1E26" w:rsidSect="003A75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F1EAF" w14:textId="77777777" w:rsidR="00BF224B" w:rsidRDefault="00BF224B" w:rsidP="00F01D11">
      <w:pPr>
        <w:spacing w:after="0" w:line="240" w:lineRule="auto"/>
      </w:pPr>
      <w:r>
        <w:separator/>
      </w:r>
    </w:p>
  </w:endnote>
  <w:endnote w:type="continuationSeparator" w:id="0">
    <w:p w14:paraId="116DEE27" w14:textId="77777777" w:rsidR="00BF224B" w:rsidRDefault="00BF224B" w:rsidP="00F0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106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16B4C" w14:textId="3FDA12BA" w:rsidR="00F32C7F" w:rsidRDefault="00F32C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7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FE22AB" w14:textId="77777777" w:rsidR="00F32C7F" w:rsidRDefault="00F32C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C18B7" w14:textId="77777777" w:rsidR="00BF224B" w:rsidRDefault="00BF224B" w:rsidP="00F01D11">
      <w:pPr>
        <w:spacing w:after="0" w:line="240" w:lineRule="auto"/>
      </w:pPr>
      <w:r>
        <w:separator/>
      </w:r>
    </w:p>
  </w:footnote>
  <w:footnote w:type="continuationSeparator" w:id="0">
    <w:p w14:paraId="099CE2F6" w14:textId="77777777" w:rsidR="00BF224B" w:rsidRDefault="00BF224B" w:rsidP="00F0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EA2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0333"/>
    <w:multiLevelType w:val="hybridMultilevel"/>
    <w:tmpl w:val="E66A1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7C2A"/>
    <w:multiLevelType w:val="hybridMultilevel"/>
    <w:tmpl w:val="134C95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9D01E5"/>
    <w:multiLevelType w:val="hybridMultilevel"/>
    <w:tmpl w:val="3ED287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312D76"/>
    <w:multiLevelType w:val="hybridMultilevel"/>
    <w:tmpl w:val="A7143BEA"/>
    <w:lvl w:ilvl="0" w:tplc="496C09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086BCA"/>
    <w:multiLevelType w:val="hybridMultilevel"/>
    <w:tmpl w:val="DC3A576E"/>
    <w:lvl w:ilvl="0" w:tplc="2E444ECC">
      <w:start w:val="1"/>
      <w:numFmt w:val="bullet"/>
      <w:lvlText w:val="¦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795F3C"/>
    <w:multiLevelType w:val="hybridMultilevel"/>
    <w:tmpl w:val="9294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A113C"/>
    <w:multiLevelType w:val="hybridMultilevel"/>
    <w:tmpl w:val="DD988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5200C"/>
    <w:multiLevelType w:val="hybridMultilevel"/>
    <w:tmpl w:val="4E707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415"/>
    <w:multiLevelType w:val="hybridMultilevel"/>
    <w:tmpl w:val="F974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50CCF"/>
    <w:multiLevelType w:val="hybridMultilevel"/>
    <w:tmpl w:val="D2408FAE"/>
    <w:lvl w:ilvl="0" w:tplc="5CFA6D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6238F"/>
    <w:multiLevelType w:val="hybridMultilevel"/>
    <w:tmpl w:val="D1C8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C010C"/>
    <w:multiLevelType w:val="hybridMultilevel"/>
    <w:tmpl w:val="58A42088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1B1D13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D59D4"/>
    <w:multiLevelType w:val="hybridMultilevel"/>
    <w:tmpl w:val="A5986C86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091B13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5438B"/>
    <w:multiLevelType w:val="hybridMultilevel"/>
    <w:tmpl w:val="E190DBA8"/>
    <w:lvl w:ilvl="0" w:tplc="044ADF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47704"/>
    <w:multiLevelType w:val="hybridMultilevel"/>
    <w:tmpl w:val="47863532"/>
    <w:lvl w:ilvl="0" w:tplc="72103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E0474"/>
    <w:multiLevelType w:val="hybridMultilevel"/>
    <w:tmpl w:val="A5986C86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3104D2"/>
    <w:multiLevelType w:val="hybridMultilevel"/>
    <w:tmpl w:val="A106E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37B0D"/>
    <w:multiLevelType w:val="hybridMultilevel"/>
    <w:tmpl w:val="D8468004"/>
    <w:lvl w:ilvl="0" w:tplc="471C8F3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FE0011"/>
    <w:multiLevelType w:val="hybridMultilevel"/>
    <w:tmpl w:val="8A685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9A58A3"/>
    <w:multiLevelType w:val="hybridMultilevel"/>
    <w:tmpl w:val="DD988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71A8C"/>
    <w:multiLevelType w:val="hybridMultilevel"/>
    <w:tmpl w:val="6004E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C4242"/>
    <w:multiLevelType w:val="hybridMultilevel"/>
    <w:tmpl w:val="3956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80007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60E4B"/>
    <w:multiLevelType w:val="hybridMultilevel"/>
    <w:tmpl w:val="1A9ADBBE"/>
    <w:lvl w:ilvl="0" w:tplc="2E444ECC">
      <w:start w:val="1"/>
      <w:numFmt w:val="bullet"/>
      <w:lvlText w:val="¦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FC6EFB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831CC"/>
    <w:multiLevelType w:val="hybridMultilevel"/>
    <w:tmpl w:val="E89E7276"/>
    <w:lvl w:ilvl="0" w:tplc="72103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44319"/>
    <w:multiLevelType w:val="hybridMultilevel"/>
    <w:tmpl w:val="9C726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700D4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D64A47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B4C8F"/>
    <w:multiLevelType w:val="hybridMultilevel"/>
    <w:tmpl w:val="9C20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4"/>
  </w:num>
  <w:num w:numId="11">
    <w:abstractNumId w:val="18"/>
  </w:num>
  <w:num w:numId="12">
    <w:abstractNumId w:val="6"/>
  </w:num>
  <w:num w:numId="13">
    <w:abstractNumId w:val="7"/>
  </w:num>
  <w:num w:numId="14">
    <w:abstractNumId w:val="22"/>
  </w:num>
  <w:num w:numId="15">
    <w:abstractNumId w:val="23"/>
  </w:num>
  <w:num w:numId="16">
    <w:abstractNumId w:val="31"/>
  </w:num>
  <w:num w:numId="17">
    <w:abstractNumId w:val="13"/>
  </w:num>
  <w:num w:numId="18">
    <w:abstractNumId w:val="27"/>
  </w:num>
  <w:num w:numId="19">
    <w:abstractNumId w:val="15"/>
  </w:num>
  <w:num w:numId="20">
    <w:abstractNumId w:val="30"/>
  </w:num>
  <w:num w:numId="21">
    <w:abstractNumId w:val="25"/>
  </w:num>
  <w:num w:numId="22">
    <w:abstractNumId w:val="0"/>
  </w:num>
  <w:num w:numId="23">
    <w:abstractNumId w:val="26"/>
  </w:num>
  <w:num w:numId="24">
    <w:abstractNumId w:val="5"/>
  </w:num>
  <w:num w:numId="25">
    <w:abstractNumId w:val="3"/>
  </w:num>
  <w:num w:numId="26">
    <w:abstractNumId w:val="10"/>
  </w:num>
  <w:num w:numId="27">
    <w:abstractNumId w:val="2"/>
  </w:num>
  <w:num w:numId="28">
    <w:abstractNumId w:val="29"/>
  </w:num>
  <w:num w:numId="29">
    <w:abstractNumId w:val="16"/>
  </w:num>
  <w:num w:numId="30">
    <w:abstractNumId w:val="20"/>
  </w:num>
  <w:num w:numId="31">
    <w:abstractNumId w:val="9"/>
  </w:num>
  <w:num w:numId="32">
    <w:abstractNumId w:val="28"/>
  </w:num>
  <w:num w:numId="33">
    <w:abstractNumId w:val="1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F"/>
    <w:rsid w:val="00003231"/>
    <w:rsid w:val="00010281"/>
    <w:rsid w:val="00010D8E"/>
    <w:rsid w:val="0003020D"/>
    <w:rsid w:val="00030928"/>
    <w:rsid w:val="0003227B"/>
    <w:rsid w:val="00035F14"/>
    <w:rsid w:val="00037E94"/>
    <w:rsid w:val="00052773"/>
    <w:rsid w:val="000823E9"/>
    <w:rsid w:val="000C07E1"/>
    <w:rsid w:val="000C350B"/>
    <w:rsid w:val="000D731C"/>
    <w:rsid w:val="000E56F5"/>
    <w:rsid w:val="000E70C9"/>
    <w:rsid w:val="000E715B"/>
    <w:rsid w:val="000F1AAC"/>
    <w:rsid w:val="000F1E26"/>
    <w:rsid w:val="001118B2"/>
    <w:rsid w:val="0011494C"/>
    <w:rsid w:val="00125EE7"/>
    <w:rsid w:val="00131968"/>
    <w:rsid w:val="00136B5B"/>
    <w:rsid w:val="0016029A"/>
    <w:rsid w:val="00162451"/>
    <w:rsid w:val="00167C3E"/>
    <w:rsid w:val="00184ED5"/>
    <w:rsid w:val="001A0F74"/>
    <w:rsid w:val="001B4E25"/>
    <w:rsid w:val="001C1D38"/>
    <w:rsid w:val="001C3E2F"/>
    <w:rsid w:val="001E05DD"/>
    <w:rsid w:val="001F22F2"/>
    <w:rsid w:val="001F2D6A"/>
    <w:rsid w:val="0020292A"/>
    <w:rsid w:val="00207090"/>
    <w:rsid w:val="00217E21"/>
    <w:rsid w:val="0022008E"/>
    <w:rsid w:val="00234C53"/>
    <w:rsid w:val="002519B4"/>
    <w:rsid w:val="002607AB"/>
    <w:rsid w:val="0026485F"/>
    <w:rsid w:val="00266109"/>
    <w:rsid w:val="0028287F"/>
    <w:rsid w:val="0028629C"/>
    <w:rsid w:val="002A278B"/>
    <w:rsid w:val="002B0F8B"/>
    <w:rsid w:val="002B423D"/>
    <w:rsid w:val="002C7C86"/>
    <w:rsid w:val="002D104E"/>
    <w:rsid w:val="002D3869"/>
    <w:rsid w:val="00300EEC"/>
    <w:rsid w:val="00311951"/>
    <w:rsid w:val="00322FE1"/>
    <w:rsid w:val="00331029"/>
    <w:rsid w:val="00333EE2"/>
    <w:rsid w:val="00336339"/>
    <w:rsid w:val="00340AA7"/>
    <w:rsid w:val="0034373F"/>
    <w:rsid w:val="00343A8E"/>
    <w:rsid w:val="00354A87"/>
    <w:rsid w:val="00363E3A"/>
    <w:rsid w:val="00381701"/>
    <w:rsid w:val="0039790C"/>
    <w:rsid w:val="003A0099"/>
    <w:rsid w:val="003A7521"/>
    <w:rsid w:val="003B6051"/>
    <w:rsid w:val="003E51D9"/>
    <w:rsid w:val="003F2168"/>
    <w:rsid w:val="00403B38"/>
    <w:rsid w:val="00406570"/>
    <w:rsid w:val="004100E1"/>
    <w:rsid w:val="0041741E"/>
    <w:rsid w:val="00456509"/>
    <w:rsid w:val="004668B6"/>
    <w:rsid w:val="00466E6F"/>
    <w:rsid w:val="00472734"/>
    <w:rsid w:val="00476324"/>
    <w:rsid w:val="00484C78"/>
    <w:rsid w:val="00492939"/>
    <w:rsid w:val="004A5897"/>
    <w:rsid w:val="004B2786"/>
    <w:rsid w:val="004C1976"/>
    <w:rsid w:val="004C3A3E"/>
    <w:rsid w:val="004C6952"/>
    <w:rsid w:val="004D08C2"/>
    <w:rsid w:val="004D1F88"/>
    <w:rsid w:val="004D4977"/>
    <w:rsid w:val="004E4B8A"/>
    <w:rsid w:val="004E63A5"/>
    <w:rsid w:val="004F7473"/>
    <w:rsid w:val="00532310"/>
    <w:rsid w:val="00541707"/>
    <w:rsid w:val="00541F42"/>
    <w:rsid w:val="00542D7A"/>
    <w:rsid w:val="00556AE5"/>
    <w:rsid w:val="00566765"/>
    <w:rsid w:val="00577CFE"/>
    <w:rsid w:val="005A0CD6"/>
    <w:rsid w:val="005C1365"/>
    <w:rsid w:val="005D0DE1"/>
    <w:rsid w:val="005D7895"/>
    <w:rsid w:val="005E468D"/>
    <w:rsid w:val="005E4801"/>
    <w:rsid w:val="005F5EAB"/>
    <w:rsid w:val="00603AE8"/>
    <w:rsid w:val="00620194"/>
    <w:rsid w:val="00640BAE"/>
    <w:rsid w:val="00666FFF"/>
    <w:rsid w:val="006718B6"/>
    <w:rsid w:val="006743F3"/>
    <w:rsid w:val="00677C5F"/>
    <w:rsid w:val="0068077C"/>
    <w:rsid w:val="00681534"/>
    <w:rsid w:val="00685ACF"/>
    <w:rsid w:val="0068768F"/>
    <w:rsid w:val="00692360"/>
    <w:rsid w:val="00694446"/>
    <w:rsid w:val="00696741"/>
    <w:rsid w:val="006A14F0"/>
    <w:rsid w:val="006A3EBE"/>
    <w:rsid w:val="006B2389"/>
    <w:rsid w:val="006D0834"/>
    <w:rsid w:val="006F4F00"/>
    <w:rsid w:val="00703EFF"/>
    <w:rsid w:val="00714466"/>
    <w:rsid w:val="007213BB"/>
    <w:rsid w:val="00752B89"/>
    <w:rsid w:val="007578EE"/>
    <w:rsid w:val="00762F32"/>
    <w:rsid w:val="00772EE2"/>
    <w:rsid w:val="00776E4D"/>
    <w:rsid w:val="007A6744"/>
    <w:rsid w:val="007B1227"/>
    <w:rsid w:val="007B20F3"/>
    <w:rsid w:val="007B4586"/>
    <w:rsid w:val="007E1AAA"/>
    <w:rsid w:val="007E2DCD"/>
    <w:rsid w:val="008008BD"/>
    <w:rsid w:val="00801189"/>
    <w:rsid w:val="00807490"/>
    <w:rsid w:val="0082244D"/>
    <w:rsid w:val="008445D5"/>
    <w:rsid w:val="008552A2"/>
    <w:rsid w:val="00860D85"/>
    <w:rsid w:val="008615BA"/>
    <w:rsid w:val="00891FA4"/>
    <w:rsid w:val="0089313B"/>
    <w:rsid w:val="008977F6"/>
    <w:rsid w:val="008A4679"/>
    <w:rsid w:val="008A7D61"/>
    <w:rsid w:val="008B5913"/>
    <w:rsid w:val="008C0E67"/>
    <w:rsid w:val="008D5E62"/>
    <w:rsid w:val="008F279B"/>
    <w:rsid w:val="008F73CB"/>
    <w:rsid w:val="009030D4"/>
    <w:rsid w:val="00904A41"/>
    <w:rsid w:val="00922150"/>
    <w:rsid w:val="00930B37"/>
    <w:rsid w:val="009314AE"/>
    <w:rsid w:val="00953420"/>
    <w:rsid w:val="009627BF"/>
    <w:rsid w:val="00962E3A"/>
    <w:rsid w:val="00984F42"/>
    <w:rsid w:val="009B294F"/>
    <w:rsid w:val="009C0C1A"/>
    <w:rsid w:val="009C402C"/>
    <w:rsid w:val="009C7B96"/>
    <w:rsid w:val="009D2FFB"/>
    <w:rsid w:val="009E1091"/>
    <w:rsid w:val="009E20FD"/>
    <w:rsid w:val="009E2F2A"/>
    <w:rsid w:val="009E4A6C"/>
    <w:rsid w:val="009F256E"/>
    <w:rsid w:val="00A00185"/>
    <w:rsid w:val="00A02480"/>
    <w:rsid w:val="00A208CC"/>
    <w:rsid w:val="00A30202"/>
    <w:rsid w:val="00A35321"/>
    <w:rsid w:val="00A47BDF"/>
    <w:rsid w:val="00A52AFA"/>
    <w:rsid w:val="00A741BD"/>
    <w:rsid w:val="00A83445"/>
    <w:rsid w:val="00A83DD0"/>
    <w:rsid w:val="00AA791B"/>
    <w:rsid w:val="00AB3B11"/>
    <w:rsid w:val="00AB4750"/>
    <w:rsid w:val="00AB4E84"/>
    <w:rsid w:val="00AD78D1"/>
    <w:rsid w:val="00B15766"/>
    <w:rsid w:val="00B16AC5"/>
    <w:rsid w:val="00B35958"/>
    <w:rsid w:val="00B60840"/>
    <w:rsid w:val="00B63195"/>
    <w:rsid w:val="00B64484"/>
    <w:rsid w:val="00B705B2"/>
    <w:rsid w:val="00B7355A"/>
    <w:rsid w:val="00B821C5"/>
    <w:rsid w:val="00B83FBB"/>
    <w:rsid w:val="00B95159"/>
    <w:rsid w:val="00BD0701"/>
    <w:rsid w:val="00BD28C3"/>
    <w:rsid w:val="00BD66A9"/>
    <w:rsid w:val="00BE63F9"/>
    <w:rsid w:val="00BF224B"/>
    <w:rsid w:val="00C02D54"/>
    <w:rsid w:val="00C23995"/>
    <w:rsid w:val="00C32846"/>
    <w:rsid w:val="00C32948"/>
    <w:rsid w:val="00C57598"/>
    <w:rsid w:val="00C60B2B"/>
    <w:rsid w:val="00C83EAC"/>
    <w:rsid w:val="00C95BDA"/>
    <w:rsid w:val="00CB0E5C"/>
    <w:rsid w:val="00CC1ABE"/>
    <w:rsid w:val="00CE29D3"/>
    <w:rsid w:val="00D134B1"/>
    <w:rsid w:val="00D249BF"/>
    <w:rsid w:val="00D47419"/>
    <w:rsid w:val="00D51DBE"/>
    <w:rsid w:val="00D548EE"/>
    <w:rsid w:val="00D55A3E"/>
    <w:rsid w:val="00D60BBD"/>
    <w:rsid w:val="00D63A0A"/>
    <w:rsid w:val="00D706A8"/>
    <w:rsid w:val="00D71F1B"/>
    <w:rsid w:val="00D76657"/>
    <w:rsid w:val="00D949A1"/>
    <w:rsid w:val="00DA6365"/>
    <w:rsid w:val="00DA7F3F"/>
    <w:rsid w:val="00DB4F7B"/>
    <w:rsid w:val="00DC1175"/>
    <w:rsid w:val="00DC538C"/>
    <w:rsid w:val="00DC65C1"/>
    <w:rsid w:val="00DD6D8A"/>
    <w:rsid w:val="00DF2DC7"/>
    <w:rsid w:val="00E005A1"/>
    <w:rsid w:val="00E1526E"/>
    <w:rsid w:val="00E16F86"/>
    <w:rsid w:val="00E17130"/>
    <w:rsid w:val="00E341F0"/>
    <w:rsid w:val="00E46A31"/>
    <w:rsid w:val="00E533E9"/>
    <w:rsid w:val="00E604B0"/>
    <w:rsid w:val="00E61A20"/>
    <w:rsid w:val="00E71236"/>
    <w:rsid w:val="00E956D4"/>
    <w:rsid w:val="00EB58B9"/>
    <w:rsid w:val="00EB76B7"/>
    <w:rsid w:val="00ED57EB"/>
    <w:rsid w:val="00ED5CAD"/>
    <w:rsid w:val="00EE7A29"/>
    <w:rsid w:val="00EF6F9C"/>
    <w:rsid w:val="00F01D11"/>
    <w:rsid w:val="00F06285"/>
    <w:rsid w:val="00F074F5"/>
    <w:rsid w:val="00F144DF"/>
    <w:rsid w:val="00F14E13"/>
    <w:rsid w:val="00F32C7F"/>
    <w:rsid w:val="00F34A98"/>
    <w:rsid w:val="00F41852"/>
    <w:rsid w:val="00F46342"/>
    <w:rsid w:val="00F5415B"/>
    <w:rsid w:val="00F57017"/>
    <w:rsid w:val="00F72989"/>
    <w:rsid w:val="00F93352"/>
    <w:rsid w:val="00FD5741"/>
    <w:rsid w:val="00FE3650"/>
    <w:rsid w:val="00FE3AB6"/>
    <w:rsid w:val="00FF28AF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7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17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3A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41707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Normal"/>
    <w:rsid w:val="00541707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D11"/>
  </w:style>
  <w:style w:type="paragraph" w:styleId="Footer">
    <w:name w:val="footer"/>
    <w:basedOn w:val="Normal"/>
    <w:link w:val="Foot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D11"/>
  </w:style>
  <w:style w:type="character" w:styleId="CommentReference">
    <w:name w:val="annotation reference"/>
    <w:basedOn w:val="DefaultParagraphFont"/>
    <w:unhideWhenUsed/>
    <w:rsid w:val="0089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CA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2244D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44D"/>
    <w:rPr>
      <w:rFonts w:ascii="Consolas" w:eastAsiaTheme="minorEastAsia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57017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72989"/>
  </w:style>
  <w:style w:type="paragraph" w:styleId="NoSpacing">
    <w:name w:val="No Spacing"/>
    <w:basedOn w:val="Normal"/>
    <w:link w:val="NoSpacingChar"/>
    <w:uiPriority w:val="1"/>
    <w:qFormat/>
    <w:rsid w:val="00484C78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NoSpacingChar">
    <w:name w:val="No Spacing Char"/>
    <w:basedOn w:val="DefaultParagraphFont"/>
    <w:link w:val="NoSpacing"/>
    <w:uiPriority w:val="1"/>
    <w:rsid w:val="00484C78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743F3"/>
    <w:rPr>
      <w:color w:val="800080" w:themeColor="followedHyperlink"/>
      <w:u w:val="single"/>
    </w:rPr>
  </w:style>
  <w:style w:type="paragraph" w:customStyle="1" w:styleId="BHNormal">
    <w:name w:val="BHNormal"/>
    <w:qFormat/>
    <w:rsid w:val="00F41852"/>
    <w:pPr>
      <w:spacing w:after="0" w:line="240" w:lineRule="auto"/>
    </w:pPr>
    <w:rPr>
      <w:rFonts w:ascii="Times New Roman" w:eastAsiaTheme="majorEastAsia" w:hAnsi="Times New Roman" w:cs="Times New Roman"/>
      <w:sz w:val="24"/>
    </w:rPr>
  </w:style>
  <w:style w:type="paragraph" w:styleId="FootnoteText">
    <w:name w:val="footnote text"/>
    <w:basedOn w:val="Normal"/>
    <w:link w:val="FootnoteTextChar"/>
    <w:unhideWhenUsed/>
    <w:rsid w:val="00F41852"/>
    <w:rPr>
      <w:rFonts w:asciiTheme="majorHAnsi" w:eastAsiaTheme="majorEastAsia" w:hAnsiTheme="majorHAnsi" w:cstheme="maj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1852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nhideWhenUsed/>
    <w:rsid w:val="00F418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17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3A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41707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Normal"/>
    <w:rsid w:val="00541707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D11"/>
  </w:style>
  <w:style w:type="paragraph" w:styleId="Footer">
    <w:name w:val="footer"/>
    <w:basedOn w:val="Normal"/>
    <w:link w:val="Foot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D11"/>
  </w:style>
  <w:style w:type="character" w:styleId="CommentReference">
    <w:name w:val="annotation reference"/>
    <w:basedOn w:val="DefaultParagraphFont"/>
    <w:unhideWhenUsed/>
    <w:rsid w:val="0089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CA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2244D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44D"/>
    <w:rPr>
      <w:rFonts w:ascii="Consolas" w:eastAsiaTheme="minorEastAsia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57017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72989"/>
  </w:style>
  <w:style w:type="paragraph" w:styleId="NoSpacing">
    <w:name w:val="No Spacing"/>
    <w:basedOn w:val="Normal"/>
    <w:link w:val="NoSpacingChar"/>
    <w:uiPriority w:val="1"/>
    <w:qFormat/>
    <w:rsid w:val="00484C78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NoSpacingChar">
    <w:name w:val="No Spacing Char"/>
    <w:basedOn w:val="DefaultParagraphFont"/>
    <w:link w:val="NoSpacing"/>
    <w:uiPriority w:val="1"/>
    <w:rsid w:val="00484C78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743F3"/>
    <w:rPr>
      <w:color w:val="800080" w:themeColor="followedHyperlink"/>
      <w:u w:val="single"/>
    </w:rPr>
  </w:style>
  <w:style w:type="paragraph" w:customStyle="1" w:styleId="BHNormal">
    <w:name w:val="BHNormal"/>
    <w:qFormat/>
    <w:rsid w:val="00F41852"/>
    <w:pPr>
      <w:spacing w:after="0" w:line="240" w:lineRule="auto"/>
    </w:pPr>
    <w:rPr>
      <w:rFonts w:ascii="Times New Roman" w:eastAsiaTheme="majorEastAsia" w:hAnsi="Times New Roman" w:cs="Times New Roman"/>
      <w:sz w:val="24"/>
    </w:rPr>
  </w:style>
  <w:style w:type="paragraph" w:styleId="FootnoteText">
    <w:name w:val="footnote text"/>
    <w:basedOn w:val="Normal"/>
    <w:link w:val="FootnoteTextChar"/>
    <w:unhideWhenUsed/>
    <w:rsid w:val="00F41852"/>
    <w:rPr>
      <w:rFonts w:asciiTheme="majorHAnsi" w:eastAsiaTheme="majorEastAsia" w:hAnsiTheme="majorHAnsi" w:cstheme="maj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1852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nhideWhenUsed/>
    <w:rsid w:val="00F418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39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877">
          <w:marLeft w:val="90"/>
          <w:marRight w:val="9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8" w:color="DFDFDF"/>
            <w:right w:val="single" w:sz="6" w:space="23" w:color="DFDFDF"/>
          </w:divBdr>
          <w:divsChild>
            <w:div w:id="6403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964F-F745-4883-89AC-9C0B5A8A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DeBruyn, Lemyra (CDC/ONDIEH/NCCDPHP)</dc:creator>
  <cp:keywords/>
  <dc:description/>
  <cp:lastModifiedBy>SYSTEM</cp:lastModifiedBy>
  <cp:revision>2</cp:revision>
  <cp:lastPrinted>2015-09-09T19:06:00Z</cp:lastPrinted>
  <dcterms:created xsi:type="dcterms:W3CDTF">2018-02-06T22:55:00Z</dcterms:created>
  <dcterms:modified xsi:type="dcterms:W3CDTF">2018-02-06T22:55:00Z</dcterms:modified>
</cp:coreProperties>
</file>