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B9284" w14:textId="77777777" w:rsidR="0044258D" w:rsidRPr="00CE1958" w:rsidRDefault="0044258D" w:rsidP="00631CA8">
      <w:pPr>
        <w:jc w:val="center"/>
        <w:rPr>
          <w:rStyle w:val="SubtleEmphasis"/>
          <w:i w:val="0"/>
        </w:rPr>
      </w:pPr>
      <w:bookmarkStart w:id="0" w:name="_GoBack"/>
      <w:bookmarkEnd w:id="0"/>
    </w:p>
    <w:p w14:paraId="5BA08B6C" w14:textId="77777777" w:rsidR="0044258D" w:rsidRDefault="0044258D" w:rsidP="00631CA8">
      <w:pPr>
        <w:jc w:val="center"/>
        <w:rPr>
          <w:rStyle w:val="BookTitle"/>
          <w:sz w:val="28"/>
          <w:szCs w:val="28"/>
        </w:rPr>
      </w:pPr>
    </w:p>
    <w:p w14:paraId="3911944A" w14:textId="77777777" w:rsidR="00E94633" w:rsidRDefault="00E94633" w:rsidP="000164AF">
      <w:pPr>
        <w:jc w:val="center"/>
        <w:rPr>
          <w:rStyle w:val="BookTitle"/>
          <w:sz w:val="28"/>
          <w:szCs w:val="28"/>
        </w:rPr>
      </w:pPr>
    </w:p>
    <w:p w14:paraId="72729D7E" w14:textId="77777777" w:rsidR="0044258D" w:rsidRPr="00AF1713" w:rsidRDefault="00AF1713" w:rsidP="00631CA8">
      <w:pPr>
        <w:jc w:val="center"/>
        <w:rPr>
          <w:rStyle w:val="BookTitle"/>
        </w:rPr>
      </w:pPr>
      <w:r w:rsidRPr="00AF1713">
        <w:rPr>
          <w:rStyle w:val="BookTitle"/>
        </w:rPr>
        <w:t>Information Collection Request</w:t>
      </w:r>
    </w:p>
    <w:p w14:paraId="3210D6F9" w14:textId="77777777" w:rsidR="00E94633" w:rsidRDefault="00E94633" w:rsidP="00631CA8">
      <w:pPr>
        <w:jc w:val="center"/>
        <w:rPr>
          <w:rStyle w:val="BookTitle"/>
          <w:sz w:val="28"/>
          <w:szCs w:val="28"/>
        </w:rPr>
      </w:pPr>
    </w:p>
    <w:p w14:paraId="4B13CD06" w14:textId="77777777" w:rsidR="00E94633" w:rsidRPr="009C2FDE" w:rsidRDefault="00E94633" w:rsidP="00E94633">
      <w:pPr>
        <w:rPr>
          <w:b/>
        </w:rPr>
      </w:pPr>
    </w:p>
    <w:p w14:paraId="51AD2C5B" w14:textId="77777777" w:rsidR="00E94633" w:rsidRPr="009C2FDE" w:rsidRDefault="00AF1713" w:rsidP="00E94633">
      <w:pPr>
        <w:jc w:val="center"/>
      </w:pPr>
      <w:r>
        <w:t>Revision</w:t>
      </w:r>
    </w:p>
    <w:p w14:paraId="7B8B7C57" w14:textId="77777777" w:rsidR="00E94633" w:rsidRPr="009C2FDE" w:rsidRDefault="00E94633" w:rsidP="00E94633"/>
    <w:p w14:paraId="312E1B47" w14:textId="77777777" w:rsidR="00E94633" w:rsidRPr="009C2FDE" w:rsidRDefault="00E94633" w:rsidP="00E94633"/>
    <w:p w14:paraId="50D94E6E" w14:textId="77777777" w:rsidR="00E94633" w:rsidRPr="009C2FDE" w:rsidRDefault="00E94633" w:rsidP="00E94633"/>
    <w:p w14:paraId="3BA2B16C" w14:textId="77777777" w:rsidR="00AF1713" w:rsidRPr="009C2FDE" w:rsidRDefault="00AF1713" w:rsidP="00AF1713">
      <w:pPr>
        <w:jc w:val="center"/>
        <w:rPr>
          <w:b/>
          <w:color w:val="000000" w:themeColor="text1"/>
        </w:rPr>
      </w:pPr>
      <w:r w:rsidRPr="009C2FDE">
        <w:rPr>
          <w:b/>
        </w:rPr>
        <w:t>Monitoring and Reporting System for</w:t>
      </w:r>
      <w:r w:rsidRPr="009C2FDE">
        <w:rPr>
          <w:b/>
          <w:color w:val="000000" w:themeColor="text1"/>
        </w:rPr>
        <w:t xml:space="preserve"> the</w:t>
      </w:r>
    </w:p>
    <w:p w14:paraId="6B7D3F71" w14:textId="77777777" w:rsidR="00AF1713" w:rsidRDefault="00AF1713" w:rsidP="00AF1713">
      <w:pPr>
        <w:jc w:val="center"/>
        <w:rPr>
          <w:b/>
          <w:color w:val="000000" w:themeColor="text1"/>
        </w:rPr>
      </w:pPr>
      <w:r w:rsidRPr="009C2FDE">
        <w:rPr>
          <w:b/>
          <w:color w:val="000000" w:themeColor="text1"/>
        </w:rPr>
        <w:t>Division of Community Health’s Cooperative Agreement Programs</w:t>
      </w:r>
    </w:p>
    <w:p w14:paraId="3EF7CFA2" w14:textId="77777777" w:rsidR="00AF1713" w:rsidRPr="009C2FDE" w:rsidRDefault="00AF1713" w:rsidP="00AF1713">
      <w:pPr>
        <w:jc w:val="center"/>
        <w:rPr>
          <w:b/>
          <w:color w:val="000000" w:themeColor="text1"/>
        </w:rPr>
      </w:pPr>
      <w:r>
        <w:rPr>
          <w:b/>
          <w:color w:val="000000" w:themeColor="text1"/>
        </w:rPr>
        <w:t>OMB control No. 0920-1053</w:t>
      </w:r>
    </w:p>
    <w:p w14:paraId="43E53DD0" w14:textId="77777777" w:rsidR="00E94633" w:rsidRPr="009C2FDE" w:rsidRDefault="00E94633" w:rsidP="00E94633"/>
    <w:p w14:paraId="4C8124BC" w14:textId="77777777" w:rsidR="00E94633" w:rsidRPr="009C2FDE" w:rsidRDefault="00E94633" w:rsidP="00E94633"/>
    <w:p w14:paraId="116B27C7" w14:textId="77777777" w:rsidR="00E94633" w:rsidRPr="009C2FDE" w:rsidRDefault="00E94633" w:rsidP="00E94633"/>
    <w:p w14:paraId="56E1AAD9" w14:textId="77777777" w:rsidR="00E94633" w:rsidRPr="009C2FDE" w:rsidRDefault="00E94633" w:rsidP="00E94633"/>
    <w:p w14:paraId="2A643175" w14:textId="77777777" w:rsidR="00E94633" w:rsidRPr="009C2FDE" w:rsidRDefault="00E94633" w:rsidP="00E94633">
      <w:pPr>
        <w:jc w:val="center"/>
      </w:pPr>
      <w:r w:rsidRPr="009C2FDE">
        <w:t>Supporting Statement</w:t>
      </w:r>
      <w:r w:rsidR="00AF1713">
        <w:t xml:space="preserve">: </w:t>
      </w:r>
      <w:r w:rsidRPr="009C2FDE">
        <w:t>Part A</w:t>
      </w:r>
      <w:r w:rsidR="00D806CE" w:rsidRPr="009C2FDE">
        <w:t xml:space="preserve"> </w:t>
      </w:r>
    </w:p>
    <w:p w14:paraId="60CA1B2F" w14:textId="77777777" w:rsidR="007A7D44" w:rsidRPr="009C2FDE" w:rsidRDefault="007A7D44" w:rsidP="00E94633"/>
    <w:p w14:paraId="4481D76E" w14:textId="77777777" w:rsidR="00E94633" w:rsidRPr="009C2FDE" w:rsidRDefault="00E94633" w:rsidP="00E94633"/>
    <w:p w14:paraId="44326C61" w14:textId="77777777" w:rsidR="00AF1713" w:rsidRPr="00AF1713" w:rsidRDefault="00AF1713" w:rsidP="00AF1713">
      <w:pPr>
        <w:rPr>
          <w:b/>
          <w:u w:val="single"/>
        </w:rPr>
      </w:pPr>
      <w:r w:rsidRPr="00AF1713">
        <w:rPr>
          <w:b/>
          <w:u w:val="single"/>
        </w:rPr>
        <w:t>Program Official/Contact</w:t>
      </w:r>
    </w:p>
    <w:p w14:paraId="5D74A1C6" w14:textId="77777777" w:rsidR="00AF1713" w:rsidRPr="009C2FDE" w:rsidRDefault="00AF1713" w:rsidP="00AF1713">
      <w:r w:rsidRPr="009C2FDE">
        <w:t xml:space="preserve">Kristine Day, MPH </w:t>
      </w:r>
    </w:p>
    <w:p w14:paraId="5E6F0F48" w14:textId="77777777" w:rsidR="00AF1713" w:rsidRDefault="00AF1713" w:rsidP="00AF1713">
      <w:pPr>
        <w:rPr>
          <w:rStyle w:val="Hyperlink"/>
          <w:color w:val="auto"/>
          <w:u w:val="none"/>
        </w:rPr>
      </w:pPr>
      <w:r>
        <w:rPr>
          <w:rStyle w:val="Hyperlink"/>
          <w:color w:val="auto"/>
          <w:u w:val="none"/>
        </w:rPr>
        <w:t>Program Development and Evaluation Branch</w:t>
      </w:r>
    </w:p>
    <w:p w14:paraId="65AA1BA4" w14:textId="77777777" w:rsidR="00AF1713" w:rsidRPr="009C2FDE" w:rsidRDefault="00AF1713" w:rsidP="00AF1713">
      <w:pPr>
        <w:rPr>
          <w:rStyle w:val="Hyperlink"/>
          <w:color w:val="auto"/>
          <w:u w:val="none"/>
        </w:rPr>
      </w:pPr>
      <w:r w:rsidRPr="009C2FDE">
        <w:rPr>
          <w:rStyle w:val="Hyperlink"/>
          <w:color w:val="auto"/>
          <w:u w:val="none"/>
        </w:rPr>
        <w:t>Division of Community Health</w:t>
      </w:r>
    </w:p>
    <w:p w14:paraId="49F33E4A" w14:textId="77777777" w:rsidR="00AF1713" w:rsidRPr="009C2FDE" w:rsidRDefault="00AF1713" w:rsidP="00AF1713">
      <w:r w:rsidRPr="009C2FDE">
        <w:t xml:space="preserve">National Center for Chronic Disease </w:t>
      </w:r>
    </w:p>
    <w:p w14:paraId="13A98350" w14:textId="77777777" w:rsidR="00AF1713" w:rsidRPr="009C2FDE" w:rsidRDefault="00AF1713" w:rsidP="00AF1713">
      <w:r w:rsidRPr="009C2FDE">
        <w:t>Prevention and Health Promotion</w:t>
      </w:r>
    </w:p>
    <w:p w14:paraId="691F5326" w14:textId="77777777" w:rsidR="00AF1713" w:rsidRPr="009C2FDE" w:rsidRDefault="00AF1713" w:rsidP="00AF1713">
      <w:r w:rsidRPr="009C2FDE">
        <w:t>Centers for Disease Prevention and Control</w:t>
      </w:r>
    </w:p>
    <w:p w14:paraId="71C5D6C2" w14:textId="77777777" w:rsidR="001A572E" w:rsidRDefault="00AF1713" w:rsidP="00AF1713">
      <w:r w:rsidRPr="009C2FDE">
        <w:t>Atlanta, Georgia</w:t>
      </w:r>
    </w:p>
    <w:p w14:paraId="4DCCB747" w14:textId="77777777" w:rsidR="00AF1713" w:rsidRPr="009C2FDE" w:rsidRDefault="00AF1713" w:rsidP="00AF1713">
      <w:r w:rsidRPr="009C2FDE">
        <w:t>770.488.5446</w:t>
      </w:r>
      <w:r w:rsidRPr="009C2FDE" w:rsidDel="0081022A">
        <w:t xml:space="preserve"> </w:t>
      </w:r>
      <w:r>
        <w:t>(office)</w:t>
      </w:r>
    </w:p>
    <w:p w14:paraId="41A000B9" w14:textId="77777777" w:rsidR="00AF1713" w:rsidRPr="009C2FDE" w:rsidRDefault="00AF1713" w:rsidP="00AF1713">
      <w:pPr>
        <w:rPr>
          <w:rStyle w:val="Hyperlink"/>
          <w:color w:val="auto"/>
          <w:u w:val="none"/>
        </w:rPr>
      </w:pPr>
      <w:r w:rsidRPr="009C2FDE">
        <w:t>kday@cdc.gov</w:t>
      </w:r>
      <w:r w:rsidRPr="009C2FDE">
        <w:rPr>
          <w:rStyle w:val="Hyperlink"/>
          <w:color w:val="auto"/>
          <w:u w:val="none"/>
        </w:rPr>
        <w:t xml:space="preserve"> </w:t>
      </w:r>
    </w:p>
    <w:p w14:paraId="3248A28F" w14:textId="77777777" w:rsidR="00AF1713" w:rsidRPr="009C2FDE" w:rsidRDefault="00AF1713" w:rsidP="00AF1713"/>
    <w:p w14:paraId="27910A43" w14:textId="77777777" w:rsidR="00E94633" w:rsidRPr="009C2FDE" w:rsidRDefault="00E94633" w:rsidP="008C575B">
      <w:pPr>
        <w:jc w:val="center"/>
      </w:pPr>
    </w:p>
    <w:p w14:paraId="02437CAB" w14:textId="77777777" w:rsidR="00E94633" w:rsidRPr="009C2FDE" w:rsidRDefault="00E94633" w:rsidP="008C575B">
      <w:pPr>
        <w:jc w:val="center"/>
      </w:pPr>
    </w:p>
    <w:p w14:paraId="721254CE" w14:textId="77777777" w:rsidR="00E94633" w:rsidRPr="009C2FDE" w:rsidRDefault="00E94633" w:rsidP="008C575B">
      <w:pPr>
        <w:jc w:val="center"/>
      </w:pPr>
    </w:p>
    <w:p w14:paraId="444C54E1" w14:textId="19318113" w:rsidR="00E94633" w:rsidRPr="009C2FDE" w:rsidRDefault="00172B14" w:rsidP="008C575B">
      <w:pPr>
        <w:jc w:val="center"/>
      </w:pPr>
      <w:r>
        <w:t>February 1</w:t>
      </w:r>
      <w:r w:rsidR="00184EFE">
        <w:t>, 2018</w:t>
      </w:r>
    </w:p>
    <w:p w14:paraId="3F6117D3" w14:textId="77777777" w:rsidR="00E86E3F" w:rsidRPr="009C2FDE" w:rsidRDefault="00E86E3F" w:rsidP="008C575B">
      <w:pPr>
        <w:jc w:val="center"/>
      </w:pPr>
    </w:p>
    <w:p w14:paraId="0ADBDC90" w14:textId="77777777" w:rsidR="00E86E3F" w:rsidRPr="009C2FDE" w:rsidRDefault="00E86E3F" w:rsidP="008C575B">
      <w:pPr>
        <w:jc w:val="center"/>
      </w:pPr>
    </w:p>
    <w:p w14:paraId="2FA92ACC" w14:textId="77777777" w:rsidR="003A4279" w:rsidRPr="009C2FDE" w:rsidRDefault="003A4279" w:rsidP="008C575B">
      <w:pPr>
        <w:jc w:val="center"/>
      </w:pPr>
    </w:p>
    <w:p w14:paraId="07DBAD94" w14:textId="77777777" w:rsidR="003A4279" w:rsidRPr="009C2FDE" w:rsidRDefault="003A4279" w:rsidP="008C575B">
      <w:pPr>
        <w:jc w:val="center"/>
      </w:pPr>
    </w:p>
    <w:p w14:paraId="119EB599" w14:textId="77777777" w:rsidR="001A572E" w:rsidRPr="009C2FDE" w:rsidRDefault="001A572E" w:rsidP="00E86E3F">
      <w:pPr>
        <w:jc w:val="right"/>
      </w:pPr>
    </w:p>
    <w:p w14:paraId="10A97637" w14:textId="77777777" w:rsidR="003A2BD5" w:rsidRPr="009C2FDE" w:rsidRDefault="003A2BD5" w:rsidP="00E86E3F">
      <w:pPr>
        <w:jc w:val="right"/>
      </w:pPr>
    </w:p>
    <w:p w14:paraId="5028E855" w14:textId="77777777" w:rsidR="000B3692" w:rsidRPr="009C2FDE" w:rsidRDefault="00F87086" w:rsidP="00FF0F14">
      <w:pPr>
        <w:jc w:val="center"/>
        <w:rPr>
          <w:b/>
        </w:rPr>
      </w:pPr>
      <w:r w:rsidRPr="009C2FDE">
        <w:br w:type="page"/>
      </w:r>
      <w:r w:rsidR="00FF0F14" w:rsidRPr="009C2FDE">
        <w:rPr>
          <w:b/>
        </w:rPr>
        <w:lastRenderedPageBreak/>
        <w:t>TABLE OF CONTENTS</w:t>
      </w:r>
    </w:p>
    <w:p w14:paraId="4C65E23D" w14:textId="77777777" w:rsidR="00FF0F14" w:rsidRPr="009C2FDE" w:rsidRDefault="00FF0F14" w:rsidP="00FF0F14">
      <w:pPr>
        <w:jc w:val="center"/>
        <w:rPr>
          <w:b/>
        </w:rPr>
      </w:pPr>
    </w:p>
    <w:p w14:paraId="7BA5246F" w14:textId="77777777" w:rsidR="00E94633" w:rsidRPr="000167BC" w:rsidRDefault="00E94633" w:rsidP="00E94633">
      <w:pPr>
        <w:tabs>
          <w:tab w:val="left" w:pos="540"/>
          <w:tab w:val="left" w:pos="1080"/>
          <w:tab w:val="right" w:leader="dot" w:pos="9360"/>
        </w:tabs>
        <w:ind w:left="540" w:right="720" w:hanging="540"/>
        <w:rPr>
          <w:b/>
          <w:noProof/>
        </w:rPr>
      </w:pPr>
      <w:r w:rsidRPr="000167BC">
        <w:rPr>
          <w:b/>
          <w:noProof/>
        </w:rPr>
        <w:t xml:space="preserve"> A.</w:t>
      </w:r>
      <w:r w:rsidRPr="000167BC">
        <w:rPr>
          <w:b/>
          <w:noProof/>
        </w:rPr>
        <w:tab/>
      </w:r>
      <w:r w:rsidR="000167BC" w:rsidRPr="000167BC">
        <w:rPr>
          <w:b/>
          <w:noProof/>
        </w:rPr>
        <w:t>JUSTIFICATION</w:t>
      </w:r>
    </w:p>
    <w:p w14:paraId="0973B435" w14:textId="77777777" w:rsidR="00E94633" w:rsidRDefault="00E94633" w:rsidP="000167BC">
      <w:pPr>
        <w:tabs>
          <w:tab w:val="left" w:pos="900"/>
          <w:tab w:val="right" w:leader="dot" w:pos="9360"/>
        </w:tabs>
        <w:autoSpaceDE w:val="0"/>
        <w:autoSpaceDN w:val="0"/>
        <w:adjustRightInd w:val="0"/>
        <w:ind w:left="900" w:right="720" w:hanging="810"/>
        <w:rPr>
          <w:rFonts w:eastAsia="MS Mincho"/>
          <w:noProof/>
        </w:rPr>
      </w:pPr>
      <w:r w:rsidRPr="009C2FDE">
        <w:rPr>
          <w:rFonts w:eastAsia="MS Mincho"/>
          <w:noProof/>
        </w:rPr>
        <w:t>A.1</w:t>
      </w:r>
      <w:r w:rsidRPr="009C2FDE">
        <w:rPr>
          <w:noProof/>
        </w:rPr>
        <w:tab/>
      </w:r>
      <w:r w:rsidRPr="009C2FDE">
        <w:rPr>
          <w:rFonts w:eastAsia="MS Mincho"/>
          <w:noProof/>
        </w:rPr>
        <w:t>Circumstances Making the Collection of Information Necessary</w:t>
      </w:r>
    </w:p>
    <w:p w14:paraId="36D50EBA" w14:textId="77777777" w:rsidR="000167BC" w:rsidRDefault="000167BC" w:rsidP="000167BC">
      <w:pPr>
        <w:tabs>
          <w:tab w:val="left" w:pos="900"/>
          <w:tab w:val="right" w:leader="dot" w:pos="9360"/>
        </w:tabs>
        <w:autoSpaceDE w:val="0"/>
        <w:autoSpaceDN w:val="0"/>
        <w:adjustRightInd w:val="0"/>
        <w:ind w:left="900" w:right="720" w:hanging="810"/>
        <w:rPr>
          <w:rFonts w:eastAsia="MS Mincho"/>
          <w:noProof/>
        </w:rPr>
      </w:pPr>
      <w:r>
        <w:rPr>
          <w:rFonts w:eastAsia="MS Mincho"/>
          <w:noProof/>
        </w:rPr>
        <w:t>A.1(a)</w:t>
      </w:r>
      <w:r>
        <w:rPr>
          <w:rFonts w:eastAsia="MS Mincho"/>
          <w:noProof/>
        </w:rPr>
        <w:tab/>
      </w:r>
      <w:r w:rsidR="008931E1">
        <w:rPr>
          <w:rFonts w:eastAsia="MS Mincho"/>
          <w:noProof/>
        </w:rPr>
        <w:t>Privacy Impact Assessment Information</w:t>
      </w:r>
    </w:p>
    <w:p w14:paraId="26A2B543" w14:textId="77777777" w:rsidR="000167BC" w:rsidRDefault="000167BC" w:rsidP="000167BC">
      <w:pPr>
        <w:tabs>
          <w:tab w:val="left" w:pos="900"/>
          <w:tab w:val="right" w:leader="dot" w:pos="9360"/>
        </w:tabs>
        <w:autoSpaceDE w:val="0"/>
        <w:autoSpaceDN w:val="0"/>
        <w:adjustRightInd w:val="0"/>
        <w:ind w:left="900" w:right="720" w:hanging="810"/>
        <w:rPr>
          <w:rFonts w:eastAsia="MS Mincho"/>
          <w:noProof/>
        </w:rPr>
      </w:pPr>
      <w:r>
        <w:rPr>
          <w:rFonts w:eastAsia="MS Mincho"/>
          <w:noProof/>
        </w:rPr>
        <w:t>A.1(b)</w:t>
      </w:r>
      <w:r>
        <w:rPr>
          <w:rFonts w:eastAsia="MS Mincho"/>
          <w:noProof/>
        </w:rPr>
        <w:tab/>
      </w:r>
      <w:r w:rsidR="008931E1">
        <w:rPr>
          <w:rFonts w:eastAsia="MS Mincho"/>
          <w:noProof/>
        </w:rPr>
        <w:t>Overview of Data Collection System</w:t>
      </w:r>
    </w:p>
    <w:p w14:paraId="4B108DF3" w14:textId="77777777" w:rsidR="00E94633" w:rsidRPr="009C2FDE" w:rsidRDefault="00E94633" w:rsidP="000167BC">
      <w:pPr>
        <w:tabs>
          <w:tab w:val="left" w:pos="900"/>
          <w:tab w:val="right" w:leader="dot" w:pos="9360"/>
        </w:tabs>
        <w:autoSpaceDE w:val="0"/>
        <w:autoSpaceDN w:val="0"/>
        <w:adjustRightInd w:val="0"/>
        <w:ind w:left="900" w:right="720" w:hanging="810"/>
        <w:rPr>
          <w:noProof/>
        </w:rPr>
      </w:pPr>
      <w:r w:rsidRPr="009C2FDE">
        <w:rPr>
          <w:rFonts w:eastAsia="MS Mincho"/>
          <w:noProof/>
        </w:rPr>
        <w:t>A.2</w:t>
      </w:r>
      <w:r w:rsidRPr="009C2FDE">
        <w:rPr>
          <w:noProof/>
        </w:rPr>
        <w:tab/>
      </w:r>
      <w:r w:rsidRPr="009C2FDE">
        <w:rPr>
          <w:rFonts w:eastAsia="MS Mincho"/>
          <w:noProof/>
        </w:rPr>
        <w:t>Purposes and Use of the Information Collection</w:t>
      </w:r>
    </w:p>
    <w:p w14:paraId="55228F79" w14:textId="77777777" w:rsidR="00E94633" w:rsidRPr="009C2FDE" w:rsidRDefault="00E94633" w:rsidP="000167BC">
      <w:pPr>
        <w:tabs>
          <w:tab w:val="left" w:pos="900"/>
          <w:tab w:val="right" w:leader="dot" w:pos="9360"/>
        </w:tabs>
        <w:autoSpaceDE w:val="0"/>
        <w:autoSpaceDN w:val="0"/>
        <w:adjustRightInd w:val="0"/>
        <w:ind w:left="900" w:right="720" w:hanging="810"/>
        <w:rPr>
          <w:noProof/>
        </w:rPr>
      </w:pPr>
      <w:r w:rsidRPr="009C2FDE">
        <w:rPr>
          <w:rFonts w:eastAsia="MS Mincho"/>
          <w:noProof/>
        </w:rPr>
        <w:t>A.3</w:t>
      </w:r>
      <w:r w:rsidRPr="009C2FDE">
        <w:rPr>
          <w:noProof/>
        </w:rPr>
        <w:tab/>
      </w:r>
      <w:r w:rsidRPr="009C2FDE">
        <w:rPr>
          <w:rFonts w:eastAsia="MS Mincho"/>
          <w:noProof/>
        </w:rPr>
        <w:t>Use of Improved Information Technology and Burden Reduction</w:t>
      </w:r>
    </w:p>
    <w:p w14:paraId="29E6F9E3" w14:textId="77777777" w:rsidR="00E94633" w:rsidRPr="009C2FDE" w:rsidRDefault="00E94633" w:rsidP="000167BC">
      <w:pPr>
        <w:tabs>
          <w:tab w:val="left" w:pos="900"/>
          <w:tab w:val="right" w:leader="dot" w:pos="9360"/>
        </w:tabs>
        <w:autoSpaceDE w:val="0"/>
        <w:autoSpaceDN w:val="0"/>
        <w:adjustRightInd w:val="0"/>
        <w:ind w:left="900" w:right="720" w:hanging="810"/>
        <w:rPr>
          <w:noProof/>
        </w:rPr>
      </w:pPr>
      <w:r w:rsidRPr="009C2FDE">
        <w:rPr>
          <w:rFonts w:eastAsia="MS Mincho"/>
          <w:noProof/>
        </w:rPr>
        <w:t>A.4</w:t>
      </w:r>
      <w:r w:rsidRPr="009C2FDE">
        <w:rPr>
          <w:noProof/>
        </w:rPr>
        <w:tab/>
      </w:r>
      <w:r w:rsidRPr="009C2FDE">
        <w:rPr>
          <w:rFonts w:eastAsia="MS Mincho"/>
          <w:noProof/>
        </w:rPr>
        <w:t>Efforts to Identify Duplication and Use of Similar Information</w:t>
      </w:r>
    </w:p>
    <w:p w14:paraId="1D0D46A5" w14:textId="77777777" w:rsidR="00E94633" w:rsidRPr="009C2FDE" w:rsidRDefault="00E94633" w:rsidP="000167BC">
      <w:pPr>
        <w:tabs>
          <w:tab w:val="left" w:pos="900"/>
          <w:tab w:val="right" w:leader="dot" w:pos="9360"/>
        </w:tabs>
        <w:autoSpaceDE w:val="0"/>
        <w:autoSpaceDN w:val="0"/>
        <w:adjustRightInd w:val="0"/>
        <w:ind w:left="900" w:right="720" w:hanging="810"/>
        <w:rPr>
          <w:noProof/>
        </w:rPr>
      </w:pPr>
      <w:r w:rsidRPr="009C2FDE">
        <w:rPr>
          <w:rFonts w:eastAsia="MS Mincho"/>
          <w:noProof/>
        </w:rPr>
        <w:t>A.5</w:t>
      </w:r>
      <w:r w:rsidRPr="009C2FDE">
        <w:rPr>
          <w:noProof/>
        </w:rPr>
        <w:tab/>
      </w:r>
      <w:r w:rsidRPr="009C2FDE">
        <w:rPr>
          <w:rFonts w:eastAsia="MS Mincho"/>
          <w:noProof/>
        </w:rPr>
        <w:t>Impact on Small Businesses or Other Small Entities</w:t>
      </w:r>
    </w:p>
    <w:p w14:paraId="215BDEDE" w14:textId="77777777" w:rsidR="00E94633" w:rsidRPr="009C2FDE" w:rsidRDefault="00E94633" w:rsidP="000167BC">
      <w:pPr>
        <w:tabs>
          <w:tab w:val="left" w:pos="900"/>
          <w:tab w:val="right" w:leader="dot" w:pos="9360"/>
        </w:tabs>
        <w:autoSpaceDE w:val="0"/>
        <w:autoSpaceDN w:val="0"/>
        <w:adjustRightInd w:val="0"/>
        <w:ind w:left="900" w:right="720" w:hanging="810"/>
        <w:rPr>
          <w:noProof/>
        </w:rPr>
      </w:pPr>
      <w:r w:rsidRPr="009C2FDE">
        <w:rPr>
          <w:rFonts w:eastAsia="MS Mincho"/>
          <w:noProof/>
        </w:rPr>
        <w:t>A.6</w:t>
      </w:r>
      <w:r w:rsidRPr="009C2FDE">
        <w:rPr>
          <w:noProof/>
        </w:rPr>
        <w:tab/>
      </w:r>
      <w:r w:rsidRPr="009C2FDE">
        <w:rPr>
          <w:rFonts w:eastAsia="MS Mincho"/>
          <w:noProof/>
        </w:rPr>
        <w:t>Consequences of Collecting the Information Less Frequently</w:t>
      </w:r>
    </w:p>
    <w:p w14:paraId="5C81A398" w14:textId="77777777" w:rsidR="00E94633" w:rsidRPr="009C2FDE" w:rsidRDefault="00E94633" w:rsidP="000167BC">
      <w:pPr>
        <w:tabs>
          <w:tab w:val="left" w:pos="900"/>
          <w:tab w:val="right" w:leader="dot" w:pos="9360"/>
        </w:tabs>
        <w:autoSpaceDE w:val="0"/>
        <w:autoSpaceDN w:val="0"/>
        <w:adjustRightInd w:val="0"/>
        <w:ind w:left="900" w:right="720" w:hanging="810"/>
        <w:rPr>
          <w:noProof/>
        </w:rPr>
      </w:pPr>
      <w:r w:rsidRPr="009C2FDE">
        <w:rPr>
          <w:rFonts w:eastAsia="MS Mincho"/>
          <w:noProof/>
        </w:rPr>
        <w:t>A.7</w:t>
      </w:r>
      <w:r w:rsidRPr="009C2FDE">
        <w:rPr>
          <w:noProof/>
        </w:rPr>
        <w:tab/>
      </w:r>
      <w:r w:rsidRPr="009C2FDE">
        <w:rPr>
          <w:rFonts w:eastAsia="MS Mincho"/>
          <w:noProof/>
        </w:rPr>
        <w:t>Special Circumstances Relating to the Guidelines of 5 CFR 1320.5</w:t>
      </w:r>
    </w:p>
    <w:p w14:paraId="746DD9DA" w14:textId="77777777" w:rsidR="00E94633" w:rsidRPr="009C2FDE" w:rsidRDefault="00E94633" w:rsidP="000167BC">
      <w:pPr>
        <w:tabs>
          <w:tab w:val="left" w:pos="900"/>
          <w:tab w:val="right" w:leader="dot" w:pos="9360"/>
        </w:tabs>
        <w:autoSpaceDE w:val="0"/>
        <w:autoSpaceDN w:val="0"/>
        <w:adjustRightInd w:val="0"/>
        <w:ind w:left="900" w:right="720" w:hanging="810"/>
        <w:rPr>
          <w:noProof/>
        </w:rPr>
      </w:pPr>
      <w:r w:rsidRPr="009C2FDE">
        <w:rPr>
          <w:rFonts w:eastAsia="MS Mincho"/>
          <w:noProof/>
        </w:rPr>
        <w:t>A.8</w:t>
      </w:r>
      <w:r w:rsidRPr="009C2FDE">
        <w:rPr>
          <w:noProof/>
        </w:rPr>
        <w:tab/>
      </w:r>
      <w:r w:rsidRPr="009C2FDE">
        <w:rPr>
          <w:rFonts w:eastAsia="MS Mincho"/>
          <w:noProof/>
        </w:rPr>
        <w:t>Comments in Response to the Federal Register Notice and Effort to Consult Outside the Agency</w:t>
      </w:r>
    </w:p>
    <w:p w14:paraId="354B8605" w14:textId="77777777" w:rsidR="00E94633" w:rsidRPr="009C2FDE" w:rsidRDefault="00E94633" w:rsidP="000167BC">
      <w:pPr>
        <w:tabs>
          <w:tab w:val="left" w:pos="900"/>
          <w:tab w:val="right" w:leader="dot" w:pos="9360"/>
        </w:tabs>
        <w:autoSpaceDE w:val="0"/>
        <w:autoSpaceDN w:val="0"/>
        <w:adjustRightInd w:val="0"/>
        <w:ind w:left="900" w:right="720" w:hanging="810"/>
        <w:rPr>
          <w:noProof/>
        </w:rPr>
      </w:pPr>
      <w:r w:rsidRPr="009C2FDE">
        <w:rPr>
          <w:rFonts w:eastAsia="MS Mincho"/>
          <w:noProof/>
        </w:rPr>
        <w:t>A.9</w:t>
      </w:r>
      <w:r w:rsidRPr="009C2FDE">
        <w:rPr>
          <w:noProof/>
        </w:rPr>
        <w:tab/>
      </w:r>
      <w:r w:rsidRPr="009C2FDE">
        <w:rPr>
          <w:rFonts w:eastAsia="MS Mincho"/>
          <w:noProof/>
        </w:rPr>
        <w:t>Explanation of Any Payment or Gift to Respondents</w:t>
      </w:r>
    </w:p>
    <w:p w14:paraId="2D61312E" w14:textId="77777777" w:rsidR="00E94633" w:rsidRPr="009C2FDE" w:rsidRDefault="00E94633" w:rsidP="000167BC">
      <w:pPr>
        <w:tabs>
          <w:tab w:val="left" w:pos="900"/>
          <w:tab w:val="right" w:leader="dot" w:pos="9360"/>
        </w:tabs>
        <w:autoSpaceDE w:val="0"/>
        <w:autoSpaceDN w:val="0"/>
        <w:adjustRightInd w:val="0"/>
        <w:ind w:left="900" w:right="720" w:hanging="810"/>
        <w:rPr>
          <w:noProof/>
        </w:rPr>
      </w:pPr>
      <w:r w:rsidRPr="009C2FDE">
        <w:rPr>
          <w:rFonts w:eastAsia="MS Mincho"/>
          <w:noProof/>
        </w:rPr>
        <w:t>A.10</w:t>
      </w:r>
      <w:r w:rsidRPr="009C2FDE">
        <w:rPr>
          <w:noProof/>
        </w:rPr>
        <w:tab/>
      </w:r>
      <w:r w:rsidR="005E750F">
        <w:rPr>
          <w:rFonts w:eastAsia="MS Mincho"/>
          <w:noProof/>
        </w:rPr>
        <w:t>Protection of the Privacy and Confidentiality of Information Provided by Respondents</w:t>
      </w:r>
    </w:p>
    <w:p w14:paraId="04A87081" w14:textId="77777777" w:rsidR="00E94633" w:rsidRPr="009C2FDE" w:rsidRDefault="00E94633" w:rsidP="000167BC">
      <w:pPr>
        <w:tabs>
          <w:tab w:val="left" w:pos="900"/>
          <w:tab w:val="right" w:leader="dot" w:pos="9360"/>
        </w:tabs>
        <w:autoSpaceDE w:val="0"/>
        <w:autoSpaceDN w:val="0"/>
        <w:adjustRightInd w:val="0"/>
        <w:ind w:left="900" w:right="720" w:hanging="810"/>
        <w:rPr>
          <w:noProof/>
        </w:rPr>
      </w:pPr>
      <w:r w:rsidRPr="009C2FDE">
        <w:rPr>
          <w:rFonts w:eastAsia="MS Mincho"/>
          <w:noProof/>
        </w:rPr>
        <w:t>A.11</w:t>
      </w:r>
      <w:r w:rsidRPr="009C2FDE">
        <w:rPr>
          <w:noProof/>
        </w:rPr>
        <w:tab/>
      </w:r>
      <w:r w:rsidRPr="009C2FDE">
        <w:rPr>
          <w:rFonts w:eastAsia="MS Mincho"/>
          <w:noProof/>
        </w:rPr>
        <w:t>Justification for Sensitive Questions</w:t>
      </w:r>
    </w:p>
    <w:p w14:paraId="4CF0C095" w14:textId="77777777" w:rsidR="00E94633" w:rsidRPr="009C2FDE" w:rsidRDefault="00E94633" w:rsidP="000167BC">
      <w:pPr>
        <w:tabs>
          <w:tab w:val="left" w:pos="900"/>
          <w:tab w:val="right" w:leader="dot" w:pos="9360"/>
        </w:tabs>
        <w:autoSpaceDE w:val="0"/>
        <w:autoSpaceDN w:val="0"/>
        <w:adjustRightInd w:val="0"/>
        <w:ind w:left="900" w:right="720" w:hanging="810"/>
        <w:rPr>
          <w:noProof/>
        </w:rPr>
      </w:pPr>
      <w:r w:rsidRPr="009C2FDE">
        <w:rPr>
          <w:rFonts w:eastAsia="MS Mincho"/>
          <w:noProof/>
        </w:rPr>
        <w:t>A.12</w:t>
      </w:r>
      <w:r w:rsidRPr="009C2FDE">
        <w:rPr>
          <w:noProof/>
        </w:rPr>
        <w:tab/>
      </w:r>
      <w:r w:rsidRPr="009C2FDE">
        <w:rPr>
          <w:rFonts w:eastAsia="MS Mincho"/>
          <w:noProof/>
        </w:rPr>
        <w:t>Estimated Annualized Burden Hours and Cost to Respondents</w:t>
      </w:r>
    </w:p>
    <w:p w14:paraId="4B18E50D" w14:textId="77777777" w:rsidR="00E94633" w:rsidRPr="009C2FDE" w:rsidRDefault="00E94633" w:rsidP="000167BC">
      <w:pPr>
        <w:tabs>
          <w:tab w:val="left" w:pos="900"/>
          <w:tab w:val="right" w:leader="dot" w:pos="9360"/>
        </w:tabs>
        <w:autoSpaceDE w:val="0"/>
        <w:autoSpaceDN w:val="0"/>
        <w:adjustRightInd w:val="0"/>
        <w:ind w:left="900" w:right="720" w:hanging="810"/>
        <w:rPr>
          <w:noProof/>
        </w:rPr>
      </w:pPr>
      <w:r w:rsidRPr="009C2FDE">
        <w:rPr>
          <w:rFonts w:eastAsia="MS Mincho"/>
          <w:noProof/>
        </w:rPr>
        <w:t>A.13</w:t>
      </w:r>
      <w:r w:rsidRPr="009C2FDE">
        <w:rPr>
          <w:noProof/>
        </w:rPr>
        <w:tab/>
      </w:r>
      <w:r w:rsidRPr="009C2FDE">
        <w:rPr>
          <w:rFonts w:eastAsia="MS Mincho"/>
          <w:noProof/>
        </w:rPr>
        <w:t>Estimates of Other Total Annual Cost Burden to Respondents or Record Keepers</w:t>
      </w:r>
    </w:p>
    <w:p w14:paraId="15180429" w14:textId="77777777" w:rsidR="00E94633" w:rsidRPr="009C2FDE" w:rsidRDefault="00E94633" w:rsidP="000167BC">
      <w:pPr>
        <w:tabs>
          <w:tab w:val="left" w:pos="900"/>
          <w:tab w:val="right" w:leader="dot" w:pos="9360"/>
        </w:tabs>
        <w:autoSpaceDE w:val="0"/>
        <w:autoSpaceDN w:val="0"/>
        <w:adjustRightInd w:val="0"/>
        <w:ind w:left="900" w:right="720" w:hanging="810"/>
        <w:rPr>
          <w:noProof/>
        </w:rPr>
      </w:pPr>
      <w:r w:rsidRPr="009C2FDE">
        <w:rPr>
          <w:rFonts w:eastAsia="MS Mincho"/>
          <w:noProof/>
        </w:rPr>
        <w:t>A.14</w:t>
      </w:r>
      <w:r w:rsidRPr="009C2FDE">
        <w:rPr>
          <w:noProof/>
        </w:rPr>
        <w:tab/>
      </w:r>
      <w:r w:rsidRPr="009C2FDE">
        <w:rPr>
          <w:rFonts w:eastAsia="MS Mincho"/>
          <w:noProof/>
        </w:rPr>
        <w:t>Annualized Cost to Federal Government</w:t>
      </w:r>
    </w:p>
    <w:p w14:paraId="5564439A" w14:textId="77777777" w:rsidR="00E94633" w:rsidRPr="009C2FDE" w:rsidRDefault="00E94633" w:rsidP="000167BC">
      <w:pPr>
        <w:tabs>
          <w:tab w:val="left" w:pos="900"/>
          <w:tab w:val="right" w:leader="dot" w:pos="9360"/>
        </w:tabs>
        <w:autoSpaceDE w:val="0"/>
        <w:autoSpaceDN w:val="0"/>
        <w:adjustRightInd w:val="0"/>
        <w:ind w:left="900" w:right="720" w:hanging="810"/>
        <w:rPr>
          <w:noProof/>
        </w:rPr>
      </w:pPr>
      <w:r w:rsidRPr="009C2FDE">
        <w:rPr>
          <w:rFonts w:eastAsia="MS Mincho"/>
          <w:noProof/>
        </w:rPr>
        <w:t>A.15</w:t>
      </w:r>
      <w:r w:rsidRPr="009C2FDE">
        <w:rPr>
          <w:noProof/>
        </w:rPr>
        <w:tab/>
      </w:r>
      <w:r w:rsidRPr="009C2FDE">
        <w:rPr>
          <w:rFonts w:eastAsia="MS Mincho"/>
          <w:noProof/>
        </w:rPr>
        <w:t>Explanation for Program Changes or Adjustments</w:t>
      </w:r>
    </w:p>
    <w:p w14:paraId="02825952" w14:textId="77777777" w:rsidR="00E94633" w:rsidRPr="009C2FDE" w:rsidRDefault="00E94633" w:rsidP="000167BC">
      <w:pPr>
        <w:tabs>
          <w:tab w:val="left" w:pos="900"/>
          <w:tab w:val="right" w:leader="dot" w:pos="9360"/>
        </w:tabs>
        <w:autoSpaceDE w:val="0"/>
        <w:autoSpaceDN w:val="0"/>
        <w:adjustRightInd w:val="0"/>
        <w:ind w:left="900" w:right="720" w:hanging="810"/>
        <w:rPr>
          <w:noProof/>
        </w:rPr>
      </w:pPr>
      <w:r w:rsidRPr="009C2FDE">
        <w:rPr>
          <w:rFonts w:eastAsia="MS Mincho"/>
          <w:noProof/>
        </w:rPr>
        <w:t>A.16</w:t>
      </w:r>
      <w:r w:rsidRPr="009C2FDE">
        <w:rPr>
          <w:noProof/>
        </w:rPr>
        <w:tab/>
      </w:r>
      <w:r w:rsidRPr="009C2FDE">
        <w:rPr>
          <w:rFonts w:eastAsia="MS Mincho"/>
          <w:noProof/>
        </w:rPr>
        <w:t>Plans for Tabulation and Publication and Project Time Schedule</w:t>
      </w:r>
    </w:p>
    <w:p w14:paraId="5DA94141" w14:textId="77777777" w:rsidR="00E94633" w:rsidRPr="009C2FDE" w:rsidRDefault="00E94633" w:rsidP="000167BC">
      <w:pPr>
        <w:tabs>
          <w:tab w:val="left" w:pos="900"/>
          <w:tab w:val="right" w:leader="dot" w:pos="9360"/>
        </w:tabs>
        <w:autoSpaceDE w:val="0"/>
        <w:autoSpaceDN w:val="0"/>
        <w:adjustRightInd w:val="0"/>
        <w:ind w:left="900" w:right="720" w:hanging="810"/>
        <w:rPr>
          <w:noProof/>
        </w:rPr>
      </w:pPr>
      <w:r w:rsidRPr="009C2FDE">
        <w:rPr>
          <w:rFonts w:eastAsia="MS Mincho"/>
          <w:noProof/>
        </w:rPr>
        <w:t>A.17</w:t>
      </w:r>
      <w:r w:rsidRPr="009C2FDE">
        <w:rPr>
          <w:noProof/>
        </w:rPr>
        <w:tab/>
      </w:r>
      <w:r w:rsidRPr="009C2FDE">
        <w:rPr>
          <w:rFonts w:eastAsia="MS Mincho"/>
          <w:noProof/>
        </w:rPr>
        <w:t>Reason(s) Display of OMB Expiration Date Is Inappropriate</w:t>
      </w:r>
    </w:p>
    <w:p w14:paraId="413949BC" w14:textId="77777777" w:rsidR="00E94633" w:rsidRPr="009C2FDE" w:rsidRDefault="00E94633" w:rsidP="000167BC">
      <w:pPr>
        <w:tabs>
          <w:tab w:val="left" w:pos="900"/>
          <w:tab w:val="right" w:leader="dot" w:pos="9360"/>
        </w:tabs>
        <w:autoSpaceDE w:val="0"/>
        <w:autoSpaceDN w:val="0"/>
        <w:adjustRightInd w:val="0"/>
        <w:ind w:left="900" w:right="720" w:hanging="810"/>
        <w:rPr>
          <w:rFonts w:eastAsia="MS Mincho"/>
          <w:noProof/>
        </w:rPr>
      </w:pPr>
      <w:r w:rsidRPr="009C2FDE">
        <w:rPr>
          <w:rFonts w:eastAsia="MS Mincho"/>
          <w:noProof/>
        </w:rPr>
        <w:t>A.18</w:t>
      </w:r>
      <w:r w:rsidRPr="009C2FDE">
        <w:rPr>
          <w:noProof/>
        </w:rPr>
        <w:tab/>
      </w:r>
      <w:r w:rsidRPr="009C2FDE">
        <w:rPr>
          <w:rFonts w:eastAsia="MS Mincho"/>
          <w:noProof/>
        </w:rPr>
        <w:t>Exceptions to Certification for Paperwork Reduction Act Submission</w:t>
      </w:r>
    </w:p>
    <w:p w14:paraId="4DCE8A16" w14:textId="77777777" w:rsidR="008B13E2" w:rsidRPr="009C2FDE" w:rsidRDefault="008B13E2" w:rsidP="00E94633">
      <w:pPr>
        <w:tabs>
          <w:tab w:val="left" w:pos="1080"/>
          <w:tab w:val="right" w:leader="dot" w:pos="9360"/>
        </w:tabs>
        <w:autoSpaceDE w:val="0"/>
        <w:autoSpaceDN w:val="0"/>
        <w:adjustRightInd w:val="0"/>
        <w:ind w:left="1080" w:right="720" w:hanging="540"/>
        <w:rPr>
          <w:rFonts w:eastAsia="MS Mincho"/>
          <w:noProof/>
        </w:rPr>
      </w:pPr>
    </w:p>
    <w:p w14:paraId="07945133" w14:textId="77777777" w:rsidR="008B13E2" w:rsidRPr="009C2FDE" w:rsidRDefault="008B13E2" w:rsidP="00E94633">
      <w:pPr>
        <w:tabs>
          <w:tab w:val="left" w:pos="1080"/>
          <w:tab w:val="right" w:leader="dot" w:pos="9360"/>
        </w:tabs>
        <w:autoSpaceDE w:val="0"/>
        <w:autoSpaceDN w:val="0"/>
        <w:adjustRightInd w:val="0"/>
        <w:ind w:left="1080" w:right="720" w:hanging="540"/>
        <w:rPr>
          <w:rFonts w:eastAsia="MS Mincho"/>
          <w:noProof/>
        </w:rPr>
      </w:pPr>
    </w:p>
    <w:p w14:paraId="2103341C" w14:textId="77777777" w:rsidR="008B13E2" w:rsidRPr="000167BC" w:rsidRDefault="008B13E2" w:rsidP="000167BC">
      <w:pPr>
        <w:tabs>
          <w:tab w:val="left" w:pos="1080"/>
          <w:tab w:val="right" w:leader="dot" w:pos="9360"/>
        </w:tabs>
        <w:autoSpaceDE w:val="0"/>
        <w:autoSpaceDN w:val="0"/>
        <w:adjustRightInd w:val="0"/>
        <w:ind w:right="720"/>
        <w:rPr>
          <w:rFonts w:eastAsia="MS Mincho"/>
          <w:b/>
          <w:noProof/>
        </w:rPr>
      </w:pPr>
    </w:p>
    <w:p w14:paraId="12F2CFB8" w14:textId="77777777" w:rsidR="00E94633" w:rsidRPr="009C2FDE" w:rsidRDefault="00E94633" w:rsidP="000167BC">
      <w:pPr>
        <w:keepNext/>
        <w:rPr>
          <w:b/>
          <w:bCs/>
          <w:caps/>
        </w:rPr>
      </w:pPr>
      <w:r w:rsidRPr="009C2FDE">
        <w:rPr>
          <w:b/>
          <w:bCs/>
          <w:caps/>
        </w:rPr>
        <w:t>ATTACHMENTS</w:t>
      </w:r>
    </w:p>
    <w:p w14:paraId="08178C81" w14:textId="77777777" w:rsidR="00E94633" w:rsidRPr="009C2FDE" w:rsidRDefault="00E94633" w:rsidP="000167BC">
      <w:pPr>
        <w:tabs>
          <w:tab w:val="left" w:pos="540"/>
        </w:tabs>
        <w:ind w:left="540" w:hanging="540"/>
      </w:pPr>
      <w:r w:rsidRPr="009C2FDE">
        <w:t>1</w:t>
      </w:r>
      <w:r w:rsidR="00180067" w:rsidRPr="009C2FDE">
        <w:t>a</w:t>
      </w:r>
      <w:r w:rsidR="000167BC">
        <w:tab/>
      </w:r>
      <w:r w:rsidR="00C81A00" w:rsidRPr="009C2FDE">
        <w:t>Public Health Service Act</w:t>
      </w:r>
    </w:p>
    <w:p w14:paraId="0A75EF5B" w14:textId="77777777" w:rsidR="00E94633" w:rsidRPr="009C2FDE" w:rsidRDefault="00CB1C59" w:rsidP="000167BC">
      <w:pPr>
        <w:tabs>
          <w:tab w:val="left" w:pos="540"/>
        </w:tabs>
        <w:ind w:left="540" w:hanging="540"/>
      </w:pPr>
      <w:r w:rsidRPr="009C2FDE">
        <w:t>1</w:t>
      </w:r>
      <w:r w:rsidR="00180067" w:rsidRPr="009C2FDE">
        <w:t>b</w:t>
      </w:r>
      <w:r w:rsidR="000167BC">
        <w:tab/>
      </w:r>
      <w:r w:rsidR="00C81A00" w:rsidRPr="009C2FDE">
        <w:t>Patient Protection and Affordable Care Act of 2010: Prevention and Public Health Fund</w:t>
      </w:r>
    </w:p>
    <w:p w14:paraId="696C3C44" w14:textId="6BD8C1C8" w:rsidR="00E94633" w:rsidRDefault="00C81A00" w:rsidP="000167BC">
      <w:pPr>
        <w:tabs>
          <w:tab w:val="left" w:pos="540"/>
        </w:tabs>
      </w:pPr>
      <w:r w:rsidRPr="009C2FDE">
        <w:t>2</w:t>
      </w:r>
      <w:r w:rsidR="000167BC">
        <w:tab/>
      </w:r>
      <w:r w:rsidR="00E94633" w:rsidRPr="009C2FDE">
        <w:t>Awardees</w:t>
      </w:r>
    </w:p>
    <w:p w14:paraId="7850DE1B" w14:textId="77777777" w:rsidR="00F33207" w:rsidRDefault="000167BC" w:rsidP="000167BC">
      <w:pPr>
        <w:tabs>
          <w:tab w:val="left" w:pos="540"/>
        </w:tabs>
      </w:pPr>
      <w:r>
        <w:t>3a</w:t>
      </w:r>
      <w:r>
        <w:tab/>
      </w:r>
      <w:r w:rsidR="00F33207">
        <w:t>Screen Shots of the DCH Performance Monitoring Database (DCH-PMD)</w:t>
      </w:r>
    </w:p>
    <w:p w14:paraId="5165B71B" w14:textId="77777777" w:rsidR="00F33207" w:rsidRDefault="000167BC" w:rsidP="000167BC">
      <w:pPr>
        <w:tabs>
          <w:tab w:val="left" w:pos="540"/>
        </w:tabs>
      </w:pPr>
      <w:r>
        <w:t>3b</w:t>
      </w:r>
      <w:r>
        <w:tab/>
      </w:r>
      <w:r w:rsidR="00F33207">
        <w:t>DCH-PMD User Guide</w:t>
      </w:r>
    </w:p>
    <w:p w14:paraId="462E660B" w14:textId="77777777" w:rsidR="00C81A00" w:rsidRPr="009C2FDE" w:rsidRDefault="000167BC" w:rsidP="000167BC">
      <w:pPr>
        <w:tabs>
          <w:tab w:val="left" w:pos="540"/>
        </w:tabs>
        <w:ind w:left="540" w:hanging="540"/>
      </w:pPr>
      <w:r>
        <w:t>4</w:t>
      </w:r>
      <w:r>
        <w:tab/>
      </w:r>
      <w:r w:rsidR="00C81A00" w:rsidRPr="009C2FDE">
        <w:t>Special Data Request</w:t>
      </w:r>
      <w:r w:rsidR="00A02743" w:rsidRPr="009C2FDE">
        <w:t xml:space="preserve"> (example)</w:t>
      </w:r>
    </w:p>
    <w:p w14:paraId="7D0D88A9" w14:textId="4F8C3F7A" w:rsidR="00180067" w:rsidRDefault="00C81A00" w:rsidP="000167BC">
      <w:pPr>
        <w:tabs>
          <w:tab w:val="left" w:pos="540"/>
        </w:tabs>
      </w:pPr>
      <w:r w:rsidRPr="009C2FDE">
        <w:t>5</w:t>
      </w:r>
      <w:r w:rsidR="00C633B6">
        <w:t>a</w:t>
      </w:r>
      <w:r w:rsidR="000167BC">
        <w:tab/>
      </w:r>
      <w:r w:rsidR="00180067" w:rsidRPr="009C2FDE">
        <w:t xml:space="preserve">Federal Register Notice </w:t>
      </w:r>
    </w:p>
    <w:p w14:paraId="74FEB4BF" w14:textId="54D663E2" w:rsidR="00CD5A0C" w:rsidRDefault="00C633B6" w:rsidP="000167BC">
      <w:pPr>
        <w:tabs>
          <w:tab w:val="left" w:pos="540"/>
        </w:tabs>
      </w:pPr>
      <w:r>
        <w:t>5b</w:t>
      </w:r>
      <w:r w:rsidR="00CD5A0C">
        <w:t xml:space="preserve"> </w:t>
      </w:r>
      <w:r w:rsidR="00CD5A0C">
        <w:tab/>
      </w:r>
      <w:r>
        <w:t xml:space="preserve">Comments and </w:t>
      </w:r>
      <w:r w:rsidR="00CD5A0C">
        <w:t>Response to Federal Register Notice Comments</w:t>
      </w:r>
    </w:p>
    <w:p w14:paraId="3FC2B084" w14:textId="6506F78B" w:rsidR="00247672" w:rsidRDefault="00247672" w:rsidP="000167BC">
      <w:pPr>
        <w:tabs>
          <w:tab w:val="left" w:pos="540"/>
        </w:tabs>
      </w:pPr>
      <w:r>
        <w:t>6</w:t>
      </w:r>
      <w:r>
        <w:tab/>
        <w:t>Institutional Review Board Approval Notification or Exemption Determination</w:t>
      </w:r>
    </w:p>
    <w:p w14:paraId="57536F1A" w14:textId="77777777" w:rsidR="00247672" w:rsidRPr="009C2FDE" w:rsidRDefault="00247672" w:rsidP="000167BC">
      <w:pPr>
        <w:tabs>
          <w:tab w:val="left" w:pos="540"/>
        </w:tabs>
      </w:pPr>
    </w:p>
    <w:p w14:paraId="0B40C557" w14:textId="77777777" w:rsidR="00941428" w:rsidRPr="009C2FDE" w:rsidRDefault="00941428" w:rsidP="00A9732B">
      <w:pPr>
        <w:rPr>
          <w:b/>
        </w:rPr>
      </w:pPr>
    </w:p>
    <w:p w14:paraId="4EDF5D84" w14:textId="77777777" w:rsidR="001C4720" w:rsidRPr="009C2FDE" w:rsidRDefault="001C4720" w:rsidP="00A9732B">
      <w:pPr>
        <w:rPr>
          <w:b/>
        </w:rPr>
      </w:pPr>
      <w:r w:rsidRPr="009C2FDE">
        <w:rPr>
          <w:b/>
        </w:rPr>
        <w:br w:type="page"/>
      </w:r>
    </w:p>
    <w:p w14:paraId="43E0E5DE" w14:textId="41A82031" w:rsidR="00B35347" w:rsidRDefault="00B35347" w:rsidP="00A9732B">
      <w:pPr>
        <w:rPr>
          <w:b/>
        </w:rPr>
      </w:pPr>
      <w:r w:rsidRPr="00B35347">
        <w:rPr>
          <w:b/>
          <w:noProof/>
        </w:rPr>
        <w:lastRenderedPageBreak/>
        <mc:AlternateContent>
          <mc:Choice Requires="wps">
            <w:drawing>
              <wp:anchor distT="45720" distB="45720" distL="114300" distR="114300" simplePos="0" relativeHeight="251659264" behindDoc="0" locked="0" layoutInCell="1" allowOverlap="1" wp14:anchorId="69E7D4C9" wp14:editId="107AEEEF">
                <wp:simplePos x="0" y="0"/>
                <wp:positionH relativeFrom="column">
                  <wp:posOffset>47625</wp:posOffset>
                </wp:positionH>
                <wp:positionV relativeFrom="paragraph">
                  <wp:posOffset>0</wp:posOffset>
                </wp:positionV>
                <wp:extent cx="6241415" cy="5915660"/>
                <wp:effectExtent l="0" t="0" r="2603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5915660"/>
                        </a:xfrm>
                        <a:prstGeom prst="rect">
                          <a:avLst/>
                        </a:prstGeom>
                        <a:solidFill>
                          <a:srgbClr val="FFFFFF"/>
                        </a:solidFill>
                        <a:ln w="9525">
                          <a:solidFill>
                            <a:srgbClr val="000000"/>
                          </a:solidFill>
                          <a:miter lim="800000"/>
                          <a:headEnd/>
                          <a:tailEnd/>
                        </a:ln>
                      </wps:spPr>
                      <wps:txbx>
                        <w:txbxContent>
                          <w:p w14:paraId="4041B6E2" w14:textId="796B5A88" w:rsidR="00C87CA3" w:rsidRDefault="00C87CA3" w:rsidP="00197A52">
                            <w:pPr>
                              <w:spacing w:after="120"/>
                              <w:rPr>
                                <w:bCs/>
                              </w:rPr>
                            </w:pPr>
                            <w:r w:rsidRPr="009C2FDE">
                              <w:t xml:space="preserve">In 2014, NCCDPHP announced </w:t>
                            </w:r>
                            <w:r>
                              <w:t>a</w:t>
                            </w:r>
                            <w:r w:rsidRPr="009C2FDE">
                              <w:t xml:space="preserve"> new </w:t>
                            </w:r>
                            <w:r>
                              <w:t xml:space="preserve">three-year </w:t>
                            </w:r>
                            <w:r w:rsidRPr="009C2FDE">
                              <w:t xml:space="preserve">cooperative agreement program to improve and/or implement sustainable, community-based programs that address the primary causes of chronic </w:t>
                            </w:r>
                            <w:r w:rsidRPr="00032E0D">
                              <w:t>diseases, Racial and Ethnic Approaches to Community Health (REACH; FOA DP14-1419PPHF14</w:t>
                            </w:r>
                            <w:r w:rsidRPr="00184EFE">
                              <w:t>). In 2017, REACH awardees were provided supplemental</w:t>
                            </w:r>
                            <w:r w:rsidR="00F40785">
                              <w:t xml:space="preserve"> funding for an additional year</w:t>
                            </w:r>
                            <w:r w:rsidR="00172B14">
                              <w:t>.</w:t>
                            </w:r>
                            <w:r w:rsidR="00717CDE">
                              <w:t xml:space="preserve"> </w:t>
                            </w:r>
                            <w:r w:rsidRPr="00184EFE">
                              <w:t xml:space="preserve">CDC requests to extend the current OMB approval to March 31, 2019 to </w:t>
                            </w:r>
                            <w:r w:rsidR="00172B14">
                              <w:t xml:space="preserve">continue </w:t>
                            </w:r>
                            <w:r w:rsidRPr="00184EFE">
                              <w:t>collect</w:t>
                            </w:r>
                            <w:r w:rsidR="00172B14">
                              <w:t>ing</w:t>
                            </w:r>
                            <w:r w:rsidRPr="00184EFE">
                              <w:t xml:space="preserve"> information from currently funded REACH awardees </w:t>
                            </w:r>
                            <w:r w:rsidRPr="00184EFE">
                              <w:rPr>
                                <w:bCs/>
                              </w:rPr>
                              <w:t>describing their work plan, activities and progress toward achieving objectives</w:t>
                            </w:r>
                            <w:r w:rsidR="00172B14">
                              <w:rPr>
                                <w:bCs/>
                              </w:rPr>
                              <w:t>.</w:t>
                            </w:r>
                            <w:r w:rsidR="00717CDE">
                              <w:rPr>
                                <w:bCs/>
                              </w:rPr>
                              <w:t xml:space="preserve"> </w:t>
                            </w:r>
                            <w:r w:rsidR="00172B14">
                              <w:rPr>
                                <w:bCs/>
                              </w:rPr>
                              <w:t>Previously funded Partnership to</w:t>
                            </w:r>
                            <w:r w:rsidR="00717CDE">
                              <w:rPr>
                                <w:bCs/>
                              </w:rPr>
                              <w:t xml:space="preserve"> </w:t>
                            </w:r>
                            <w:r w:rsidR="00172B14">
                              <w:rPr>
                                <w:bCs/>
                              </w:rPr>
                              <w:t>Improve Community Health Awardees (44 awardees) will not be included, decreasing the number of respondents and burden.</w:t>
                            </w:r>
                            <w:r w:rsidR="007A4946">
                              <w:rPr>
                                <w:bCs/>
                              </w:rPr>
                              <w:t xml:space="preserve"> </w:t>
                            </w:r>
                            <w:r w:rsidRPr="00184EFE">
                              <w:t xml:space="preserve"> CDC intends that REACH awardees continue to use the same electronic management information system to provide the semi-annual reports to CDC during the fourth year.</w:t>
                            </w:r>
                            <w:r w:rsidRPr="00C94A9E">
                              <w:rPr>
                                <w:rFonts w:ascii="Courier New" w:hAnsi="Courier New" w:cs="Courier New"/>
                              </w:rPr>
                              <w:t xml:space="preserve"> </w:t>
                            </w:r>
                          </w:p>
                          <w:p w14:paraId="3179E836" w14:textId="34380C2C" w:rsidR="00C87CA3" w:rsidRDefault="00C87CA3" w:rsidP="00197A52">
                            <w:pPr>
                              <w:spacing w:after="120"/>
                            </w:pPr>
                            <w:r>
                              <w:t xml:space="preserve">The resulting data will be used by </w:t>
                            </w:r>
                            <w:r w:rsidRPr="009C2FDE">
                              <w:t>CDC to monitor each awardee’s progress</w:t>
                            </w:r>
                            <w:r>
                              <w:t xml:space="preserve"> or describe activities across multiple awardees, t</w:t>
                            </w:r>
                            <w:r w:rsidRPr="009C2FDE">
                              <w:t xml:space="preserve">o provide oversight of the use of federal funds, and to identify and disseminate information about successful prevention and control strategies implemented by awardees.  </w:t>
                            </w:r>
                            <w:r>
                              <w:t xml:space="preserve">CDC will use the data to </w:t>
                            </w:r>
                            <w:r w:rsidRPr="009C2FDE">
                              <w:t xml:space="preserve">monitor the increased emphasis on partnerships </w:t>
                            </w:r>
                            <w:r>
                              <w:t xml:space="preserve">and programmatic collaboration </w:t>
                            </w:r>
                            <w:r w:rsidRPr="009C2FDE">
                              <w:t>to reduce duplication of effort, enhance program impact and ma</w:t>
                            </w:r>
                            <w:r>
                              <w:t>ximize the use of federal funds as well as to evaluate the program model for future program reporting efforts. In addition to routine performance monitoring, CDC will use the information to respond to inquiries from the HHS, the White House, Congress and other stakeholders about REACH program activities and their impact.</w:t>
                            </w:r>
                            <w:r w:rsidRPr="0038124B">
                              <w:t xml:space="preserve"> </w:t>
                            </w:r>
                            <w:r>
                              <w:t xml:space="preserve"> </w:t>
                            </w:r>
                          </w:p>
                          <w:p w14:paraId="46C9D00B" w14:textId="0C94E1A6" w:rsidR="00C87CA3" w:rsidRDefault="00C87CA3" w:rsidP="00197A52">
                            <w:pPr>
                              <w:spacing w:after="120"/>
                            </w:pPr>
                            <w:r>
                              <w:t xml:space="preserve">Information will be collected twice per year via </w:t>
                            </w:r>
                            <w:r w:rsidRPr="00CB1C59">
                              <w:t xml:space="preserve">a centralized, </w:t>
                            </w:r>
                            <w:r>
                              <w:t>electronic management information system called the DCH-Performance Monitoring Database (DCH-</w:t>
                            </w:r>
                            <w:r w:rsidRPr="007B3DD8">
                              <w:t>PMD</w:t>
                            </w:r>
                            <w:r>
                              <w:t xml:space="preserve">) from all REACH awardees. </w:t>
                            </w:r>
                            <w:r w:rsidRPr="007B3DD8">
                              <w:t xml:space="preserve">Each </w:t>
                            </w:r>
                            <w:r>
                              <w:t xml:space="preserve">REACH </w:t>
                            </w:r>
                            <w:r w:rsidRPr="007B3DD8">
                              <w:t xml:space="preserve">awardee will have access to </w:t>
                            </w:r>
                            <w:r>
                              <w:t>their</w:t>
                            </w:r>
                            <w:r w:rsidRPr="007B3DD8">
                              <w:t xml:space="preserve"> own information. Users will log into the </w:t>
                            </w:r>
                            <w:r>
                              <w:t>DCH-PMD</w:t>
                            </w:r>
                            <w:r w:rsidRPr="007B3DD8">
                              <w:t xml:space="preserve"> at their worksite computer and provide progress reporting information through prompted data entry points</w:t>
                            </w:r>
                            <w:r>
                              <w:t>.</w:t>
                            </w:r>
                          </w:p>
                          <w:p w14:paraId="3C16D30E" w14:textId="771C61C3" w:rsidR="00C87CA3" w:rsidRDefault="00C87CA3">
                            <w:r w:rsidRPr="00184EFE">
                              <w:t>Respondents are 49 current REACH awardees funded through the Funding Opportunity Announcement.  Eighteen awardees are state, local, and tribal governmental agencies, and 31 awardees are private sector organizational entities.</w:t>
                            </w:r>
                          </w:p>
                          <w:p w14:paraId="551F2A6D" w14:textId="77777777" w:rsidR="00C87CA3" w:rsidRDefault="00C87CA3"/>
                          <w:p w14:paraId="001AAA71" w14:textId="2B3A0E49" w:rsidR="00C87CA3" w:rsidRPr="009C2FDE" w:rsidRDefault="00C87CA3" w:rsidP="0087320B">
                            <w:r w:rsidRPr="009C2FDE">
                              <w:t>CDC will not use complex statistical methods for analyzing information. Most statistical analyses will be descriptive</w:t>
                            </w:r>
                            <w:r>
                              <w:t xml:space="preserve"> and a</w:t>
                            </w:r>
                            <w:r w:rsidRPr="009C2FDE">
                              <w:t>ll information will be aggregated. Statistical modeling may be included to examine predictors of specified outcomes.</w:t>
                            </w:r>
                          </w:p>
                          <w:p w14:paraId="6576825A" w14:textId="548824FB" w:rsidR="00C87CA3" w:rsidRDefault="00C87C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0;width:491.45pt;height:46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">
                <v:textbox>
                  <w:txbxContent>
                    <w:p w14:paraId="4041B6E2" w14:textId="796B5A88" w:rsidR="00C87CA3" w:rsidRDefault="00C87CA3" w:rsidP="00197A52">
                      <w:pPr>
                        <w:spacing w:after="120"/>
                        <w:rPr>
                          <w:bCs/>
                        </w:rPr>
                      </w:pPr>
                      <w:r w:rsidRPr="009C2FDE">
                        <w:t xml:space="preserve">In 2014, NCCDPHP announced </w:t>
                      </w:r>
                      <w:r>
                        <w:t>a</w:t>
                      </w:r>
                      <w:r w:rsidRPr="009C2FDE">
                        <w:t xml:space="preserve"> new </w:t>
                      </w:r>
                      <w:r>
                        <w:t xml:space="preserve">three-year </w:t>
                      </w:r>
                      <w:r w:rsidRPr="009C2FDE">
                        <w:t xml:space="preserve">cooperative agreement program to improve and/or implement sustainable, community-based programs that address the primary causes of chronic </w:t>
                      </w:r>
                      <w:r w:rsidRPr="00032E0D">
                        <w:t>diseases, Racial and Ethnic Approaches to Community Health (REACH; FOA DP14-1419PPHF14</w:t>
                      </w:r>
                      <w:r w:rsidRPr="00184EFE">
                        <w:t>). In 2017, REACH awardees were provided supplemental</w:t>
                      </w:r>
                      <w:r w:rsidR="00F40785">
                        <w:t xml:space="preserve"> funding for an additional year</w:t>
                      </w:r>
                      <w:r w:rsidR="00172B14">
                        <w:t>.</w:t>
                      </w:r>
                      <w:r w:rsidR="00717CDE">
                        <w:t xml:space="preserve"> </w:t>
                      </w:r>
                      <w:r w:rsidRPr="00184EFE">
                        <w:t xml:space="preserve">CDC requests to extend the current OMB approval to March 31, 2019 to </w:t>
                      </w:r>
                      <w:r w:rsidR="00172B14">
                        <w:t xml:space="preserve">continue </w:t>
                      </w:r>
                      <w:r w:rsidRPr="00184EFE">
                        <w:t>collect</w:t>
                      </w:r>
                      <w:r w:rsidR="00172B14">
                        <w:t>ing</w:t>
                      </w:r>
                      <w:r w:rsidRPr="00184EFE">
                        <w:t xml:space="preserve"> information from currently funded REACH awardees </w:t>
                      </w:r>
                      <w:r w:rsidRPr="00184EFE">
                        <w:rPr>
                          <w:bCs/>
                        </w:rPr>
                        <w:t>describing their work plan, activities and progress toward achieving objectives</w:t>
                      </w:r>
                      <w:r w:rsidR="00172B14">
                        <w:rPr>
                          <w:bCs/>
                        </w:rPr>
                        <w:t>.</w:t>
                      </w:r>
                      <w:r w:rsidR="00717CDE">
                        <w:rPr>
                          <w:bCs/>
                        </w:rPr>
                        <w:t xml:space="preserve"> </w:t>
                      </w:r>
                      <w:r w:rsidR="00172B14">
                        <w:rPr>
                          <w:bCs/>
                        </w:rPr>
                        <w:t>Previously funded Partnership to</w:t>
                      </w:r>
                      <w:r w:rsidR="00717CDE">
                        <w:rPr>
                          <w:bCs/>
                        </w:rPr>
                        <w:t xml:space="preserve"> </w:t>
                      </w:r>
                      <w:r w:rsidR="00172B14">
                        <w:rPr>
                          <w:bCs/>
                        </w:rPr>
                        <w:t>Improve Community Health Awardees (44 awardees) will not be included, decreasing the number of respondents and burden.</w:t>
                      </w:r>
                      <w:r w:rsidR="007A4946">
                        <w:rPr>
                          <w:bCs/>
                        </w:rPr>
                        <w:t xml:space="preserve"> </w:t>
                      </w:r>
                      <w:r w:rsidRPr="00184EFE">
                        <w:t xml:space="preserve"> CDC intends that REACH awardees continue to use the same electronic management information system to provide the semi-annual reports to CDC during the fourth year.</w:t>
                      </w:r>
                      <w:r w:rsidRPr="00C94A9E">
                        <w:rPr>
                          <w:rFonts w:ascii="Courier New" w:hAnsi="Courier New" w:cs="Courier New"/>
                        </w:rPr>
                        <w:t xml:space="preserve"> </w:t>
                      </w:r>
                    </w:p>
                    <w:p w14:paraId="3179E836" w14:textId="34380C2C" w:rsidR="00C87CA3" w:rsidRDefault="00C87CA3" w:rsidP="00197A52">
                      <w:pPr>
                        <w:spacing w:after="120"/>
                      </w:pPr>
                      <w:r>
                        <w:t xml:space="preserve">The resulting data will be used by </w:t>
                      </w:r>
                      <w:r w:rsidRPr="009C2FDE">
                        <w:t>CDC to monitor each awardee’s progress</w:t>
                      </w:r>
                      <w:r>
                        <w:t xml:space="preserve"> or describe activities across multiple awardees, t</w:t>
                      </w:r>
                      <w:r w:rsidRPr="009C2FDE">
                        <w:t xml:space="preserve">o provide oversight of the use of federal funds, and to identify and disseminate information about successful prevention and control strategies implemented by awardees.  </w:t>
                      </w:r>
                      <w:r>
                        <w:t xml:space="preserve">CDC will use the data to </w:t>
                      </w:r>
                      <w:r w:rsidRPr="009C2FDE">
                        <w:t xml:space="preserve">monitor the increased emphasis on partnerships </w:t>
                      </w:r>
                      <w:r>
                        <w:t xml:space="preserve">and programmatic collaboration </w:t>
                      </w:r>
                      <w:r w:rsidRPr="009C2FDE">
                        <w:t>to reduce duplication of effort, enhance program impact and ma</w:t>
                      </w:r>
                      <w:r>
                        <w:t>ximize the use of federal funds as well as to evaluate the program model for future program reporting efforts. In addition to routine performance monitoring, CDC will use the information to respond to inquiries from the HHS, the White House, Congress and other stakeholders about REACH program activities and their impact.</w:t>
                      </w:r>
                      <w:r w:rsidRPr="0038124B">
                        <w:t xml:space="preserve"> </w:t>
                      </w:r>
                      <w:r>
                        <w:t xml:space="preserve"> </w:t>
                      </w:r>
                    </w:p>
                    <w:p w14:paraId="46C9D00B" w14:textId="0C94E1A6" w:rsidR="00C87CA3" w:rsidRDefault="00C87CA3" w:rsidP="00197A52">
                      <w:pPr>
                        <w:spacing w:after="120"/>
                      </w:pPr>
                      <w:r>
                        <w:t xml:space="preserve">Information will be collected twice per year via </w:t>
                      </w:r>
                      <w:r w:rsidRPr="00CB1C59">
                        <w:t xml:space="preserve">a centralized, </w:t>
                      </w:r>
                      <w:r>
                        <w:t>electronic management information system called the DCH-Performance Monitoring Database (DCH-</w:t>
                      </w:r>
                      <w:r w:rsidRPr="007B3DD8">
                        <w:t>PMD</w:t>
                      </w:r>
                      <w:r>
                        <w:t xml:space="preserve">) from all REACH awardees. </w:t>
                      </w:r>
                      <w:r w:rsidRPr="007B3DD8">
                        <w:t xml:space="preserve">Each </w:t>
                      </w:r>
                      <w:r>
                        <w:t xml:space="preserve">REACH </w:t>
                      </w:r>
                      <w:r w:rsidRPr="007B3DD8">
                        <w:t xml:space="preserve">awardee will have access to </w:t>
                      </w:r>
                      <w:r>
                        <w:t>their</w:t>
                      </w:r>
                      <w:r w:rsidRPr="007B3DD8">
                        <w:t xml:space="preserve"> own information. Users will log into the </w:t>
                      </w:r>
                      <w:r>
                        <w:t>DCH-PMD</w:t>
                      </w:r>
                      <w:r w:rsidRPr="007B3DD8">
                        <w:t xml:space="preserve"> at their worksite computer and provide progress reporting information through prompted data entry points</w:t>
                      </w:r>
                      <w:r>
                        <w:t>.</w:t>
                      </w:r>
                    </w:p>
                    <w:p w14:paraId="3C16D30E" w14:textId="771C61C3" w:rsidR="00C87CA3" w:rsidRDefault="00C87CA3">
                      <w:r w:rsidRPr="00184EFE">
                        <w:t>Respondents are 49 current REACH awardees funded through the Funding Opportunity Announcement.  Eighteen awardees are state, local, and tribal governmental agencies, and 31 awardees are private sector organizational entities.</w:t>
                      </w:r>
                    </w:p>
                    <w:p w14:paraId="551F2A6D" w14:textId="77777777" w:rsidR="00C87CA3" w:rsidRDefault="00C87CA3"/>
                    <w:p w14:paraId="001AAA71" w14:textId="2B3A0E49" w:rsidR="00C87CA3" w:rsidRPr="009C2FDE" w:rsidRDefault="00C87CA3" w:rsidP="0087320B">
                      <w:r w:rsidRPr="009C2FDE">
                        <w:t>CDC will not use complex statistical methods for analyzing information. Most statistical analyses will be descriptive</w:t>
                      </w:r>
                      <w:r>
                        <w:t xml:space="preserve"> and a</w:t>
                      </w:r>
                      <w:r w:rsidRPr="009C2FDE">
                        <w:t>ll information will be aggregated. Statistical modeling may be included to examine predictors of specified outcomes.</w:t>
                      </w:r>
                    </w:p>
                    <w:p w14:paraId="6576825A" w14:textId="548824FB" w:rsidR="00C87CA3" w:rsidRDefault="00C87CA3"/>
                  </w:txbxContent>
                </v:textbox>
                <w10:wrap type="square"/>
              </v:shape>
            </w:pict>
          </mc:Fallback>
        </mc:AlternateContent>
      </w:r>
    </w:p>
    <w:p w14:paraId="6A1372A8" w14:textId="2AC9F983" w:rsidR="00C65E3C" w:rsidRPr="009C2FDE" w:rsidRDefault="00C65E3C" w:rsidP="00A9732B">
      <w:pPr>
        <w:rPr>
          <w:b/>
        </w:rPr>
      </w:pPr>
      <w:r w:rsidRPr="009C2FDE">
        <w:rPr>
          <w:b/>
        </w:rPr>
        <w:t>A. JUSTIFICATION</w:t>
      </w:r>
    </w:p>
    <w:p w14:paraId="072291D8" w14:textId="77777777" w:rsidR="00C65E3C" w:rsidRPr="009C2FDE" w:rsidRDefault="00C65E3C" w:rsidP="00A9732B">
      <w:pPr>
        <w:rPr>
          <w:b/>
        </w:rPr>
      </w:pPr>
    </w:p>
    <w:p w14:paraId="5441B3C7" w14:textId="77777777" w:rsidR="00C65E3C" w:rsidRPr="009C2FDE" w:rsidRDefault="00C65E3C" w:rsidP="00A9732B">
      <w:pPr>
        <w:rPr>
          <w:b/>
        </w:rPr>
      </w:pPr>
      <w:r w:rsidRPr="009C2FDE">
        <w:rPr>
          <w:b/>
        </w:rPr>
        <w:t xml:space="preserve">     1. Circumstances </w:t>
      </w:r>
      <w:r w:rsidR="004E4ED3" w:rsidRPr="009C2FDE">
        <w:rPr>
          <w:b/>
        </w:rPr>
        <w:t>Making the Collection of Information Necessary</w:t>
      </w:r>
    </w:p>
    <w:p w14:paraId="779ACEDA" w14:textId="77777777" w:rsidR="002C1A51" w:rsidRPr="009C2FDE" w:rsidRDefault="002C1A51" w:rsidP="00A9732B"/>
    <w:p w14:paraId="08FE812D" w14:textId="2955F9DC" w:rsidR="007A2B34" w:rsidRPr="009C2FDE" w:rsidRDefault="00CC5D48" w:rsidP="00A9732B">
      <w:r w:rsidRPr="009C2FDE">
        <w:t>CDC request</w:t>
      </w:r>
      <w:r w:rsidR="002A0491" w:rsidRPr="009C2FDE">
        <w:t>s</w:t>
      </w:r>
      <w:r w:rsidRPr="009C2FDE">
        <w:t xml:space="preserve"> OMB approval </w:t>
      </w:r>
      <w:r w:rsidR="00F16BED">
        <w:t xml:space="preserve">of </w:t>
      </w:r>
      <w:r w:rsidR="00172B14">
        <w:t xml:space="preserve">a </w:t>
      </w:r>
      <w:r w:rsidR="00F16BED">
        <w:t xml:space="preserve">revision </w:t>
      </w:r>
      <w:r w:rsidR="00172B14">
        <w:t>to extend the collection of information for an additional year through the Racial and Ethnic Approaches to Community Health cooperative agreement. Forty-four Partnership to Improve Community Health awardees are no longer include</w:t>
      </w:r>
      <w:r w:rsidR="00272AE0">
        <w:t>d</w:t>
      </w:r>
      <w:r w:rsidR="00172B14">
        <w:t>, resulting in a decrease in respondents and burden; the initial population of the Management Information System is no longer necessary resulting in further burden reduction. CDC plans to c</w:t>
      </w:r>
      <w:r w:rsidRPr="009C2FDE">
        <w:t xml:space="preserve">ollect information to monitor </w:t>
      </w:r>
      <w:r w:rsidR="00A671D8">
        <w:t xml:space="preserve">this </w:t>
      </w:r>
      <w:r w:rsidRPr="009C2FDE">
        <w:t>cooperative agreement program</w:t>
      </w:r>
      <w:r w:rsidR="00A671D8">
        <w:t xml:space="preserve"> as</w:t>
      </w:r>
      <w:r w:rsidRPr="009C2FDE">
        <w:t xml:space="preserve"> authorized by the Public Health Service Act (</w:t>
      </w:r>
      <w:r w:rsidRPr="009C2FDE">
        <w:rPr>
          <w:b/>
        </w:rPr>
        <w:t>Attachment 1a</w:t>
      </w:r>
      <w:r w:rsidRPr="009C2FDE">
        <w:t xml:space="preserve">) and the Prevention and Public Health Fund </w:t>
      </w:r>
      <w:r w:rsidR="002A0491" w:rsidRPr="009C2FDE">
        <w:t xml:space="preserve">of the Affordable Care Act </w:t>
      </w:r>
      <w:r w:rsidRPr="009C2FDE">
        <w:t>(</w:t>
      </w:r>
      <w:r w:rsidRPr="009C2FDE">
        <w:rPr>
          <w:b/>
        </w:rPr>
        <w:t>Attachment 1b</w:t>
      </w:r>
      <w:r w:rsidRPr="009C2FDE">
        <w:t>).</w:t>
      </w:r>
      <w:r w:rsidR="002A0491" w:rsidRPr="009C2FDE">
        <w:t xml:space="preserve">  The program</w:t>
      </w:r>
      <w:r w:rsidR="00274DAA">
        <w:t xml:space="preserve"> is</w:t>
      </w:r>
      <w:r w:rsidR="002A0491" w:rsidRPr="009C2FDE">
        <w:t xml:space="preserve"> administered by the Division of </w:t>
      </w:r>
      <w:r w:rsidR="00274DAA">
        <w:t>Nutrition, Physical Activity and Obesity (DNPAO</w:t>
      </w:r>
      <w:r w:rsidR="002A0491" w:rsidRPr="009C2FDE">
        <w:t>), National Center for Chronic Disease Prevention and Health Promotion (NCCDPHP), Centers for Disease Prevention and Control (CDC).</w:t>
      </w:r>
      <w:r w:rsidR="007A2B34" w:rsidRPr="009C2FDE">
        <w:t xml:space="preserve">  </w:t>
      </w:r>
    </w:p>
    <w:p w14:paraId="26AE581E" w14:textId="77777777" w:rsidR="00CC5D48" w:rsidRPr="009C2FDE" w:rsidRDefault="00CC5D48" w:rsidP="00A9732B"/>
    <w:p w14:paraId="0977364B" w14:textId="77777777" w:rsidR="00E21CD0" w:rsidRPr="009C2FDE" w:rsidRDefault="0038014B" w:rsidP="003841C1">
      <w:r w:rsidRPr="009C2FDE">
        <w:t xml:space="preserve">Chronic diseases—including heart disease, cancer, stroke, diabetes, arthritis, and related risk factors, such as tobacco use, physical inactivity, poor diet, and obesity—are the leading causes of death and disability in the United States, accounting for </w:t>
      </w:r>
      <w:r w:rsidR="008725AF" w:rsidRPr="009C2FDE">
        <w:t>seven</w:t>
      </w:r>
      <w:r w:rsidRPr="009C2FDE">
        <w:t xml:space="preserve"> of every</w:t>
      </w:r>
      <w:r w:rsidR="008725AF" w:rsidRPr="009C2FDE">
        <w:t xml:space="preserve"> ten</w:t>
      </w:r>
      <w:r w:rsidRPr="009C2FDE">
        <w:t xml:space="preserve"> deaths and affecting the quality of life of 90 million Americans</w:t>
      </w:r>
      <w:r w:rsidRPr="009C2FDE">
        <w:rPr>
          <w:b/>
        </w:rPr>
        <w:t xml:space="preserve">. </w:t>
      </w:r>
      <w:r w:rsidRPr="009C2FDE">
        <w:t xml:space="preserve"> Reducing death and disability </w:t>
      </w:r>
      <w:r w:rsidR="00010E9A" w:rsidRPr="009C2FDE">
        <w:t xml:space="preserve">through </w:t>
      </w:r>
      <w:r w:rsidRPr="009C2FDE">
        <w:t xml:space="preserve">the prevention and control of </w:t>
      </w:r>
      <w:r w:rsidR="001A793B" w:rsidRPr="009C2FDE">
        <w:t>chronic</w:t>
      </w:r>
      <w:r w:rsidRPr="009C2FDE">
        <w:t xml:space="preserve"> conditions, and their risk factors, has critical importance for public health.</w:t>
      </w:r>
      <w:r w:rsidR="001A793B" w:rsidRPr="009C2FDE">
        <w:t xml:space="preserve">  </w:t>
      </w:r>
      <w:r w:rsidR="001C4720" w:rsidRPr="009C2FDE">
        <w:t>However, s</w:t>
      </w:r>
      <w:r w:rsidR="00637481" w:rsidRPr="009C2FDE">
        <w:t>olving the nation’s chronic disease problems requires the work of multiple sectors</w:t>
      </w:r>
      <w:r w:rsidR="001C4720" w:rsidRPr="009C2FDE">
        <w:t xml:space="preserve">.  Collaborations </w:t>
      </w:r>
      <w:r w:rsidR="00A720DA">
        <w:t xml:space="preserve">of governmental agencies via </w:t>
      </w:r>
      <w:r w:rsidR="001C4720" w:rsidRPr="009C2FDE">
        <w:t>federal</w:t>
      </w:r>
      <w:r w:rsidR="00A720DA">
        <w:t>,</w:t>
      </w:r>
      <w:r w:rsidR="001C4720" w:rsidRPr="009C2FDE">
        <w:t xml:space="preserve"> state, local and trib</w:t>
      </w:r>
      <w:r w:rsidR="00A720DA">
        <w:t>es,</w:t>
      </w:r>
      <w:r w:rsidR="001C4720" w:rsidRPr="009C2FDE">
        <w:t xml:space="preserve"> and </w:t>
      </w:r>
      <w:r w:rsidR="00525489" w:rsidRPr="009C2FDE">
        <w:t>non-government</w:t>
      </w:r>
      <w:r w:rsidR="00A720DA">
        <w:t>al</w:t>
      </w:r>
      <w:r w:rsidR="00525489" w:rsidRPr="009C2FDE">
        <w:t xml:space="preserve"> </w:t>
      </w:r>
      <w:r w:rsidR="00AF1592">
        <w:t>organizations</w:t>
      </w:r>
      <w:r w:rsidR="00525489" w:rsidRPr="009C2FDE">
        <w:t xml:space="preserve"> </w:t>
      </w:r>
      <w:r w:rsidR="00E21CD0" w:rsidRPr="009C2FDE">
        <w:t>are neede</w:t>
      </w:r>
      <w:r w:rsidR="001A793B" w:rsidRPr="009C2FDE">
        <w:t xml:space="preserve">d </w:t>
      </w:r>
      <w:r w:rsidR="00637481" w:rsidRPr="009C2FDE">
        <w:t xml:space="preserve">to create environments that support health and healthy behaviors </w:t>
      </w:r>
      <w:r w:rsidR="001A793B" w:rsidRPr="009C2FDE">
        <w:t>and reduce health disparities.</w:t>
      </w:r>
      <w:r w:rsidR="00637481" w:rsidRPr="009C2FDE">
        <w:t xml:space="preserve"> </w:t>
      </w:r>
      <w:r w:rsidR="003D7B10" w:rsidRPr="009C2FDE">
        <w:t xml:space="preserve"> </w:t>
      </w:r>
      <w:r w:rsidR="00B6331B" w:rsidRPr="009C2FDE">
        <w:t xml:space="preserve">When all </w:t>
      </w:r>
      <w:r w:rsidR="00AF1592">
        <w:t>sectors</w:t>
      </w:r>
      <w:r w:rsidR="00B6331B" w:rsidRPr="009C2FDE">
        <w:t xml:space="preserve"> work toward common chronic disease prevention priorities, improvements in health can be amplified and accelerated.</w:t>
      </w:r>
      <w:r w:rsidR="00D012A0" w:rsidRPr="009C2FDE">
        <w:t xml:space="preserve"> </w:t>
      </w:r>
    </w:p>
    <w:p w14:paraId="3D6A81FC" w14:textId="77777777" w:rsidR="00E21CD0" w:rsidRPr="009C2FDE" w:rsidRDefault="00E21CD0" w:rsidP="003841C1"/>
    <w:p w14:paraId="3A0976DD" w14:textId="77777777" w:rsidR="00A65004" w:rsidRDefault="00976D26" w:rsidP="00274DAA">
      <w:pPr>
        <w:spacing w:after="120"/>
      </w:pPr>
      <w:r w:rsidRPr="009C2FDE">
        <w:t>In 2014,</w:t>
      </w:r>
      <w:r w:rsidR="009C223E" w:rsidRPr="009C2FDE">
        <w:t xml:space="preserve"> NCCDPHP announced </w:t>
      </w:r>
      <w:r w:rsidR="00274DAA">
        <w:t>a</w:t>
      </w:r>
      <w:r w:rsidR="00A65004" w:rsidRPr="009C2FDE">
        <w:t xml:space="preserve"> new </w:t>
      </w:r>
      <w:r w:rsidR="009306D0" w:rsidRPr="009C2FDE">
        <w:t xml:space="preserve">cooperative agreement </w:t>
      </w:r>
      <w:r w:rsidRPr="009C2FDE">
        <w:t>program</w:t>
      </w:r>
      <w:r w:rsidR="00CC5D48" w:rsidRPr="009C2FDE">
        <w:t xml:space="preserve"> to improve and/or implement sustainable, community-based programs that address the primary causes of chronic diseases</w:t>
      </w:r>
      <w:r w:rsidR="00274DAA">
        <w:t xml:space="preserve">, </w:t>
      </w:r>
      <w:r w:rsidR="00A65004" w:rsidRPr="009C2FDE">
        <w:t>Racial and Ethnic Approaches to Comm</w:t>
      </w:r>
      <w:r w:rsidR="002A0491" w:rsidRPr="009C2FDE">
        <w:t>unity Health (REACH; FOA DP14-1419PPHF14</w:t>
      </w:r>
      <w:r w:rsidR="00274DAA" w:rsidRPr="00184EFE">
        <w:t>). REACH was designed to be a three-year cooperative agreement.  In 2017, REACH was provided supplemental funding for an additional year.</w:t>
      </w:r>
    </w:p>
    <w:p w14:paraId="1821DFB8" w14:textId="77777777" w:rsidR="008860F1" w:rsidRPr="009C2FDE" w:rsidRDefault="008860F1" w:rsidP="00D43096">
      <w:pPr>
        <w:rPr>
          <w:color w:val="000000" w:themeColor="text1"/>
        </w:rPr>
      </w:pPr>
    </w:p>
    <w:p w14:paraId="66904ABE" w14:textId="77777777" w:rsidR="005A16ED" w:rsidRPr="009C2FDE" w:rsidRDefault="00274DAA" w:rsidP="00D43096">
      <w:r>
        <w:t xml:space="preserve">The REACH Program is </w:t>
      </w:r>
      <w:r w:rsidR="00150032" w:rsidRPr="009C2FDE">
        <w:t>specifically designed to facilitate the work of</w:t>
      </w:r>
      <w:r w:rsidR="003E69A1" w:rsidRPr="009C2FDE">
        <w:t xml:space="preserve"> </w:t>
      </w:r>
      <w:r w:rsidR="00AF1592">
        <w:t xml:space="preserve">state, </w:t>
      </w:r>
      <w:r w:rsidR="00BE6B58" w:rsidRPr="009C2FDE">
        <w:t>local</w:t>
      </w:r>
      <w:r w:rsidR="00AF1592">
        <w:t>,</w:t>
      </w:r>
      <w:r w:rsidR="006254FC">
        <w:t xml:space="preserve"> </w:t>
      </w:r>
      <w:r w:rsidR="00BE6B58" w:rsidRPr="009C2FDE">
        <w:t xml:space="preserve">and tribal </w:t>
      </w:r>
      <w:r w:rsidR="00EE40E7" w:rsidRPr="009C2FDE">
        <w:t>government</w:t>
      </w:r>
      <w:r w:rsidR="00AF1592">
        <w:t>al</w:t>
      </w:r>
      <w:r w:rsidR="00EE40E7" w:rsidRPr="009C2FDE">
        <w:t xml:space="preserve"> </w:t>
      </w:r>
      <w:r w:rsidR="00AF1592">
        <w:t xml:space="preserve">agencies, </w:t>
      </w:r>
      <w:r w:rsidR="0085485E" w:rsidRPr="009C2FDE">
        <w:t>non-government</w:t>
      </w:r>
      <w:r w:rsidR="00AF1592">
        <w:t>al</w:t>
      </w:r>
      <w:r w:rsidR="0085485E" w:rsidRPr="009C2FDE">
        <w:t xml:space="preserve"> </w:t>
      </w:r>
      <w:r w:rsidR="00AF1592">
        <w:t>organizations</w:t>
      </w:r>
      <w:r w:rsidR="00BE6B58" w:rsidRPr="009C2FDE">
        <w:t>,</w:t>
      </w:r>
      <w:r w:rsidR="003E69A1" w:rsidRPr="009C2FDE">
        <w:t xml:space="preserve"> and national organizations </w:t>
      </w:r>
      <w:r w:rsidR="00D012A0" w:rsidRPr="009C2FDE">
        <w:t xml:space="preserve">that </w:t>
      </w:r>
      <w:r w:rsidR="00D84E3A" w:rsidRPr="009C2FDE">
        <w:t>need additional support to implement evidence- and practice-bas</w:t>
      </w:r>
      <w:r w:rsidR="007D4445" w:rsidRPr="009C2FDE">
        <w:t>ed interventions for reducing</w:t>
      </w:r>
      <w:r w:rsidR="00C02407" w:rsidRPr="009C2FDE">
        <w:t xml:space="preserve"> </w:t>
      </w:r>
      <w:r w:rsidR="007D4445" w:rsidRPr="009C2FDE">
        <w:t xml:space="preserve">the prevalence of </w:t>
      </w:r>
      <w:r w:rsidR="00C02407" w:rsidRPr="009C2FDE">
        <w:t>chronic diseases and risk factors for chronic disease</w:t>
      </w:r>
      <w:r w:rsidR="007D4445" w:rsidRPr="009C2FDE">
        <w:t>s</w:t>
      </w:r>
      <w:r w:rsidR="00D84E3A" w:rsidRPr="009C2FDE">
        <w:t>.</w:t>
      </w:r>
      <w:r w:rsidR="007E128F" w:rsidRPr="009C2FDE">
        <w:t xml:space="preserve">  </w:t>
      </w:r>
      <w:r w:rsidR="00AE409A" w:rsidRPr="009C2FDE">
        <w:t>The cooperative agreement build</w:t>
      </w:r>
      <w:r>
        <w:t>s</w:t>
      </w:r>
      <w:r w:rsidR="00AE409A" w:rsidRPr="009C2FDE">
        <w:t xml:space="preserve"> on </w:t>
      </w:r>
      <w:r w:rsidR="003D1B3F" w:rsidRPr="009C2FDE">
        <w:t xml:space="preserve">awardees’ </w:t>
      </w:r>
      <w:r w:rsidR="00AE409A" w:rsidRPr="009C2FDE">
        <w:t>previous efforts to establish coalitions or networks of multi-sector organizations, analyze local health issues, or develop plans to shape systems and environments that promote and sustain health and quality of life.</w:t>
      </w:r>
      <w:r w:rsidR="009A5884" w:rsidRPr="009C2FDE">
        <w:t xml:space="preserve"> </w:t>
      </w:r>
      <w:r w:rsidR="00AE409A" w:rsidRPr="009C2FDE">
        <w:t xml:space="preserve"> </w:t>
      </w:r>
      <w:r w:rsidR="007E128F" w:rsidRPr="009C2FDE">
        <w:t xml:space="preserve">Awardees </w:t>
      </w:r>
      <w:r>
        <w:t>are</w:t>
      </w:r>
      <w:r w:rsidR="007E128F" w:rsidRPr="009C2FDE">
        <w:t xml:space="preserve"> implement</w:t>
      </w:r>
      <w:r>
        <w:t>ing</w:t>
      </w:r>
      <w:r w:rsidR="007E128F" w:rsidRPr="009C2FDE">
        <w:t xml:space="preserve"> population-based interventions that address poor nutrition, low physical activity, tobacco use and exposure, and lack of access to chronic disease prevention or risk reduction opportunities.  </w:t>
      </w:r>
    </w:p>
    <w:p w14:paraId="48903E01" w14:textId="77777777" w:rsidR="00E61040" w:rsidRPr="009C2FDE" w:rsidRDefault="00E61040" w:rsidP="00A9732B"/>
    <w:p w14:paraId="60A7842D" w14:textId="77777777" w:rsidR="00A04E14" w:rsidRPr="009C2FDE" w:rsidRDefault="00AE409A" w:rsidP="004C26C0">
      <w:r w:rsidRPr="009C2FDE">
        <w:t xml:space="preserve">Interventions </w:t>
      </w:r>
      <w:r w:rsidR="00274DAA">
        <w:t>are</w:t>
      </w:r>
      <w:r w:rsidRPr="009C2FDE">
        <w:t xml:space="preserve"> be</w:t>
      </w:r>
      <w:r w:rsidR="00274DAA">
        <w:t>ing</w:t>
      </w:r>
      <w:r w:rsidRPr="009C2FDE">
        <w:t xml:space="preserve"> implemented </w:t>
      </w:r>
      <w:r w:rsidR="00577886" w:rsidRPr="009C2FDE">
        <w:t>across various settings (i.e., community, community institution/organization, faith-based, health care, school, work site) to increase access to healthier living for at least 75% of the</w:t>
      </w:r>
      <w:r w:rsidRPr="009C2FDE">
        <w:t xml:space="preserve"> population in </w:t>
      </w:r>
      <w:r w:rsidR="003D1B3F" w:rsidRPr="009C2FDE">
        <w:t>a targeted</w:t>
      </w:r>
      <w:r w:rsidR="00577886" w:rsidRPr="009C2FDE">
        <w:t xml:space="preserve"> jurisdiction. </w:t>
      </w:r>
      <w:r w:rsidR="003D7B10" w:rsidRPr="009C2FDE">
        <w:t xml:space="preserve"> </w:t>
      </w:r>
      <w:r w:rsidR="00274DAA">
        <w:t>The FOA</w:t>
      </w:r>
      <w:r w:rsidR="004C26C0" w:rsidRPr="009C2FDE">
        <w:t xml:space="preserve"> propose</w:t>
      </w:r>
      <w:r w:rsidR="00274DAA">
        <w:t>s</w:t>
      </w:r>
      <w:r w:rsidR="004C26C0" w:rsidRPr="009C2FDE">
        <w:t xml:space="preserve"> steps to improve and /or implement sustainable, community-based improvements that address the primary causes of chronic diseases.</w:t>
      </w:r>
    </w:p>
    <w:p w14:paraId="1586AE0F" w14:textId="77777777" w:rsidR="00BB0202" w:rsidRPr="009C2FDE" w:rsidRDefault="00BB0202" w:rsidP="00A9732B"/>
    <w:p w14:paraId="6AD024A7" w14:textId="77777777" w:rsidR="00813C3B" w:rsidRDefault="00493E0F" w:rsidP="00A9732B">
      <w:r w:rsidRPr="009C2FDE">
        <w:t xml:space="preserve">Each </w:t>
      </w:r>
      <w:r w:rsidR="00DD558D">
        <w:t>REACH</w:t>
      </w:r>
      <w:r w:rsidR="004D746C" w:rsidRPr="009C2FDE">
        <w:t xml:space="preserve"> </w:t>
      </w:r>
      <w:r w:rsidR="00BD0300" w:rsidRPr="009C2FDE">
        <w:t xml:space="preserve">program </w:t>
      </w:r>
      <w:r w:rsidRPr="009C2FDE">
        <w:t xml:space="preserve">awardee </w:t>
      </w:r>
      <w:r w:rsidR="00D55FB6" w:rsidRPr="009C2FDE">
        <w:t>funded under DP14-1419PPHF14</w:t>
      </w:r>
      <w:r w:rsidR="00274DAA">
        <w:t xml:space="preserve"> </w:t>
      </w:r>
      <w:r w:rsidRPr="009C2FDE">
        <w:t>is charged with implementing a community-</w:t>
      </w:r>
      <w:r w:rsidR="00C576B2" w:rsidRPr="009C2FDE">
        <w:t xml:space="preserve"> </w:t>
      </w:r>
      <w:r w:rsidR="008C677F" w:rsidRPr="009C2FDE">
        <w:t>or awardee-</w:t>
      </w:r>
      <w:r w:rsidRPr="009C2FDE">
        <w:t xml:space="preserve">specific </w:t>
      </w:r>
      <w:r w:rsidR="00010E9A" w:rsidRPr="009C2FDE">
        <w:t xml:space="preserve">work </w:t>
      </w:r>
      <w:r w:rsidRPr="009C2FDE">
        <w:t>plan</w:t>
      </w:r>
      <w:r w:rsidR="000C45ED" w:rsidRPr="009C2FDE">
        <w:t xml:space="preserve"> </w:t>
      </w:r>
      <w:r w:rsidR="001621BE" w:rsidRPr="009C2FDE">
        <w:t>that will</w:t>
      </w:r>
      <w:r w:rsidR="000C45ED" w:rsidRPr="009C2FDE">
        <w:t xml:space="preserve"> l</w:t>
      </w:r>
      <w:r w:rsidRPr="009C2FDE">
        <w:t xml:space="preserve">ead to </w:t>
      </w:r>
      <w:r w:rsidR="003D7B10" w:rsidRPr="009C2FDE">
        <w:t>explicit</w:t>
      </w:r>
      <w:r w:rsidRPr="009C2FDE">
        <w:t>, measurable health outcomes</w:t>
      </w:r>
      <w:r w:rsidR="00CC4206" w:rsidRPr="009C2FDE">
        <w:t xml:space="preserve"> </w:t>
      </w:r>
      <w:r w:rsidR="003A0CFB" w:rsidRPr="009C2FDE">
        <w:t xml:space="preserve">in its jurisdiction </w:t>
      </w:r>
      <w:r w:rsidR="00990D89" w:rsidRPr="009C2FDE">
        <w:t xml:space="preserve">(or service area) </w:t>
      </w:r>
      <w:r w:rsidR="00CC4206" w:rsidRPr="009C2FDE">
        <w:t>among an entire population or a specific population subgroup</w:t>
      </w:r>
      <w:r w:rsidRPr="009C2FDE">
        <w:t xml:space="preserve">. </w:t>
      </w:r>
      <w:r w:rsidR="003D7B10" w:rsidRPr="009C2FDE">
        <w:t xml:space="preserve"> </w:t>
      </w:r>
      <w:r w:rsidR="001C4311" w:rsidRPr="009C2FDE">
        <w:rPr>
          <w:rFonts w:eastAsia="Calibri"/>
        </w:rPr>
        <w:t>Although t</w:t>
      </w:r>
      <w:r w:rsidR="003A0CFB" w:rsidRPr="009C2FDE">
        <w:rPr>
          <w:rFonts w:eastAsia="Calibri"/>
        </w:rPr>
        <w:t xml:space="preserve">he </w:t>
      </w:r>
      <w:r w:rsidR="00BD0300" w:rsidRPr="009C2FDE">
        <w:rPr>
          <w:rFonts w:eastAsia="Calibri"/>
        </w:rPr>
        <w:t>program</w:t>
      </w:r>
      <w:r w:rsidR="003A0CFB" w:rsidRPr="009C2FDE">
        <w:rPr>
          <w:rFonts w:eastAsia="Calibri"/>
        </w:rPr>
        <w:t xml:space="preserve"> </w:t>
      </w:r>
      <w:r w:rsidR="00201653" w:rsidRPr="009C2FDE">
        <w:rPr>
          <w:rFonts w:eastAsia="Calibri"/>
        </w:rPr>
        <w:t>emphasize</w:t>
      </w:r>
      <w:r w:rsidR="00274DAA">
        <w:rPr>
          <w:rFonts w:eastAsia="Calibri"/>
        </w:rPr>
        <w:t>s</w:t>
      </w:r>
      <w:r w:rsidR="003A0CFB" w:rsidRPr="009C2FDE">
        <w:rPr>
          <w:rFonts w:eastAsia="Calibri"/>
        </w:rPr>
        <w:t xml:space="preserve"> po</w:t>
      </w:r>
      <w:r w:rsidR="001C4311" w:rsidRPr="009C2FDE">
        <w:rPr>
          <w:rFonts w:eastAsia="Calibri"/>
        </w:rPr>
        <w:t xml:space="preserve">licy and environmental </w:t>
      </w:r>
      <w:r w:rsidR="004D746C" w:rsidRPr="009C2FDE">
        <w:rPr>
          <w:rFonts w:eastAsia="Calibri"/>
        </w:rPr>
        <w:t>improvements</w:t>
      </w:r>
      <w:r w:rsidR="001C4311" w:rsidRPr="009C2FDE">
        <w:rPr>
          <w:rFonts w:eastAsia="Calibri"/>
        </w:rPr>
        <w:t>,</w:t>
      </w:r>
      <w:r w:rsidR="003A0CFB" w:rsidRPr="009C2FDE">
        <w:rPr>
          <w:rFonts w:eastAsia="Calibri"/>
        </w:rPr>
        <w:t xml:space="preserve"> </w:t>
      </w:r>
      <w:r w:rsidR="0029036F" w:rsidRPr="009C2FDE">
        <w:rPr>
          <w:rFonts w:eastAsia="Calibri"/>
        </w:rPr>
        <w:t>a</w:t>
      </w:r>
      <w:r w:rsidR="003A0CFB" w:rsidRPr="009C2FDE">
        <w:t xml:space="preserve">ctivities that may be supported with </w:t>
      </w:r>
      <w:r w:rsidR="00274DAA">
        <w:t>REACH</w:t>
      </w:r>
      <w:r w:rsidR="004D746C" w:rsidRPr="009C2FDE">
        <w:t xml:space="preserve"> </w:t>
      </w:r>
      <w:r w:rsidR="00BD0300" w:rsidRPr="009C2FDE">
        <w:t xml:space="preserve">program </w:t>
      </w:r>
      <w:r w:rsidR="003A0CFB" w:rsidRPr="009C2FDE">
        <w:t>funding</w:t>
      </w:r>
      <w:r w:rsidR="00DE79A2" w:rsidRPr="009C2FDE">
        <w:t xml:space="preserve"> include</w:t>
      </w:r>
      <w:r w:rsidR="0029036F" w:rsidRPr="009C2FDE">
        <w:t>:</w:t>
      </w:r>
      <w:r w:rsidR="00DE79A2" w:rsidRPr="009C2FDE">
        <w:t xml:space="preserve"> </w:t>
      </w:r>
      <w:r w:rsidR="00416509" w:rsidRPr="009C2FDE">
        <w:t xml:space="preserve">establishing or strengthening </w:t>
      </w:r>
      <w:r w:rsidR="00DE79A2" w:rsidRPr="009C2FDE">
        <w:t>community coalitions</w:t>
      </w:r>
      <w:r w:rsidR="00416509" w:rsidRPr="009C2FDE">
        <w:t xml:space="preserve">; participating in </w:t>
      </w:r>
      <w:r w:rsidR="00DE79A2" w:rsidRPr="009C2FDE">
        <w:t xml:space="preserve">appropriate training; conducting community-specific </w:t>
      </w:r>
      <w:r w:rsidR="00416509" w:rsidRPr="009C2FDE">
        <w:t>needs assessment</w:t>
      </w:r>
      <w:r w:rsidR="00DE79A2" w:rsidRPr="009C2FDE">
        <w:t>s; promot</w:t>
      </w:r>
      <w:r w:rsidR="00416509" w:rsidRPr="009C2FDE">
        <w:t xml:space="preserve">ing community engagement with populations experiencing health disparities; </w:t>
      </w:r>
      <w:r w:rsidR="00996506" w:rsidRPr="009C2FDE">
        <w:t>analyzin</w:t>
      </w:r>
      <w:r w:rsidR="00DE79A2" w:rsidRPr="009C2FDE">
        <w:t>g</w:t>
      </w:r>
      <w:r w:rsidR="00416509" w:rsidRPr="009C2FDE">
        <w:t xml:space="preserve"> gaps in existing policies, systems, and environments</w:t>
      </w:r>
      <w:r w:rsidR="005A5D9C" w:rsidRPr="009C2FDE">
        <w:t>;</w:t>
      </w:r>
      <w:r w:rsidR="00274DAA">
        <w:t xml:space="preserve"> and</w:t>
      </w:r>
      <w:r w:rsidR="005A5D9C" w:rsidRPr="009C2FDE">
        <w:t xml:space="preserve"> implementing</w:t>
      </w:r>
      <w:r w:rsidR="00781B4F" w:rsidRPr="009C2FDE">
        <w:t xml:space="preserve"> evidence-based strategies and </w:t>
      </w:r>
      <w:r w:rsidR="005A5D9C" w:rsidRPr="009C2FDE">
        <w:t>evaluating</w:t>
      </w:r>
      <w:r w:rsidR="00781B4F" w:rsidRPr="009C2FDE">
        <w:t xml:space="preserve"> promising interventions</w:t>
      </w:r>
      <w:r w:rsidR="00416509" w:rsidRPr="009C2FDE">
        <w:t>.</w:t>
      </w:r>
    </w:p>
    <w:p w14:paraId="4E1B0524" w14:textId="77777777" w:rsidR="00697739" w:rsidRDefault="00697739" w:rsidP="00A9732B"/>
    <w:p w14:paraId="7DA11442" w14:textId="1B919A3E" w:rsidR="00F8697F" w:rsidRPr="009C2FDE" w:rsidRDefault="009C7562" w:rsidP="00697739">
      <w:pPr>
        <w:spacing w:after="120"/>
      </w:pPr>
      <w:r w:rsidRPr="00697739">
        <w:t xml:space="preserve">CDC </w:t>
      </w:r>
      <w:r w:rsidR="006472DD" w:rsidRPr="00697739">
        <w:t>awarded</w:t>
      </w:r>
      <w:r w:rsidRPr="00697739">
        <w:t xml:space="preserve"> </w:t>
      </w:r>
      <w:r w:rsidR="00697739" w:rsidRPr="00697739">
        <w:t>49</w:t>
      </w:r>
      <w:r w:rsidRPr="00697739">
        <w:t xml:space="preserve"> </w:t>
      </w:r>
      <w:r w:rsidR="0087320B">
        <w:t xml:space="preserve">REACH </w:t>
      </w:r>
      <w:r w:rsidRPr="00697739">
        <w:t>cooperative agreement</w:t>
      </w:r>
      <w:r w:rsidR="006472DD" w:rsidRPr="00697739">
        <w:t>s</w:t>
      </w:r>
      <w:r w:rsidRPr="00697739">
        <w:t xml:space="preserve"> in September 2014 (</w:t>
      </w:r>
      <w:r w:rsidR="00697739" w:rsidRPr="00697739">
        <w:t>18</w:t>
      </w:r>
      <w:r w:rsidRPr="00697739">
        <w:t xml:space="preserve"> awards to </w:t>
      </w:r>
      <w:r w:rsidR="006254FC" w:rsidRPr="00697739">
        <w:t xml:space="preserve">state, </w:t>
      </w:r>
      <w:r w:rsidRPr="00697739">
        <w:t>local and tribal go</w:t>
      </w:r>
      <w:r w:rsidR="00824B97" w:rsidRPr="00697739">
        <w:t>vernment</w:t>
      </w:r>
      <w:r w:rsidR="006254FC" w:rsidRPr="00697739">
        <w:t>al</w:t>
      </w:r>
      <w:r w:rsidR="00EE40E7" w:rsidRPr="00697739">
        <w:t xml:space="preserve"> </w:t>
      </w:r>
      <w:r w:rsidR="006254FC" w:rsidRPr="00697739">
        <w:t xml:space="preserve">agencies </w:t>
      </w:r>
      <w:r w:rsidR="00824B97" w:rsidRPr="00697739">
        <w:t xml:space="preserve">and </w:t>
      </w:r>
      <w:r w:rsidR="00697739" w:rsidRPr="00697739">
        <w:t>31</w:t>
      </w:r>
      <w:r w:rsidR="00824B97" w:rsidRPr="00697739">
        <w:t xml:space="preserve"> awards to </w:t>
      </w:r>
      <w:r w:rsidR="0085485E" w:rsidRPr="00697739">
        <w:t>non-government</w:t>
      </w:r>
      <w:r w:rsidR="006254FC" w:rsidRPr="00697739">
        <w:t>al organizations</w:t>
      </w:r>
      <w:r w:rsidR="00A01CEA" w:rsidRPr="00697739">
        <w:t xml:space="preserve">; see </w:t>
      </w:r>
      <w:r w:rsidR="00A01CEA" w:rsidRPr="00697739">
        <w:rPr>
          <w:b/>
        </w:rPr>
        <w:t>Attachment 2</w:t>
      </w:r>
      <w:r w:rsidR="00A01CEA" w:rsidRPr="00697739">
        <w:t xml:space="preserve"> for a List of Awardees</w:t>
      </w:r>
      <w:r w:rsidR="006472DD" w:rsidRPr="00697739">
        <w:t>)</w:t>
      </w:r>
      <w:r w:rsidRPr="00697739">
        <w:t xml:space="preserve">.  </w:t>
      </w:r>
      <w:r w:rsidR="00201653" w:rsidRPr="00697739">
        <w:t xml:space="preserve">Each </w:t>
      </w:r>
      <w:r w:rsidR="00274DAA" w:rsidRPr="00697739">
        <w:t>REACH</w:t>
      </w:r>
      <w:r w:rsidR="004D746C" w:rsidRPr="00697739">
        <w:t xml:space="preserve"> </w:t>
      </w:r>
      <w:r w:rsidR="00BD0300" w:rsidRPr="00697739">
        <w:t>program</w:t>
      </w:r>
      <w:r w:rsidR="00201653" w:rsidRPr="00697739">
        <w:t xml:space="preserve"> awardee </w:t>
      </w:r>
      <w:r w:rsidR="00274DAA" w:rsidRPr="00697739">
        <w:t>is</w:t>
      </w:r>
      <w:r w:rsidR="00201653" w:rsidRPr="00697739">
        <w:t xml:space="preserve"> required to provide</w:t>
      </w:r>
      <w:r w:rsidR="00FE2B16" w:rsidRPr="00697739">
        <w:t xml:space="preserve"> semi-annual reports to CDC describing</w:t>
      </w:r>
      <w:r w:rsidR="00201653" w:rsidRPr="00697739">
        <w:t xml:space="preserve"> its </w:t>
      </w:r>
      <w:r w:rsidR="00FA4AD5" w:rsidRPr="00697739">
        <w:t xml:space="preserve">work </w:t>
      </w:r>
      <w:r w:rsidR="00201653" w:rsidRPr="00697739">
        <w:t xml:space="preserve">plan, activities, and progress toward achieving objectives. </w:t>
      </w:r>
      <w:r w:rsidRPr="00184EFE">
        <w:t xml:space="preserve">CDC requests OMB approval to </w:t>
      </w:r>
      <w:r w:rsidR="00697739" w:rsidRPr="00184EFE">
        <w:t xml:space="preserve">extend the current OMB approval timeframe to </w:t>
      </w:r>
      <w:r w:rsidRPr="00184EFE">
        <w:t xml:space="preserve">collect this information through </w:t>
      </w:r>
      <w:r w:rsidR="00697739" w:rsidRPr="00184EFE">
        <w:t>the</w:t>
      </w:r>
      <w:r w:rsidR="00E47CDC" w:rsidRPr="00184EFE">
        <w:t xml:space="preserve"> electronic</w:t>
      </w:r>
      <w:r w:rsidRPr="00184EFE">
        <w:t xml:space="preserve"> </w:t>
      </w:r>
      <w:r w:rsidR="00F33207" w:rsidRPr="00184EFE">
        <w:t>management information system (MIS)</w:t>
      </w:r>
      <w:r w:rsidR="00274DAA" w:rsidRPr="00184EFE">
        <w:t xml:space="preserve"> for the fourth year of the program</w:t>
      </w:r>
      <w:r w:rsidR="00697739" w:rsidRPr="00184EFE">
        <w:t xml:space="preserve"> </w:t>
      </w:r>
      <w:r w:rsidR="00697739" w:rsidRPr="00184EFE">
        <w:rPr>
          <w:bCs/>
        </w:rPr>
        <w:t>ending in March 31, 2019.  This will allow REACH awardees to continue to provide semi-annual reports to CDC describing their work plan, activities and progress toward achieving objectives during the fourth year of funding.</w:t>
      </w:r>
      <w:r w:rsidR="00697739" w:rsidRPr="00697739">
        <w:rPr>
          <w:bCs/>
        </w:rPr>
        <w:t xml:space="preserve"> </w:t>
      </w:r>
      <w:r w:rsidR="00F33207" w:rsidRPr="00697739">
        <w:t xml:space="preserve"> During </w:t>
      </w:r>
      <w:r w:rsidR="00F850A3" w:rsidRPr="00697739">
        <w:t xml:space="preserve">the </w:t>
      </w:r>
      <w:r w:rsidR="00F33207" w:rsidRPr="00697739">
        <w:t>development</w:t>
      </w:r>
      <w:r w:rsidR="00F850A3" w:rsidRPr="00697739">
        <w:t>al phase</w:t>
      </w:r>
      <w:r w:rsidR="00F33207" w:rsidRPr="00697739">
        <w:t xml:space="preserve">, the MIS was called the </w:t>
      </w:r>
      <w:r w:rsidR="00B3693C" w:rsidRPr="00697739">
        <w:t>Policy, Environment, Programmatic, and Infrastructure Database (PEPID)</w:t>
      </w:r>
      <w:r w:rsidRPr="00697739">
        <w:t xml:space="preserve">.  </w:t>
      </w:r>
      <w:r w:rsidR="00F850A3" w:rsidRPr="00697739">
        <w:t>The version prepared for release</w:t>
      </w:r>
      <w:r w:rsidR="00F33207" w:rsidRPr="00697739">
        <w:t xml:space="preserve"> has been renamed the DCH</w:t>
      </w:r>
      <w:r w:rsidR="00F33207" w:rsidRPr="00274DAA">
        <w:t xml:space="preserve">-Performance Monitoring Database (DCH-PMD; see </w:t>
      </w:r>
      <w:r w:rsidR="00F33207" w:rsidRPr="00274DAA">
        <w:rPr>
          <w:b/>
        </w:rPr>
        <w:t>Attachment 3a</w:t>
      </w:r>
      <w:r w:rsidR="00F33207" w:rsidRPr="00812CC4">
        <w:t xml:space="preserve">).  </w:t>
      </w:r>
      <w:r w:rsidR="008C1EF8" w:rsidRPr="00812CC4">
        <w:t xml:space="preserve">Initial work plans </w:t>
      </w:r>
      <w:r w:rsidR="00274DAA" w:rsidRPr="00812CC4">
        <w:t>were</w:t>
      </w:r>
      <w:r w:rsidR="008C1EF8" w:rsidRPr="00812CC4">
        <w:t xml:space="preserve"> entered into the </w:t>
      </w:r>
      <w:r w:rsidR="0076255F" w:rsidRPr="00812CC4">
        <w:t>DCH-PMD</w:t>
      </w:r>
      <w:r w:rsidR="008C1EF8" w:rsidRPr="00812CC4">
        <w:t xml:space="preserve"> in Fall/Winter 2014, and </w:t>
      </w:r>
      <w:r w:rsidR="008C677F" w:rsidRPr="00812CC4">
        <w:t>interim report</w:t>
      </w:r>
      <w:r w:rsidR="0089521B" w:rsidRPr="00812CC4">
        <w:t xml:space="preserve">s </w:t>
      </w:r>
      <w:r w:rsidR="00274DAA" w:rsidRPr="00812CC4">
        <w:t>have been</w:t>
      </w:r>
      <w:r w:rsidR="00812CC4">
        <w:t xml:space="preserve"> (or will be)</w:t>
      </w:r>
      <w:r w:rsidR="00274DAA" w:rsidRPr="00812CC4">
        <w:t xml:space="preserve"> submitted approximately every six months thereafter</w:t>
      </w:r>
      <w:r w:rsidR="00F8697F" w:rsidRPr="00812CC4">
        <w:t xml:space="preserve">.  </w:t>
      </w:r>
      <w:r w:rsidR="00274DAA" w:rsidRPr="00812CC4">
        <w:t xml:space="preserve">In year four, an interim report </w:t>
      </w:r>
      <w:r w:rsidR="00812CC4" w:rsidRPr="00812CC4">
        <w:t>and final report will be entered into the DCH-PMD in April 2018 and December 2018, respectively.</w:t>
      </w:r>
      <w:r w:rsidR="00812CC4">
        <w:t xml:space="preserve">  </w:t>
      </w:r>
      <w:r w:rsidR="0076255F" w:rsidRPr="00274DAA">
        <w:t>Each awardee receive</w:t>
      </w:r>
      <w:r w:rsidR="00274DAA" w:rsidRPr="00274DAA">
        <w:t>d</w:t>
      </w:r>
      <w:r w:rsidR="0076255F" w:rsidRPr="00274DAA">
        <w:t xml:space="preserve"> an instructional manual </w:t>
      </w:r>
      <w:r w:rsidR="00F850A3" w:rsidRPr="00274DAA">
        <w:t xml:space="preserve">for the MIS </w:t>
      </w:r>
      <w:r w:rsidR="0076255F" w:rsidRPr="00274DAA">
        <w:t xml:space="preserve">(see </w:t>
      </w:r>
      <w:r w:rsidR="0076255F" w:rsidRPr="00274DAA">
        <w:rPr>
          <w:b/>
        </w:rPr>
        <w:t>Attachment 3b, DCH-PMD User Guide</w:t>
      </w:r>
      <w:r w:rsidR="0076255F" w:rsidRPr="00274DAA">
        <w:t xml:space="preserve">) as well as </w:t>
      </w:r>
      <w:r w:rsidR="00274DAA" w:rsidRPr="00274DAA">
        <w:t xml:space="preserve">on-going </w:t>
      </w:r>
      <w:r w:rsidR="0076255F" w:rsidRPr="00274DAA">
        <w:t>technical a</w:t>
      </w:r>
      <w:r w:rsidR="00477AA5" w:rsidRPr="00274DAA">
        <w:t xml:space="preserve">ssistance from </w:t>
      </w:r>
      <w:r w:rsidR="00274DAA" w:rsidRPr="00274DAA">
        <w:t>DNPAO</w:t>
      </w:r>
      <w:r w:rsidR="00477AA5" w:rsidRPr="00274DAA">
        <w:t>, as needed.</w:t>
      </w:r>
    </w:p>
    <w:p w14:paraId="2793348B" w14:textId="77777777" w:rsidR="00F8697F" w:rsidRPr="009C2FDE" w:rsidRDefault="00F8697F" w:rsidP="00A02743"/>
    <w:p w14:paraId="5553890B" w14:textId="77777777" w:rsidR="009469CE" w:rsidRDefault="00F8697F" w:rsidP="00346BD5">
      <w:r w:rsidRPr="009C2FDE">
        <w:t xml:space="preserve">CDC also requests OMB approval to conduct one special-purpose data collection per year </w:t>
      </w:r>
      <w:r w:rsidR="005D4468" w:rsidRPr="009C2FDE">
        <w:t xml:space="preserve">(on average) </w:t>
      </w:r>
      <w:r w:rsidRPr="009C2FDE">
        <w:t>f</w:t>
      </w:r>
      <w:r w:rsidR="00A8354E" w:rsidRPr="009C2FDE">
        <w:t>or awardees funded under DP14-1419PPHF14</w:t>
      </w:r>
      <w:r w:rsidRPr="009C2FDE">
        <w:t xml:space="preserve">.  </w:t>
      </w:r>
      <w:r w:rsidR="005D4468" w:rsidRPr="009C2FDE">
        <w:t>CDC anticipates that additional, targeted information may be needed due to</w:t>
      </w:r>
      <w:r w:rsidRPr="009C2FDE">
        <w:t xml:space="preserve"> substantial interest in the new cooperative programs</w:t>
      </w:r>
      <w:r w:rsidR="005D4468" w:rsidRPr="009C2FDE">
        <w:t xml:space="preserve"> from a variety of stakeholders</w:t>
      </w:r>
      <w:r w:rsidRPr="009C2FDE">
        <w:t xml:space="preserve">.  </w:t>
      </w:r>
      <w:r w:rsidR="00137D40">
        <w:t xml:space="preserve">This expectation is based on CDC’s previous experience </w:t>
      </w:r>
      <w:r w:rsidR="004579E4">
        <w:t xml:space="preserve">in </w:t>
      </w:r>
      <w:r w:rsidR="00430FA4">
        <w:t xml:space="preserve">implementing </w:t>
      </w:r>
      <w:r w:rsidR="00137D40">
        <w:t>new</w:t>
      </w:r>
      <w:r w:rsidR="004546B8">
        <w:t xml:space="preserve"> </w:t>
      </w:r>
      <w:r w:rsidR="00346BD5" w:rsidRPr="00346BD5">
        <w:t>cooperative agreement</w:t>
      </w:r>
      <w:r w:rsidR="00430FA4">
        <w:t xml:space="preserve"> programs</w:t>
      </w:r>
      <w:r w:rsidR="00137D40">
        <w:t>.</w:t>
      </w:r>
      <w:r w:rsidR="00346BD5" w:rsidRPr="00346BD5">
        <w:t xml:space="preserve"> </w:t>
      </w:r>
      <w:r w:rsidR="00137D40">
        <w:t xml:space="preserve"> </w:t>
      </w:r>
      <w:r w:rsidR="004B42DD">
        <w:t>In similar circumstances</w:t>
      </w:r>
      <w:r w:rsidR="0070784F">
        <w:t xml:space="preserve">, </w:t>
      </w:r>
      <w:r w:rsidR="00346BD5" w:rsidRPr="00346BD5">
        <w:t xml:space="preserve">CDC has received </w:t>
      </w:r>
      <w:r w:rsidR="00DF5F80">
        <w:t xml:space="preserve">ad hoc </w:t>
      </w:r>
      <w:r w:rsidR="00346BD5" w:rsidRPr="00346BD5">
        <w:t xml:space="preserve">inquiries from various </w:t>
      </w:r>
      <w:r w:rsidR="004546B8">
        <w:t>stakeholders</w:t>
      </w:r>
      <w:r w:rsidR="00346BD5" w:rsidRPr="00346BD5">
        <w:t xml:space="preserve">, such as the National Association of Chronic Disease Directors (NACDD), CDC leadership, the White House, HHS, and Congress. Given that </w:t>
      </w:r>
      <w:r w:rsidR="0070784F">
        <w:t>the</w:t>
      </w:r>
      <w:r w:rsidR="00346BD5" w:rsidRPr="00346BD5">
        <w:t xml:space="preserve"> </w:t>
      </w:r>
      <w:r w:rsidR="00DD558D">
        <w:t>REACH</w:t>
      </w:r>
      <w:r w:rsidR="0070784F">
        <w:t xml:space="preserve"> </w:t>
      </w:r>
      <w:r w:rsidR="00346BD5" w:rsidRPr="00346BD5">
        <w:t xml:space="preserve">awardees represent many non-traditional organizations (in addition to state and local public health agencies) there is a renewed interest </w:t>
      </w:r>
      <w:r w:rsidR="00DF5F80">
        <w:t>in</w:t>
      </w:r>
      <w:r w:rsidR="00346BD5" w:rsidRPr="00346BD5">
        <w:t xml:space="preserve"> understand</w:t>
      </w:r>
      <w:r w:rsidR="00DF5F80">
        <w:t>ing</w:t>
      </w:r>
      <w:r w:rsidR="00346BD5" w:rsidRPr="00346BD5">
        <w:t xml:space="preserve"> where these organizations are focusing their efforts</w:t>
      </w:r>
      <w:r w:rsidR="004B42DD">
        <w:t>.  For example, CDC could be asked to specify</w:t>
      </w:r>
      <w:r w:rsidR="00D3094C">
        <w:t xml:space="preserve"> how </w:t>
      </w:r>
      <w:r w:rsidR="00DD558D">
        <w:t>REACH</w:t>
      </w:r>
      <w:r w:rsidR="00D3094C">
        <w:t xml:space="preserve"> awardees are working in (or with)</w:t>
      </w:r>
      <w:r w:rsidR="00346BD5" w:rsidRPr="00346BD5">
        <w:t xml:space="preserve"> census tracts, cities, rural</w:t>
      </w:r>
      <w:r w:rsidR="003534AB">
        <w:t xml:space="preserve"> areas</w:t>
      </w:r>
      <w:r w:rsidR="00346BD5" w:rsidRPr="00346BD5">
        <w:t xml:space="preserve">, tribes, or specific diverse populations to achieve their goals.  </w:t>
      </w:r>
      <w:r w:rsidR="00DD558D">
        <w:t>DNPAO</w:t>
      </w:r>
      <w:r w:rsidR="00346BD5" w:rsidRPr="00346BD5">
        <w:t xml:space="preserve"> cannot fully anticipate the questions that </w:t>
      </w:r>
      <w:r w:rsidR="00D3094C">
        <w:t>may</w:t>
      </w:r>
      <w:r w:rsidR="00346BD5" w:rsidRPr="00346BD5">
        <w:t xml:space="preserve"> be asked</w:t>
      </w:r>
      <w:r w:rsidR="00D3094C">
        <w:t xml:space="preserve">, but proposes a mechanism for </w:t>
      </w:r>
      <w:r w:rsidR="00346BD5" w:rsidRPr="00346BD5">
        <w:t>contact</w:t>
      </w:r>
      <w:r w:rsidR="00D3094C">
        <w:t>ing</w:t>
      </w:r>
      <w:r w:rsidR="00346BD5" w:rsidRPr="00346BD5">
        <w:t xml:space="preserve"> awardees to </w:t>
      </w:r>
      <w:r w:rsidR="00714AE3">
        <w:t>obtain</w:t>
      </w:r>
      <w:r w:rsidR="00CF2AB9">
        <w:t xml:space="preserve"> additional </w:t>
      </w:r>
      <w:r w:rsidR="00F02F2B">
        <w:t xml:space="preserve">or clarifying </w:t>
      </w:r>
      <w:r w:rsidR="00714AE3">
        <w:t>information that may be</w:t>
      </w:r>
      <w:r w:rsidR="00346BD5" w:rsidRPr="00346BD5">
        <w:t xml:space="preserve"> needed to accurately respond to </w:t>
      </w:r>
      <w:r w:rsidR="00714AE3">
        <w:t>ad hoc</w:t>
      </w:r>
      <w:r w:rsidR="00346BD5" w:rsidRPr="00346BD5">
        <w:t xml:space="preserve"> requests.  Moreover, because many </w:t>
      </w:r>
      <w:r w:rsidR="00DD558D">
        <w:t>REACH</w:t>
      </w:r>
      <w:r w:rsidR="00346BD5" w:rsidRPr="00346BD5">
        <w:t xml:space="preserve"> awardees are private sector entities, </w:t>
      </w:r>
      <w:r w:rsidR="00DD558D">
        <w:t>DNPAO’s</w:t>
      </w:r>
      <w:r w:rsidR="00346BD5" w:rsidRPr="00346BD5">
        <w:t xml:space="preserve"> ability to fulfill some ad hoc requests through existing generic clearances (such as OSTLTS 0920-0879) is constrained.  We have thus included a provision for targeted</w:t>
      </w:r>
      <w:r w:rsidR="00F850A3">
        <w:t>, supplemental</w:t>
      </w:r>
      <w:r w:rsidR="00346BD5" w:rsidRPr="00346BD5">
        <w:t xml:space="preserve"> information collection in the overall monitoring and reporting plan for </w:t>
      </w:r>
      <w:r w:rsidR="00DD558D">
        <w:t>REACH</w:t>
      </w:r>
      <w:r w:rsidR="00346BD5" w:rsidRPr="00346BD5">
        <w:t xml:space="preserve"> awardees.</w:t>
      </w:r>
    </w:p>
    <w:p w14:paraId="00BD4EF4" w14:textId="77777777" w:rsidR="009469CE" w:rsidRDefault="009469CE" w:rsidP="00346BD5"/>
    <w:p w14:paraId="798AA5F4" w14:textId="77777777" w:rsidR="00A02743" w:rsidRPr="009C2FDE" w:rsidRDefault="00697739" w:rsidP="00A02743">
      <w:r>
        <w:t>DNPAO</w:t>
      </w:r>
      <w:r w:rsidR="00346BD5" w:rsidRPr="00346BD5">
        <w:t xml:space="preserve"> propos</w:t>
      </w:r>
      <w:r w:rsidR="009469CE">
        <w:t>es</w:t>
      </w:r>
      <w:r w:rsidR="00346BD5" w:rsidRPr="00346BD5">
        <w:t xml:space="preserve"> to use the Change Request mechanism to document the specific</w:t>
      </w:r>
      <w:r w:rsidR="009469CE">
        <w:t xml:space="preserve"> justification </w:t>
      </w:r>
      <w:r w:rsidR="00F850A3">
        <w:t xml:space="preserve">for </w:t>
      </w:r>
      <w:r w:rsidR="009469CE">
        <w:t>each</w:t>
      </w:r>
      <w:r w:rsidR="00346BD5" w:rsidRPr="00346BD5">
        <w:t xml:space="preserve"> special data collection</w:t>
      </w:r>
      <w:r w:rsidR="00F850A3">
        <w:t xml:space="preserve">, </w:t>
      </w:r>
      <w:r w:rsidR="005A0416">
        <w:t xml:space="preserve">the proposed </w:t>
      </w:r>
      <w:r w:rsidR="00F850A3">
        <w:t xml:space="preserve">methodology, and </w:t>
      </w:r>
      <w:r w:rsidR="00DF5F80">
        <w:t>mode of information collection</w:t>
      </w:r>
      <w:r w:rsidR="00F850A3">
        <w:t xml:space="preserve"> (</w:t>
      </w:r>
      <w:r w:rsidR="009469CE" w:rsidRPr="009C2FDE">
        <w:t>telephone interview, in-person interview, Web-based survey, or paper-and-pencil survey</w:t>
      </w:r>
      <w:r w:rsidR="00F850A3">
        <w:t>)</w:t>
      </w:r>
      <w:r w:rsidR="009469CE" w:rsidRPr="009C2FDE">
        <w:t>.</w:t>
      </w:r>
    </w:p>
    <w:p w14:paraId="570D6E23" w14:textId="77777777" w:rsidR="00F850A3" w:rsidRDefault="00F850A3" w:rsidP="00A02743">
      <w:pPr>
        <w:spacing w:after="120"/>
      </w:pPr>
    </w:p>
    <w:p w14:paraId="39471AB1" w14:textId="77777777" w:rsidR="001A67DA" w:rsidRPr="009C2FDE" w:rsidRDefault="001A67DA" w:rsidP="001A67DA">
      <w:pPr>
        <w:ind w:left="360"/>
        <w:rPr>
          <w:b/>
        </w:rPr>
      </w:pPr>
      <w:r w:rsidRPr="009C2FDE">
        <w:rPr>
          <w:b/>
        </w:rPr>
        <w:t>2. Purpose and Use of the Information Collection</w:t>
      </w:r>
    </w:p>
    <w:p w14:paraId="77D7DA4E" w14:textId="77777777" w:rsidR="001A67DA" w:rsidRPr="009C2FDE" w:rsidRDefault="001A67DA" w:rsidP="001A67DA"/>
    <w:p w14:paraId="2EDED2A8" w14:textId="77777777" w:rsidR="001A67DA" w:rsidRPr="009C2FDE" w:rsidRDefault="001A67DA" w:rsidP="001A67DA">
      <w:r w:rsidRPr="009C2FDE">
        <w:t xml:space="preserve">The purpose of the </w:t>
      </w:r>
      <w:r w:rsidR="00DD558D">
        <w:t>REACH program</w:t>
      </w:r>
      <w:r w:rsidRPr="009C2FDE">
        <w:t xml:space="preserve"> is to create healthier communities through </w:t>
      </w:r>
      <w:r w:rsidRPr="009C2FDE">
        <w:rPr>
          <w:bCs/>
        </w:rPr>
        <w:t>implementation of broad, evidence- and practice-based policy and environmental improvements in large and small cities, urban rural areas, tribes, multi-sectorial community coalitions, and racial and ethnic communities experiencing chronic disease disparities.</w:t>
      </w:r>
      <w:r w:rsidRPr="009C2FDE">
        <w:rPr>
          <w:b/>
          <w:bCs/>
        </w:rPr>
        <w:t xml:space="preserve">  </w:t>
      </w:r>
      <w:r w:rsidRPr="009C2FDE">
        <w:rPr>
          <w:bCs/>
        </w:rPr>
        <w:t xml:space="preserve">This program advances the </w:t>
      </w:r>
      <w:hyperlink r:id="rId9" w:history="1">
        <w:r w:rsidRPr="009C2FDE">
          <w:rPr>
            <w:rStyle w:val="Hyperlink"/>
            <w:bCs/>
            <w:i/>
            <w:color w:val="auto"/>
          </w:rPr>
          <w:t>National Prevention Strategy</w:t>
        </w:r>
      </w:hyperlink>
      <w:r w:rsidRPr="009C2FDE">
        <w:rPr>
          <w:bCs/>
          <w:i/>
        </w:rPr>
        <w:t xml:space="preserve"> </w:t>
      </w:r>
      <w:r w:rsidRPr="009C2FDE">
        <w:rPr>
          <w:bCs/>
        </w:rPr>
        <w:t xml:space="preserve">and aligns with its strategic directions and </w:t>
      </w:r>
      <w:r w:rsidRPr="009C2FDE">
        <w:t xml:space="preserve">“Healthy People 2020” focus areas.  </w:t>
      </w:r>
    </w:p>
    <w:p w14:paraId="3544354C" w14:textId="77777777" w:rsidR="001A67DA" w:rsidRPr="009C2FDE" w:rsidRDefault="001A67DA" w:rsidP="001A67DA"/>
    <w:p w14:paraId="14BD7C47" w14:textId="77777777" w:rsidR="00346BD5" w:rsidRDefault="00346BD5" w:rsidP="00346BD5">
      <w:r>
        <w:t xml:space="preserve">The information collection and reporting requirements have been carefully designed to align with and support the goals outlined in the </w:t>
      </w:r>
      <w:r w:rsidR="00DD558D">
        <w:t>REACH</w:t>
      </w:r>
      <w:r>
        <w:t xml:space="preserve"> cooperative agreement.  The electronic </w:t>
      </w:r>
      <w:r w:rsidR="0076255F">
        <w:t>DCH-PMD</w:t>
      </w:r>
      <w:r>
        <w:t xml:space="preserve"> facilitates collection and reporting of the information in an efficient, standardized, and user-friendly manner.</w:t>
      </w:r>
      <w:r w:rsidR="00E71AA8">
        <w:t xml:space="preserve"> </w:t>
      </w:r>
      <w:r>
        <w:t xml:space="preserve"> It will enable the accurate, reliable, uniform and timely submission to CDC of each awardee’s </w:t>
      </w:r>
      <w:r w:rsidR="00BF32C3">
        <w:t xml:space="preserve">objectives, </w:t>
      </w:r>
      <w:r>
        <w:t>work plans</w:t>
      </w:r>
      <w:r w:rsidR="00BF32C3">
        <w:t>, milestones,</w:t>
      </w:r>
      <w:r>
        <w:t xml:space="preserve"> and progress reports. </w:t>
      </w:r>
      <w:r w:rsidR="00C55878">
        <w:t>The system</w:t>
      </w:r>
      <w:r w:rsidR="00F8450F">
        <w:t xml:space="preserve"> requires awardees to present their Objectives in “SMART” format.  SMART is an acronym for S</w:t>
      </w:r>
      <w:r>
        <w:t xml:space="preserve">pecific, </w:t>
      </w:r>
      <w:r w:rsidR="00F8450F">
        <w:t>M</w:t>
      </w:r>
      <w:r>
        <w:t xml:space="preserve">easurable, </w:t>
      </w:r>
      <w:r w:rsidR="00F8450F">
        <w:t>A</w:t>
      </w:r>
      <w:r>
        <w:t xml:space="preserve">chievable, </w:t>
      </w:r>
      <w:r w:rsidR="00F8450F">
        <w:t>R</w:t>
      </w:r>
      <w:r>
        <w:t xml:space="preserve">elevant and </w:t>
      </w:r>
      <w:r w:rsidR="00F8450F">
        <w:t>T</w:t>
      </w:r>
      <w:r>
        <w:t>ime-framed</w:t>
      </w:r>
      <w:r w:rsidR="00F8450F">
        <w:t xml:space="preserve">.  </w:t>
      </w:r>
      <w:r w:rsidR="00DD558D">
        <w:t>This</w:t>
      </w:r>
      <w:r w:rsidR="00C55878">
        <w:t xml:space="preserve"> framework</w:t>
      </w:r>
      <w:r w:rsidR="00DD558D">
        <w:t xml:space="preserve"> was selected by the division</w:t>
      </w:r>
      <w:r w:rsidR="00C55878">
        <w:t xml:space="preserve"> because it </w:t>
      </w:r>
      <w:r w:rsidR="00D71B94">
        <w:t>helps awardees communicate their</w:t>
      </w:r>
      <w:r w:rsidR="00C55878">
        <w:t xml:space="preserve"> objectives in ways that are clear, consistent, and action-oriented</w:t>
      </w:r>
      <w:r>
        <w:t xml:space="preserve">.  Our goal is to systematically educate awardees to re-format their </w:t>
      </w:r>
      <w:r w:rsidR="00937A50">
        <w:t>plans</w:t>
      </w:r>
      <w:r>
        <w:t xml:space="preserve"> into this structure. </w:t>
      </w:r>
    </w:p>
    <w:p w14:paraId="44557733" w14:textId="77777777" w:rsidR="00346BD5" w:rsidRDefault="00346BD5" w:rsidP="00346BD5"/>
    <w:p w14:paraId="1DCABD57" w14:textId="77777777" w:rsidR="00B469E7" w:rsidRDefault="00346BD5" w:rsidP="00B469E7">
      <w:r>
        <w:t xml:space="preserve">The </w:t>
      </w:r>
      <w:r w:rsidR="0076255F">
        <w:t>DCH-PMD</w:t>
      </w:r>
      <w:r>
        <w:t xml:space="preserve"> will </w:t>
      </w:r>
      <w:r w:rsidR="00B469E7">
        <w:t xml:space="preserve">be used to </w:t>
      </w:r>
      <w:r>
        <w:t xml:space="preserve">generate a variety of routine and customizable reports. </w:t>
      </w:r>
      <w:r w:rsidR="00A11EA4">
        <w:t xml:space="preserve">  </w:t>
      </w:r>
      <w:r>
        <w:t xml:space="preserve">Local level reports will allow each awardee to summarize its activities and progress towards meeting work plan objectives.  </w:t>
      </w:r>
      <w:r w:rsidR="00DD558D">
        <w:t>REACH</w:t>
      </w:r>
      <w:r w:rsidR="00B469E7" w:rsidRPr="009C2FDE">
        <w:t xml:space="preserve"> awardees will </w:t>
      </w:r>
      <w:r w:rsidR="00DD558D">
        <w:t xml:space="preserve">continue to </w:t>
      </w:r>
      <w:r w:rsidR="00B469E7" w:rsidRPr="009C2FDE">
        <w:t xml:space="preserve">use the </w:t>
      </w:r>
      <w:r w:rsidR="00B469E7">
        <w:t xml:space="preserve">DCH-PMD </w:t>
      </w:r>
      <w:r w:rsidR="00B469E7" w:rsidRPr="009C2FDE">
        <w:t xml:space="preserve">to manage and coordinate their activities and to improve their efforts to prevent and control chronic diseases.  The </w:t>
      </w:r>
      <w:r w:rsidR="00B469E7">
        <w:t>system</w:t>
      </w:r>
      <w:r w:rsidR="00B469E7" w:rsidRPr="009C2FDE">
        <w:t xml:space="preserve"> will allow awardees to fulfill their semi-annual reporting obligations under the cooperative agreements in an </w:t>
      </w:r>
      <w:r w:rsidR="00B469E7">
        <w:t>efficient manner by employing a</w:t>
      </w:r>
      <w:r w:rsidR="00477AA5">
        <w:t>n integrated platform to organize</w:t>
      </w:r>
      <w:r w:rsidR="00B469E7" w:rsidRPr="009C2FDE">
        <w:t xml:space="preserve"> </w:t>
      </w:r>
      <w:r w:rsidR="00477AA5">
        <w:t xml:space="preserve">the </w:t>
      </w:r>
      <w:r w:rsidR="00B469E7" w:rsidRPr="009C2FDE">
        <w:t xml:space="preserve">information </w:t>
      </w:r>
      <w:r w:rsidR="00B469E7">
        <w:t>needed for producing</w:t>
      </w:r>
      <w:r w:rsidR="00B469E7" w:rsidRPr="009C2FDE">
        <w:t xml:space="preserve"> </w:t>
      </w:r>
      <w:r w:rsidR="00BF32C3">
        <w:t>work plans,</w:t>
      </w:r>
      <w:r w:rsidR="00B469E7" w:rsidRPr="009C2FDE">
        <w:t xml:space="preserve"> progress reports and con</w:t>
      </w:r>
      <w:r w:rsidR="00B469E7">
        <w:t xml:space="preserve">tinuation applications.  The electronic system </w:t>
      </w:r>
      <w:r w:rsidR="00B469E7" w:rsidRPr="009C2FDE">
        <w:t>will</w:t>
      </w:r>
      <w:r w:rsidR="00477AA5">
        <w:t xml:space="preserve"> thus</w:t>
      </w:r>
      <w:r w:rsidR="00B469E7" w:rsidRPr="009C2FDE">
        <w:t xml:space="preserve"> reduce the administrative burden on the yearly continuation application and the progress review process </w:t>
      </w:r>
      <w:r w:rsidR="00B469E7">
        <w:t>by allowing</w:t>
      </w:r>
      <w:r w:rsidR="00B469E7" w:rsidRPr="009C2FDE">
        <w:t xml:space="preserve"> awardees to save pertinent information from o</w:t>
      </w:r>
      <w:r w:rsidR="00B469E7">
        <w:t>ne reporting period to the next</w:t>
      </w:r>
      <w:r w:rsidR="00477AA5">
        <w:t xml:space="preserve">. </w:t>
      </w:r>
      <w:r w:rsidR="00BF32C3">
        <w:t xml:space="preserve"> </w:t>
      </w:r>
      <w:r w:rsidR="00B469E7" w:rsidRPr="009C2FDE">
        <w:t xml:space="preserve">Awardee program staff will be able to review the completeness of </w:t>
      </w:r>
      <w:r w:rsidR="00477AA5">
        <w:t>information</w:t>
      </w:r>
      <w:r w:rsidR="00B469E7" w:rsidRPr="009C2FDE">
        <w:t xml:space="preserve"> necessary to submit required r</w:t>
      </w:r>
      <w:r w:rsidR="00477AA5">
        <w:t>eports, enter basic summary information</w:t>
      </w:r>
      <w:r w:rsidR="00B469E7" w:rsidRPr="009C2FDE">
        <w:t xml:space="preserve"> for reports at least semi-annually, and finalize and save required reports for upload into Grants.gov. </w:t>
      </w:r>
    </w:p>
    <w:p w14:paraId="05CE75F8" w14:textId="77777777" w:rsidR="001A67DA" w:rsidRPr="009C2FDE" w:rsidRDefault="005A0416" w:rsidP="001A67DA">
      <w:r w:rsidRPr="009C2FDE" w:rsidDel="005A0416">
        <w:t xml:space="preserve"> </w:t>
      </w:r>
    </w:p>
    <w:p w14:paraId="5C9069E2" w14:textId="77777777" w:rsidR="00903542" w:rsidRDefault="001A67DA" w:rsidP="001A67DA">
      <w:r w:rsidRPr="009C2FDE">
        <w:t xml:space="preserve">CDC will use the information collected in the </w:t>
      </w:r>
      <w:r w:rsidR="0076255F">
        <w:t>DCH-PMD</w:t>
      </w:r>
      <w:r w:rsidRPr="009C2FDE">
        <w:t xml:space="preserve"> to monitor each awardee’s progress and to identify its strengths and weaknesses.  Monitoring allows CDC to determine whether an awardee is meeting performance goals and to make adjustments in the type and level of technical assistance provided to them, as needed, to support attainment of their objectives.</w:t>
      </w:r>
      <w:r w:rsidR="00903542">
        <w:t xml:space="preserve">  Although each awardee’s progress is assessed principally in terms of its own objectives and work plan, the DCH-PMD will also </w:t>
      </w:r>
      <w:r w:rsidR="00477AA5">
        <w:t xml:space="preserve">provide </w:t>
      </w:r>
      <w:r w:rsidR="00903542">
        <w:t>some capacity to generate reports that monitor progress or describe activities across multiple awardees.</w:t>
      </w:r>
    </w:p>
    <w:p w14:paraId="2B3AE52F" w14:textId="77777777" w:rsidR="00903542" w:rsidRDefault="00903542" w:rsidP="001A67DA"/>
    <w:p w14:paraId="0D770D00" w14:textId="77777777" w:rsidR="001A67DA" w:rsidRPr="009C2FDE" w:rsidRDefault="001A67DA" w:rsidP="001A67DA">
      <w:r w:rsidRPr="009C2FDE">
        <w:t>CDC’s monitoring and evaluation activities also allow CDC to provide oversight of the use of federal funds, and to identify and disseminate information about successful prevention and control strategies implemented by awardees.  These functions are central to the NCCDPHP’s broad mission of reducing the burden of chronic diseases.  Finally, the information collection will allow CDC to monitor the increased emphasis on partnerships and programmatic collaboration, and is expected to reduce duplication of effort, enhance program impact and maximize the use of federal funds.</w:t>
      </w:r>
    </w:p>
    <w:p w14:paraId="2B3A7312" w14:textId="77777777" w:rsidR="001A67DA" w:rsidRPr="009C2FDE" w:rsidRDefault="001A67DA" w:rsidP="001A67DA"/>
    <w:p w14:paraId="7C5D4A9C" w14:textId="77777777" w:rsidR="00937A50" w:rsidRDefault="0038124B" w:rsidP="001A67DA">
      <w:r w:rsidRPr="009C2FDE">
        <w:t xml:space="preserve">The information collection is designed to address specific objectives outlined in </w:t>
      </w:r>
      <w:r w:rsidR="00DD558D">
        <w:t>the</w:t>
      </w:r>
      <w:r w:rsidRPr="009C2FDE">
        <w:t xml:space="preserve"> FOA:  DP14-1419PPHF14</w:t>
      </w:r>
      <w:r w:rsidRPr="009C2FDE">
        <w:rPr>
          <w:bCs/>
          <w:color w:val="000000" w:themeColor="text1"/>
        </w:rPr>
        <w:t xml:space="preserve">.  </w:t>
      </w:r>
      <w:r>
        <w:t>I</w:t>
      </w:r>
      <w:r w:rsidR="00937A50">
        <w:t>n addition to routine performance monitoring, CDC wil</w:t>
      </w:r>
      <w:r>
        <w:t>l use the information collected through the DCH-PMD and special data requests</w:t>
      </w:r>
      <w:r w:rsidR="00937A50">
        <w:t xml:space="preserve"> to respond to inquiries from the HHS, the White House, Congress and other stakeholders about </w:t>
      </w:r>
      <w:r w:rsidR="00DD558D">
        <w:t>REACH</w:t>
      </w:r>
      <w:r w:rsidR="00937A50">
        <w:t xml:space="preserve"> program activities and their impact.</w:t>
      </w:r>
      <w:r w:rsidRPr="0038124B">
        <w:t xml:space="preserve"> </w:t>
      </w:r>
      <w:r>
        <w:t xml:space="preserve"> Finally, </w:t>
      </w:r>
      <w:r w:rsidRPr="009C2FDE">
        <w:t xml:space="preserve">CDC will use the results of this information collection to evaluate the </w:t>
      </w:r>
      <w:r>
        <w:t xml:space="preserve">program </w:t>
      </w:r>
      <w:r w:rsidRPr="009C2FDE">
        <w:t>model for future program reporting efforts.</w:t>
      </w:r>
    </w:p>
    <w:p w14:paraId="2204310B" w14:textId="77777777" w:rsidR="001A67DA" w:rsidRPr="009C2FDE" w:rsidRDefault="001A67DA" w:rsidP="001A67DA">
      <w:pPr>
        <w:rPr>
          <w:color w:val="000000" w:themeColor="text1"/>
        </w:rPr>
      </w:pPr>
    </w:p>
    <w:p w14:paraId="15DA3BE7" w14:textId="77777777" w:rsidR="001A67DA" w:rsidRPr="009C2FDE" w:rsidRDefault="001A67DA" w:rsidP="001A67DA">
      <w:pPr>
        <w:ind w:left="360"/>
      </w:pPr>
    </w:p>
    <w:p w14:paraId="7038DCA4" w14:textId="77777777" w:rsidR="001A67DA" w:rsidRPr="009C2FDE" w:rsidRDefault="001A67DA" w:rsidP="001A67DA">
      <w:pPr>
        <w:tabs>
          <w:tab w:val="left" w:pos="0"/>
        </w:tabs>
        <w:ind w:firstLine="360"/>
        <w:rPr>
          <w:b/>
        </w:rPr>
      </w:pPr>
      <w:r w:rsidRPr="009C2FDE">
        <w:rPr>
          <w:b/>
        </w:rPr>
        <w:t>3. Use of Improved Information Technology and Burden Reduction</w:t>
      </w:r>
    </w:p>
    <w:p w14:paraId="5075639B" w14:textId="77777777" w:rsidR="001A67DA" w:rsidRPr="009C2FDE" w:rsidRDefault="001A67DA" w:rsidP="001A67DA">
      <w:pPr>
        <w:tabs>
          <w:tab w:val="num" w:pos="720"/>
        </w:tabs>
      </w:pPr>
    </w:p>
    <w:p w14:paraId="427B1E08" w14:textId="77777777" w:rsidR="001A67DA" w:rsidRPr="009C2FDE" w:rsidRDefault="001A67DA" w:rsidP="001A67DA">
      <w:pPr>
        <w:spacing w:after="120"/>
      </w:pPr>
      <w:r w:rsidRPr="009C2FDE">
        <w:t xml:space="preserve"> There are significant advantages to collecting information with </w:t>
      </w:r>
      <w:r w:rsidR="00BF32C3">
        <w:t>the</w:t>
      </w:r>
      <w:r w:rsidRPr="009C2FDE">
        <w:t xml:space="preserve"> electronic </w:t>
      </w:r>
      <w:r w:rsidR="0076255F">
        <w:t>DCH-PMD</w:t>
      </w:r>
      <w:r w:rsidRPr="009C2FDE">
        <w:t xml:space="preserve"> system:</w:t>
      </w:r>
    </w:p>
    <w:p w14:paraId="083BE1E4" w14:textId="77777777" w:rsidR="001A67DA" w:rsidRPr="009C2FDE" w:rsidRDefault="001A67DA" w:rsidP="001A67DA">
      <w:pPr>
        <w:pStyle w:val="ListParagraph"/>
        <w:numPr>
          <w:ilvl w:val="0"/>
          <w:numId w:val="30"/>
        </w:numPr>
        <w:spacing w:after="120"/>
        <w:contextualSpacing w:val="0"/>
      </w:pPr>
      <w:r w:rsidRPr="009C2FDE">
        <w:t>The use of a standard set of data elements, definitions, and specifications at all levels will help to improve the quality and comparability of performance information that is received by CDC for multiple awardees and multiple award types.  Further, standardization will enhance the consistency of work plans and reports, enable cross-program analysis, and will facilitate a higher degree of reliability by ensuring that the same information is collected on all objectives and activities with slightly different areas of emphasis, depending on the awardee type (</w:t>
      </w:r>
      <w:r w:rsidR="007D20F4" w:rsidRPr="009C2FDE">
        <w:t>L</w:t>
      </w:r>
      <w:r w:rsidRPr="009C2FDE">
        <w:t xml:space="preserve">ocal and tribal government </w:t>
      </w:r>
      <w:r w:rsidR="007D20F4" w:rsidRPr="009C2FDE">
        <w:t>entities</w:t>
      </w:r>
      <w:r w:rsidRPr="009C2FDE">
        <w:t xml:space="preserve"> and </w:t>
      </w:r>
      <w:r w:rsidR="007D20F4" w:rsidRPr="009C2FDE">
        <w:t>Non-governmental entities</w:t>
      </w:r>
      <w:r w:rsidRPr="009C2FDE">
        <w:t>).</w:t>
      </w:r>
    </w:p>
    <w:p w14:paraId="7C559827" w14:textId="77777777" w:rsidR="001A67DA" w:rsidRPr="009C2FDE" w:rsidRDefault="001A67DA" w:rsidP="001A67DA">
      <w:pPr>
        <w:pStyle w:val="ListParagraph"/>
        <w:numPr>
          <w:ilvl w:val="0"/>
          <w:numId w:val="30"/>
        </w:numPr>
        <w:spacing w:after="120"/>
        <w:contextualSpacing w:val="0"/>
      </w:pPr>
      <w:r w:rsidRPr="009C2FDE">
        <w:t xml:space="preserve">The structure of the </w:t>
      </w:r>
      <w:r w:rsidR="0076255F">
        <w:t>DCH-PMD</w:t>
      </w:r>
      <w:r w:rsidRPr="009C2FDE">
        <w:t xml:space="preserve"> will minimize or eliminate many elements that would otherwise be repeated within stand-alone systems.  Having all of the information collected in the same place in the same manner will reduce the level of burden attributable to redundancy and reduce the workload to enter and maintain the data.  Programs will be able to transfer data from one year to another to minimize data re-entry.</w:t>
      </w:r>
    </w:p>
    <w:p w14:paraId="7ABB1670" w14:textId="77777777" w:rsidR="001A67DA" w:rsidRPr="009C2FDE" w:rsidRDefault="001A67DA" w:rsidP="001A67DA">
      <w:pPr>
        <w:pStyle w:val="ListParagraph"/>
        <w:numPr>
          <w:ilvl w:val="0"/>
          <w:numId w:val="30"/>
        </w:numPr>
        <w:spacing w:after="120"/>
        <w:contextualSpacing w:val="0"/>
      </w:pPr>
      <w:r w:rsidRPr="009C2FDE">
        <w:t xml:space="preserve">The </w:t>
      </w:r>
      <w:r w:rsidR="0076255F">
        <w:t>DCH-PMD</w:t>
      </w:r>
      <w:r w:rsidRPr="009C2FDE">
        <w:t xml:space="preserve"> data structures and business rules will help awardees formulate objectives that are specific, measurable, achievable, relevant and time-framed (SMART).  This formulation is intended to facilitate successful achievement of objectives and is integral to CDC’s evaluation strategy for the </w:t>
      </w:r>
      <w:r w:rsidR="00DD558D">
        <w:t>REACH program.</w:t>
      </w:r>
    </w:p>
    <w:p w14:paraId="7658B3B5" w14:textId="77777777" w:rsidR="001A67DA" w:rsidRPr="009C2FDE" w:rsidRDefault="001A67DA" w:rsidP="001A67DA">
      <w:pPr>
        <w:pStyle w:val="ListParagraph"/>
        <w:numPr>
          <w:ilvl w:val="0"/>
          <w:numId w:val="30"/>
        </w:numPr>
        <w:spacing w:after="120"/>
        <w:contextualSpacing w:val="0"/>
      </w:pPr>
      <w:r w:rsidRPr="009C2FDE">
        <w:t xml:space="preserve">The information being collected provides crucial information about each awardee’s work plan, activities, partnerships and progress over the award period.  </w:t>
      </w:r>
    </w:p>
    <w:p w14:paraId="43F30BAF" w14:textId="77777777" w:rsidR="001A67DA" w:rsidRPr="009C2FDE" w:rsidRDefault="001A67DA" w:rsidP="001A67DA">
      <w:pPr>
        <w:pStyle w:val="ListParagraph"/>
        <w:numPr>
          <w:ilvl w:val="0"/>
          <w:numId w:val="30"/>
        </w:numPr>
        <w:spacing w:after="120"/>
        <w:contextualSpacing w:val="0"/>
      </w:pPr>
      <w:r w:rsidRPr="009C2FDE">
        <w:t xml:space="preserve">Awardees will have the capacity to enter updates on an ongoing basis.  This feature of the </w:t>
      </w:r>
      <w:r w:rsidR="0076255F">
        <w:t>DCH-PMD</w:t>
      </w:r>
      <w:r w:rsidRPr="009C2FDE">
        <w:t xml:space="preserve"> is expected to facilitate real time communications with and interim review by CDC, resulting in more timely technical assistance.  The ability to enter updates as activities occur may also result in more complete enumeration of </w:t>
      </w:r>
      <w:r w:rsidR="00DD558D">
        <w:t>REACH</w:t>
      </w:r>
      <w:r w:rsidRPr="009C2FDE">
        <w:t>-funded efforts.</w:t>
      </w:r>
    </w:p>
    <w:p w14:paraId="5E1405D3" w14:textId="77777777" w:rsidR="001A67DA" w:rsidRPr="009C2FDE" w:rsidRDefault="001A67DA" w:rsidP="001A67DA">
      <w:pPr>
        <w:pStyle w:val="ListParagraph"/>
        <w:numPr>
          <w:ilvl w:val="0"/>
          <w:numId w:val="30"/>
        </w:numPr>
        <w:spacing w:after="120"/>
        <w:contextualSpacing w:val="0"/>
      </w:pPr>
      <w:r w:rsidRPr="009C2FDE">
        <w:t xml:space="preserve">The report generation capabilities of the electronic </w:t>
      </w:r>
      <w:r w:rsidR="0076255F">
        <w:t>DCH-PMD</w:t>
      </w:r>
      <w:r w:rsidRPr="009C2FDE">
        <w:t xml:space="preserve"> will reduce the respondent burden associated with paper-based reports.  Without the automated </w:t>
      </w:r>
      <w:r w:rsidR="0076255F">
        <w:t>DCH-PMD</w:t>
      </w:r>
      <w:r w:rsidRPr="009C2FDE">
        <w:t xml:space="preserve"> and the integrated approach to information collection and reporting, awardees and CDC would need to continue to use time consuming, labor intensive procedures for information collection and reporting.</w:t>
      </w:r>
    </w:p>
    <w:p w14:paraId="413053E8" w14:textId="77777777" w:rsidR="001A67DA" w:rsidRPr="009C2FDE" w:rsidRDefault="001A67DA" w:rsidP="001A67DA">
      <w:pPr>
        <w:pStyle w:val="ListParagraph"/>
        <w:numPr>
          <w:ilvl w:val="0"/>
          <w:numId w:val="30"/>
        </w:numPr>
        <w:spacing w:after="120"/>
        <w:contextualSpacing w:val="0"/>
      </w:pPr>
      <w:r w:rsidRPr="009C2FDE">
        <w:t>Capturing the required information electronically will allow CDC to formulate ad hoc analyses and reports that would be impracticable using paper-based information sources.</w:t>
      </w:r>
      <w:r w:rsidR="00BF32C3">
        <w:t xml:space="preserve">  Prior to adopting an </w:t>
      </w:r>
      <w:r w:rsidR="00F57221">
        <w:t xml:space="preserve">electronic </w:t>
      </w:r>
      <w:r w:rsidR="00BF32C3">
        <w:t>method</w:t>
      </w:r>
      <w:r w:rsidR="00F57221">
        <w:t xml:space="preserve"> of progress reporting, CDC’s ability to respond to ad hoc requests was limited, and required CDC staff to spend many hours combing through hard copies of reports to organize and summarize information.  Use of the </w:t>
      </w:r>
      <w:r w:rsidR="00BF32C3">
        <w:t xml:space="preserve">keyword-searchable, </w:t>
      </w:r>
      <w:r w:rsidR="00F57221">
        <w:t>electronic DCH-PMD system significantly improves CDC’s ability to identify items of interest</w:t>
      </w:r>
      <w:r w:rsidR="00CD54ED">
        <w:t xml:space="preserve"> in an efficient manner</w:t>
      </w:r>
      <w:r w:rsidR="00F57221">
        <w:t>.</w:t>
      </w:r>
    </w:p>
    <w:p w14:paraId="760FC677" w14:textId="77777777" w:rsidR="001A67DA" w:rsidRPr="009C2FDE" w:rsidRDefault="001A67DA" w:rsidP="001A67DA"/>
    <w:p w14:paraId="563DC59B" w14:textId="3AEA00A6" w:rsidR="001A67DA" w:rsidRPr="009C2FDE" w:rsidRDefault="00697739" w:rsidP="001A67DA">
      <w:r>
        <w:t>CDC</w:t>
      </w:r>
      <w:r w:rsidR="001A67DA" w:rsidRPr="009C2FDE">
        <w:t xml:space="preserve"> successfully implemented similar </w:t>
      </w:r>
      <w:r w:rsidR="0076255F">
        <w:t>DCH-PMD</w:t>
      </w:r>
      <w:r w:rsidR="001A67DA" w:rsidRPr="009C2FDE">
        <w:t>-based awardee monitoring strategies for other programs (see “Monitoring and Reporting System for Community Transformation Grant Awardees,” OMB No. 0920-0946, exp. 8/31/2015).</w:t>
      </w:r>
    </w:p>
    <w:p w14:paraId="1AD2A740" w14:textId="77777777" w:rsidR="001A67DA" w:rsidRPr="009C2FDE" w:rsidRDefault="001A67DA" w:rsidP="001A67DA">
      <w:pPr>
        <w:ind w:left="360"/>
      </w:pPr>
    </w:p>
    <w:p w14:paraId="1E66F0DC" w14:textId="77777777" w:rsidR="001A67DA" w:rsidRPr="009C2FDE" w:rsidRDefault="001A67DA" w:rsidP="001A67DA">
      <w:pPr>
        <w:ind w:left="360"/>
        <w:rPr>
          <w:b/>
        </w:rPr>
      </w:pPr>
      <w:r w:rsidRPr="009C2FDE">
        <w:rPr>
          <w:b/>
        </w:rPr>
        <w:t>4. Efforts to Identify Duplication and Use of Similar Information</w:t>
      </w:r>
    </w:p>
    <w:p w14:paraId="6E32DAA5" w14:textId="77777777" w:rsidR="001A67DA" w:rsidRPr="009C2FDE" w:rsidRDefault="001A67DA" w:rsidP="001A67DA">
      <w:pPr>
        <w:ind w:left="360"/>
        <w:rPr>
          <w:b/>
        </w:rPr>
      </w:pPr>
    </w:p>
    <w:p w14:paraId="2FFAEB05" w14:textId="77777777" w:rsidR="001A67DA" w:rsidRPr="009C2FDE" w:rsidRDefault="001A67DA" w:rsidP="001A67DA">
      <w:r w:rsidRPr="009C2FDE">
        <w:t xml:space="preserve">The collection of this information is part of a federal reporting requirement for funds received by awardees. The </w:t>
      </w:r>
      <w:r w:rsidR="0076255F">
        <w:t>DCH-PMD</w:t>
      </w:r>
      <w:r w:rsidRPr="009C2FDE">
        <w:t xml:space="preserve"> will consolidate information necessary for both continuation applications and progress reports so that information entered once can be used to generate multiple types of reports without having to duplicate efforts.  The information collected from awardees is not available from other sources.  </w:t>
      </w:r>
    </w:p>
    <w:p w14:paraId="4816FB0E" w14:textId="77777777" w:rsidR="001A67DA" w:rsidRPr="009C2FDE" w:rsidRDefault="001A67DA" w:rsidP="001A67DA">
      <w:pPr>
        <w:ind w:left="360"/>
      </w:pPr>
    </w:p>
    <w:p w14:paraId="34AA1291" w14:textId="77777777" w:rsidR="001A67DA" w:rsidRPr="009C2FDE" w:rsidRDefault="001A67DA" w:rsidP="001A67DA">
      <w:pPr>
        <w:ind w:left="360"/>
        <w:rPr>
          <w:b/>
        </w:rPr>
      </w:pPr>
      <w:r w:rsidRPr="009C2FDE">
        <w:rPr>
          <w:b/>
        </w:rPr>
        <w:t>5. Impact on Small Businesses or Other Small Entities</w:t>
      </w:r>
    </w:p>
    <w:p w14:paraId="7B970D47" w14:textId="77777777" w:rsidR="001A67DA" w:rsidRPr="009C2FDE" w:rsidRDefault="001A67DA" w:rsidP="001A67DA">
      <w:pPr>
        <w:ind w:left="360"/>
        <w:rPr>
          <w:b/>
        </w:rPr>
      </w:pPr>
    </w:p>
    <w:p w14:paraId="6CE55D5E" w14:textId="77777777" w:rsidR="001A67DA" w:rsidRPr="009C2FDE" w:rsidRDefault="001A67DA" w:rsidP="001A67DA">
      <w:r w:rsidRPr="009C2FDE">
        <w:t xml:space="preserve">No small businesses will participate in the </w:t>
      </w:r>
      <w:r w:rsidR="0076255F">
        <w:t>DCH-PMD</w:t>
      </w:r>
      <w:r w:rsidRPr="009C2FDE">
        <w:t xml:space="preserve"> data collection.</w:t>
      </w:r>
    </w:p>
    <w:p w14:paraId="363BD3AA" w14:textId="77777777" w:rsidR="001A67DA" w:rsidRPr="009C2FDE" w:rsidRDefault="001A67DA" w:rsidP="001A67DA">
      <w:pPr>
        <w:ind w:left="360"/>
      </w:pPr>
    </w:p>
    <w:p w14:paraId="3033E59E" w14:textId="77777777" w:rsidR="001A67DA" w:rsidRPr="009C2FDE" w:rsidRDefault="001A67DA" w:rsidP="001A67DA">
      <w:pPr>
        <w:ind w:left="360"/>
        <w:rPr>
          <w:b/>
        </w:rPr>
      </w:pPr>
      <w:r w:rsidRPr="009C2FDE">
        <w:rPr>
          <w:b/>
        </w:rPr>
        <w:t>6. Consequences of Collecting the Information Less Frequently</w:t>
      </w:r>
    </w:p>
    <w:p w14:paraId="51FCB577" w14:textId="77777777" w:rsidR="001A67DA" w:rsidRPr="009C2FDE" w:rsidRDefault="001A67DA" w:rsidP="001A67DA">
      <w:pPr>
        <w:ind w:left="360"/>
        <w:rPr>
          <w:b/>
        </w:rPr>
      </w:pPr>
    </w:p>
    <w:p w14:paraId="66CA729D" w14:textId="77777777" w:rsidR="001A67DA" w:rsidRPr="009C2FDE" w:rsidRDefault="001A67DA" w:rsidP="001A67DA">
      <w:pPr>
        <w:rPr>
          <w:color w:val="000000" w:themeColor="text1"/>
        </w:rPr>
      </w:pPr>
      <w:r w:rsidRPr="009C2FDE">
        <w:rPr>
          <w:color w:val="000000" w:themeColor="text1"/>
        </w:rPr>
        <w:t>Reports will be collected semi-annually. The interim progress report is due no less than 90 days before the end of the budget period and also serves as a non-competing continuation application.  The annual progress report is due no more than 90 days after the end of the budget period. Less frequent reporting would undermine accountability efforts at all levels and negatively impact monitoring awardee progress. The semi-annual reporting schedule ensures that CDC responses to inquiries from HHS, the White House, Congress and other stakeholders are based on timely and up-to-date information. The provision for special-purpose data collections is included to allow CDC to respond in a timely manner to ad hoc requests for information from the White House, Congress, HHS, or other stakeholders; or to obtain additional information needed by CDC for program planning or management.</w:t>
      </w:r>
    </w:p>
    <w:p w14:paraId="7F9BEFCF" w14:textId="77777777" w:rsidR="001A67DA" w:rsidRPr="009C2FDE" w:rsidRDefault="001A67DA" w:rsidP="001A67DA">
      <w:pPr>
        <w:ind w:left="360"/>
      </w:pPr>
    </w:p>
    <w:p w14:paraId="1C4BE54B" w14:textId="77777777" w:rsidR="001A67DA" w:rsidRPr="009C2FDE" w:rsidRDefault="001A67DA" w:rsidP="001A67DA">
      <w:pPr>
        <w:ind w:left="360"/>
        <w:rPr>
          <w:b/>
        </w:rPr>
      </w:pPr>
      <w:r w:rsidRPr="009C2FDE">
        <w:rPr>
          <w:b/>
        </w:rPr>
        <w:t>7. Special Circumstances Relating to the Guidelines of 5 CFR 1320.5</w:t>
      </w:r>
    </w:p>
    <w:p w14:paraId="26A822EC" w14:textId="77777777" w:rsidR="001A67DA" w:rsidRPr="009C2FDE" w:rsidRDefault="001A67DA" w:rsidP="001A67DA">
      <w:pPr>
        <w:ind w:left="360"/>
        <w:rPr>
          <w:b/>
        </w:rPr>
      </w:pPr>
    </w:p>
    <w:p w14:paraId="1B5085D0" w14:textId="77777777" w:rsidR="001A67DA" w:rsidRPr="009C2FDE" w:rsidRDefault="001A67DA" w:rsidP="001A67DA">
      <w:r w:rsidRPr="009C2FDE">
        <w:t xml:space="preserve">There are no special circumstances related to the </w:t>
      </w:r>
      <w:r w:rsidR="0076255F">
        <w:t>DCH-PMD</w:t>
      </w:r>
      <w:r w:rsidRPr="009C2FDE">
        <w:t>, and the request fully complies with the regulation.</w:t>
      </w:r>
    </w:p>
    <w:p w14:paraId="7B2A3A60" w14:textId="77777777" w:rsidR="001A67DA" w:rsidRPr="009C2FDE" w:rsidRDefault="001A67DA" w:rsidP="001A67DA">
      <w:pPr>
        <w:ind w:left="360"/>
      </w:pPr>
    </w:p>
    <w:p w14:paraId="1E0E6F76" w14:textId="77777777" w:rsidR="001A67DA" w:rsidRPr="009C2FDE" w:rsidRDefault="001A67DA" w:rsidP="001A67DA">
      <w:pPr>
        <w:ind w:left="360"/>
        <w:rPr>
          <w:b/>
        </w:rPr>
      </w:pPr>
      <w:r w:rsidRPr="009C2FDE">
        <w:rPr>
          <w:b/>
        </w:rPr>
        <w:t xml:space="preserve">8. Comments in Response to the Federal Register Notice and Efforts to Consult Outside Agency: </w:t>
      </w:r>
      <w:r w:rsidRPr="009C2FDE">
        <w:t xml:space="preserve"> </w:t>
      </w:r>
    </w:p>
    <w:p w14:paraId="2AD6BBA3" w14:textId="77777777" w:rsidR="001A67DA" w:rsidRPr="009C2FDE" w:rsidRDefault="001A67DA" w:rsidP="001A67DA">
      <w:pPr>
        <w:ind w:left="360"/>
        <w:rPr>
          <w:b/>
        </w:rPr>
      </w:pPr>
    </w:p>
    <w:p w14:paraId="0AE937C8" w14:textId="77777777" w:rsidR="001A67DA" w:rsidRPr="009C2FDE" w:rsidRDefault="001A67DA" w:rsidP="001A67DA">
      <w:pPr>
        <w:pStyle w:val="ListParagraph"/>
        <w:numPr>
          <w:ilvl w:val="0"/>
          <w:numId w:val="41"/>
        </w:numPr>
        <w:rPr>
          <w:b/>
        </w:rPr>
      </w:pPr>
      <w:r w:rsidRPr="009C2FDE">
        <w:rPr>
          <w:b/>
        </w:rPr>
        <w:t>Federal Register Notice</w:t>
      </w:r>
    </w:p>
    <w:p w14:paraId="300DA5C9" w14:textId="77777777" w:rsidR="001A67DA" w:rsidRPr="009C2FDE" w:rsidRDefault="001A67DA" w:rsidP="001A67DA">
      <w:pPr>
        <w:pStyle w:val="ListParagraph"/>
      </w:pPr>
    </w:p>
    <w:p w14:paraId="169DD75B" w14:textId="2E49E3E3" w:rsidR="001A67DA" w:rsidRPr="009C2FDE" w:rsidRDefault="001A67DA" w:rsidP="00AA21CE">
      <w:r w:rsidRPr="00184EFE">
        <w:t xml:space="preserve">A Notice was published in the Federal Register on </w:t>
      </w:r>
      <w:r w:rsidR="00457AEE" w:rsidRPr="00184EFE">
        <w:t>September 26, 2017, Docket No. CDC-2017-0079, Volume 82, No.185, pages 44798-44800</w:t>
      </w:r>
      <w:r w:rsidRPr="00184EFE">
        <w:t xml:space="preserve"> (see </w:t>
      </w:r>
      <w:r w:rsidRPr="00184EFE">
        <w:rPr>
          <w:b/>
        </w:rPr>
        <w:t>Attachment 5</w:t>
      </w:r>
      <w:r w:rsidR="00C633B6" w:rsidRPr="00184EFE">
        <w:rPr>
          <w:b/>
        </w:rPr>
        <w:t>a</w:t>
      </w:r>
      <w:r w:rsidRPr="00184EFE">
        <w:rPr>
          <w:b/>
        </w:rPr>
        <w:t>)</w:t>
      </w:r>
      <w:r w:rsidRPr="00184EFE">
        <w:t xml:space="preserve">. </w:t>
      </w:r>
      <w:r w:rsidR="0035424E" w:rsidRPr="00184EFE">
        <w:t>CDC received f</w:t>
      </w:r>
      <w:r w:rsidR="00457AEE" w:rsidRPr="00184EFE">
        <w:t>our</w:t>
      </w:r>
      <w:r w:rsidR="00C633B6" w:rsidRPr="00184EFE">
        <w:t xml:space="preserve"> </w:t>
      </w:r>
      <w:r w:rsidR="0035424E" w:rsidRPr="00184EFE">
        <w:t xml:space="preserve">non-substantive </w:t>
      </w:r>
      <w:r w:rsidR="00C633B6" w:rsidRPr="00184EFE">
        <w:t xml:space="preserve">comments (see </w:t>
      </w:r>
      <w:r w:rsidR="00C633B6" w:rsidRPr="00184EFE">
        <w:rPr>
          <w:b/>
        </w:rPr>
        <w:t>Attachment 5b</w:t>
      </w:r>
      <w:r w:rsidR="00C633B6" w:rsidRPr="00184EFE">
        <w:t>).</w:t>
      </w:r>
      <w:r w:rsidR="0035424E" w:rsidRPr="00184EFE">
        <w:t xml:space="preserve"> No changes were made.</w:t>
      </w:r>
    </w:p>
    <w:p w14:paraId="405B6E8A" w14:textId="77777777" w:rsidR="001A67DA" w:rsidRPr="009C2FDE" w:rsidRDefault="001A67DA" w:rsidP="001A67DA">
      <w:pPr>
        <w:ind w:left="360"/>
      </w:pPr>
    </w:p>
    <w:p w14:paraId="0EAC6B9E" w14:textId="77777777" w:rsidR="001A67DA" w:rsidRPr="009C2FDE" w:rsidRDefault="001A67DA" w:rsidP="001A67DA">
      <w:pPr>
        <w:ind w:left="360"/>
        <w:rPr>
          <w:b/>
        </w:rPr>
      </w:pPr>
      <w:r w:rsidRPr="009C2FDE">
        <w:rPr>
          <w:b/>
        </w:rPr>
        <w:t>B. Other Consultations</w:t>
      </w:r>
    </w:p>
    <w:p w14:paraId="07A94AD1" w14:textId="77777777" w:rsidR="001A67DA" w:rsidRPr="009C2FDE" w:rsidRDefault="001A67DA" w:rsidP="001A67DA">
      <w:pPr>
        <w:ind w:left="360"/>
        <w:rPr>
          <w:b/>
        </w:rPr>
      </w:pPr>
    </w:p>
    <w:p w14:paraId="04A7F32B" w14:textId="77777777" w:rsidR="001A67DA" w:rsidRPr="009C2FDE" w:rsidRDefault="001A67DA" w:rsidP="001A67DA">
      <w:r w:rsidRPr="009C2FDE">
        <w:t xml:space="preserve">The </w:t>
      </w:r>
      <w:r w:rsidR="0076255F">
        <w:t>DCH-PMD</w:t>
      </w:r>
      <w:r w:rsidRPr="009C2FDE">
        <w:t xml:space="preserve"> was designed collaboratively by CDC staff and the data collection contractor.  Consultation will continue throughout the implementation process.</w:t>
      </w:r>
      <w:r w:rsidR="00760582">
        <w:t xml:space="preserve"> There were no other external consultations.</w:t>
      </w:r>
    </w:p>
    <w:p w14:paraId="3A2877C9" w14:textId="77777777" w:rsidR="001A67DA" w:rsidRPr="009C2FDE" w:rsidRDefault="001A67DA" w:rsidP="001A67DA">
      <w:pPr>
        <w:ind w:left="360"/>
        <w:rPr>
          <w:b/>
        </w:rPr>
      </w:pPr>
    </w:p>
    <w:p w14:paraId="3D883894" w14:textId="77777777" w:rsidR="001A67DA" w:rsidRPr="009C2FDE" w:rsidRDefault="001A67DA" w:rsidP="001A67DA">
      <w:pPr>
        <w:ind w:left="360"/>
        <w:rPr>
          <w:b/>
        </w:rPr>
      </w:pPr>
      <w:r w:rsidRPr="009C2FDE">
        <w:rPr>
          <w:b/>
        </w:rPr>
        <w:t>9. Explanation of Any Payment or Gift to Respondents</w:t>
      </w:r>
    </w:p>
    <w:p w14:paraId="2DEF6873" w14:textId="77777777" w:rsidR="001A67DA" w:rsidRPr="009C2FDE" w:rsidRDefault="001A67DA" w:rsidP="001A67DA">
      <w:pPr>
        <w:ind w:left="360"/>
        <w:rPr>
          <w:b/>
        </w:rPr>
      </w:pPr>
    </w:p>
    <w:p w14:paraId="5486BFB8" w14:textId="77777777" w:rsidR="001A67DA" w:rsidRPr="009C2FDE" w:rsidRDefault="001A67DA" w:rsidP="001A67DA">
      <w:r w:rsidRPr="009C2FDE">
        <w:t xml:space="preserve">Respondents will not receive payments or gifts for providing information.  </w:t>
      </w:r>
    </w:p>
    <w:p w14:paraId="5075DBAC" w14:textId="77777777" w:rsidR="001A67DA" w:rsidRPr="009C2FDE" w:rsidRDefault="001A67DA" w:rsidP="001A67DA">
      <w:pPr>
        <w:ind w:left="360"/>
      </w:pPr>
    </w:p>
    <w:p w14:paraId="5479298E" w14:textId="77777777" w:rsidR="001A67DA" w:rsidRPr="009C2FDE" w:rsidRDefault="001A67DA" w:rsidP="001A67DA">
      <w:pPr>
        <w:ind w:left="360"/>
        <w:rPr>
          <w:b/>
        </w:rPr>
      </w:pPr>
      <w:r w:rsidRPr="009C2FDE">
        <w:rPr>
          <w:b/>
        </w:rPr>
        <w:t>10. Assurance of Confidentiality Provided to Respondents</w:t>
      </w:r>
    </w:p>
    <w:p w14:paraId="473BFEC8" w14:textId="77777777" w:rsidR="001A67DA" w:rsidRPr="009C2FDE" w:rsidRDefault="001A67DA" w:rsidP="001A67DA">
      <w:pPr>
        <w:rPr>
          <w:rFonts w:eastAsia="Calibri"/>
          <w:color w:val="1F497D"/>
        </w:rPr>
      </w:pPr>
    </w:p>
    <w:p w14:paraId="63AA2275" w14:textId="77777777" w:rsidR="001A67DA" w:rsidRPr="009C2FDE" w:rsidRDefault="001A67DA" w:rsidP="001A67DA">
      <w:pPr>
        <w:tabs>
          <w:tab w:val="left" w:pos="720"/>
        </w:tabs>
      </w:pPr>
    </w:p>
    <w:p w14:paraId="10F8E09D" w14:textId="77777777" w:rsidR="001A67DA" w:rsidRPr="009C2FDE" w:rsidRDefault="001A67DA" w:rsidP="001A67DA">
      <w:pPr>
        <w:pStyle w:val="ListParagraph"/>
        <w:numPr>
          <w:ilvl w:val="1"/>
          <w:numId w:val="42"/>
        </w:numPr>
        <w:tabs>
          <w:tab w:val="left" w:pos="810"/>
        </w:tabs>
        <w:rPr>
          <w:b/>
        </w:rPr>
      </w:pPr>
      <w:r w:rsidRPr="009C2FDE">
        <w:rPr>
          <w:b/>
        </w:rPr>
        <w:t xml:space="preserve">  Privacy Impact Assessment Information</w:t>
      </w:r>
    </w:p>
    <w:p w14:paraId="36CD8F0C" w14:textId="77777777" w:rsidR="001A67DA" w:rsidRPr="009C2FDE" w:rsidRDefault="001A67DA" w:rsidP="001A67DA">
      <w:pPr>
        <w:tabs>
          <w:tab w:val="left" w:pos="810"/>
        </w:tabs>
        <w:ind w:left="360"/>
      </w:pPr>
    </w:p>
    <w:p w14:paraId="06F5990D" w14:textId="77777777" w:rsidR="001A67DA" w:rsidRPr="009C2FDE" w:rsidRDefault="001A67DA" w:rsidP="001A67DA">
      <w:pPr>
        <w:rPr>
          <w:u w:val="single"/>
        </w:rPr>
      </w:pPr>
      <w:r w:rsidRPr="009C2FDE">
        <w:rPr>
          <w:u w:val="single"/>
        </w:rPr>
        <w:t>Overview of data collection</w:t>
      </w:r>
    </w:p>
    <w:p w14:paraId="16FD4B76" w14:textId="77777777" w:rsidR="001A67DA" w:rsidRPr="009C2FDE" w:rsidRDefault="001A67DA" w:rsidP="001A67DA"/>
    <w:p w14:paraId="0E44A924" w14:textId="77777777" w:rsidR="001A67DA" w:rsidRPr="009C2FDE" w:rsidRDefault="001A67DA" w:rsidP="00A652DC">
      <w:pPr>
        <w:rPr>
          <w:color w:val="000000" w:themeColor="text1"/>
        </w:rPr>
      </w:pPr>
      <w:r w:rsidRPr="009C2FDE">
        <w:rPr>
          <w:color w:val="000000" w:themeColor="text1"/>
        </w:rPr>
        <w:t xml:space="preserve">Information will be collected from </w:t>
      </w:r>
      <w:r w:rsidR="00DD558D">
        <w:rPr>
          <w:color w:val="000000" w:themeColor="text1"/>
        </w:rPr>
        <w:t>REACH</w:t>
      </w:r>
      <w:r w:rsidRPr="009C2FDE">
        <w:rPr>
          <w:color w:val="000000" w:themeColor="text1"/>
        </w:rPr>
        <w:t xml:space="preserve"> awardees through an electronic </w:t>
      </w:r>
      <w:r w:rsidR="0076255F">
        <w:rPr>
          <w:color w:val="000000" w:themeColor="text1"/>
        </w:rPr>
        <w:t>DCH-PMD</w:t>
      </w:r>
      <w:r w:rsidRPr="009C2FDE">
        <w:rPr>
          <w:color w:val="000000" w:themeColor="text1"/>
        </w:rPr>
        <w:t xml:space="preserve">.  </w:t>
      </w:r>
      <w:r w:rsidR="00BF32C3">
        <w:rPr>
          <w:color w:val="000000" w:themeColor="text1"/>
        </w:rPr>
        <w:t>Information</w:t>
      </w:r>
      <w:r w:rsidRPr="009C2FDE">
        <w:rPr>
          <w:color w:val="000000" w:themeColor="text1"/>
        </w:rPr>
        <w:t xml:space="preserve"> placed into the system produces interim and annual reports as PDFs that awardees can use to upload into grants.gov.  This procedure satisfies the routine, semi-annual cooperative agreement reporting requirements.  Progress reports are required twice per year, but data entry can occur on a real-time basis. As a result, the </w:t>
      </w:r>
      <w:r w:rsidR="0076255F">
        <w:rPr>
          <w:color w:val="000000" w:themeColor="text1"/>
        </w:rPr>
        <w:t>DCH-PMD</w:t>
      </w:r>
      <w:r w:rsidRPr="009C2FDE">
        <w:rPr>
          <w:color w:val="000000" w:themeColor="text1"/>
        </w:rPr>
        <w:t xml:space="preserve"> can also be used for ongoing program management, and supports more effective, data-driven technical assistance between NCCDPHP and awardees.</w:t>
      </w:r>
    </w:p>
    <w:p w14:paraId="7B197130" w14:textId="77777777" w:rsidR="001A67DA" w:rsidRPr="009C2FDE" w:rsidRDefault="001A67DA" w:rsidP="001A67DA">
      <w:pPr>
        <w:tabs>
          <w:tab w:val="left" w:pos="780"/>
        </w:tabs>
        <w:rPr>
          <w:color w:val="000000" w:themeColor="text1"/>
        </w:rPr>
      </w:pPr>
    </w:p>
    <w:p w14:paraId="1A183799" w14:textId="77777777" w:rsidR="001A67DA" w:rsidRPr="009C2FDE" w:rsidRDefault="001A67DA" w:rsidP="001A67DA">
      <w:pPr>
        <w:tabs>
          <w:tab w:val="left" w:pos="780"/>
        </w:tabs>
        <w:rPr>
          <w:color w:val="000000" w:themeColor="text1"/>
        </w:rPr>
      </w:pPr>
      <w:r w:rsidRPr="009C2FDE">
        <w:t xml:space="preserve">The </w:t>
      </w:r>
      <w:r w:rsidR="0076255F">
        <w:t>DCH-PMD</w:t>
      </w:r>
      <w:r w:rsidRPr="009C2FDE">
        <w:t xml:space="preserve"> is a centralized, electronic system that supports the collection and reporting of information that will be used by CDC to help assess the impact </w:t>
      </w:r>
      <w:r w:rsidRPr="009C2FDE">
        <w:rPr>
          <w:color w:val="000000" w:themeColor="text1"/>
        </w:rPr>
        <w:t xml:space="preserve">of </w:t>
      </w:r>
      <w:r w:rsidR="00DD558D">
        <w:rPr>
          <w:color w:val="000000" w:themeColor="text1"/>
        </w:rPr>
        <w:t>REACH</w:t>
      </w:r>
      <w:r w:rsidRPr="009C2FDE">
        <w:rPr>
          <w:color w:val="000000" w:themeColor="text1"/>
        </w:rPr>
        <w:t xml:space="preserve"> funding</w:t>
      </w:r>
      <w:r w:rsidRPr="009C2FDE">
        <w:t xml:space="preserve">.  The </w:t>
      </w:r>
      <w:r w:rsidR="0076255F">
        <w:t>DCH-PMD</w:t>
      </w:r>
      <w:r w:rsidRPr="009C2FDE">
        <w:t xml:space="preserve"> will be used to describe, evaluate and enhance opportunities for collaborative efforts and partnerships.  Having all this information in a single and secure database will allow CDC Project Officers to search across multiple programs, help ensure consistency in documenting progress and technical assistance, enhance accountability of the use of federal funds, and provide timely reports as frequently requested by HHS, the White House, and Congress.</w:t>
      </w:r>
    </w:p>
    <w:p w14:paraId="2E19B77C" w14:textId="77777777" w:rsidR="001A67DA" w:rsidRPr="009C2FDE" w:rsidRDefault="001A67DA" w:rsidP="001A67DA"/>
    <w:p w14:paraId="2BA0CDCA" w14:textId="1726DB2B" w:rsidR="001A67DA" w:rsidRPr="009C2FDE" w:rsidRDefault="001A67DA" w:rsidP="001A67DA">
      <w:pPr>
        <w:rPr>
          <w:color w:val="000000" w:themeColor="text1"/>
        </w:rPr>
      </w:pPr>
      <w:r w:rsidRPr="009C2FDE">
        <w:rPr>
          <w:color w:val="000000" w:themeColor="text1"/>
        </w:rPr>
        <w:t xml:space="preserve">This information collection request includes a provision for special-purpose data collection that may be </w:t>
      </w:r>
      <w:r w:rsidRPr="00697739">
        <w:rPr>
          <w:color w:val="000000" w:themeColor="text1"/>
        </w:rPr>
        <w:t xml:space="preserve">needed as </w:t>
      </w:r>
      <w:r w:rsidR="00697739" w:rsidRPr="00697739">
        <w:rPr>
          <w:color w:val="000000" w:themeColor="text1"/>
        </w:rPr>
        <w:t>DNPAO</w:t>
      </w:r>
      <w:r w:rsidRPr="00697739">
        <w:rPr>
          <w:color w:val="000000" w:themeColor="text1"/>
        </w:rPr>
        <w:t xml:space="preserve"> </w:t>
      </w:r>
      <w:r w:rsidR="00697739" w:rsidRPr="00697739">
        <w:rPr>
          <w:color w:val="000000" w:themeColor="text1"/>
        </w:rPr>
        <w:t>re</w:t>
      </w:r>
      <w:r w:rsidR="00697739">
        <w:rPr>
          <w:color w:val="000000" w:themeColor="text1"/>
        </w:rPr>
        <w:t>sponds to requests from stakeholders about the REACH Program</w:t>
      </w:r>
      <w:r w:rsidR="00F21581">
        <w:rPr>
          <w:color w:val="000000" w:themeColor="text1"/>
        </w:rPr>
        <w:t>.</w:t>
      </w:r>
      <w:r w:rsidRPr="009C2FDE">
        <w:rPr>
          <w:color w:val="000000" w:themeColor="text1"/>
        </w:rPr>
        <w:t xml:space="preserve"> The objectives, content, and methods of each request will be described in a Change Request.</w:t>
      </w:r>
    </w:p>
    <w:p w14:paraId="53038BA2" w14:textId="77777777" w:rsidR="001A67DA" w:rsidRPr="009C2FDE" w:rsidRDefault="001A67DA" w:rsidP="001A67DA"/>
    <w:p w14:paraId="4A10AA1B" w14:textId="77777777" w:rsidR="001A67DA" w:rsidRPr="009C2FDE" w:rsidRDefault="001A67DA" w:rsidP="001A67DA"/>
    <w:p w14:paraId="7C5AA8FE" w14:textId="77777777" w:rsidR="001A67DA" w:rsidRPr="009C2FDE" w:rsidRDefault="001A67DA" w:rsidP="001A67DA">
      <w:pPr>
        <w:rPr>
          <w:u w:val="single"/>
        </w:rPr>
      </w:pPr>
      <w:r w:rsidRPr="009C2FDE">
        <w:rPr>
          <w:u w:val="single"/>
        </w:rPr>
        <w:t xml:space="preserve">Information to be </w:t>
      </w:r>
      <w:r w:rsidR="00AA21CE" w:rsidRPr="009C2FDE">
        <w:rPr>
          <w:u w:val="single"/>
        </w:rPr>
        <w:t>collected</w:t>
      </w:r>
    </w:p>
    <w:p w14:paraId="3D121AA6" w14:textId="77777777" w:rsidR="001A67DA" w:rsidRPr="009C2FDE" w:rsidRDefault="001A67DA" w:rsidP="001A67DA"/>
    <w:p w14:paraId="7A952E3D" w14:textId="77777777" w:rsidR="001A67DA" w:rsidRPr="009C2FDE" w:rsidRDefault="001A67DA" w:rsidP="001A67DA">
      <w:r w:rsidRPr="009C2FDE">
        <w:rPr>
          <w:color w:val="000000" w:themeColor="text1"/>
        </w:rPr>
        <w:t xml:space="preserve">Awardees will store information in the </w:t>
      </w:r>
      <w:r w:rsidR="0076255F">
        <w:rPr>
          <w:color w:val="000000" w:themeColor="text1"/>
        </w:rPr>
        <w:t>DCH-PMD</w:t>
      </w:r>
      <w:r w:rsidRPr="009C2FDE">
        <w:rPr>
          <w:color w:val="000000" w:themeColor="text1"/>
        </w:rPr>
        <w:t xml:space="preserve"> about their personnel, work plan objectives, milestones and activities, resources, and facilitators and barriers to success.  The </w:t>
      </w:r>
      <w:r w:rsidR="0076255F">
        <w:rPr>
          <w:color w:val="000000" w:themeColor="text1"/>
        </w:rPr>
        <w:t>DCH-PMD</w:t>
      </w:r>
      <w:r w:rsidRPr="009C2FDE">
        <w:rPr>
          <w:color w:val="000000" w:themeColor="text1"/>
        </w:rPr>
        <w:t xml:space="preserve"> will also collect information about the staffing resources dedicated by each awardee as well as partnerships with external organizations. The </w:t>
      </w:r>
      <w:r w:rsidR="0076255F">
        <w:rPr>
          <w:color w:val="000000" w:themeColor="text1"/>
        </w:rPr>
        <w:t>DCH-PMD</w:t>
      </w:r>
      <w:r w:rsidRPr="009C2FDE">
        <w:rPr>
          <w:color w:val="000000" w:themeColor="text1"/>
        </w:rPr>
        <w:t xml:space="preserve"> requires </w:t>
      </w:r>
      <w:r w:rsidR="00DD558D">
        <w:rPr>
          <w:color w:val="000000" w:themeColor="text1"/>
        </w:rPr>
        <w:t>REACH</w:t>
      </w:r>
      <w:r w:rsidRPr="009C2FDE">
        <w:t xml:space="preserve"> awardees to define their objectives in action-oriented SMART format (Specific, Measurable, Achievable, Relevant, and Time-Framed).  </w:t>
      </w:r>
    </w:p>
    <w:p w14:paraId="481BD57E" w14:textId="77777777" w:rsidR="001A67DA" w:rsidRPr="009C2FDE" w:rsidRDefault="001A67DA" w:rsidP="001A67DA">
      <w:pPr>
        <w:rPr>
          <w:color w:val="000000" w:themeColor="text1"/>
        </w:rPr>
      </w:pPr>
    </w:p>
    <w:p w14:paraId="6EDA1C03" w14:textId="77777777" w:rsidR="001A67DA" w:rsidRPr="009C2FDE" w:rsidRDefault="001A67DA" w:rsidP="001A67DA">
      <w:pPr>
        <w:rPr>
          <w:color w:val="000000" w:themeColor="text1"/>
        </w:rPr>
      </w:pPr>
      <w:r w:rsidRPr="009C2FDE">
        <w:rPr>
          <w:color w:val="000000" w:themeColor="text1"/>
        </w:rPr>
        <w:t xml:space="preserve">The </w:t>
      </w:r>
      <w:r w:rsidR="0076255F">
        <w:rPr>
          <w:color w:val="000000" w:themeColor="text1"/>
        </w:rPr>
        <w:t>DCH-PMD</w:t>
      </w:r>
      <w:r w:rsidRPr="009C2FDE">
        <w:rPr>
          <w:color w:val="000000" w:themeColor="text1"/>
        </w:rPr>
        <w:t xml:space="preserve"> will collect a limited amount of information in identifiable form (IIF) for key program staff (e.g., Program Director).  Each awardee will provide the names of these individuals as well as their professional contact information</w:t>
      </w:r>
      <w:r w:rsidRPr="009C2FDE">
        <w:t xml:space="preserve">.  </w:t>
      </w:r>
      <w:r w:rsidRPr="009C2FDE">
        <w:rPr>
          <w:rFonts w:eastAsia="Calibri"/>
        </w:rPr>
        <w:t xml:space="preserve">No individually identifiable information will be collected; and, </w:t>
      </w:r>
      <w:r w:rsidRPr="009C2FDE">
        <w:rPr>
          <w:color w:val="000000" w:themeColor="text1"/>
        </w:rPr>
        <w:t>no personal contact information will be collected.</w:t>
      </w:r>
    </w:p>
    <w:p w14:paraId="407185BE" w14:textId="77777777" w:rsidR="001A67DA" w:rsidRPr="009C2FDE" w:rsidRDefault="001A67DA" w:rsidP="001A67DA">
      <w:pPr>
        <w:rPr>
          <w:color w:val="000000" w:themeColor="text1"/>
        </w:rPr>
      </w:pPr>
    </w:p>
    <w:p w14:paraId="5E249E2B" w14:textId="77777777" w:rsidR="001A67DA" w:rsidRPr="009C2FDE" w:rsidRDefault="001A67DA" w:rsidP="001A67DA">
      <w:pPr>
        <w:rPr>
          <w:u w:val="single"/>
        </w:rPr>
      </w:pPr>
      <w:r w:rsidRPr="009C2FDE">
        <w:rPr>
          <w:u w:val="single"/>
        </w:rPr>
        <w:t xml:space="preserve">How the information will be shared and for what purpose </w:t>
      </w:r>
    </w:p>
    <w:p w14:paraId="3DD4B0C9" w14:textId="77777777" w:rsidR="001A67DA" w:rsidRPr="009C2FDE" w:rsidRDefault="001A67DA" w:rsidP="001A67DA"/>
    <w:p w14:paraId="238EEEB4" w14:textId="77777777" w:rsidR="001A67DA" w:rsidRPr="009C2FDE" w:rsidRDefault="001A67DA" w:rsidP="001A67DA">
      <w:r w:rsidRPr="009C2FDE">
        <w:t xml:space="preserve">The </w:t>
      </w:r>
      <w:r w:rsidR="0076255F">
        <w:t>DCH-PMD</w:t>
      </w:r>
      <w:r w:rsidRPr="009C2FDE">
        <w:t xml:space="preserve"> will generate a variety of routine and customizable reports.  Local level reports will allow each awardee to summarize its activities and progress towards meeting work plan objectives.  CDC will also have the capacity to generate reports that describe activities across multiple awardees.  CDC will also use the information collection to respond to inquiries from the HHS, the White House, Congress and other stakeholders about </w:t>
      </w:r>
      <w:r w:rsidR="00DD558D">
        <w:t>REACH</w:t>
      </w:r>
      <w:r w:rsidRPr="009C2FDE">
        <w:t xml:space="preserve"> program activities and their impact.  We have learned that in standing up new programs, we often receive inquiries about use of funds and want to provide for that type of circumstance in this request.  Each time a special data call occurs, CDC would provide the request for information to OMB for review and approval.</w:t>
      </w:r>
    </w:p>
    <w:p w14:paraId="3D684782" w14:textId="77777777" w:rsidR="001A67DA" w:rsidRPr="009C2FDE" w:rsidRDefault="001A67DA" w:rsidP="001A67DA"/>
    <w:p w14:paraId="648C1114" w14:textId="77777777" w:rsidR="001A67DA" w:rsidRPr="009C2FDE" w:rsidRDefault="001A67DA" w:rsidP="001A67DA">
      <w:pPr>
        <w:rPr>
          <w:u w:val="single"/>
        </w:rPr>
      </w:pPr>
      <w:r w:rsidRPr="009C2FDE">
        <w:rPr>
          <w:u w:val="single"/>
        </w:rPr>
        <w:t>Impact the proposed collection will have on the respondent’s privacy</w:t>
      </w:r>
    </w:p>
    <w:p w14:paraId="6C7817B6" w14:textId="77777777" w:rsidR="001A67DA" w:rsidRPr="009C2FDE" w:rsidRDefault="001A67DA" w:rsidP="001A67DA">
      <w:pPr>
        <w:rPr>
          <w:u w:val="single"/>
        </w:rPr>
      </w:pPr>
    </w:p>
    <w:p w14:paraId="56328D16" w14:textId="77777777" w:rsidR="001A67DA" w:rsidRPr="009C2FDE" w:rsidRDefault="001A67DA" w:rsidP="001A67DA">
      <w:pPr>
        <w:rPr>
          <w:u w:val="single"/>
        </w:rPr>
      </w:pPr>
      <w:r w:rsidRPr="009C2FDE">
        <w:rPr>
          <w:color w:val="000000" w:themeColor="text1"/>
        </w:rPr>
        <w:t xml:space="preserve">Information will be not being collected about individuals; rather the data that is collected from </w:t>
      </w:r>
      <w:r w:rsidR="00DD558D">
        <w:rPr>
          <w:color w:val="000000" w:themeColor="text1"/>
        </w:rPr>
        <w:t>REACH</w:t>
      </w:r>
      <w:r w:rsidRPr="009C2FDE">
        <w:rPr>
          <w:color w:val="000000" w:themeColor="text1"/>
        </w:rPr>
        <w:t xml:space="preserve"> awardees consists of </w:t>
      </w:r>
      <w:r w:rsidRPr="009C2FDE">
        <w:t xml:space="preserve">work plans and progress reports, including objectives and milestones.  </w:t>
      </w:r>
    </w:p>
    <w:p w14:paraId="6C5B7B74" w14:textId="77777777" w:rsidR="001A67DA" w:rsidRPr="009C2FDE" w:rsidRDefault="001A67DA" w:rsidP="001A67DA"/>
    <w:p w14:paraId="0C9BF1A7" w14:textId="77777777" w:rsidR="001A67DA" w:rsidRPr="009C2FDE" w:rsidRDefault="001A67DA" w:rsidP="001A67DA"/>
    <w:p w14:paraId="55924558" w14:textId="77777777" w:rsidR="001A67DA" w:rsidRPr="009C2FDE" w:rsidRDefault="001A67DA" w:rsidP="001A67DA">
      <w:pPr>
        <w:rPr>
          <w:u w:val="single"/>
        </w:rPr>
      </w:pPr>
      <w:r w:rsidRPr="009C2FDE">
        <w:rPr>
          <w:u w:val="single"/>
        </w:rPr>
        <w:t>Whether individuals are informed that providing the information is voluntary or mandatory</w:t>
      </w:r>
    </w:p>
    <w:p w14:paraId="677B2B37" w14:textId="77777777" w:rsidR="001A67DA" w:rsidRPr="009C2FDE" w:rsidRDefault="001A67DA" w:rsidP="001A67DA">
      <w:pPr>
        <w:tabs>
          <w:tab w:val="left" w:pos="810"/>
        </w:tabs>
        <w:rPr>
          <w:u w:val="single"/>
        </w:rPr>
      </w:pPr>
    </w:p>
    <w:p w14:paraId="7B35CC8C" w14:textId="77777777" w:rsidR="001A67DA" w:rsidRPr="009C2FDE" w:rsidRDefault="001A67DA" w:rsidP="001A67DA">
      <w:pPr>
        <w:tabs>
          <w:tab w:val="left" w:pos="810"/>
        </w:tabs>
      </w:pPr>
      <w:r w:rsidRPr="009C2FDE">
        <w:t>Awardees are required to respond as a condition of cooperative agreement funding.</w:t>
      </w:r>
    </w:p>
    <w:p w14:paraId="59F50275" w14:textId="77777777" w:rsidR="001A67DA" w:rsidRPr="009C2FDE" w:rsidRDefault="001A67DA" w:rsidP="001A67DA">
      <w:pPr>
        <w:tabs>
          <w:tab w:val="left" w:pos="810"/>
        </w:tabs>
      </w:pPr>
    </w:p>
    <w:p w14:paraId="276C160D" w14:textId="77777777" w:rsidR="001A67DA" w:rsidRPr="009C2FDE" w:rsidRDefault="001A67DA" w:rsidP="001A67DA">
      <w:pPr>
        <w:tabs>
          <w:tab w:val="left" w:pos="810"/>
        </w:tabs>
        <w:rPr>
          <w:rFonts w:eastAsia="Calibri"/>
          <w:color w:val="1F497D"/>
        </w:rPr>
      </w:pPr>
    </w:p>
    <w:p w14:paraId="7896B880" w14:textId="77777777" w:rsidR="001A67DA" w:rsidRPr="009C2FDE" w:rsidRDefault="001A67DA" w:rsidP="001A67DA">
      <w:pPr>
        <w:tabs>
          <w:tab w:val="left" w:pos="810"/>
        </w:tabs>
        <w:rPr>
          <w:u w:val="single"/>
        </w:rPr>
      </w:pPr>
      <w:r w:rsidRPr="009C2FDE">
        <w:rPr>
          <w:rFonts w:eastAsia="Calibri"/>
          <w:u w:val="single"/>
        </w:rPr>
        <w:t>Opportunities to consent, if any, to sharing and submission of information</w:t>
      </w:r>
    </w:p>
    <w:p w14:paraId="49310727" w14:textId="77777777" w:rsidR="001A67DA" w:rsidRPr="009C2FDE" w:rsidRDefault="001A67DA" w:rsidP="001A67DA"/>
    <w:p w14:paraId="78EC385C" w14:textId="77777777" w:rsidR="001A67DA" w:rsidRPr="009C2FDE" w:rsidRDefault="001A67DA" w:rsidP="001A67DA">
      <w:r w:rsidRPr="009C2FDE">
        <w:t xml:space="preserve">The </w:t>
      </w:r>
      <w:r w:rsidR="0076255F">
        <w:t>DCH-PMD</w:t>
      </w:r>
      <w:r w:rsidRPr="009C2FDE">
        <w:t xml:space="preserve"> data collection does not involve research with human subject</w:t>
      </w:r>
      <w:r w:rsidR="00A314F5" w:rsidRPr="009C2FDE">
        <w:t>s</w:t>
      </w:r>
      <w:r w:rsidRPr="009C2FDE">
        <w:t>. Awardees are cooperative agreement awardees.  The information collection does not require consent from individuals, or IRB approval.</w:t>
      </w:r>
    </w:p>
    <w:p w14:paraId="193B0F6B" w14:textId="77777777" w:rsidR="001A67DA" w:rsidRPr="009C2FDE" w:rsidRDefault="001A67DA" w:rsidP="001A67DA"/>
    <w:p w14:paraId="09CB483A" w14:textId="77777777" w:rsidR="001A67DA" w:rsidRPr="009C2FDE" w:rsidRDefault="001A67DA" w:rsidP="001A67DA"/>
    <w:p w14:paraId="569E9011" w14:textId="77777777" w:rsidR="001A67DA" w:rsidRPr="009C2FDE" w:rsidRDefault="001A67DA" w:rsidP="001A67DA">
      <w:pPr>
        <w:rPr>
          <w:u w:val="single"/>
        </w:rPr>
      </w:pPr>
      <w:r w:rsidRPr="009C2FDE">
        <w:rPr>
          <w:rFonts w:eastAsia="Calibri"/>
          <w:u w:val="single"/>
        </w:rPr>
        <w:t>How the information will be secured</w:t>
      </w:r>
      <w:r w:rsidRPr="009C2FDE">
        <w:rPr>
          <w:u w:val="single"/>
        </w:rPr>
        <w:t xml:space="preserve"> </w:t>
      </w:r>
    </w:p>
    <w:p w14:paraId="1C09C275" w14:textId="77777777" w:rsidR="001A67DA" w:rsidRPr="009C2FDE" w:rsidRDefault="001A67DA" w:rsidP="001A67DA"/>
    <w:p w14:paraId="3D75B3A8" w14:textId="77777777" w:rsidR="001A67DA" w:rsidRPr="009C2FDE" w:rsidRDefault="001A67DA" w:rsidP="001A67DA">
      <w:pPr>
        <w:tabs>
          <w:tab w:val="left" w:pos="810"/>
        </w:tabs>
      </w:pPr>
      <w:r w:rsidRPr="009C2FDE">
        <w:t xml:space="preserve">Access to the </w:t>
      </w:r>
      <w:r w:rsidR="0076255F">
        <w:t>DCH-PMD</w:t>
      </w:r>
      <w:r w:rsidRPr="009C2FDE">
        <w:t xml:space="preserve"> will be controlled by a password-protected login. Access levels vary from read-only to read-write, based on the user’s role and needs. Each awardee will have access to its own information and decide the level of access for each of its authorized users. The extent to which local partners may access an awardee’s information will be decided by that awardee. CDC staff, and evaluation, and technical assistance and training contractors will have varying levels of access to the system with role-appropriate security training, based on the requirements of their position(s).  Aggregated information will be stored on an internal CDC SQL server subject to CDC’s information security guidelines.  The </w:t>
      </w:r>
      <w:r w:rsidR="0076255F">
        <w:t>DCH-PMD</w:t>
      </w:r>
      <w:r w:rsidRPr="009C2FDE">
        <w:t xml:space="preserve"> will be hosted on NCCDPHP’s Intranet and Internet Application platforms, which undergo security certification and accreditation through CDC’s Office of the Chief Information Security Officer. </w:t>
      </w:r>
    </w:p>
    <w:p w14:paraId="677A13DD" w14:textId="77777777" w:rsidR="001A67DA" w:rsidRPr="009C2FDE" w:rsidRDefault="001A67DA" w:rsidP="001A67DA"/>
    <w:p w14:paraId="5158EB56" w14:textId="77777777" w:rsidR="001A67DA" w:rsidRPr="009C2FDE" w:rsidRDefault="00A314F5" w:rsidP="001A67DA">
      <w:pPr>
        <w:rPr>
          <w:u w:val="single"/>
        </w:rPr>
      </w:pPr>
      <w:r w:rsidRPr="009C2FDE">
        <w:rPr>
          <w:u w:val="single"/>
        </w:rPr>
        <w:t>Privacy Act Determination</w:t>
      </w:r>
    </w:p>
    <w:p w14:paraId="5B492B37" w14:textId="77777777" w:rsidR="00A314F5" w:rsidRPr="009C2FDE" w:rsidRDefault="00A314F5" w:rsidP="001A67DA">
      <w:pPr>
        <w:rPr>
          <w:u w:val="single"/>
        </w:rPr>
      </w:pPr>
    </w:p>
    <w:p w14:paraId="210BC92E" w14:textId="77777777" w:rsidR="00A314F5" w:rsidRPr="009C2FDE" w:rsidRDefault="008A28FE" w:rsidP="001A67DA">
      <w:r w:rsidRPr="009C2FDE">
        <w:t>Staff in the CDC Information Collection Review Office have reviewed this Information Collection Request and have determined that the Privacy Act is not applicable. The data collection does not involve collection of sensitive or identifiable personal information.  Respondents are state and local governmental agencies, tribes and territories, state or local non-profit organizations, and national networks of community-based organizations.  Although contact information is obtained for each awardee, the contact person provides information about the organization, not personal information.</w:t>
      </w:r>
    </w:p>
    <w:p w14:paraId="5C31A846" w14:textId="77777777" w:rsidR="001A67DA" w:rsidRPr="009C2FDE" w:rsidRDefault="001A67DA" w:rsidP="001A67DA">
      <w:pPr>
        <w:tabs>
          <w:tab w:val="num" w:pos="360"/>
          <w:tab w:val="left" w:pos="810"/>
        </w:tabs>
        <w:ind w:left="360" w:hanging="360"/>
      </w:pPr>
    </w:p>
    <w:p w14:paraId="781178F7" w14:textId="77777777" w:rsidR="00F8697F" w:rsidRPr="009C2FDE" w:rsidRDefault="00F8697F" w:rsidP="005C7FD2"/>
    <w:p w14:paraId="515A9F61" w14:textId="77777777" w:rsidR="00375EF4" w:rsidRPr="009C2FDE" w:rsidRDefault="00375EF4" w:rsidP="00375EF4">
      <w:pPr>
        <w:ind w:left="360"/>
        <w:rPr>
          <w:b/>
        </w:rPr>
      </w:pPr>
      <w:r w:rsidRPr="009C2FDE">
        <w:rPr>
          <w:b/>
        </w:rPr>
        <w:t>11. Justification for Sensitive Questions</w:t>
      </w:r>
    </w:p>
    <w:p w14:paraId="1CA12BA0" w14:textId="77777777" w:rsidR="00375EF4" w:rsidRPr="009C2FDE" w:rsidRDefault="00375EF4" w:rsidP="00375EF4">
      <w:pPr>
        <w:ind w:left="360"/>
      </w:pPr>
    </w:p>
    <w:p w14:paraId="6E13555D" w14:textId="77777777" w:rsidR="00B848D7" w:rsidRPr="009C2FDE" w:rsidRDefault="00375EF4" w:rsidP="0076452B">
      <w:r w:rsidRPr="009C2FDE">
        <w:t xml:space="preserve">The </w:t>
      </w:r>
      <w:r w:rsidR="0076255F">
        <w:t>DCH-PMD</w:t>
      </w:r>
      <w:r w:rsidRPr="009C2FDE">
        <w:t xml:space="preserve"> instrument does not collect sensitive information. No personal information is requested. The </w:t>
      </w:r>
      <w:r w:rsidR="0076255F">
        <w:t>DCH-PMD</w:t>
      </w:r>
      <w:r w:rsidRPr="009C2FDE">
        <w:t xml:space="preserve"> will collect a limited amount of information in identifiable form (IIF) for key program staff (e.g., Program Director). Each awardee will provide the names of these individuals as well as their professional contact information.  The contact person will only provide information about activities conducted under the collaborative award, not personal information.</w:t>
      </w:r>
    </w:p>
    <w:p w14:paraId="76BED27C" w14:textId="77777777" w:rsidR="00375EF4" w:rsidRPr="009C2FDE" w:rsidRDefault="00375EF4" w:rsidP="00375EF4">
      <w:pPr>
        <w:ind w:left="360"/>
      </w:pPr>
    </w:p>
    <w:p w14:paraId="119DC913" w14:textId="77777777" w:rsidR="00D720BD" w:rsidRPr="009C2FDE" w:rsidRDefault="00D720BD" w:rsidP="00207287">
      <w:pPr>
        <w:ind w:left="360"/>
        <w:rPr>
          <w:b/>
        </w:rPr>
      </w:pPr>
      <w:r w:rsidRPr="009C2FDE">
        <w:rPr>
          <w:b/>
        </w:rPr>
        <w:t>12. Estimates of Annualized Burden Hours and Costs</w:t>
      </w:r>
      <w:r w:rsidR="00AC268F" w:rsidRPr="009C2FDE">
        <w:rPr>
          <w:b/>
        </w:rPr>
        <w:t xml:space="preserve"> to Respondents</w:t>
      </w:r>
    </w:p>
    <w:p w14:paraId="6D379246" w14:textId="77777777" w:rsidR="003B6135" w:rsidRPr="009C2FDE" w:rsidRDefault="003B6135" w:rsidP="00207287">
      <w:pPr>
        <w:ind w:left="360"/>
        <w:rPr>
          <w:b/>
        </w:rPr>
      </w:pPr>
    </w:p>
    <w:p w14:paraId="07F3865D" w14:textId="77777777" w:rsidR="0089686C" w:rsidRPr="009C2FDE" w:rsidRDefault="00D720BD" w:rsidP="0089686C">
      <w:pPr>
        <w:ind w:left="360"/>
        <w:rPr>
          <w:b/>
        </w:rPr>
      </w:pPr>
      <w:r w:rsidRPr="009C2FDE">
        <w:rPr>
          <w:b/>
        </w:rPr>
        <w:t>A. Estimated Annualized Burden Hours</w:t>
      </w:r>
      <w:r w:rsidR="0089686C" w:rsidRPr="009C2FDE">
        <w:t xml:space="preserve"> </w:t>
      </w:r>
    </w:p>
    <w:p w14:paraId="247645E0" w14:textId="77777777" w:rsidR="0089686C" w:rsidRPr="009C2FDE" w:rsidRDefault="0089686C" w:rsidP="0089686C">
      <w:pPr>
        <w:ind w:left="360"/>
        <w:rPr>
          <w:b/>
        </w:rPr>
      </w:pPr>
    </w:p>
    <w:p w14:paraId="68635CAB" w14:textId="77777777" w:rsidR="00AF0910" w:rsidRDefault="00AF0910" w:rsidP="00AF0910"/>
    <w:p w14:paraId="46E6F219" w14:textId="01CE17EC" w:rsidR="00AF0910" w:rsidRPr="00DD558D" w:rsidRDefault="00AF0910" w:rsidP="00AF0910">
      <w:pPr>
        <w:rPr>
          <w:highlight w:val="yellow"/>
        </w:rPr>
      </w:pPr>
      <w:r w:rsidRPr="00697739">
        <w:t xml:space="preserve">Awardees will report information to CDC about their objectives and activities </w:t>
      </w:r>
      <w:r w:rsidR="000468CC" w:rsidRPr="00697739">
        <w:t xml:space="preserve">through </w:t>
      </w:r>
      <w:r w:rsidR="00680661" w:rsidRPr="00697739">
        <w:t xml:space="preserve">the DCH-PMD, </w:t>
      </w:r>
      <w:r w:rsidR="000468CC" w:rsidRPr="00697739">
        <w:t xml:space="preserve">an electronic interface </w:t>
      </w:r>
      <w:r w:rsidRPr="00697739">
        <w:t xml:space="preserve">(see </w:t>
      </w:r>
      <w:r w:rsidRPr="00697739">
        <w:rPr>
          <w:b/>
        </w:rPr>
        <w:t>Attachment 3</w:t>
      </w:r>
      <w:r w:rsidR="000468CC" w:rsidRPr="00697739">
        <w:rPr>
          <w:b/>
        </w:rPr>
        <w:t>a</w:t>
      </w:r>
      <w:r w:rsidRPr="007C7FA1">
        <w:t xml:space="preserve">).  Current respondents are the </w:t>
      </w:r>
      <w:r w:rsidR="00697739" w:rsidRPr="007C7FA1">
        <w:t>49</w:t>
      </w:r>
      <w:r w:rsidRPr="007C7FA1">
        <w:t xml:space="preserve"> awardees f</w:t>
      </w:r>
      <w:r w:rsidR="00A349D6" w:rsidRPr="007C7FA1">
        <w:t>or REACH</w:t>
      </w:r>
      <w:r w:rsidRPr="007C7FA1">
        <w:t xml:space="preserve"> FOA. Of these awardees, </w:t>
      </w:r>
      <w:r w:rsidR="00697739" w:rsidRPr="007C7FA1">
        <w:t>18</w:t>
      </w:r>
      <w:r w:rsidRPr="007C7FA1">
        <w:t xml:space="preserve"> are from the state, local, and tribal government sector, and </w:t>
      </w:r>
      <w:r w:rsidR="00697739" w:rsidRPr="007C7FA1">
        <w:t>31</w:t>
      </w:r>
      <w:r w:rsidRPr="007C7FA1">
        <w:t xml:space="preserve"> awardees are from the private sector.</w:t>
      </w:r>
    </w:p>
    <w:p w14:paraId="24E28B17" w14:textId="77777777" w:rsidR="00AF0910" w:rsidRPr="00DD558D" w:rsidRDefault="00AF0910" w:rsidP="00AF0910">
      <w:pPr>
        <w:ind w:left="360"/>
        <w:rPr>
          <w:highlight w:val="yellow"/>
        </w:rPr>
      </w:pPr>
    </w:p>
    <w:p w14:paraId="21FEBB50" w14:textId="77777777" w:rsidR="00AF0910" w:rsidRDefault="00AF0910" w:rsidP="00AF0910">
      <w:r w:rsidRPr="00CB1C59">
        <w:t xml:space="preserve">The efficiencies of the electronic </w:t>
      </w:r>
      <w:r w:rsidR="0076255F">
        <w:t>DCH-PMD</w:t>
      </w:r>
      <w:r w:rsidRPr="00CB1C59">
        <w:t xml:space="preserve"> are realized in subsequent reporting periods.  After the initial population of the </w:t>
      </w:r>
      <w:r w:rsidR="0076255F">
        <w:t>DCH-PMD</w:t>
      </w:r>
      <w:r w:rsidRPr="00CB1C59">
        <w:t xml:space="preserve"> has been completed, ongoing maintenance of the system is limited to entering changes, progress information, and new activities.  The estimated burden for routine semi-annual reporting is </w:t>
      </w:r>
      <w:r>
        <w:t xml:space="preserve">3 </w:t>
      </w:r>
      <w:r w:rsidRPr="00CB1C59">
        <w:t>hours per response.</w:t>
      </w:r>
      <w:r w:rsidR="006D07A3">
        <w:t xml:space="preserve">  The annual updates and reports are important for quality assurance and accountability.</w:t>
      </w:r>
    </w:p>
    <w:p w14:paraId="4464AA41" w14:textId="77777777" w:rsidR="006D07A3" w:rsidRDefault="006D07A3" w:rsidP="00AF0910"/>
    <w:p w14:paraId="64E4504F" w14:textId="77777777" w:rsidR="006D07A3" w:rsidRPr="00CB1C59" w:rsidRDefault="006D07A3" w:rsidP="006D07A3">
      <w:r w:rsidRPr="00E71AA8">
        <w:t xml:space="preserve">Overall, using </w:t>
      </w:r>
      <w:r>
        <w:t>DCH-PMD permits CDC</w:t>
      </w:r>
      <w:r w:rsidRPr="00E71AA8">
        <w:t xml:space="preserve"> to streamline information gathering and reporting with a common and consistent approach that is most useful for program monitoring; making comparisons; aggregating information; and ke</w:t>
      </w:r>
      <w:r>
        <w:t xml:space="preserve">eping CDC updated on progress. </w:t>
      </w:r>
    </w:p>
    <w:p w14:paraId="25E9D898" w14:textId="77777777" w:rsidR="00AF0910" w:rsidRDefault="00AF0910" w:rsidP="00AF0910"/>
    <w:p w14:paraId="1726F64B" w14:textId="77777777" w:rsidR="00AF0910" w:rsidRPr="00CB1C59" w:rsidRDefault="00AF0910" w:rsidP="00AF0910">
      <w:r>
        <w:t>Each awardee may be required to participate in special-purpose data collection requests (on average, one per year).  The estimated burden per response is 6 hours.  Special-purpose data collections may be conducted by in-person interview, telephone interview, paper survey, or Web-based survey.</w:t>
      </w:r>
    </w:p>
    <w:p w14:paraId="4CC36221" w14:textId="77777777" w:rsidR="00AF0910" w:rsidRPr="00CB1C59" w:rsidRDefault="00AF0910" w:rsidP="00AF0910"/>
    <w:p w14:paraId="7E985F61" w14:textId="3BD6EEF3" w:rsidR="00E71AA8" w:rsidRPr="00CB1C59" w:rsidRDefault="00AF0910" w:rsidP="00AF0910">
      <w:r w:rsidRPr="00184EFE">
        <w:t xml:space="preserve">Over the </w:t>
      </w:r>
      <w:r w:rsidR="00DD558D" w:rsidRPr="00184EFE">
        <w:t>one</w:t>
      </w:r>
      <w:r w:rsidRPr="00184EFE">
        <w:t xml:space="preserve">-year period of this information collection request, the total estimated annualized burden for the </w:t>
      </w:r>
      <w:r w:rsidR="00DD558D" w:rsidRPr="00184EFE">
        <w:t>49</w:t>
      </w:r>
      <w:r w:rsidRPr="00184EFE">
        <w:t xml:space="preserve"> current </w:t>
      </w:r>
      <w:r w:rsidR="00DD558D" w:rsidRPr="00184EFE">
        <w:t xml:space="preserve">REACH </w:t>
      </w:r>
      <w:r w:rsidRPr="00184EFE">
        <w:t xml:space="preserve">awardees is </w:t>
      </w:r>
      <w:r w:rsidR="00DD558D" w:rsidRPr="00184EFE">
        <w:t>588</w:t>
      </w:r>
      <w:r w:rsidRPr="00184EFE">
        <w:t xml:space="preserve"> hours, as summarized in Table A.12-A.</w:t>
      </w:r>
    </w:p>
    <w:p w14:paraId="369012CF" w14:textId="77777777" w:rsidR="00D307C9" w:rsidRPr="009C2FDE" w:rsidRDefault="00D307C9" w:rsidP="00941428">
      <w:pPr>
        <w:rPr>
          <w:b/>
        </w:rPr>
      </w:pPr>
    </w:p>
    <w:p w14:paraId="502E71BB" w14:textId="77777777" w:rsidR="00D307C9" w:rsidRPr="009C2FDE" w:rsidRDefault="00D307C9" w:rsidP="00941428">
      <w:pPr>
        <w:rPr>
          <w:b/>
        </w:rPr>
      </w:pPr>
    </w:p>
    <w:p w14:paraId="20CDE74E" w14:textId="3F99C37C" w:rsidR="00AC1DB7" w:rsidRPr="009C2FDE" w:rsidRDefault="00AC1DB7" w:rsidP="00AC1DB7">
      <w:pPr>
        <w:rPr>
          <w:b/>
        </w:rPr>
      </w:pPr>
      <w:r w:rsidRPr="009C2FDE">
        <w:rPr>
          <w:b/>
        </w:rPr>
        <w:t xml:space="preserve">Table A.12-A.  </w:t>
      </w:r>
    </w:p>
    <w:p w14:paraId="162F630C" w14:textId="77777777" w:rsidR="00AC1DB7" w:rsidRPr="00AC1DB7" w:rsidRDefault="00AC1DB7" w:rsidP="00AC1DB7">
      <w:pPr>
        <w:pStyle w:val="ListParagraph"/>
        <w:numPr>
          <w:ilvl w:val="0"/>
          <w:numId w:val="38"/>
        </w:numPr>
      </w:pPr>
      <w:r w:rsidRPr="009C2FDE">
        <w:rPr>
          <w:b/>
        </w:rPr>
        <w:t>Estimated Annualized Burden to Respondents</w:t>
      </w:r>
      <w:r w:rsidRPr="009C2FDE">
        <w:t xml:space="preserve"> </w:t>
      </w:r>
      <w:r w:rsidRPr="00BD421C">
        <w:rPr>
          <w:b/>
        </w:rPr>
        <w:t>for Year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513"/>
        <w:gridCol w:w="1801"/>
        <w:gridCol w:w="1657"/>
        <w:gridCol w:w="1396"/>
        <w:gridCol w:w="1182"/>
      </w:tblGrid>
      <w:tr w:rsidR="00AC1DB7" w:rsidRPr="008E1BA4" w14:paraId="27AC35B5" w14:textId="77777777" w:rsidTr="00CD5A0C">
        <w:tc>
          <w:tcPr>
            <w:tcW w:w="1801" w:type="dxa"/>
            <w:shd w:val="clear" w:color="auto" w:fill="auto"/>
          </w:tcPr>
          <w:p w14:paraId="32F77051" w14:textId="77777777" w:rsidR="00AC1DB7" w:rsidRPr="00AC1DB7" w:rsidRDefault="00AC1DB7" w:rsidP="00AC1DB7">
            <w:pPr>
              <w:widowControl w:val="0"/>
              <w:tabs>
                <w:tab w:val="left" w:pos="0"/>
              </w:tabs>
              <w:rPr>
                <w:color w:val="000000"/>
              </w:rPr>
            </w:pPr>
            <w:r w:rsidRPr="00AC1DB7">
              <w:rPr>
                <w:color w:val="000000"/>
              </w:rPr>
              <w:t>Type of Respondents</w:t>
            </w:r>
          </w:p>
        </w:tc>
        <w:tc>
          <w:tcPr>
            <w:tcW w:w="1513" w:type="dxa"/>
            <w:shd w:val="clear" w:color="auto" w:fill="auto"/>
          </w:tcPr>
          <w:p w14:paraId="599CACAA" w14:textId="77777777" w:rsidR="00AC1DB7" w:rsidRPr="00AC1DB7" w:rsidRDefault="00AC1DB7" w:rsidP="00CD5A0C">
            <w:pPr>
              <w:widowControl w:val="0"/>
              <w:tabs>
                <w:tab w:val="left" w:pos="0"/>
              </w:tabs>
              <w:rPr>
                <w:color w:val="000000"/>
              </w:rPr>
            </w:pPr>
            <w:r w:rsidRPr="00AC1DB7">
              <w:rPr>
                <w:color w:val="000000"/>
              </w:rPr>
              <w:t>Form Name</w:t>
            </w:r>
          </w:p>
        </w:tc>
        <w:tc>
          <w:tcPr>
            <w:tcW w:w="1801" w:type="dxa"/>
            <w:shd w:val="clear" w:color="auto" w:fill="auto"/>
          </w:tcPr>
          <w:p w14:paraId="6A98DC68" w14:textId="77777777" w:rsidR="00AC1DB7" w:rsidRPr="00AC1DB7" w:rsidRDefault="00AC1DB7" w:rsidP="00CD5A0C">
            <w:pPr>
              <w:widowControl w:val="0"/>
              <w:tabs>
                <w:tab w:val="left" w:pos="0"/>
              </w:tabs>
              <w:rPr>
                <w:color w:val="000000"/>
              </w:rPr>
            </w:pPr>
            <w:r w:rsidRPr="00AC1DB7">
              <w:rPr>
                <w:color w:val="000000"/>
              </w:rPr>
              <w:t>No. of Respondents</w:t>
            </w:r>
          </w:p>
        </w:tc>
        <w:tc>
          <w:tcPr>
            <w:tcW w:w="1657" w:type="dxa"/>
            <w:shd w:val="clear" w:color="auto" w:fill="auto"/>
          </w:tcPr>
          <w:p w14:paraId="054C7C25" w14:textId="77777777" w:rsidR="00AC1DB7" w:rsidRPr="00AC1DB7" w:rsidRDefault="00AC1DB7" w:rsidP="00CD5A0C">
            <w:pPr>
              <w:widowControl w:val="0"/>
              <w:tabs>
                <w:tab w:val="left" w:pos="0"/>
              </w:tabs>
              <w:rPr>
                <w:color w:val="000000"/>
              </w:rPr>
            </w:pPr>
            <w:r w:rsidRPr="00AC1DB7">
              <w:rPr>
                <w:color w:val="000000"/>
              </w:rPr>
              <w:t>No. of Responses per Respondent</w:t>
            </w:r>
          </w:p>
        </w:tc>
        <w:tc>
          <w:tcPr>
            <w:tcW w:w="1396" w:type="dxa"/>
            <w:shd w:val="clear" w:color="auto" w:fill="auto"/>
          </w:tcPr>
          <w:p w14:paraId="62433C4E" w14:textId="77777777" w:rsidR="00AC1DB7" w:rsidRPr="00AC1DB7" w:rsidRDefault="00AC1DB7" w:rsidP="00CD5A0C">
            <w:pPr>
              <w:widowControl w:val="0"/>
              <w:tabs>
                <w:tab w:val="left" w:pos="0"/>
              </w:tabs>
              <w:rPr>
                <w:color w:val="000000"/>
              </w:rPr>
            </w:pPr>
            <w:r w:rsidRPr="00AC1DB7">
              <w:rPr>
                <w:color w:val="000000"/>
              </w:rPr>
              <w:t>Avg. Burden per Response (in hrs.)</w:t>
            </w:r>
          </w:p>
        </w:tc>
        <w:tc>
          <w:tcPr>
            <w:tcW w:w="1182" w:type="dxa"/>
            <w:shd w:val="clear" w:color="auto" w:fill="auto"/>
          </w:tcPr>
          <w:p w14:paraId="486D6443" w14:textId="77777777" w:rsidR="00AC1DB7" w:rsidRPr="00AC1DB7" w:rsidRDefault="00AC1DB7" w:rsidP="00CD5A0C">
            <w:pPr>
              <w:widowControl w:val="0"/>
              <w:tabs>
                <w:tab w:val="left" w:pos="0"/>
              </w:tabs>
              <w:rPr>
                <w:color w:val="000000"/>
              </w:rPr>
            </w:pPr>
            <w:r w:rsidRPr="00AC1DB7">
              <w:rPr>
                <w:color w:val="000000"/>
              </w:rPr>
              <w:t>Total Burden (in hrs.)</w:t>
            </w:r>
          </w:p>
        </w:tc>
      </w:tr>
      <w:tr w:rsidR="00AC1DB7" w:rsidRPr="008E1BA4" w14:paraId="0861B0B8" w14:textId="77777777" w:rsidTr="00CD5A0C">
        <w:tc>
          <w:tcPr>
            <w:tcW w:w="1801" w:type="dxa"/>
            <w:vMerge w:val="restart"/>
            <w:shd w:val="clear" w:color="auto" w:fill="auto"/>
          </w:tcPr>
          <w:p w14:paraId="149532A7" w14:textId="77777777" w:rsidR="00AC1DB7" w:rsidRPr="00AC1DB7" w:rsidRDefault="00AC1DB7" w:rsidP="00CD5A0C">
            <w:pPr>
              <w:widowControl w:val="0"/>
              <w:tabs>
                <w:tab w:val="left" w:pos="0"/>
              </w:tabs>
              <w:jc w:val="center"/>
              <w:rPr>
                <w:color w:val="000000"/>
              </w:rPr>
            </w:pPr>
            <w:r>
              <w:rPr>
                <w:color w:val="000000"/>
              </w:rPr>
              <w:t xml:space="preserve">REACH </w:t>
            </w:r>
            <w:r w:rsidRPr="00AC1DB7">
              <w:rPr>
                <w:color w:val="000000"/>
              </w:rPr>
              <w:t>Program Awardees (state, local and tribal government sector)</w:t>
            </w:r>
          </w:p>
        </w:tc>
        <w:tc>
          <w:tcPr>
            <w:tcW w:w="1513" w:type="dxa"/>
            <w:shd w:val="clear" w:color="auto" w:fill="auto"/>
          </w:tcPr>
          <w:p w14:paraId="3AC4F89A" w14:textId="77777777" w:rsidR="00AC1DB7" w:rsidRPr="00AC1DB7" w:rsidRDefault="00AC1DB7" w:rsidP="00CD5A0C">
            <w:pPr>
              <w:widowControl w:val="0"/>
              <w:tabs>
                <w:tab w:val="left" w:pos="0"/>
              </w:tabs>
              <w:jc w:val="center"/>
              <w:rPr>
                <w:color w:val="000000"/>
              </w:rPr>
            </w:pPr>
            <w:r w:rsidRPr="00AC1DB7">
              <w:rPr>
                <w:color w:val="000000"/>
              </w:rPr>
              <w:t>DCH MIS: Semi-annual reporting</w:t>
            </w:r>
          </w:p>
        </w:tc>
        <w:tc>
          <w:tcPr>
            <w:tcW w:w="1801" w:type="dxa"/>
            <w:shd w:val="clear" w:color="auto" w:fill="auto"/>
          </w:tcPr>
          <w:p w14:paraId="3181EDCF" w14:textId="77777777" w:rsidR="00AC1DB7" w:rsidRPr="00AC1DB7" w:rsidRDefault="00AC1DB7" w:rsidP="00CD5A0C">
            <w:pPr>
              <w:widowControl w:val="0"/>
              <w:tabs>
                <w:tab w:val="left" w:pos="0"/>
              </w:tabs>
              <w:jc w:val="center"/>
              <w:rPr>
                <w:color w:val="000000"/>
              </w:rPr>
            </w:pPr>
            <w:r w:rsidRPr="00AC1DB7">
              <w:rPr>
                <w:color w:val="000000"/>
              </w:rPr>
              <w:t>18</w:t>
            </w:r>
          </w:p>
        </w:tc>
        <w:tc>
          <w:tcPr>
            <w:tcW w:w="1657" w:type="dxa"/>
            <w:shd w:val="clear" w:color="auto" w:fill="auto"/>
          </w:tcPr>
          <w:p w14:paraId="608CEB13" w14:textId="77777777" w:rsidR="00AC1DB7" w:rsidRPr="00AC1DB7" w:rsidRDefault="00AC1DB7" w:rsidP="00CD5A0C">
            <w:pPr>
              <w:widowControl w:val="0"/>
              <w:tabs>
                <w:tab w:val="left" w:pos="0"/>
              </w:tabs>
              <w:jc w:val="center"/>
              <w:rPr>
                <w:color w:val="000000"/>
              </w:rPr>
            </w:pPr>
            <w:r w:rsidRPr="00AC1DB7">
              <w:rPr>
                <w:color w:val="000000"/>
              </w:rPr>
              <w:t>2</w:t>
            </w:r>
          </w:p>
        </w:tc>
        <w:tc>
          <w:tcPr>
            <w:tcW w:w="1396" w:type="dxa"/>
            <w:shd w:val="clear" w:color="auto" w:fill="auto"/>
          </w:tcPr>
          <w:p w14:paraId="19231FAE" w14:textId="77777777" w:rsidR="00AC1DB7" w:rsidRPr="00AC1DB7" w:rsidRDefault="00AC1DB7" w:rsidP="00CD5A0C">
            <w:pPr>
              <w:widowControl w:val="0"/>
              <w:tabs>
                <w:tab w:val="left" w:pos="0"/>
              </w:tabs>
              <w:jc w:val="center"/>
              <w:rPr>
                <w:color w:val="000000"/>
              </w:rPr>
            </w:pPr>
            <w:r w:rsidRPr="00AC1DB7">
              <w:rPr>
                <w:color w:val="000000"/>
              </w:rPr>
              <w:t>3</w:t>
            </w:r>
          </w:p>
        </w:tc>
        <w:tc>
          <w:tcPr>
            <w:tcW w:w="1182" w:type="dxa"/>
            <w:shd w:val="clear" w:color="auto" w:fill="auto"/>
          </w:tcPr>
          <w:p w14:paraId="73831FA3" w14:textId="77777777" w:rsidR="00AC1DB7" w:rsidRPr="00AC1DB7" w:rsidRDefault="00AC1DB7" w:rsidP="00CD5A0C">
            <w:pPr>
              <w:widowControl w:val="0"/>
              <w:tabs>
                <w:tab w:val="left" w:pos="0"/>
              </w:tabs>
              <w:jc w:val="center"/>
              <w:rPr>
                <w:color w:val="000000"/>
              </w:rPr>
            </w:pPr>
            <w:r w:rsidRPr="00AC1DB7">
              <w:rPr>
                <w:color w:val="000000"/>
              </w:rPr>
              <w:t>108</w:t>
            </w:r>
          </w:p>
        </w:tc>
      </w:tr>
      <w:tr w:rsidR="00AC1DB7" w:rsidRPr="008E1BA4" w14:paraId="32846F3C" w14:textId="77777777" w:rsidTr="00CD5A0C">
        <w:tc>
          <w:tcPr>
            <w:tcW w:w="1801" w:type="dxa"/>
            <w:vMerge/>
            <w:shd w:val="clear" w:color="auto" w:fill="auto"/>
          </w:tcPr>
          <w:p w14:paraId="26C54A1A" w14:textId="77777777" w:rsidR="00AC1DB7" w:rsidRPr="00AC1DB7" w:rsidRDefault="00AC1DB7" w:rsidP="00CD5A0C">
            <w:pPr>
              <w:widowControl w:val="0"/>
              <w:tabs>
                <w:tab w:val="left" w:pos="0"/>
              </w:tabs>
              <w:jc w:val="center"/>
              <w:rPr>
                <w:color w:val="000000"/>
              </w:rPr>
            </w:pPr>
          </w:p>
        </w:tc>
        <w:tc>
          <w:tcPr>
            <w:tcW w:w="1513" w:type="dxa"/>
            <w:shd w:val="clear" w:color="auto" w:fill="auto"/>
            <w:vAlign w:val="center"/>
          </w:tcPr>
          <w:p w14:paraId="79B89751" w14:textId="77777777" w:rsidR="00AC1DB7" w:rsidRPr="00AC1DB7" w:rsidRDefault="00AC1DB7" w:rsidP="00CD5A0C">
            <w:pPr>
              <w:jc w:val="center"/>
              <w:rPr>
                <w:rFonts w:eastAsiaTheme="minorHAnsi"/>
                <w:color w:val="000000"/>
              </w:rPr>
            </w:pPr>
            <w:r w:rsidRPr="00AC1DB7">
              <w:rPr>
                <w:color w:val="000000"/>
              </w:rPr>
              <w:t>Special Data Request</w:t>
            </w:r>
          </w:p>
        </w:tc>
        <w:tc>
          <w:tcPr>
            <w:tcW w:w="1801" w:type="dxa"/>
            <w:shd w:val="clear" w:color="auto" w:fill="auto"/>
            <w:vAlign w:val="center"/>
          </w:tcPr>
          <w:p w14:paraId="3991F064" w14:textId="77777777" w:rsidR="00AC1DB7" w:rsidRPr="00AC1DB7" w:rsidRDefault="00AC1DB7" w:rsidP="00CD5A0C">
            <w:pPr>
              <w:jc w:val="center"/>
              <w:rPr>
                <w:rFonts w:eastAsiaTheme="minorHAnsi"/>
              </w:rPr>
            </w:pPr>
            <w:r w:rsidRPr="00AC1DB7">
              <w:t>18</w:t>
            </w:r>
          </w:p>
        </w:tc>
        <w:tc>
          <w:tcPr>
            <w:tcW w:w="1657" w:type="dxa"/>
            <w:shd w:val="clear" w:color="auto" w:fill="auto"/>
            <w:vAlign w:val="center"/>
          </w:tcPr>
          <w:p w14:paraId="2EC010CF" w14:textId="77777777" w:rsidR="00AC1DB7" w:rsidRPr="00AC1DB7" w:rsidRDefault="00AC1DB7" w:rsidP="00CD5A0C">
            <w:pPr>
              <w:jc w:val="center"/>
              <w:rPr>
                <w:rFonts w:eastAsiaTheme="minorHAnsi"/>
              </w:rPr>
            </w:pPr>
            <w:r w:rsidRPr="00AC1DB7">
              <w:t>1</w:t>
            </w:r>
          </w:p>
        </w:tc>
        <w:tc>
          <w:tcPr>
            <w:tcW w:w="1396" w:type="dxa"/>
            <w:shd w:val="clear" w:color="auto" w:fill="auto"/>
            <w:vAlign w:val="center"/>
          </w:tcPr>
          <w:p w14:paraId="19519EEE" w14:textId="77777777" w:rsidR="00AC1DB7" w:rsidRPr="00AC1DB7" w:rsidRDefault="00AC1DB7" w:rsidP="00CD5A0C">
            <w:pPr>
              <w:jc w:val="center"/>
              <w:rPr>
                <w:rFonts w:eastAsiaTheme="minorHAnsi"/>
              </w:rPr>
            </w:pPr>
            <w:r w:rsidRPr="00AC1DB7">
              <w:t>6</w:t>
            </w:r>
          </w:p>
        </w:tc>
        <w:tc>
          <w:tcPr>
            <w:tcW w:w="1182" w:type="dxa"/>
            <w:shd w:val="clear" w:color="auto" w:fill="auto"/>
            <w:vAlign w:val="center"/>
          </w:tcPr>
          <w:p w14:paraId="6B4AE01B" w14:textId="77777777" w:rsidR="00AC1DB7" w:rsidRPr="00AC1DB7" w:rsidRDefault="00AC1DB7" w:rsidP="00CD5A0C">
            <w:pPr>
              <w:jc w:val="center"/>
              <w:rPr>
                <w:rFonts w:eastAsiaTheme="minorHAnsi"/>
              </w:rPr>
            </w:pPr>
            <w:r w:rsidRPr="00AC1DB7">
              <w:t>108</w:t>
            </w:r>
          </w:p>
        </w:tc>
      </w:tr>
      <w:tr w:rsidR="00AC1DB7" w:rsidRPr="008E1BA4" w14:paraId="6DB9D2DB" w14:textId="77777777" w:rsidTr="00CD5A0C">
        <w:tc>
          <w:tcPr>
            <w:tcW w:w="1801" w:type="dxa"/>
            <w:vMerge w:val="restart"/>
            <w:shd w:val="clear" w:color="auto" w:fill="auto"/>
          </w:tcPr>
          <w:p w14:paraId="1DAC1B5A" w14:textId="77777777" w:rsidR="00AC1DB7" w:rsidRPr="00AC1DB7" w:rsidRDefault="00AC1DB7" w:rsidP="00CD5A0C">
            <w:pPr>
              <w:widowControl w:val="0"/>
              <w:tabs>
                <w:tab w:val="left" w:pos="0"/>
              </w:tabs>
              <w:jc w:val="center"/>
              <w:rPr>
                <w:color w:val="000000"/>
              </w:rPr>
            </w:pPr>
            <w:r>
              <w:rPr>
                <w:color w:val="000000"/>
              </w:rPr>
              <w:t>REACH</w:t>
            </w:r>
            <w:r w:rsidRPr="00AC1DB7">
              <w:rPr>
                <w:color w:val="000000"/>
              </w:rPr>
              <w:t xml:space="preserve"> Program Awardees (private sector)</w:t>
            </w:r>
          </w:p>
        </w:tc>
        <w:tc>
          <w:tcPr>
            <w:tcW w:w="1513" w:type="dxa"/>
            <w:shd w:val="clear" w:color="auto" w:fill="auto"/>
          </w:tcPr>
          <w:p w14:paraId="6EA21B44" w14:textId="77777777" w:rsidR="00AC1DB7" w:rsidRPr="00AC1DB7" w:rsidRDefault="00AC1DB7" w:rsidP="00CD5A0C">
            <w:pPr>
              <w:widowControl w:val="0"/>
              <w:tabs>
                <w:tab w:val="left" w:pos="0"/>
              </w:tabs>
              <w:jc w:val="center"/>
              <w:rPr>
                <w:color w:val="000000"/>
              </w:rPr>
            </w:pPr>
            <w:r w:rsidRPr="00AC1DB7">
              <w:rPr>
                <w:color w:val="000000"/>
              </w:rPr>
              <w:t>DCH MIS: Semi-annual reporting</w:t>
            </w:r>
          </w:p>
        </w:tc>
        <w:tc>
          <w:tcPr>
            <w:tcW w:w="1801" w:type="dxa"/>
            <w:shd w:val="clear" w:color="auto" w:fill="auto"/>
          </w:tcPr>
          <w:p w14:paraId="5BFCFC28" w14:textId="77777777" w:rsidR="00AC1DB7" w:rsidRPr="00AC1DB7" w:rsidRDefault="00AC1DB7" w:rsidP="00CD5A0C">
            <w:pPr>
              <w:widowControl w:val="0"/>
              <w:tabs>
                <w:tab w:val="left" w:pos="0"/>
              </w:tabs>
              <w:jc w:val="center"/>
              <w:rPr>
                <w:color w:val="000000"/>
              </w:rPr>
            </w:pPr>
            <w:r w:rsidRPr="00AC1DB7">
              <w:rPr>
                <w:color w:val="000000"/>
              </w:rPr>
              <w:t>31</w:t>
            </w:r>
          </w:p>
        </w:tc>
        <w:tc>
          <w:tcPr>
            <w:tcW w:w="1657" w:type="dxa"/>
            <w:shd w:val="clear" w:color="auto" w:fill="auto"/>
          </w:tcPr>
          <w:p w14:paraId="13627F7F" w14:textId="77777777" w:rsidR="00AC1DB7" w:rsidRPr="00AC1DB7" w:rsidRDefault="00AC1DB7" w:rsidP="00CD5A0C">
            <w:pPr>
              <w:widowControl w:val="0"/>
              <w:tabs>
                <w:tab w:val="left" w:pos="0"/>
              </w:tabs>
              <w:jc w:val="center"/>
              <w:rPr>
                <w:color w:val="000000"/>
              </w:rPr>
            </w:pPr>
            <w:r w:rsidRPr="00AC1DB7">
              <w:rPr>
                <w:color w:val="000000"/>
              </w:rPr>
              <w:t>2</w:t>
            </w:r>
          </w:p>
        </w:tc>
        <w:tc>
          <w:tcPr>
            <w:tcW w:w="1396" w:type="dxa"/>
            <w:shd w:val="clear" w:color="auto" w:fill="auto"/>
          </w:tcPr>
          <w:p w14:paraId="44C1F35E" w14:textId="77777777" w:rsidR="00AC1DB7" w:rsidRPr="00AC1DB7" w:rsidRDefault="00AC1DB7" w:rsidP="00CD5A0C">
            <w:pPr>
              <w:widowControl w:val="0"/>
              <w:tabs>
                <w:tab w:val="left" w:pos="0"/>
              </w:tabs>
              <w:jc w:val="center"/>
              <w:rPr>
                <w:color w:val="000000"/>
              </w:rPr>
            </w:pPr>
            <w:r w:rsidRPr="00AC1DB7">
              <w:rPr>
                <w:color w:val="000000"/>
              </w:rPr>
              <w:t>3</w:t>
            </w:r>
          </w:p>
        </w:tc>
        <w:tc>
          <w:tcPr>
            <w:tcW w:w="1182" w:type="dxa"/>
            <w:shd w:val="clear" w:color="auto" w:fill="auto"/>
          </w:tcPr>
          <w:p w14:paraId="5FA23AE2" w14:textId="77777777" w:rsidR="00AC1DB7" w:rsidRPr="00AC1DB7" w:rsidRDefault="00AC1DB7" w:rsidP="00CD5A0C">
            <w:pPr>
              <w:widowControl w:val="0"/>
              <w:tabs>
                <w:tab w:val="left" w:pos="0"/>
              </w:tabs>
              <w:jc w:val="center"/>
              <w:rPr>
                <w:color w:val="000000"/>
              </w:rPr>
            </w:pPr>
            <w:r w:rsidRPr="00AC1DB7">
              <w:rPr>
                <w:color w:val="000000"/>
              </w:rPr>
              <w:t>186</w:t>
            </w:r>
          </w:p>
        </w:tc>
      </w:tr>
      <w:tr w:rsidR="00AC1DB7" w:rsidRPr="008E1BA4" w14:paraId="6DAEC1EE" w14:textId="77777777" w:rsidTr="00CD5A0C">
        <w:tc>
          <w:tcPr>
            <w:tcW w:w="1801" w:type="dxa"/>
            <w:vMerge/>
            <w:shd w:val="clear" w:color="auto" w:fill="auto"/>
          </w:tcPr>
          <w:p w14:paraId="0CDB04D6" w14:textId="77777777" w:rsidR="00AC1DB7" w:rsidRPr="00AC1DB7" w:rsidRDefault="00AC1DB7" w:rsidP="00CD5A0C">
            <w:pPr>
              <w:widowControl w:val="0"/>
              <w:tabs>
                <w:tab w:val="left" w:pos="0"/>
              </w:tabs>
              <w:jc w:val="center"/>
              <w:rPr>
                <w:color w:val="000000"/>
              </w:rPr>
            </w:pPr>
          </w:p>
        </w:tc>
        <w:tc>
          <w:tcPr>
            <w:tcW w:w="1513" w:type="dxa"/>
            <w:shd w:val="clear" w:color="auto" w:fill="auto"/>
            <w:vAlign w:val="center"/>
          </w:tcPr>
          <w:p w14:paraId="49554129" w14:textId="77777777" w:rsidR="00AC1DB7" w:rsidRPr="00AC1DB7" w:rsidRDefault="00AC1DB7" w:rsidP="00CD5A0C">
            <w:pPr>
              <w:jc w:val="center"/>
              <w:rPr>
                <w:rFonts w:eastAsiaTheme="minorHAnsi"/>
                <w:color w:val="000000"/>
              </w:rPr>
            </w:pPr>
            <w:r w:rsidRPr="00AC1DB7">
              <w:rPr>
                <w:color w:val="000000"/>
              </w:rPr>
              <w:t>Special Data Request</w:t>
            </w:r>
          </w:p>
        </w:tc>
        <w:tc>
          <w:tcPr>
            <w:tcW w:w="1801" w:type="dxa"/>
            <w:shd w:val="clear" w:color="auto" w:fill="auto"/>
            <w:vAlign w:val="center"/>
          </w:tcPr>
          <w:p w14:paraId="66B19D4E" w14:textId="77777777" w:rsidR="00AC1DB7" w:rsidRPr="00AC1DB7" w:rsidRDefault="00AC1DB7" w:rsidP="00CD5A0C">
            <w:pPr>
              <w:jc w:val="center"/>
              <w:rPr>
                <w:rFonts w:eastAsiaTheme="minorHAnsi"/>
              </w:rPr>
            </w:pPr>
            <w:r w:rsidRPr="00AC1DB7">
              <w:t>31</w:t>
            </w:r>
          </w:p>
        </w:tc>
        <w:tc>
          <w:tcPr>
            <w:tcW w:w="1657" w:type="dxa"/>
            <w:shd w:val="clear" w:color="auto" w:fill="auto"/>
            <w:vAlign w:val="center"/>
          </w:tcPr>
          <w:p w14:paraId="46ECAA41" w14:textId="77777777" w:rsidR="00AC1DB7" w:rsidRPr="00AC1DB7" w:rsidRDefault="00AC1DB7" w:rsidP="00CD5A0C">
            <w:pPr>
              <w:jc w:val="center"/>
              <w:rPr>
                <w:rFonts w:eastAsiaTheme="minorHAnsi"/>
              </w:rPr>
            </w:pPr>
            <w:r w:rsidRPr="00AC1DB7">
              <w:t>1</w:t>
            </w:r>
          </w:p>
        </w:tc>
        <w:tc>
          <w:tcPr>
            <w:tcW w:w="1396" w:type="dxa"/>
            <w:shd w:val="clear" w:color="auto" w:fill="auto"/>
            <w:vAlign w:val="center"/>
          </w:tcPr>
          <w:p w14:paraId="004C4F31" w14:textId="77777777" w:rsidR="00AC1DB7" w:rsidRPr="00AC1DB7" w:rsidRDefault="00AC1DB7" w:rsidP="00CD5A0C">
            <w:pPr>
              <w:jc w:val="center"/>
              <w:rPr>
                <w:rFonts w:eastAsiaTheme="minorHAnsi"/>
              </w:rPr>
            </w:pPr>
            <w:r w:rsidRPr="00AC1DB7">
              <w:t>6</w:t>
            </w:r>
          </w:p>
        </w:tc>
        <w:tc>
          <w:tcPr>
            <w:tcW w:w="1182" w:type="dxa"/>
            <w:shd w:val="clear" w:color="auto" w:fill="auto"/>
            <w:vAlign w:val="center"/>
          </w:tcPr>
          <w:p w14:paraId="0A86BA89" w14:textId="77777777" w:rsidR="00AC1DB7" w:rsidRPr="00AC1DB7" w:rsidRDefault="00AC1DB7" w:rsidP="00CD5A0C">
            <w:pPr>
              <w:jc w:val="center"/>
              <w:rPr>
                <w:rFonts w:eastAsiaTheme="minorHAnsi"/>
              </w:rPr>
            </w:pPr>
            <w:r w:rsidRPr="00AC1DB7">
              <w:t>186</w:t>
            </w:r>
          </w:p>
        </w:tc>
      </w:tr>
      <w:tr w:rsidR="00AC1DB7" w:rsidRPr="008E1BA4" w14:paraId="34DDCE80" w14:textId="77777777" w:rsidTr="00CD5A0C">
        <w:tc>
          <w:tcPr>
            <w:tcW w:w="1801" w:type="dxa"/>
            <w:shd w:val="clear" w:color="auto" w:fill="auto"/>
          </w:tcPr>
          <w:p w14:paraId="6452BD76" w14:textId="77777777" w:rsidR="00AC1DB7" w:rsidRPr="00AC1DB7" w:rsidRDefault="00AC1DB7" w:rsidP="00CD5A0C">
            <w:pPr>
              <w:widowControl w:val="0"/>
              <w:tabs>
                <w:tab w:val="left" w:pos="0"/>
              </w:tabs>
              <w:rPr>
                <w:color w:val="000000"/>
              </w:rPr>
            </w:pPr>
          </w:p>
        </w:tc>
        <w:tc>
          <w:tcPr>
            <w:tcW w:w="6367" w:type="dxa"/>
            <w:gridSpan w:val="4"/>
            <w:shd w:val="clear" w:color="auto" w:fill="auto"/>
          </w:tcPr>
          <w:p w14:paraId="553B4C14" w14:textId="77777777" w:rsidR="00AC1DB7" w:rsidRPr="00AC1DB7" w:rsidRDefault="00AC1DB7" w:rsidP="00CD5A0C">
            <w:pPr>
              <w:widowControl w:val="0"/>
              <w:tabs>
                <w:tab w:val="left" w:pos="0"/>
              </w:tabs>
              <w:rPr>
                <w:color w:val="000000"/>
              </w:rPr>
            </w:pPr>
            <w:r w:rsidRPr="00AC1DB7">
              <w:rPr>
                <w:color w:val="000000"/>
              </w:rPr>
              <w:t>Total</w:t>
            </w:r>
          </w:p>
        </w:tc>
        <w:tc>
          <w:tcPr>
            <w:tcW w:w="1182" w:type="dxa"/>
            <w:shd w:val="clear" w:color="auto" w:fill="auto"/>
          </w:tcPr>
          <w:p w14:paraId="5EE290E7" w14:textId="77777777" w:rsidR="00AC1DB7" w:rsidRPr="00AC1DB7" w:rsidRDefault="00AC1DB7" w:rsidP="00CD5A0C">
            <w:pPr>
              <w:widowControl w:val="0"/>
              <w:tabs>
                <w:tab w:val="left" w:pos="0"/>
              </w:tabs>
              <w:jc w:val="center"/>
              <w:rPr>
                <w:color w:val="000000"/>
              </w:rPr>
            </w:pPr>
            <w:r w:rsidRPr="00AC1DB7">
              <w:rPr>
                <w:color w:val="000000"/>
              </w:rPr>
              <w:t>588</w:t>
            </w:r>
          </w:p>
        </w:tc>
      </w:tr>
    </w:tbl>
    <w:p w14:paraId="3C47E382" w14:textId="77777777" w:rsidR="00DC3379" w:rsidRPr="009C2FDE" w:rsidRDefault="00DC3379" w:rsidP="000B1340">
      <w:pPr>
        <w:ind w:left="360"/>
      </w:pPr>
    </w:p>
    <w:p w14:paraId="2CEFD85B" w14:textId="77777777" w:rsidR="000B1340" w:rsidRPr="009C2FDE" w:rsidRDefault="000B1340" w:rsidP="000B1340"/>
    <w:p w14:paraId="084BE4A4" w14:textId="77777777" w:rsidR="00D307C9" w:rsidRPr="009C2FDE" w:rsidRDefault="00D307C9" w:rsidP="000B1340">
      <w:pPr>
        <w:ind w:left="360"/>
        <w:rPr>
          <w:b/>
        </w:rPr>
      </w:pPr>
    </w:p>
    <w:p w14:paraId="628F294A" w14:textId="77777777" w:rsidR="000B1340" w:rsidRPr="009C2FDE" w:rsidRDefault="000B1340" w:rsidP="000B1340">
      <w:pPr>
        <w:ind w:left="360"/>
        <w:rPr>
          <w:b/>
        </w:rPr>
      </w:pPr>
      <w:r w:rsidRPr="009C2FDE">
        <w:rPr>
          <w:b/>
        </w:rPr>
        <w:t>B.  Estimated Annualized Cost to Respondents</w:t>
      </w:r>
    </w:p>
    <w:p w14:paraId="292FE130" w14:textId="77777777" w:rsidR="000B1340" w:rsidRPr="009C2FDE" w:rsidRDefault="000B1340" w:rsidP="000B1340">
      <w:pPr>
        <w:ind w:left="360"/>
      </w:pPr>
    </w:p>
    <w:p w14:paraId="2CDEB818" w14:textId="77777777" w:rsidR="000B1340" w:rsidRPr="009C2FDE" w:rsidRDefault="000B1340" w:rsidP="000B1340">
      <w:pPr>
        <w:tabs>
          <w:tab w:val="left" w:pos="0"/>
        </w:tabs>
      </w:pPr>
      <w:r w:rsidRPr="009C2FDE">
        <w:t xml:space="preserve">A program manager will prepare the progress report for each area.  The average hourly wage for </w:t>
      </w:r>
      <w:r w:rsidRPr="00184EFE">
        <w:t>a program manager is $30.65.  The hourly wage rates for program managers are based on wages for similar mid-to-high level positions in the public sector.  The total estimated annualized cost to respondents is</w:t>
      </w:r>
      <w:r w:rsidR="00A27A13" w:rsidRPr="00184EFE">
        <w:t xml:space="preserve"> </w:t>
      </w:r>
      <w:r w:rsidR="00AE2908" w:rsidRPr="00184EFE">
        <w:rPr>
          <w:color w:val="000000"/>
        </w:rPr>
        <w:t>$</w:t>
      </w:r>
      <w:r w:rsidR="00AC1DB7" w:rsidRPr="00184EFE">
        <w:rPr>
          <w:color w:val="000000"/>
        </w:rPr>
        <w:t>18,022</w:t>
      </w:r>
      <w:r w:rsidRPr="00184EFE">
        <w:t xml:space="preserve"> as summarized in </w:t>
      </w:r>
      <w:r w:rsidR="00AC1DB7" w:rsidRPr="00184EFE">
        <w:t xml:space="preserve">Revised </w:t>
      </w:r>
      <w:r w:rsidRPr="00184EFE">
        <w:t>Table A.12-B.</w:t>
      </w:r>
      <w:r w:rsidRPr="009C2FDE">
        <w:t xml:space="preserve"> </w:t>
      </w:r>
    </w:p>
    <w:p w14:paraId="77493965" w14:textId="77777777" w:rsidR="000B1340" w:rsidRDefault="000B1340" w:rsidP="000B1340">
      <w:pPr>
        <w:ind w:left="360"/>
      </w:pPr>
    </w:p>
    <w:p w14:paraId="4F2BDF3C" w14:textId="5040AC29" w:rsidR="00B45D7A" w:rsidRDefault="00B45D7A" w:rsidP="000B1340">
      <w:pPr>
        <w:ind w:left="360"/>
      </w:pPr>
    </w:p>
    <w:p w14:paraId="5C198C44" w14:textId="052DBD6B" w:rsidR="0030001E" w:rsidRDefault="0030001E" w:rsidP="000B1340">
      <w:pPr>
        <w:ind w:left="360"/>
      </w:pPr>
    </w:p>
    <w:p w14:paraId="46C85FE1" w14:textId="08D0086E" w:rsidR="0030001E" w:rsidRDefault="0030001E" w:rsidP="000B1340">
      <w:pPr>
        <w:ind w:left="360"/>
      </w:pPr>
    </w:p>
    <w:p w14:paraId="2FE00FDF" w14:textId="68273ED6" w:rsidR="0030001E" w:rsidRDefault="0030001E" w:rsidP="000B1340">
      <w:pPr>
        <w:ind w:left="360"/>
      </w:pPr>
    </w:p>
    <w:p w14:paraId="44A28297" w14:textId="480CF89D" w:rsidR="0030001E" w:rsidRDefault="0030001E" w:rsidP="000B1340">
      <w:pPr>
        <w:ind w:left="360"/>
      </w:pPr>
    </w:p>
    <w:p w14:paraId="34AA67A4" w14:textId="77777777" w:rsidR="0030001E" w:rsidRPr="009C2FDE" w:rsidRDefault="0030001E" w:rsidP="000B1340">
      <w:pPr>
        <w:ind w:left="360"/>
      </w:pPr>
    </w:p>
    <w:p w14:paraId="611FF143" w14:textId="77777777" w:rsidR="00AC1DB7" w:rsidRDefault="00AC1DB7" w:rsidP="00AC1DB7">
      <w:pPr>
        <w:rPr>
          <w:b/>
        </w:rPr>
      </w:pPr>
      <w:r>
        <w:rPr>
          <w:b/>
        </w:rPr>
        <w:t xml:space="preserve">Revised </w:t>
      </w:r>
      <w:r w:rsidRPr="009C2FDE">
        <w:rPr>
          <w:b/>
        </w:rPr>
        <w:t>Table A.12-B.  Estimated Annualized Cost to Respondents same as above with hourly cost</w:t>
      </w:r>
    </w:p>
    <w:p w14:paraId="217789D5" w14:textId="77777777" w:rsidR="00AC1DB7" w:rsidRDefault="00AC1DB7" w:rsidP="00AC1DB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302"/>
        <w:gridCol w:w="1606"/>
        <w:gridCol w:w="1488"/>
        <w:gridCol w:w="1267"/>
        <w:gridCol w:w="1029"/>
        <w:gridCol w:w="1041"/>
      </w:tblGrid>
      <w:tr w:rsidR="00AC1DB7" w:rsidRPr="008E1BA4" w14:paraId="7237AC52" w14:textId="77777777" w:rsidTr="00AC1DB7">
        <w:tc>
          <w:tcPr>
            <w:tcW w:w="1617" w:type="dxa"/>
            <w:shd w:val="clear" w:color="auto" w:fill="auto"/>
          </w:tcPr>
          <w:p w14:paraId="01EF78D7" w14:textId="77777777" w:rsidR="00AC1DB7" w:rsidRPr="00AC1DB7" w:rsidRDefault="00AC1DB7" w:rsidP="00CD5A0C">
            <w:pPr>
              <w:widowControl w:val="0"/>
              <w:tabs>
                <w:tab w:val="left" w:pos="0"/>
              </w:tabs>
              <w:rPr>
                <w:color w:val="000000"/>
              </w:rPr>
            </w:pPr>
            <w:r w:rsidRPr="00AC1DB7">
              <w:rPr>
                <w:color w:val="000000"/>
              </w:rPr>
              <w:t>Type of Respondents</w:t>
            </w:r>
          </w:p>
        </w:tc>
        <w:tc>
          <w:tcPr>
            <w:tcW w:w="1302" w:type="dxa"/>
            <w:shd w:val="clear" w:color="auto" w:fill="auto"/>
          </w:tcPr>
          <w:p w14:paraId="5AFB7605" w14:textId="77777777" w:rsidR="00AC1DB7" w:rsidRPr="00AC1DB7" w:rsidRDefault="00AC1DB7" w:rsidP="00CD5A0C">
            <w:pPr>
              <w:widowControl w:val="0"/>
              <w:tabs>
                <w:tab w:val="left" w:pos="0"/>
              </w:tabs>
              <w:rPr>
                <w:color w:val="000000"/>
              </w:rPr>
            </w:pPr>
            <w:r w:rsidRPr="00AC1DB7">
              <w:rPr>
                <w:color w:val="000000"/>
              </w:rPr>
              <w:t>Form Name</w:t>
            </w:r>
          </w:p>
        </w:tc>
        <w:tc>
          <w:tcPr>
            <w:tcW w:w="1606" w:type="dxa"/>
            <w:shd w:val="clear" w:color="auto" w:fill="auto"/>
          </w:tcPr>
          <w:p w14:paraId="7BEB7435" w14:textId="77777777" w:rsidR="00AC1DB7" w:rsidRPr="00AC1DB7" w:rsidRDefault="00AC1DB7" w:rsidP="00AC1DB7">
            <w:pPr>
              <w:widowControl w:val="0"/>
              <w:tabs>
                <w:tab w:val="left" w:pos="0"/>
              </w:tabs>
              <w:rPr>
                <w:color w:val="000000"/>
              </w:rPr>
            </w:pPr>
            <w:r>
              <w:rPr>
                <w:color w:val="000000"/>
              </w:rPr>
              <w:t>Number</w:t>
            </w:r>
            <w:r w:rsidRPr="00AC1DB7">
              <w:rPr>
                <w:color w:val="000000"/>
              </w:rPr>
              <w:t xml:space="preserve"> of </w:t>
            </w:r>
            <w:r>
              <w:rPr>
                <w:color w:val="000000"/>
              </w:rPr>
              <w:t>r</w:t>
            </w:r>
            <w:r w:rsidRPr="00AC1DB7">
              <w:rPr>
                <w:color w:val="000000"/>
              </w:rPr>
              <w:t>espondents</w:t>
            </w:r>
          </w:p>
        </w:tc>
        <w:tc>
          <w:tcPr>
            <w:tcW w:w="1488" w:type="dxa"/>
            <w:shd w:val="clear" w:color="auto" w:fill="auto"/>
          </w:tcPr>
          <w:p w14:paraId="12D616A8" w14:textId="77777777" w:rsidR="00AC1DB7" w:rsidRPr="00AC1DB7" w:rsidRDefault="00AC1DB7" w:rsidP="00AC1DB7">
            <w:pPr>
              <w:widowControl w:val="0"/>
              <w:tabs>
                <w:tab w:val="left" w:pos="0"/>
              </w:tabs>
              <w:rPr>
                <w:color w:val="000000"/>
              </w:rPr>
            </w:pPr>
            <w:r>
              <w:rPr>
                <w:color w:val="000000"/>
              </w:rPr>
              <w:t>Number</w:t>
            </w:r>
            <w:r w:rsidRPr="00AC1DB7">
              <w:rPr>
                <w:color w:val="000000"/>
              </w:rPr>
              <w:t xml:space="preserve"> of </w:t>
            </w:r>
            <w:r>
              <w:rPr>
                <w:color w:val="000000"/>
              </w:rPr>
              <w:t>r</w:t>
            </w:r>
            <w:r w:rsidRPr="00AC1DB7">
              <w:rPr>
                <w:color w:val="000000"/>
              </w:rPr>
              <w:t xml:space="preserve">esponses per </w:t>
            </w:r>
            <w:r>
              <w:rPr>
                <w:color w:val="000000"/>
              </w:rPr>
              <w:t>r</w:t>
            </w:r>
            <w:r w:rsidRPr="00AC1DB7">
              <w:rPr>
                <w:color w:val="000000"/>
              </w:rPr>
              <w:t>espondent</w:t>
            </w:r>
          </w:p>
        </w:tc>
        <w:tc>
          <w:tcPr>
            <w:tcW w:w="1267" w:type="dxa"/>
            <w:shd w:val="clear" w:color="auto" w:fill="auto"/>
          </w:tcPr>
          <w:p w14:paraId="3A2FF92F" w14:textId="4EA762AB" w:rsidR="00AC1DB7" w:rsidRPr="00AC1DB7" w:rsidRDefault="0030001E" w:rsidP="00AC1DB7">
            <w:pPr>
              <w:widowControl w:val="0"/>
              <w:tabs>
                <w:tab w:val="left" w:pos="0"/>
              </w:tabs>
              <w:rPr>
                <w:color w:val="000000"/>
              </w:rPr>
            </w:pPr>
            <w:r>
              <w:rPr>
                <w:color w:val="000000"/>
              </w:rPr>
              <w:t>Av</w:t>
            </w:r>
            <w:r w:rsidR="00AC1DB7">
              <w:rPr>
                <w:color w:val="000000"/>
              </w:rPr>
              <w:t>erage</w:t>
            </w:r>
            <w:r w:rsidR="00AC1DB7" w:rsidRPr="00AC1DB7">
              <w:rPr>
                <w:color w:val="000000"/>
              </w:rPr>
              <w:t xml:space="preserve"> </w:t>
            </w:r>
            <w:r w:rsidR="00AC1DB7">
              <w:rPr>
                <w:color w:val="000000"/>
              </w:rPr>
              <w:t>b</w:t>
            </w:r>
            <w:r w:rsidR="00AC1DB7" w:rsidRPr="00AC1DB7">
              <w:rPr>
                <w:color w:val="000000"/>
              </w:rPr>
              <w:t xml:space="preserve">urden per </w:t>
            </w:r>
            <w:r w:rsidR="00AC1DB7">
              <w:rPr>
                <w:color w:val="000000"/>
              </w:rPr>
              <w:t>r</w:t>
            </w:r>
            <w:r w:rsidR="00AC1DB7" w:rsidRPr="00AC1DB7">
              <w:rPr>
                <w:color w:val="000000"/>
              </w:rPr>
              <w:t>esponse (in hrs.)</w:t>
            </w:r>
          </w:p>
        </w:tc>
        <w:tc>
          <w:tcPr>
            <w:tcW w:w="1029" w:type="dxa"/>
          </w:tcPr>
          <w:p w14:paraId="5D7744DB" w14:textId="77777777" w:rsidR="00AC1DB7" w:rsidRPr="00AC1DB7" w:rsidRDefault="00AC1DB7" w:rsidP="00CD5A0C">
            <w:pPr>
              <w:widowControl w:val="0"/>
              <w:tabs>
                <w:tab w:val="left" w:pos="0"/>
              </w:tabs>
              <w:rPr>
                <w:color w:val="000000"/>
              </w:rPr>
            </w:pPr>
            <w:r>
              <w:rPr>
                <w:color w:val="000000"/>
              </w:rPr>
              <w:t>Average hourly wage</w:t>
            </w:r>
          </w:p>
        </w:tc>
        <w:tc>
          <w:tcPr>
            <w:tcW w:w="1041" w:type="dxa"/>
            <w:shd w:val="clear" w:color="auto" w:fill="auto"/>
          </w:tcPr>
          <w:p w14:paraId="43997C05" w14:textId="77777777" w:rsidR="00AC1DB7" w:rsidRPr="00AC1DB7" w:rsidRDefault="00AC1DB7" w:rsidP="00AC1DB7">
            <w:pPr>
              <w:widowControl w:val="0"/>
              <w:tabs>
                <w:tab w:val="left" w:pos="0"/>
              </w:tabs>
              <w:rPr>
                <w:color w:val="000000"/>
              </w:rPr>
            </w:pPr>
            <w:r w:rsidRPr="00AC1DB7">
              <w:rPr>
                <w:color w:val="000000"/>
              </w:rPr>
              <w:t xml:space="preserve">Total </w:t>
            </w:r>
            <w:r>
              <w:rPr>
                <w:color w:val="000000"/>
              </w:rPr>
              <w:t>cost</w:t>
            </w:r>
          </w:p>
        </w:tc>
      </w:tr>
      <w:tr w:rsidR="00AC1DB7" w:rsidRPr="008E1BA4" w14:paraId="1998573F" w14:textId="77777777" w:rsidTr="00AC1DB7">
        <w:tc>
          <w:tcPr>
            <w:tcW w:w="1617" w:type="dxa"/>
            <w:vMerge w:val="restart"/>
            <w:shd w:val="clear" w:color="auto" w:fill="auto"/>
          </w:tcPr>
          <w:p w14:paraId="5CDAC431" w14:textId="77777777" w:rsidR="00AC1DB7" w:rsidRPr="00AC1DB7" w:rsidRDefault="00AC1DB7" w:rsidP="00AC1DB7">
            <w:pPr>
              <w:widowControl w:val="0"/>
              <w:tabs>
                <w:tab w:val="left" w:pos="0"/>
              </w:tabs>
              <w:jc w:val="center"/>
              <w:rPr>
                <w:color w:val="000000"/>
              </w:rPr>
            </w:pPr>
            <w:r>
              <w:rPr>
                <w:color w:val="000000"/>
              </w:rPr>
              <w:t xml:space="preserve">REACH </w:t>
            </w:r>
            <w:r w:rsidRPr="00AC1DB7">
              <w:rPr>
                <w:color w:val="000000"/>
              </w:rPr>
              <w:t>Program Awardees (state, local and tribal government sector)</w:t>
            </w:r>
          </w:p>
        </w:tc>
        <w:tc>
          <w:tcPr>
            <w:tcW w:w="1302" w:type="dxa"/>
            <w:shd w:val="clear" w:color="auto" w:fill="auto"/>
          </w:tcPr>
          <w:p w14:paraId="4FA57620" w14:textId="77777777" w:rsidR="00AC1DB7" w:rsidRPr="00AC1DB7" w:rsidRDefault="00AC1DB7" w:rsidP="00AC1DB7">
            <w:pPr>
              <w:widowControl w:val="0"/>
              <w:tabs>
                <w:tab w:val="left" w:pos="0"/>
              </w:tabs>
              <w:jc w:val="center"/>
              <w:rPr>
                <w:color w:val="000000"/>
              </w:rPr>
            </w:pPr>
            <w:r w:rsidRPr="00AC1DB7">
              <w:rPr>
                <w:color w:val="000000"/>
              </w:rPr>
              <w:t>DCH MIS: Semi-annual reporting</w:t>
            </w:r>
          </w:p>
        </w:tc>
        <w:tc>
          <w:tcPr>
            <w:tcW w:w="1606" w:type="dxa"/>
            <w:shd w:val="clear" w:color="auto" w:fill="auto"/>
            <w:vAlign w:val="center"/>
          </w:tcPr>
          <w:p w14:paraId="19B179CD" w14:textId="77777777" w:rsidR="00AC1DB7" w:rsidRPr="009C2FDE" w:rsidRDefault="00AC1DB7" w:rsidP="00AC1DB7">
            <w:pPr>
              <w:jc w:val="center"/>
              <w:rPr>
                <w:rFonts w:eastAsiaTheme="minorHAnsi"/>
              </w:rPr>
            </w:pPr>
            <w:r>
              <w:t>18</w:t>
            </w:r>
          </w:p>
        </w:tc>
        <w:tc>
          <w:tcPr>
            <w:tcW w:w="1488" w:type="dxa"/>
            <w:shd w:val="clear" w:color="auto" w:fill="auto"/>
            <w:vAlign w:val="center"/>
          </w:tcPr>
          <w:p w14:paraId="489A6E96" w14:textId="77777777" w:rsidR="00AC1DB7" w:rsidRPr="009C2FDE" w:rsidRDefault="00AC1DB7" w:rsidP="00AC1DB7">
            <w:pPr>
              <w:jc w:val="center"/>
              <w:rPr>
                <w:color w:val="000000"/>
              </w:rPr>
            </w:pPr>
            <w:r w:rsidRPr="009C2FDE">
              <w:rPr>
                <w:color w:val="000000"/>
              </w:rPr>
              <w:t>2</w:t>
            </w:r>
          </w:p>
        </w:tc>
        <w:tc>
          <w:tcPr>
            <w:tcW w:w="1267" w:type="dxa"/>
            <w:shd w:val="clear" w:color="auto" w:fill="auto"/>
            <w:vAlign w:val="center"/>
          </w:tcPr>
          <w:p w14:paraId="67914469" w14:textId="77777777" w:rsidR="00AC1DB7" w:rsidRPr="009C2FDE" w:rsidRDefault="00AC1DB7" w:rsidP="00AC1DB7">
            <w:pPr>
              <w:jc w:val="center"/>
              <w:rPr>
                <w:color w:val="000000"/>
              </w:rPr>
            </w:pPr>
            <w:r w:rsidRPr="009C2FDE">
              <w:rPr>
                <w:color w:val="000000"/>
              </w:rPr>
              <w:t>3</w:t>
            </w:r>
          </w:p>
        </w:tc>
        <w:tc>
          <w:tcPr>
            <w:tcW w:w="1029" w:type="dxa"/>
            <w:vAlign w:val="center"/>
          </w:tcPr>
          <w:p w14:paraId="4AFA5AC4" w14:textId="77777777" w:rsidR="00AC1DB7" w:rsidRPr="009C2FDE" w:rsidRDefault="00AC1DB7" w:rsidP="00AC1DB7">
            <w:pPr>
              <w:jc w:val="center"/>
              <w:rPr>
                <w:color w:val="000000"/>
              </w:rPr>
            </w:pPr>
            <w:r w:rsidRPr="009C2FDE">
              <w:rPr>
                <w:color w:val="000000"/>
              </w:rPr>
              <w:t>$30.65</w:t>
            </w:r>
          </w:p>
        </w:tc>
        <w:tc>
          <w:tcPr>
            <w:tcW w:w="1041" w:type="dxa"/>
            <w:shd w:val="clear" w:color="auto" w:fill="auto"/>
            <w:vAlign w:val="center"/>
          </w:tcPr>
          <w:p w14:paraId="0178FD41" w14:textId="77777777" w:rsidR="00AC1DB7" w:rsidRPr="009C2FDE" w:rsidRDefault="00AC1DB7" w:rsidP="00AC1DB7">
            <w:pPr>
              <w:jc w:val="center"/>
              <w:rPr>
                <w:color w:val="000000"/>
              </w:rPr>
            </w:pPr>
            <w:r w:rsidRPr="009C2FDE">
              <w:rPr>
                <w:color w:val="000000"/>
              </w:rPr>
              <w:t>$</w:t>
            </w:r>
            <w:r>
              <w:rPr>
                <w:color w:val="000000"/>
              </w:rPr>
              <w:t>3,310</w:t>
            </w:r>
          </w:p>
        </w:tc>
      </w:tr>
      <w:tr w:rsidR="00AC1DB7" w:rsidRPr="008E1BA4" w14:paraId="1EADF841" w14:textId="77777777" w:rsidTr="00AC1DB7">
        <w:tc>
          <w:tcPr>
            <w:tcW w:w="1617" w:type="dxa"/>
            <w:vMerge/>
            <w:shd w:val="clear" w:color="auto" w:fill="auto"/>
          </w:tcPr>
          <w:p w14:paraId="0457BAF2" w14:textId="77777777" w:rsidR="00AC1DB7" w:rsidRPr="00AC1DB7" w:rsidRDefault="00AC1DB7" w:rsidP="00AC1DB7">
            <w:pPr>
              <w:widowControl w:val="0"/>
              <w:tabs>
                <w:tab w:val="left" w:pos="0"/>
              </w:tabs>
              <w:jc w:val="center"/>
              <w:rPr>
                <w:color w:val="000000"/>
              </w:rPr>
            </w:pPr>
          </w:p>
        </w:tc>
        <w:tc>
          <w:tcPr>
            <w:tcW w:w="1302" w:type="dxa"/>
            <w:shd w:val="clear" w:color="auto" w:fill="auto"/>
            <w:vAlign w:val="center"/>
          </w:tcPr>
          <w:p w14:paraId="34AB9797" w14:textId="77777777" w:rsidR="00AC1DB7" w:rsidRPr="00AC1DB7" w:rsidRDefault="00AC1DB7" w:rsidP="00AC1DB7">
            <w:pPr>
              <w:jc w:val="center"/>
              <w:rPr>
                <w:rFonts w:eastAsiaTheme="minorHAnsi"/>
                <w:color w:val="000000"/>
              </w:rPr>
            </w:pPr>
            <w:r w:rsidRPr="00AC1DB7">
              <w:rPr>
                <w:color w:val="000000"/>
              </w:rPr>
              <w:t>Special Data Request</w:t>
            </w:r>
          </w:p>
        </w:tc>
        <w:tc>
          <w:tcPr>
            <w:tcW w:w="1606" w:type="dxa"/>
            <w:shd w:val="clear" w:color="auto" w:fill="auto"/>
            <w:vAlign w:val="center"/>
          </w:tcPr>
          <w:p w14:paraId="35E34A7E" w14:textId="77777777" w:rsidR="00AC1DB7" w:rsidRPr="009C2FDE" w:rsidRDefault="00AC1DB7" w:rsidP="00AC1DB7">
            <w:pPr>
              <w:jc w:val="center"/>
              <w:rPr>
                <w:rFonts w:eastAsiaTheme="minorHAnsi"/>
              </w:rPr>
            </w:pPr>
            <w:r>
              <w:t>18</w:t>
            </w:r>
          </w:p>
        </w:tc>
        <w:tc>
          <w:tcPr>
            <w:tcW w:w="1488" w:type="dxa"/>
            <w:shd w:val="clear" w:color="auto" w:fill="auto"/>
            <w:vAlign w:val="center"/>
          </w:tcPr>
          <w:p w14:paraId="6BADA2AB" w14:textId="77777777" w:rsidR="00AC1DB7" w:rsidRPr="009C2FDE" w:rsidRDefault="00AC1DB7" w:rsidP="00AC1DB7">
            <w:pPr>
              <w:jc w:val="center"/>
              <w:rPr>
                <w:color w:val="000000"/>
              </w:rPr>
            </w:pPr>
            <w:r w:rsidRPr="009C2FDE">
              <w:rPr>
                <w:color w:val="000000"/>
              </w:rPr>
              <w:t>1</w:t>
            </w:r>
          </w:p>
        </w:tc>
        <w:tc>
          <w:tcPr>
            <w:tcW w:w="1267" w:type="dxa"/>
            <w:shd w:val="clear" w:color="auto" w:fill="auto"/>
            <w:vAlign w:val="center"/>
          </w:tcPr>
          <w:p w14:paraId="7F466903" w14:textId="77777777" w:rsidR="00AC1DB7" w:rsidRPr="009C2FDE" w:rsidRDefault="00AC1DB7" w:rsidP="00AC1DB7">
            <w:pPr>
              <w:jc w:val="center"/>
              <w:rPr>
                <w:color w:val="000000"/>
              </w:rPr>
            </w:pPr>
            <w:r w:rsidRPr="009C2FDE">
              <w:rPr>
                <w:color w:val="000000"/>
              </w:rPr>
              <w:t>6</w:t>
            </w:r>
          </w:p>
        </w:tc>
        <w:tc>
          <w:tcPr>
            <w:tcW w:w="1029" w:type="dxa"/>
            <w:vAlign w:val="center"/>
          </w:tcPr>
          <w:p w14:paraId="4B3791B3" w14:textId="77777777" w:rsidR="00AC1DB7" w:rsidRPr="009C2FDE" w:rsidRDefault="00AC1DB7" w:rsidP="00AC1DB7">
            <w:pPr>
              <w:jc w:val="center"/>
              <w:rPr>
                <w:color w:val="000000"/>
              </w:rPr>
            </w:pPr>
            <w:r w:rsidRPr="009C2FDE">
              <w:rPr>
                <w:color w:val="000000"/>
              </w:rPr>
              <w:t>$30.65</w:t>
            </w:r>
          </w:p>
        </w:tc>
        <w:tc>
          <w:tcPr>
            <w:tcW w:w="1041" w:type="dxa"/>
            <w:shd w:val="clear" w:color="auto" w:fill="auto"/>
            <w:vAlign w:val="center"/>
          </w:tcPr>
          <w:p w14:paraId="2DDD5260" w14:textId="77777777" w:rsidR="00AC1DB7" w:rsidRPr="009C2FDE" w:rsidRDefault="00AC1DB7" w:rsidP="00AC1DB7">
            <w:pPr>
              <w:jc w:val="center"/>
              <w:rPr>
                <w:color w:val="000000"/>
              </w:rPr>
            </w:pPr>
            <w:r>
              <w:rPr>
                <w:color w:val="000000"/>
              </w:rPr>
              <w:t>$3,310</w:t>
            </w:r>
          </w:p>
        </w:tc>
      </w:tr>
      <w:tr w:rsidR="00AC1DB7" w:rsidRPr="008E1BA4" w14:paraId="2FBD2689" w14:textId="77777777" w:rsidTr="00AC1DB7">
        <w:tc>
          <w:tcPr>
            <w:tcW w:w="1617" w:type="dxa"/>
            <w:vMerge w:val="restart"/>
            <w:shd w:val="clear" w:color="auto" w:fill="auto"/>
          </w:tcPr>
          <w:p w14:paraId="1319A51E" w14:textId="77777777" w:rsidR="00AC1DB7" w:rsidRPr="00AC1DB7" w:rsidRDefault="00AC1DB7" w:rsidP="00AC1DB7">
            <w:pPr>
              <w:widowControl w:val="0"/>
              <w:tabs>
                <w:tab w:val="left" w:pos="0"/>
              </w:tabs>
              <w:jc w:val="center"/>
              <w:rPr>
                <w:color w:val="000000"/>
              </w:rPr>
            </w:pPr>
            <w:r>
              <w:rPr>
                <w:color w:val="000000"/>
              </w:rPr>
              <w:t>REACH</w:t>
            </w:r>
            <w:r w:rsidRPr="00AC1DB7">
              <w:rPr>
                <w:color w:val="000000"/>
              </w:rPr>
              <w:t xml:space="preserve"> Program Awardees (private sector)</w:t>
            </w:r>
          </w:p>
        </w:tc>
        <w:tc>
          <w:tcPr>
            <w:tcW w:w="1302" w:type="dxa"/>
            <w:shd w:val="clear" w:color="auto" w:fill="auto"/>
          </w:tcPr>
          <w:p w14:paraId="59E018A8" w14:textId="77777777" w:rsidR="00AC1DB7" w:rsidRPr="00AC1DB7" w:rsidRDefault="00AC1DB7" w:rsidP="00AC1DB7">
            <w:pPr>
              <w:widowControl w:val="0"/>
              <w:tabs>
                <w:tab w:val="left" w:pos="0"/>
              </w:tabs>
              <w:jc w:val="center"/>
              <w:rPr>
                <w:color w:val="000000"/>
              </w:rPr>
            </w:pPr>
            <w:r w:rsidRPr="00AC1DB7">
              <w:rPr>
                <w:color w:val="000000"/>
              </w:rPr>
              <w:t>DCH MIS: Semi-annual reporting</w:t>
            </w:r>
          </w:p>
        </w:tc>
        <w:tc>
          <w:tcPr>
            <w:tcW w:w="1606" w:type="dxa"/>
            <w:shd w:val="clear" w:color="auto" w:fill="auto"/>
            <w:vAlign w:val="center"/>
          </w:tcPr>
          <w:p w14:paraId="051EDE0B" w14:textId="77777777" w:rsidR="00AC1DB7" w:rsidRPr="009C2FDE" w:rsidRDefault="00AC1DB7" w:rsidP="00AC1DB7">
            <w:pPr>
              <w:jc w:val="center"/>
              <w:rPr>
                <w:rFonts w:eastAsiaTheme="minorHAnsi"/>
              </w:rPr>
            </w:pPr>
            <w:r>
              <w:t>31</w:t>
            </w:r>
          </w:p>
        </w:tc>
        <w:tc>
          <w:tcPr>
            <w:tcW w:w="1488" w:type="dxa"/>
            <w:shd w:val="clear" w:color="auto" w:fill="auto"/>
            <w:vAlign w:val="center"/>
          </w:tcPr>
          <w:p w14:paraId="0C390CE3" w14:textId="77777777" w:rsidR="00AC1DB7" w:rsidRPr="009C2FDE" w:rsidRDefault="00AC1DB7" w:rsidP="00AC1DB7">
            <w:pPr>
              <w:jc w:val="center"/>
              <w:rPr>
                <w:color w:val="000000"/>
              </w:rPr>
            </w:pPr>
            <w:r w:rsidRPr="009C2FDE">
              <w:rPr>
                <w:color w:val="000000"/>
              </w:rPr>
              <w:t>2</w:t>
            </w:r>
          </w:p>
        </w:tc>
        <w:tc>
          <w:tcPr>
            <w:tcW w:w="1267" w:type="dxa"/>
            <w:shd w:val="clear" w:color="auto" w:fill="auto"/>
            <w:vAlign w:val="center"/>
          </w:tcPr>
          <w:p w14:paraId="03B01F7C" w14:textId="77777777" w:rsidR="00AC1DB7" w:rsidRPr="009C2FDE" w:rsidRDefault="00AC1DB7" w:rsidP="00AC1DB7">
            <w:pPr>
              <w:jc w:val="center"/>
              <w:rPr>
                <w:color w:val="000000"/>
              </w:rPr>
            </w:pPr>
            <w:r w:rsidRPr="009C2FDE">
              <w:rPr>
                <w:color w:val="000000"/>
              </w:rPr>
              <w:t>3</w:t>
            </w:r>
          </w:p>
        </w:tc>
        <w:tc>
          <w:tcPr>
            <w:tcW w:w="1029" w:type="dxa"/>
            <w:vAlign w:val="center"/>
          </w:tcPr>
          <w:p w14:paraId="16B4824F" w14:textId="77777777" w:rsidR="00AC1DB7" w:rsidRPr="009C2FDE" w:rsidRDefault="00AC1DB7" w:rsidP="00AC1DB7">
            <w:pPr>
              <w:jc w:val="center"/>
              <w:rPr>
                <w:color w:val="000000"/>
              </w:rPr>
            </w:pPr>
            <w:r w:rsidRPr="009C2FDE">
              <w:rPr>
                <w:color w:val="000000"/>
              </w:rPr>
              <w:t>$30.65</w:t>
            </w:r>
          </w:p>
        </w:tc>
        <w:tc>
          <w:tcPr>
            <w:tcW w:w="1041" w:type="dxa"/>
            <w:shd w:val="clear" w:color="auto" w:fill="auto"/>
            <w:vAlign w:val="center"/>
          </w:tcPr>
          <w:p w14:paraId="25F7D543" w14:textId="77777777" w:rsidR="00AC1DB7" w:rsidRPr="009C2FDE" w:rsidRDefault="00AC1DB7" w:rsidP="00AC1DB7">
            <w:pPr>
              <w:jc w:val="center"/>
              <w:rPr>
                <w:color w:val="000000"/>
              </w:rPr>
            </w:pPr>
            <w:r w:rsidRPr="00302FA8">
              <w:rPr>
                <w:color w:val="000000"/>
              </w:rPr>
              <w:t>$5,701</w:t>
            </w:r>
          </w:p>
        </w:tc>
      </w:tr>
      <w:tr w:rsidR="00AC1DB7" w:rsidRPr="008E1BA4" w14:paraId="5904F30A" w14:textId="77777777" w:rsidTr="00AC1DB7">
        <w:tc>
          <w:tcPr>
            <w:tcW w:w="1617" w:type="dxa"/>
            <w:vMerge/>
            <w:shd w:val="clear" w:color="auto" w:fill="auto"/>
          </w:tcPr>
          <w:p w14:paraId="067C1C48" w14:textId="77777777" w:rsidR="00AC1DB7" w:rsidRPr="00AC1DB7" w:rsidRDefault="00AC1DB7" w:rsidP="00AC1DB7">
            <w:pPr>
              <w:widowControl w:val="0"/>
              <w:tabs>
                <w:tab w:val="left" w:pos="0"/>
              </w:tabs>
              <w:jc w:val="center"/>
              <w:rPr>
                <w:color w:val="000000"/>
              </w:rPr>
            </w:pPr>
          </w:p>
        </w:tc>
        <w:tc>
          <w:tcPr>
            <w:tcW w:w="1302" w:type="dxa"/>
            <w:shd w:val="clear" w:color="auto" w:fill="auto"/>
            <w:vAlign w:val="center"/>
          </w:tcPr>
          <w:p w14:paraId="6255A6B5" w14:textId="77777777" w:rsidR="00AC1DB7" w:rsidRPr="00AC1DB7" w:rsidRDefault="00AC1DB7" w:rsidP="00AC1DB7">
            <w:pPr>
              <w:jc w:val="center"/>
              <w:rPr>
                <w:rFonts w:eastAsiaTheme="minorHAnsi"/>
                <w:color w:val="000000"/>
              </w:rPr>
            </w:pPr>
            <w:r w:rsidRPr="00AC1DB7">
              <w:rPr>
                <w:color w:val="000000"/>
              </w:rPr>
              <w:t>Special Data Request</w:t>
            </w:r>
          </w:p>
        </w:tc>
        <w:tc>
          <w:tcPr>
            <w:tcW w:w="1606" w:type="dxa"/>
            <w:shd w:val="clear" w:color="auto" w:fill="auto"/>
            <w:vAlign w:val="center"/>
          </w:tcPr>
          <w:p w14:paraId="0AE96292" w14:textId="77777777" w:rsidR="00AC1DB7" w:rsidRPr="009C2FDE" w:rsidRDefault="00AC1DB7" w:rsidP="00AC1DB7">
            <w:pPr>
              <w:jc w:val="center"/>
              <w:rPr>
                <w:rFonts w:eastAsiaTheme="minorHAnsi"/>
              </w:rPr>
            </w:pPr>
            <w:r>
              <w:t>31</w:t>
            </w:r>
          </w:p>
        </w:tc>
        <w:tc>
          <w:tcPr>
            <w:tcW w:w="1488" w:type="dxa"/>
            <w:shd w:val="clear" w:color="auto" w:fill="auto"/>
            <w:vAlign w:val="center"/>
          </w:tcPr>
          <w:p w14:paraId="36773556" w14:textId="77777777" w:rsidR="00AC1DB7" w:rsidRPr="009C2FDE" w:rsidRDefault="00AC1DB7" w:rsidP="00AC1DB7">
            <w:pPr>
              <w:jc w:val="center"/>
              <w:rPr>
                <w:color w:val="000000"/>
              </w:rPr>
            </w:pPr>
            <w:r w:rsidRPr="009C2FDE">
              <w:rPr>
                <w:color w:val="000000"/>
              </w:rPr>
              <w:t>1</w:t>
            </w:r>
          </w:p>
        </w:tc>
        <w:tc>
          <w:tcPr>
            <w:tcW w:w="1267" w:type="dxa"/>
            <w:shd w:val="clear" w:color="auto" w:fill="auto"/>
            <w:vAlign w:val="center"/>
          </w:tcPr>
          <w:p w14:paraId="1645E3DC" w14:textId="77777777" w:rsidR="00AC1DB7" w:rsidRPr="009C2FDE" w:rsidRDefault="00AC1DB7" w:rsidP="00AC1DB7">
            <w:pPr>
              <w:jc w:val="center"/>
              <w:rPr>
                <w:color w:val="000000"/>
              </w:rPr>
            </w:pPr>
            <w:r w:rsidRPr="009C2FDE">
              <w:rPr>
                <w:color w:val="000000"/>
              </w:rPr>
              <w:t>6</w:t>
            </w:r>
          </w:p>
        </w:tc>
        <w:tc>
          <w:tcPr>
            <w:tcW w:w="1029" w:type="dxa"/>
            <w:vAlign w:val="center"/>
          </w:tcPr>
          <w:p w14:paraId="12432A91" w14:textId="77777777" w:rsidR="00AC1DB7" w:rsidRPr="009C2FDE" w:rsidRDefault="00AC1DB7" w:rsidP="00AC1DB7">
            <w:pPr>
              <w:jc w:val="center"/>
              <w:rPr>
                <w:color w:val="000000"/>
              </w:rPr>
            </w:pPr>
            <w:r w:rsidRPr="009C2FDE">
              <w:rPr>
                <w:color w:val="000000"/>
              </w:rPr>
              <w:t>$30.65</w:t>
            </w:r>
          </w:p>
        </w:tc>
        <w:tc>
          <w:tcPr>
            <w:tcW w:w="1041" w:type="dxa"/>
            <w:shd w:val="clear" w:color="auto" w:fill="auto"/>
            <w:vAlign w:val="center"/>
          </w:tcPr>
          <w:p w14:paraId="35C4C6A2" w14:textId="77777777" w:rsidR="00AC1DB7" w:rsidRPr="009C2FDE" w:rsidRDefault="00AC1DB7" w:rsidP="00AC1DB7">
            <w:pPr>
              <w:jc w:val="center"/>
              <w:rPr>
                <w:color w:val="000000"/>
              </w:rPr>
            </w:pPr>
            <w:r w:rsidRPr="00302FA8">
              <w:rPr>
                <w:color w:val="000000"/>
              </w:rPr>
              <w:t>$5,701</w:t>
            </w:r>
          </w:p>
        </w:tc>
      </w:tr>
      <w:tr w:rsidR="00AC1DB7" w:rsidRPr="008E1BA4" w14:paraId="0FBEFA44" w14:textId="77777777" w:rsidTr="00AC1DB7">
        <w:tc>
          <w:tcPr>
            <w:tcW w:w="1617" w:type="dxa"/>
            <w:shd w:val="clear" w:color="auto" w:fill="auto"/>
          </w:tcPr>
          <w:p w14:paraId="2DECBDB2" w14:textId="77777777" w:rsidR="00AC1DB7" w:rsidRPr="00AC1DB7" w:rsidRDefault="00AC1DB7" w:rsidP="00AC1DB7">
            <w:pPr>
              <w:widowControl w:val="0"/>
              <w:tabs>
                <w:tab w:val="left" w:pos="0"/>
              </w:tabs>
              <w:rPr>
                <w:color w:val="000000"/>
              </w:rPr>
            </w:pPr>
          </w:p>
        </w:tc>
        <w:tc>
          <w:tcPr>
            <w:tcW w:w="5663" w:type="dxa"/>
            <w:gridSpan w:val="4"/>
            <w:shd w:val="clear" w:color="auto" w:fill="auto"/>
          </w:tcPr>
          <w:p w14:paraId="6E362130" w14:textId="77777777" w:rsidR="00AC1DB7" w:rsidRPr="00AC1DB7" w:rsidRDefault="00AC1DB7" w:rsidP="00AC1DB7">
            <w:pPr>
              <w:widowControl w:val="0"/>
              <w:tabs>
                <w:tab w:val="left" w:pos="0"/>
              </w:tabs>
              <w:jc w:val="right"/>
              <w:rPr>
                <w:color w:val="000000"/>
              </w:rPr>
            </w:pPr>
            <w:r w:rsidRPr="00AC1DB7">
              <w:rPr>
                <w:color w:val="000000"/>
              </w:rPr>
              <w:t>Total</w:t>
            </w:r>
          </w:p>
        </w:tc>
        <w:tc>
          <w:tcPr>
            <w:tcW w:w="1029" w:type="dxa"/>
          </w:tcPr>
          <w:p w14:paraId="2DA4323D" w14:textId="77777777" w:rsidR="00AC1DB7" w:rsidRPr="00AC1DB7" w:rsidRDefault="00AC1DB7" w:rsidP="00AC1DB7">
            <w:pPr>
              <w:widowControl w:val="0"/>
              <w:tabs>
                <w:tab w:val="left" w:pos="0"/>
              </w:tabs>
              <w:jc w:val="center"/>
              <w:rPr>
                <w:color w:val="000000"/>
              </w:rPr>
            </w:pPr>
          </w:p>
        </w:tc>
        <w:tc>
          <w:tcPr>
            <w:tcW w:w="1041" w:type="dxa"/>
            <w:shd w:val="clear" w:color="auto" w:fill="auto"/>
          </w:tcPr>
          <w:p w14:paraId="0F28151F" w14:textId="77777777" w:rsidR="00AC1DB7" w:rsidRPr="00AC1DB7" w:rsidRDefault="00AC1DB7" w:rsidP="00AC1DB7">
            <w:pPr>
              <w:widowControl w:val="0"/>
              <w:tabs>
                <w:tab w:val="left" w:pos="0"/>
              </w:tabs>
              <w:jc w:val="center"/>
              <w:rPr>
                <w:color w:val="000000"/>
              </w:rPr>
            </w:pPr>
            <w:r w:rsidRPr="002910ED">
              <w:rPr>
                <w:color w:val="000000"/>
              </w:rPr>
              <w:t>$18</w:t>
            </w:r>
            <w:r>
              <w:rPr>
                <w:color w:val="000000"/>
              </w:rPr>
              <w:t>,022</w:t>
            </w:r>
          </w:p>
        </w:tc>
      </w:tr>
    </w:tbl>
    <w:p w14:paraId="2C93B86E" w14:textId="77777777" w:rsidR="000B1340" w:rsidRPr="009C2FDE" w:rsidRDefault="000B1340" w:rsidP="000B1340">
      <w:pPr>
        <w:rPr>
          <w:b/>
        </w:rPr>
      </w:pPr>
    </w:p>
    <w:p w14:paraId="3A171081" w14:textId="77777777" w:rsidR="003E57D1" w:rsidRPr="009C2FDE" w:rsidRDefault="003E57D1" w:rsidP="00CA7AD8">
      <w:pPr>
        <w:rPr>
          <w:b/>
        </w:rPr>
      </w:pPr>
    </w:p>
    <w:p w14:paraId="21E0F5B7" w14:textId="77777777" w:rsidR="00E67FA7" w:rsidRPr="009C2FDE" w:rsidRDefault="00C218DE" w:rsidP="00C218DE">
      <w:pPr>
        <w:rPr>
          <w:b/>
        </w:rPr>
      </w:pPr>
      <w:r w:rsidRPr="009C2FDE">
        <w:rPr>
          <w:b/>
        </w:rPr>
        <w:t xml:space="preserve">      </w:t>
      </w:r>
      <w:r w:rsidR="00E67FA7" w:rsidRPr="009C2FDE">
        <w:rPr>
          <w:b/>
        </w:rPr>
        <w:t xml:space="preserve">13. Estimates of </w:t>
      </w:r>
      <w:r w:rsidR="004E4ED3" w:rsidRPr="009C2FDE">
        <w:rPr>
          <w:b/>
        </w:rPr>
        <w:t xml:space="preserve">Other Total Annual </w:t>
      </w:r>
      <w:r w:rsidR="00594A0E" w:rsidRPr="009C2FDE">
        <w:rPr>
          <w:b/>
        </w:rPr>
        <w:t>Cost Burden to</w:t>
      </w:r>
      <w:r w:rsidR="00E67FA7" w:rsidRPr="009C2FDE">
        <w:rPr>
          <w:b/>
        </w:rPr>
        <w:t xml:space="preserve"> Respondent</w:t>
      </w:r>
      <w:r w:rsidR="00594A0E" w:rsidRPr="009C2FDE">
        <w:rPr>
          <w:b/>
        </w:rPr>
        <w:t xml:space="preserve">s </w:t>
      </w:r>
      <w:r w:rsidR="00AC268F" w:rsidRPr="009C2FDE">
        <w:rPr>
          <w:b/>
        </w:rPr>
        <w:t>or</w:t>
      </w:r>
      <w:r w:rsidR="00E67FA7" w:rsidRPr="009C2FDE">
        <w:rPr>
          <w:b/>
        </w:rPr>
        <w:t xml:space="preserve"> </w:t>
      </w:r>
      <w:r w:rsidR="00D13DBA" w:rsidRPr="009C2FDE">
        <w:rPr>
          <w:b/>
        </w:rPr>
        <w:t>Record Keepers</w:t>
      </w:r>
    </w:p>
    <w:p w14:paraId="4E3F2095" w14:textId="77777777" w:rsidR="00E67FA7" w:rsidRPr="009C2FDE" w:rsidRDefault="00E67FA7" w:rsidP="00207287">
      <w:pPr>
        <w:ind w:left="360"/>
      </w:pPr>
    </w:p>
    <w:p w14:paraId="66D1C952" w14:textId="77777777" w:rsidR="00E67FA7" w:rsidRPr="009C2FDE" w:rsidRDefault="00C1533F" w:rsidP="004201B9">
      <w:r w:rsidRPr="009C2FDE">
        <w:t xml:space="preserve">The </w:t>
      </w:r>
      <w:r w:rsidR="0076255F">
        <w:t>DCH-PMD</w:t>
      </w:r>
      <w:r w:rsidRPr="009C2FDE">
        <w:t xml:space="preserve"> </w:t>
      </w:r>
      <w:r w:rsidR="004D6EC7" w:rsidRPr="009C2FDE">
        <w:t>is</w:t>
      </w:r>
      <w:r w:rsidRPr="009C2FDE">
        <w:t xml:space="preserve"> designed to use existing hardware within funded sites, and all respondent</w:t>
      </w:r>
      <w:r w:rsidR="00183515" w:rsidRPr="009C2FDE">
        <w:t>s currently have access to the I</w:t>
      </w:r>
      <w:r w:rsidRPr="009C2FDE">
        <w:t>nternet to use the information system. No capital or maintenance costs are expected. Additionally, there are no start-up, hardware or software costs.</w:t>
      </w:r>
    </w:p>
    <w:p w14:paraId="19253CC9" w14:textId="77777777" w:rsidR="0073418E" w:rsidRPr="009C2FDE" w:rsidRDefault="0073418E" w:rsidP="00754B25"/>
    <w:p w14:paraId="4499B75F" w14:textId="77777777" w:rsidR="00E67FA7" w:rsidRPr="009C2FDE" w:rsidRDefault="00E67FA7" w:rsidP="00207287">
      <w:pPr>
        <w:ind w:left="360"/>
        <w:rPr>
          <w:b/>
        </w:rPr>
      </w:pPr>
      <w:r w:rsidRPr="009C2FDE">
        <w:rPr>
          <w:b/>
        </w:rPr>
        <w:t xml:space="preserve">14. Estimates of Annualized Cost to the </w:t>
      </w:r>
      <w:r w:rsidR="00DF6AA4" w:rsidRPr="009C2FDE">
        <w:rPr>
          <w:b/>
        </w:rPr>
        <w:t xml:space="preserve">Federal </w:t>
      </w:r>
      <w:r w:rsidRPr="009C2FDE">
        <w:rPr>
          <w:b/>
        </w:rPr>
        <w:t>Government</w:t>
      </w:r>
    </w:p>
    <w:p w14:paraId="581C94DF" w14:textId="77777777" w:rsidR="00E67FA7" w:rsidRPr="009C2FDE" w:rsidRDefault="00E67FA7" w:rsidP="00207287">
      <w:pPr>
        <w:ind w:left="360"/>
        <w:rPr>
          <w:b/>
        </w:rPr>
      </w:pPr>
    </w:p>
    <w:p w14:paraId="5B88154A" w14:textId="77777777" w:rsidR="00263F6A" w:rsidRPr="009C2FDE" w:rsidRDefault="00FB44DA" w:rsidP="00263F6A">
      <w:pPr>
        <w:ind w:left="360"/>
        <w:rPr>
          <w:b/>
        </w:rPr>
      </w:pPr>
      <w:r w:rsidRPr="009C2FDE">
        <w:rPr>
          <w:b/>
        </w:rPr>
        <w:t xml:space="preserve">A. </w:t>
      </w:r>
      <w:r w:rsidR="00E0662F" w:rsidRPr="009C2FDE">
        <w:rPr>
          <w:b/>
        </w:rPr>
        <w:t>Development, Implementation, and Maintenance</w:t>
      </w:r>
    </w:p>
    <w:p w14:paraId="0EA58F67" w14:textId="77777777" w:rsidR="004E7894" w:rsidRPr="009C2FDE" w:rsidRDefault="004E7894" w:rsidP="00263F6A">
      <w:pPr>
        <w:ind w:left="360"/>
      </w:pPr>
    </w:p>
    <w:p w14:paraId="007B1BE4" w14:textId="77777777" w:rsidR="00BF32C3" w:rsidRDefault="00FE4674" w:rsidP="00343E36">
      <w:r w:rsidRPr="00184EFE">
        <w:t>The average annualized cost to the federal government is $</w:t>
      </w:r>
      <w:r w:rsidR="00DD558D" w:rsidRPr="00184EFE">
        <w:t>117,655</w:t>
      </w:r>
      <w:r w:rsidRPr="00184EFE">
        <w:t xml:space="preserve">, as summarized in Table A.14-A.  </w:t>
      </w:r>
      <w:r w:rsidR="00E0662F" w:rsidRPr="00184EFE">
        <w:t xml:space="preserve">Major cost factors for the </w:t>
      </w:r>
      <w:r w:rsidR="0076255F" w:rsidRPr="00184EFE">
        <w:t>DCH-PMD</w:t>
      </w:r>
      <w:r w:rsidR="00E0662F" w:rsidRPr="00184EFE">
        <w:t xml:space="preserve"> include system m</w:t>
      </w:r>
      <w:r w:rsidR="006D6538" w:rsidRPr="00184EFE">
        <w:t>aintenance</w:t>
      </w:r>
      <w:r w:rsidR="00E0662F" w:rsidRPr="00184EFE">
        <w:t xml:space="preserve"> costs.</w:t>
      </w:r>
      <w:r w:rsidR="00E0662F" w:rsidRPr="009C2FDE">
        <w:t xml:space="preserve"> </w:t>
      </w:r>
      <w:r w:rsidR="006D6538" w:rsidRPr="009C2FDE">
        <w:t xml:space="preserve"> </w:t>
      </w:r>
      <w:r w:rsidR="00C758EF" w:rsidRPr="009C2FDE">
        <w:t xml:space="preserve">The </w:t>
      </w:r>
      <w:r w:rsidR="0076255F">
        <w:t>DCH-PMD</w:t>
      </w:r>
      <w:r w:rsidR="00C758EF" w:rsidRPr="009C2FDE">
        <w:t xml:space="preserve"> developer and data collection contractor is</w:t>
      </w:r>
      <w:r w:rsidR="00ED5632" w:rsidRPr="009C2FDE">
        <w:t xml:space="preserve"> ICF International.</w:t>
      </w:r>
    </w:p>
    <w:p w14:paraId="0DE9B985" w14:textId="77777777" w:rsidR="00C75027" w:rsidRPr="009C2FDE" w:rsidRDefault="00C75027" w:rsidP="00343E36"/>
    <w:p w14:paraId="5A7EE5ED" w14:textId="5729EC8B" w:rsidR="0030001E" w:rsidRDefault="0030001E">
      <w:r>
        <w:br w:type="page"/>
      </w:r>
    </w:p>
    <w:p w14:paraId="7E6466F6" w14:textId="77777777" w:rsidR="00C75027" w:rsidRPr="009C2FDE" w:rsidRDefault="00C75027" w:rsidP="00343E36"/>
    <w:p w14:paraId="5147ACCB" w14:textId="77777777" w:rsidR="00C72C3A" w:rsidRPr="009C2FDE" w:rsidRDefault="00DD558D" w:rsidP="00343E36">
      <w:r>
        <w:rPr>
          <w:b/>
        </w:rPr>
        <w:t xml:space="preserve">Revised </w:t>
      </w:r>
      <w:r w:rsidR="00D54D5E" w:rsidRPr="009C2FDE">
        <w:rPr>
          <w:b/>
        </w:rPr>
        <w:t>Table A.14-A. Annualized Cost to the Federal Government</w:t>
      </w:r>
    </w:p>
    <w:tbl>
      <w:tblPr>
        <w:tblStyle w:val="TableGrid"/>
        <w:tblW w:w="0" w:type="auto"/>
        <w:jc w:val="center"/>
        <w:tblLook w:val="04A0" w:firstRow="1" w:lastRow="0" w:firstColumn="1" w:lastColumn="0" w:noHBand="0" w:noVBand="1"/>
      </w:tblPr>
      <w:tblGrid>
        <w:gridCol w:w="6138"/>
        <w:gridCol w:w="1292"/>
      </w:tblGrid>
      <w:tr w:rsidR="00C72C3A" w:rsidRPr="009C2FDE" w14:paraId="0F362A26" w14:textId="77777777" w:rsidTr="00227082">
        <w:trPr>
          <w:jc w:val="center"/>
        </w:trPr>
        <w:tc>
          <w:tcPr>
            <w:tcW w:w="6138" w:type="dxa"/>
          </w:tcPr>
          <w:p w14:paraId="45BCDB49" w14:textId="77777777" w:rsidR="00C72C3A" w:rsidRPr="009C2FDE" w:rsidRDefault="000C6940" w:rsidP="00343E36">
            <w:r w:rsidRPr="009C2FDE">
              <w:t>Cost Category</w:t>
            </w:r>
          </w:p>
        </w:tc>
        <w:tc>
          <w:tcPr>
            <w:tcW w:w="1292" w:type="dxa"/>
          </w:tcPr>
          <w:p w14:paraId="79355CCD" w14:textId="77777777" w:rsidR="00C72C3A" w:rsidRPr="009C2FDE" w:rsidRDefault="00C72C3A" w:rsidP="00227082">
            <w:pPr>
              <w:jc w:val="center"/>
              <w:rPr>
                <w:b/>
              </w:rPr>
            </w:pPr>
            <w:r w:rsidRPr="009C2FDE">
              <w:rPr>
                <w:b/>
              </w:rPr>
              <w:t>Total</w:t>
            </w:r>
          </w:p>
        </w:tc>
      </w:tr>
      <w:tr w:rsidR="00C72C3A" w:rsidRPr="009C2FDE" w14:paraId="1919AE66" w14:textId="77777777" w:rsidTr="00227082">
        <w:trPr>
          <w:trHeight w:val="1432"/>
          <w:jc w:val="center"/>
        </w:trPr>
        <w:tc>
          <w:tcPr>
            <w:tcW w:w="6138" w:type="dxa"/>
          </w:tcPr>
          <w:p w14:paraId="2BFBA915" w14:textId="77777777" w:rsidR="00C72C3A" w:rsidRPr="009C2FDE" w:rsidRDefault="00C72C3A" w:rsidP="00343E36">
            <w:r w:rsidRPr="009C2FDE">
              <w:t>CDC Personnel</w:t>
            </w:r>
          </w:p>
          <w:p w14:paraId="709243B9" w14:textId="77777777" w:rsidR="00C72C3A" w:rsidRPr="009C2FDE" w:rsidRDefault="00A75BAB" w:rsidP="00C72C3A">
            <w:pPr>
              <w:pStyle w:val="ListParagraph"/>
              <w:numPr>
                <w:ilvl w:val="0"/>
                <w:numId w:val="33"/>
              </w:numPr>
            </w:pPr>
            <w:r>
              <w:t>50</w:t>
            </w:r>
            <w:r w:rsidR="00C72C3A" w:rsidRPr="009C2FDE">
              <w:t>% GS-12</w:t>
            </w:r>
            <w:r w:rsidR="00D54D5E" w:rsidRPr="009C2FDE">
              <w:t xml:space="preserve"> </w:t>
            </w:r>
            <w:r w:rsidR="00C72C3A" w:rsidRPr="009C2FDE">
              <w:t>@$71,901/year = $</w:t>
            </w:r>
            <w:r>
              <w:t>35,951</w:t>
            </w:r>
          </w:p>
          <w:p w14:paraId="363CF9C8" w14:textId="77777777" w:rsidR="00C72C3A" w:rsidRPr="009C2FDE" w:rsidRDefault="00C72C3A" w:rsidP="00C72C3A">
            <w:pPr>
              <w:pStyle w:val="ListParagraph"/>
              <w:numPr>
                <w:ilvl w:val="0"/>
                <w:numId w:val="32"/>
              </w:numPr>
            </w:pPr>
            <w:r w:rsidRPr="009C2FDE">
              <w:t>50% GS-13 @ $85,500/year = $42,</w:t>
            </w:r>
            <w:r w:rsidR="007B11FB" w:rsidRPr="009C2FDE">
              <w:t>750</w:t>
            </w:r>
          </w:p>
          <w:p w14:paraId="5C4744F2" w14:textId="77777777" w:rsidR="00C72C3A" w:rsidRPr="009C2FDE" w:rsidRDefault="00C72C3A" w:rsidP="00C72C3A">
            <w:pPr>
              <w:jc w:val="right"/>
            </w:pPr>
            <w:r w:rsidRPr="009C2FDE">
              <w:t>Subtotal, CDC Personnel</w:t>
            </w:r>
          </w:p>
        </w:tc>
        <w:tc>
          <w:tcPr>
            <w:tcW w:w="1292" w:type="dxa"/>
          </w:tcPr>
          <w:p w14:paraId="352CE935" w14:textId="77777777" w:rsidR="00C72C3A" w:rsidRPr="009C2FDE" w:rsidRDefault="00C72C3A" w:rsidP="00C72C3A">
            <w:pPr>
              <w:jc w:val="right"/>
            </w:pPr>
          </w:p>
          <w:p w14:paraId="16FB624F" w14:textId="77777777" w:rsidR="00C72C3A" w:rsidRPr="009C2FDE" w:rsidRDefault="00C72C3A" w:rsidP="00C72C3A">
            <w:pPr>
              <w:jc w:val="right"/>
            </w:pPr>
          </w:p>
          <w:p w14:paraId="44F73230" w14:textId="77777777" w:rsidR="00C72C3A" w:rsidRPr="009C2FDE" w:rsidRDefault="00C72C3A" w:rsidP="00C72C3A">
            <w:pPr>
              <w:jc w:val="right"/>
            </w:pPr>
          </w:p>
          <w:p w14:paraId="5A4D2BD6" w14:textId="77777777" w:rsidR="00C72C3A" w:rsidRPr="009C2FDE" w:rsidRDefault="00C72C3A" w:rsidP="00C72C3A">
            <w:pPr>
              <w:jc w:val="right"/>
            </w:pPr>
          </w:p>
          <w:p w14:paraId="5D9786C2" w14:textId="77777777" w:rsidR="00C72C3A" w:rsidRPr="009C2FDE" w:rsidRDefault="00C72C3A" w:rsidP="00A75BAB">
            <w:pPr>
              <w:jc w:val="right"/>
            </w:pPr>
            <w:r w:rsidRPr="009C2FDE">
              <w:t xml:space="preserve">$ </w:t>
            </w:r>
            <w:r w:rsidR="00A75BAB">
              <w:t>78,701</w:t>
            </w:r>
          </w:p>
        </w:tc>
      </w:tr>
      <w:tr w:rsidR="00C72C3A" w:rsidRPr="009C2FDE" w14:paraId="44E37D86" w14:textId="77777777" w:rsidTr="00227082">
        <w:trPr>
          <w:jc w:val="center"/>
        </w:trPr>
        <w:tc>
          <w:tcPr>
            <w:tcW w:w="6138" w:type="dxa"/>
          </w:tcPr>
          <w:p w14:paraId="09444471" w14:textId="77777777" w:rsidR="00C72C3A" w:rsidRPr="009C2FDE" w:rsidRDefault="00C72C3A" w:rsidP="00343E36">
            <w:r w:rsidRPr="009C2FDE">
              <w:t>Data Collection Contractor</w:t>
            </w:r>
          </w:p>
        </w:tc>
        <w:tc>
          <w:tcPr>
            <w:tcW w:w="1292" w:type="dxa"/>
          </w:tcPr>
          <w:p w14:paraId="1B025E2C" w14:textId="77777777" w:rsidR="00C72C3A" w:rsidRPr="009C2FDE" w:rsidRDefault="004E1872" w:rsidP="00C72C3A">
            <w:pPr>
              <w:jc w:val="right"/>
            </w:pPr>
            <w:r w:rsidRPr="009C2FDE">
              <w:t>$ 38,</w:t>
            </w:r>
            <w:r w:rsidR="00C72C3A" w:rsidRPr="009C2FDE">
              <w:t>954</w:t>
            </w:r>
          </w:p>
        </w:tc>
      </w:tr>
      <w:tr w:rsidR="00C72C3A" w:rsidRPr="009C2FDE" w14:paraId="7E83138C" w14:textId="77777777" w:rsidTr="00227082">
        <w:trPr>
          <w:jc w:val="center"/>
        </w:trPr>
        <w:tc>
          <w:tcPr>
            <w:tcW w:w="6138" w:type="dxa"/>
          </w:tcPr>
          <w:p w14:paraId="665358B7" w14:textId="77777777" w:rsidR="00C72C3A" w:rsidRPr="009C2FDE" w:rsidRDefault="008B6C04" w:rsidP="008B6C04">
            <w:pPr>
              <w:jc w:val="right"/>
            </w:pPr>
            <w:r w:rsidRPr="009C2FDE">
              <w:t>Total</w:t>
            </w:r>
          </w:p>
        </w:tc>
        <w:tc>
          <w:tcPr>
            <w:tcW w:w="1292" w:type="dxa"/>
          </w:tcPr>
          <w:p w14:paraId="267F58EC" w14:textId="77777777" w:rsidR="00C72C3A" w:rsidRPr="009C2FDE" w:rsidRDefault="004E1872" w:rsidP="00A75BAB">
            <w:pPr>
              <w:jc w:val="right"/>
            </w:pPr>
            <w:r w:rsidRPr="009C2FDE">
              <w:t>$</w:t>
            </w:r>
            <w:r w:rsidR="00227082" w:rsidRPr="009C2FDE">
              <w:t xml:space="preserve"> </w:t>
            </w:r>
            <w:r w:rsidR="00A75BAB">
              <w:t>117,655</w:t>
            </w:r>
          </w:p>
        </w:tc>
      </w:tr>
    </w:tbl>
    <w:p w14:paraId="0591DC72" w14:textId="77777777" w:rsidR="00C72C3A" w:rsidRPr="009C2FDE" w:rsidRDefault="00C72C3A" w:rsidP="00343E36"/>
    <w:p w14:paraId="47C2BB2F" w14:textId="77777777" w:rsidR="0073418E" w:rsidRPr="009C2FDE" w:rsidRDefault="0073418E" w:rsidP="007C62B1">
      <w:pPr>
        <w:rPr>
          <w:b/>
        </w:rPr>
      </w:pPr>
    </w:p>
    <w:p w14:paraId="1493D5A4" w14:textId="77777777" w:rsidR="00263F6A" w:rsidRPr="009C2FDE" w:rsidRDefault="00263F6A" w:rsidP="00263F6A">
      <w:pPr>
        <w:ind w:left="360"/>
      </w:pPr>
      <w:r w:rsidRPr="009C2FDE">
        <w:rPr>
          <w:b/>
        </w:rPr>
        <w:t xml:space="preserve">15. </w:t>
      </w:r>
      <w:r w:rsidR="00594A0E" w:rsidRPr="009C2FDE">
        <w:rPr>
          <w:b/>
        </w:rPr>
        <w:t>Explanation for Program Changes or Adjustments</w:t>
      </w:r>
    </w:p>
    <w:p w14:paraId="27CEE165" w14:textId="69E734D6" w:rsidR="00944A9A" w:rsidRDefault="0033009F" w:rsidP="00A671D8">
      <w:pPr>
        <w:tabs>
          <w:tab w:val="left" w:pos="0"/>
        </w:tabs>
        <w:ind w:hanging="90"/>
        <w:rPr>
          <w:bCs/>
        </w:rPr>
      </w:pPr>
      <w:r w:rsidRPr="0033009F">
        <w:t>The</w:t>
      </w:r>
      <w:r w:rsidR="00A671D8">
        <w:t xml:space="preserve"> req</w:t>
      </w:r>
      <w:r w:rsidR="00717CDE">
        <w:t>ueste</w:t>
      </w:r>
      <w:r w:rsidR="00A671D8">
        <w:t>d</w:t>
      </w:r>
      <w:r w:rsidRPr="0033009F">
        <w:t xml:space="preserve"> revisions include </w:t>
      </w:r>
      <w:r w:rsidR="00A671D8">
        <w:t>extending</w:t>
      </w:r>
      <w:r w:rsidRPr="0033009F">
        <w:rPr>
          <w:bCs/>
        </w:rPr>
        <w:t xml:space="preserve"> the current OMB approval time frame to </w:t>
      </w:r>
      <w:r w:rsidRPr="0033009F">
        <w:t xml:space="preserve">collect information </w:t>
      </w:r>
      <w:r w:rsidRPr="0033009F">
        <w:rPr>
          <w:bCs/>
        </w:rPr>
        <w:t>for an additional year ending in March 31, 2019</w:t>
      </w:r>
      <w:r w:rsidR="00033697">
        <w:rPr>
          <w:bCs/>
        </w:rPr>
        <w:t xml:space="preserve"> using the existing DCH-PMD</w:t>
      </w:r>
      <w:r w:rsidRPr="0033009F">
        <w:rPr>
          <w:bCs/>
        </w:rPr>
        <w:t xml:space="preserve">.  </w:t>
      </w:r>
      <w:r w:rsidR="00944A9A">
        <w:rPr>
          <w:bCs/>
        </w:rPr>
        <w:t xml:space="preserve">The </w:t>
      </w:r>
      <w:r w:rsidR="00A671D8">
        <w:rPr>
          <w:bCs/>
        </w:rPr>
        <w:t>previous</w:t>
      </w:r>
      <w:r w:rsidR="00C232E9">
        <w:rPr>
          <w:bCs/>
        </w:rPr>
        <w:t xml:space="preserve"> </w:t>
      </w:r>
      <w:r w:rsidR="00944A9A">
        <w:rPr>
          <w:bCs/>
        </w:rPr>
        <w:t>respondents</w:t>
      </w:r>
      <w:r w:rsidR="00C232E9">
        <w:rPr>
          <w:bCs/>
        </w:rPr>
        <w:t xml:space="preserve"> included 44 Partnership to Improve Community Health PICH Awardees</w:t>
      </w:r>
      <w:r w:rsidR="00A671D8">
        <w:rPr>
          <w:bCs/>
        </w:rPr>
        <w:t xml:space="preserve"> who are no longer funded; </w:t>
      </w:r>
      <w:r w:rsidR="00C232E9">
        <w:rPr>
          <w:bCs/>
        </w:rPr>
        <w:t xml:space="preserve"> 49 REACH Awardees</w:t>
      </w:r>
      <w:r w:rsidR="00717CDE">
        <w:rPr>
          <w:bCs/>
        </w:rPr>
        <w:t xml:space="preserve"> </w:t>
      </w:r>
      <w:r w:rsidR="00A671D8">
        <w:rPr>
          <w:bCs/>
        </w:rPr>
        <w:t>will continue to collect and report information through this revision request.</w:t>
      </w:r>
      <w:r w:rsidR="00C232E9">
        <w:rPr>
          <w:bCs/>
        </w:rPr>
        <w:t xml:space="preserve"> </w:t>
      </w:r>
      <w:r w:rsidR="001C5B9C">
        <w:rPr>
          <w:bCs/>
        </w:rPr>
        <w:t>T</w:t>
      </w:r>
      <w:r w:rsidR="00944A9A">
        <w:rPr>
          <w:bCs/>
        </w:rPr>
        <w:t xml:space="preserve">he total estimated annualized burden </w:t>
      </w:r>
      <w:r w:rsidR="00A671D8">
        <w:rPr>
          <w:bCs/>
        </w:rPr>
        <w:t xml:space="preserve">has </w:t>
      </w:r>
      <w:r w:rsidR="00944A9A">
        <w:rPr>
          <w:bCs/>
        </w:rPr>
        <w:t xml:space="preserve">decreased from </w:t>
      </w:r>
      <w:r w:rsidR="0074407C">
        <w:rPr>
          <w:bCs/>
        </w:rPr>
        <w:t>1,596</w:t>
      </w:r>
      <w:r w:rsidR="00944A9A">
        <w:rPr>
          <w:bCs/>
        </w:rPr>
        <w:t xml:space="preserve"> to 588 hours</w:t>
      </w:r>
      <w:r w:rsidR="00A671D8">
        <w:rPr>
          <w:bCs/>
        </w:rPr>
        <w:t xml:space="preserve"> due to fewer respondents and not needing the initial population of the information system</w:t>
      </w:r>
      <w:r w:rsidR="0074407C">
        <w:rPr>
          <w:bCs/>
        </w:rPr>
        <w:t xml:space="preserve">.  </w:t>
      </w:r>
    </w:p>
    <w:p w14:paraId="13275F80" w14:textId="77777777" w:rsidR="00944A9A" w:rsidRDefault="00944A9A" w:rsidP="0073418E">
      <w:pPr>
        <w:tabs>
          <w:tab w:val="left" w:pos="0"/>
        </w:tabs>
        <w:ind w:hanging="90"/>
        <w:rPr>
          <w:bCs/>
        </w:rPr>
      </w:pPr>
    </w:p>
    <w:p w14:paraId="61FAD039" w14:textId="77777777" w:rsidR="00BC3D4D" w:rsidRPr="009C2FDE" w:rsidRDefault="00263F6A" w:rsidP="00754B25">
      <w:pPr>
        <w:spacing w:line="360" w:lineRule="auto"/>
        <w:ind w:left="360"/>
        <w:rPr>
          <w:b/>
        </w:rPr>
      </w:pPr>
      <w:r w:rsidRPr="009C2FDE">
        <w:rPr>
          <w:b/>
        </w:rPr>
        <w:t xml:space="preserve">16. </w:t>
      </w:r>
      <w:r w:rsidR="00594A0E" w:rsidRPr="009C2FDE">
        <w:rPr>
          <w:b/>
        </w:rPr>
        <w:t xml:space="preserve"> </w:t>
      </w:r>
      <w:r w:rsidR="00850F77" w:rsidRPr="009C2FDE">
        <w:rPr>
          <w:b/>
        </w:rPr>
        <w:t>Plans for Tabulation and Publication and Project Time Schedule</w:t>
      </w:r>
    </w:p>
    <w:p w14:paraId="6E12FF7C" w14:textId="77777777" w:rsidR="00207287" w:rsidRPr="009C2FDE" w:rsidRDefault="000B2405" w:rsidP="00E13F18">
      <w:pPr>
        <w:ind w:left="360"/>
      </w:pPr>
      <w:r w:rsidRPr="009C2FDE">
        <w:rPr>
          <w:b/>
        </w:rPr>
        <w:t>A. Time schedule for the entire project</w:t>
      </w:r>
    </w:p>
    <w:p w14:paraId="69E01DA6" w14:textId="77777777" w:rsidR="000B2405" w:rsidRPr="009C2FDE" w:rsidRDefault="000B2405" w:rsidP="00E13F18">
      <w:pPr>
        <w:ind w:left="360"/>
      </w:pPr>
    </w:p>
    <w:p w14:paraId="55DE4ED5" w14:textId="7C4265D3" w:rsidR="007C62B1" w:rsidRPr="009C2FDE" w:rsidRDefault="00864BD4" w:rsidP="00EE5425">
      <w:r w:rsidRPr="00184EFE">
        <w:t xml:space="preserve">OMB </w:t>
      </w:r>
      <w:r w:rsidR="001B6F38">
        <w:t xml:space="preserve">approval is requested for </w:t>
      </w:r>
      <w:r w:rsidR="00A671D8">
        <w:t>an additional</w:t>
      </w:r>
      <w:r w:rsidR="001B6F38">
        <w:t xml:space="preserve"> </w:t>
      </w:r>
      <w:r w:rsidR="007C7FA1" w:rsidRPr="00184EFE">
        <w:t>year</w:t>
      </w:r>
      <w:r w:rsidR="00A671D8">
        <w:t xml:space="preserve"> due to </w:t>
      </w:r>
      <w:r w:rsidR="00B76605">
        <w:t>an extension of the cooperative agreement</w:t>
      </w:r>
      <w:r w:rsidRPr="00184EFE">
        <w:t>.</w:t>
      </w:r>
      <w:r w:rsidRPr="007C7FA1">
        <w:t xml:space="preserve">  </w:t>
      </w:r>
      <w:r w:rsidR="00925E69" w:rsidRPr="007C7FA1">
        <w:t xml:space="preserve">Reports will be generated by the </w:t>
      </w:r>
      <w:r w:rsidR="002E10E3" w:rsidRPr="007C7FA1">
        <w:t>awardee</w:t>
      </w:r>
      <w:r w:rsidR="00925E69" w:rsidRPr="007C7FA1">
        <w:t xml:space="preserve">s per the FOA requirements twice a year, in April and November.  Data collection </w:t>
      </w:r>
      <w:r w:rsidR="007C7FA1" w:rsidRPr="007C7FA1">
        <w:t>bega</w:t>
      </w:r>
      <w:r w:rsidR="00422B3B" w:rsidRPr="007C7FA1">
        <w:t>n</w:t>
      </w:r>
      <w:r w:rsidR="00925E69" w:rsidRPr="007C7FA1">
        <w:t xml:space="preserve"> with the awarding of the </w:t>
      </w:r>
      <w:r w:rsidR="00422B3B" w:rsidRPr="007C7FA1">
        <w:t xml:space="preserve">co-operative agreement </w:t>
      </w:r>
      <w:r w:rsidR="00925E69" w:rsidRPr="007C7FA1">
        <w:t>and will continue</w:t>
      </w:r>
      <w:r w:rsidR="00537C04" w:rsidRPr="007C7FA1">
        <w:t xml:space="preserve"> throughout the funding cycle</w:t>
      </w:r>
      <w:r w:rsidR="007C7FA1">
        <w:t>.</w:t>
      </w:r>
    </w:p>
    <w:p w14:paraId="4C831FF0" w14:textId="77777777" w:rsidR="000B2405" w:rsidRPr="009C2FDE" w:rsidRDefault="000B2405" w:rsidP="00E13F18">
      <w:pPr>
        <w:ind w:left="360"/>
      </w:pPr>
    </w:p>
    <w:p w14:paraId="5D6D1CDE" w14:textId="77777777" w:rsidR="000B2405" w:rsidRPr="009C2FDE" w:rsidRDefault="000B2405" w:rsidP="00E13F18">
      <w:pPr>
        <w:ind w:left="360"/>
      </w:pPr>
      <w:r w:rsidRPr="009C2FDE">
        <w:rPr>
          <w:b/>
        </w:rPr>
        <w:t>B. Publication plan</w:t>
      </w:r>
    </w:p>
    <w:p w14:paraId="3DF952F4" w14:textId="77777777" w:rsidR="000B2405" w:rsidRPr="009C2FDE" w:rsidRDefault="000B2405" w:rsidP="00E13F18">
      <w:pPr>
        <w:ind w:left="360"/>
      </w:pPr>
    </w:p>
    <w:p w14:paraId="20F04078" w14:textId="77777777" w:rsidR="000B2405" w:rsidRPr="009C2FDE" w:rsidRDefault="000B2405" w:rsidP="00EE5425">
      <w:r w:rsidRPr="009C2FDE">
        <w:t xml:space="preserve">Information collected through the </w:t>
      </w:r>
      <w:r w:rsidR="0076255F">
        <w:t>DCH-PMD</w:t>
      </w:r>
      <w:r w:rsidRPr="009C2FDE">
        <w:t xml:space="preserve"> will be reported in internal CDC documents and shared with </w:t>
      </w:r>
      <w:r w:rsidR="0031436D" w:rsidRPr="009C2FDE">
        <w:t>state</w:t>
      </w:r>
      <w:r w:rsidR="003D5B9A" w:rsidRPr="009C2FDE">
        <w:t>-</w:t>
      </w:r>
      <w:r w:rsidR="0031436D" w:rsidRPr="009C2FDE">
        <w:t>based</w:t>
      </w:r>
      <w:r w:rsidR="0050728C" w:rsidRPr="009C2FDE">
        <w:t xml:space="preserve"> </w:t>
      </w:r>
      <w:r w:rsidR="00422B3B" w:rsidRPr="009C2FDE">
        <w:t xml:space="preserve">and community-based </w:t>
      </w:r>
      <w:r w:rsidR="0050728C" w:rsidRPr="009C2FDE">
        <w:t>programs</w:t>
      </w:r>
      <w:r w:rsidRPr="009C2FDE">
        <w:t>.</w:t>
      </w:r>
    </w:p>
    <w:p w14:paraId="3BE60FAA" w14:textId="77777777" w:rsidR="000B2405" w:rsidRPr="009C2FDE" w:rsidRDefault="000B2405" w:rsidP="00E13F18">
      <w:pPr>
        <w:ind w:left="360"/>
      </w:pPr>
    </w:p>
    <w:p w14:paraId="03F3BEF5" w14:textId="77777777" w:rsidR="000B2405" w:rsidRPr="009C2FDE" w:rsidRDefault="000B2405" w:rsidP="00E13F18">
      <w:pPr>
        <w:ind w:left="360"/>
        <w:rPr>
          <w:b/>
        </w:rPr>
      </w:pPr>
      <w:r w:rsidRPr="009C2FDE">
        <w:rPr>
          <w:b/>
        </w:rPr>
        <w:t>C. Analysis plan</w:t>
      </w:r>
    </w:p>
    <w:p w14:paraId="38F17A72" w14:textId="77777777" w:rsidR="000B2405" w:rsidRPr="009C2FDE" w:rsidRDefault="000B2405" w:rsidP="00E13F18">
      <w:pPr>
        <w:ind w:left="360"/>
        <w:rPr>
          <w:b/>
        </w:rPr>
      </w:pPr>
    </w:p>
    <w:p w14:paraId="22F33F28" w14:textId="77777777" w:rsidR="007A1C2F" w:rsidRPr="009C2FDE" w:rsidRDefault="000B2405" w:rsidP="00B02B40">
      <w:r w:rsidRPr="009C2FDE">
        <w:t xml:space="preserve">CDC will not use complex statistical methods for analyzing information. All information will be aggregated and reported </w:t>
      </w:r>
      <w:r w:rsidR="00523D15" w:rsidRPr="009C2FDE">
        <w:t>with no program identifiers present in external documents</w:t>
      </w:r>
      <w:r w:rsidRPr="009C2FDE">
        <w:t xml:space="preserve">. </w:t>
      </w:r>
      <w:r w:rsidR="00523D15" w:rsidRPr="009C2FDE">
        <w:t>Most s</w:t>
      </w:r>
      <w:r w:rsidRPr="009C2FDE">
        <w:t>tatistical analyses</w:t>
      </w:r>
      <w:r w:rsidR="007A1C2F" w:rsidRPr="009C2FDE">
        <w:t xml:space="preserve"> will be </w:t>
      </w:r>
      <w:r w:rsidR="00523D15" w:rsidRPr="009C2FDE">
        <w:t>descriptive</w:t>
      </w:r>
      <w:r w:rsidR="007A1C2F" w:rsidRPr="009C2FDE">
        <w:t>.</w:t>
      </w:r>
      <w:r w:rsidR="0050728C" w:rsidRPr="009C2FDE">
        <w:t xml:space="preserve"> </w:t>
      </w:r>
      <w:r w:rsidR="00523D15" w:rsidRPr="009C2FDE">
        <w:t>Statistical modeling may be included to examine predictors of specified outcomes.</w:t>
      </w:r>
    </w:p>
    <w:p w14:paraId="68CAAFE7" w14:textId="77777777" w:rsidR="00ED686D" w:rsidRPr="009C2FDE" w:rsidRDefault="00ED686D" w:rsidP="00B02B40"/>
    <w:p w14:paraId="42CB30F8" w14:textId="77777777" w:rsidR="00422B3B" w:rsidRPr="009C2FDE" w:rsidRDefault="009C74E7" w:rsidP="00ED686D">
      <w:pPr>
        <w:autoSpaceDE w:val="0"/>
        <w:autoSpaceDN w:val="0"/>
        <w:adjustRightInd w:val="0"/>
        <w:rPr>
          <w:b/>
          <w:bCs/>
        </w:rPr>
      </w:pPr>
      <w:r w:rsidRPr="009C2FDE">
        <w:rPr>
          <w:b/>
          <w:bCs/>
        </w:rPr>
        <w:t>A.16 - 1 Project Time Schedule</w:t>
      </w:r>
    </w:p>
    <w:p w14:paraId="08228432" w14:textId="77777777" w:rsidR="00ED686D" w:rsidRPr="009C2FDE" w:rsidRDefault="00ED686D" w:rsidP="00ED686D">
      <w:pPr>
        <w:autoSpaceDE w:val="0"/>
        <w:autoSpaceDN w:val="0"/>
        <w:adjustRightInd w:val="0"/>
        <w:rPr>
          <w:b/>
          <w:bCs/>
        </w:rPr>
      </w:pPr>
    </w:p>
    <w:tbl>
      <w:tblPr>
        <w:tblStyle w:val="TableGrid"/>
        <w:tblW w:w="0" w:type="auto"/>
        <w:tblInd w:w="360" w:type="dxa"/>
        <w:tblLook w:val="04A0" w:firstRow="1" w:lastRow="0" w:firstColumn="1" w:lastColumn="0" w:noHBand="0" w:noVBand="1"/>
      </w:tblPr>
      <w:tblGrid>
        <w:gridCol w:w="4607"/>
        <w:gridCol w:w="4609"/>
      </w:tblGrid>
      <w:tr w:rsidR="00ED686D" w:rsidRPr="009C2FDE" w14:paraId="77193344" w14:textId="77777777" w:rsidTr="00ED686D">
        <w:tc>
          <w:tcPr>
            <w:tcW w:w="4607" w:type="dxa"/>
          </w:tcPr>
          <w:p w14:paraId="2F362D6F" w14:textId="77777777" w:rsidR="00ED686D" w:rsidRPr="009C2FDE" w:rsidRDefault="009C74E7" w:rsidP="00ED686D">
            <w:pPr>
              <w:autoSpaceDE w:val="0"/>
              <w:autoSpaceDN w:val="0"/>
              <w:adjustRightInd w:val="0"/>
              <w:rPr>
                <w:b/>
                <w:bCs/>
              </w:rPr>
            </w:pPr>
            <w:r w:rsidRPr="009C2FDE">
              <w:rPr>
                <w:b/>
                <w:bCs/>
              </w:rPr>
              <w:t>Activity Time Schedule</w:t>
            </w:r>
          </w:p>
        </w:tc>
        <w:tc>
          <w:tcPr>
            <w:tcW w:w="4609" w:type="dxa"/>
          </w:tcPr>
          <w:p w14:paraId="4C79C8CD" w14:textId="77777777" w:rsidR="00ED686D" w:rsidRPr="009C2FDE" w:rsidRDefault="00ED686D" w:rsidP="007A1C2F">
            <w:pPr>
              <w:rPr>
                <w:b/>
              </w:rPr>
            </w:pPr>
          </w:p>
        </w:tc>
      </w:tr>
      <w:tr w:rsidR="00ED686D" w:rsidRPr="009C2FDE" w14:paraId="79246C19" w14:textId="77777777" w:rsidTr="00ED686D">
        <w:tc>
          <w:tcPr>
            <w:tcW w:w="4607" w:type="dxa"/>
          </w:tcPr>
          <w:p w14:paraId="1CD0ACE5" w14:textId="77777777" w:rsidR="00ED686D" w:rsidRPr="009C2FDE" w:rsidRDefault="00ED686D" w:rsidP="007A1C2F">
            <w:r w:rsidRPr="009C2FDE">
              <w:t>Notification of Electronic Tool Availability</w:t>
            </w:r>
          </w:p>
        </w:tc>
        <w:tc>
          <w:tcPr>
            <w:tcW w:w="4609" w:type="dxa"/>
          </w:tcPr>
          <w:p w14:paraId="0C8583F8" w14:textId="77777777" w:rsidR="00ED686D" w:rsidRPr="009C2FDE" w:rsidRDefault="00ED686D" w:rsidP="007A1C2F">
            <w:r w:rsidRPr="009C2FDE">
              <w:t>Immediately upon OMB approval</w:t>
            </w:r>
          </w:p>
        </w:tc>
      </w:tr>
      <w:tr w:rsidR="00ED686D" w:rsidRPr="009C2FDE" w14:paraId="269F0B69" w14:textId="77777777" w:rsidTr="00ED686D">
        <w:tc>
          <w:tcPr>
            <w:tcW w:w="4607" w:type="dxa"/>
          </w:tcPr>
          <w:p w14:paraId="05540554" w14:textId="77777777" w:rsidR="00ED686D" w:rsidRPr="009C2FDE" w:rsidRDefault="00ED686D" w:rsidP="007A1C2F">
            <w:r w:rsidRPr="009C2FDE">
              <w:t>User Training</w:t>
            </w:r>
          </w:p>
        </w:tc>
        <w:tc>
          <w:tcPr>
            <w:tcW w:w="4609" w:type="dxa"/>
          </w:tcPr>
          <w:p w14:paraId="035D1FF1" w14:textId="77777777" w:rsidR="00ED686D" w:rsidRPr="009C2FDE" w:rsidRDefault="00ED686D" w:rsidP="007A1C2F">
            <w:r w:rsidRPr="009C2FDE">
              <w:t>Immediately upon OMB approval and ongoing through expiration date</w:t>
            </w:r>
          </w:p>
        </w:tc>
      </w:tr>
      <w:tr w:rsidR="00ED686D" w:rsidRPr="009C2FDE" w14:paraId="396B106B" w14:textId="77777777" w:rsidTr="00ED686D">
        <w:tc>
          <w:tcPr>
            <w:tcW w:w="4607" w:type="dxa"/>
          </w:tcPr>
          <w:p w14:paraId="3E859116" w14:textId="77777777" w:rsidR="00ED686D" w:rsidRPr="009C2FDE" w:rsidRDefault="00ED686D" w:rsidP="007A1C2F">
            <w:r w:rsidRPr="009C2FDE">
              <w:t>Data Collection</w:t>
            </w:r>
          </w:p>
        </w:tc>
        <w:tc>
          <w:tcPr>
            <w:tcW w:w="4609" w:type="dxa"/>
          </w:tcPr>
          <w:p w14:paraId="251BDFF2" w14:textId="77777777" w:rsidR="00ED686D" w:rsidRPr="009C2FDE" w:rsidRDefault="00ED686D" w:rsidP="007A1C2F">
            <w:r w:rsidRPr="009C2FDE">
              <w:t>1-36 months after OMB approval</w:t>
            </w:r>
          </w:p>
        </w:tc>
      </w:tr>
      <w:tr w:rsidR="00ED686D" w:rsidRPr="009C2FDE" w14:paraId="62F25B2A" w14:textId="77777777" w:rsidTr="00ED686D">
        <w:tc>
          <w:tcPr>
            <w:tcW w:w="4607" w:type="dxa"/>
          </w:tcPr>
          <w:p w14:paraId="5B61B9FA" w14:textId="77777777" w:rsidR="00ED686D" w:rsidRPr="009C2FDE" w:rsidRDefault="00ED686D" w:rsidP="007A1C2F">
            <w:r w:rsidRPr="009C2FDE">
              <w:t>Data Publication</w:t>
            </w:r>
          </w:p>
        </w:tc>
        <w:tc>
          <w:tcPr>
            <w:tcW w:w="4609" w:type="dxa"/>
          </w:tcPr>
          <w:p w14:paraId="4F28953E" w14:textId="77777777" w:rsidR="00ED686D" w:rsidRPr="009C2FDE" w:rsidRDefault="00ED686D" w:rsidP="007A1C2F">
            <w:r w:rsidRPr="009C2FDE">
              <w:t xml:space="preserve">Twice annually </w:t>
            </w:r>
          </w:p>
        </w:tc>
      </w:tr>
      <w:tr w:rsidR="00ED686D" w:rsidRPr="009C2FDE" w14:paraId="527F696C" w14:textId="77777777" w:rsidTr="00ED686D">
        <w:tc>
          <w:tcPr>
            <w:tcW w:w="4607" w:type="dxa"/>
          </w:tcPr>
          <w:p w14:paraId="06A04CD4" w14:textId="77777777" w:rsidR="00ED686D" w:rsidRPr="009C2FDE" w:rsidRDefault="00ED686D" w:rsidP="007A1C2F">
            <w:r w:rsidRPr="009C2FDE">
              <w:t>Data Analysis</w:t>
            </w:r>
          </w:p>
        </w:tc>
        <w:tc>
          <w:tcPr>
            <w:tcW w:w="4609" w:type="dxa"/>
          </w:tcPr>
          <w:p w14:paraId="4EB00A13" w14:textId="77777777" w:rsidR="00ED686D" w:rsidRPr="009C2FDE" w:rsidRDefault="00ED686D" w:rsidP="007A1C2F">
            <w:r w:rsidRPr="009C2FDE">
              <w:t>1-36 months after OMB approval</w:t>
            </w:r>
          </w:p>
        </w:tc>
      </w:tr>
    </w:tbl>
    <w:p w14:paraId="7CFC2AFF" w14:textId="77777777" w:rsidR="004309C8" w:rsidRPr="009C2FDE" w:rsidRDefault="004309C8" w:rsidP="007A1C2F">
      <w:pPr>
        <w:ind w:left="360"/>
        <w:rPr>
          <w:b/>
        </w:rPr>
      </w:pPr>
    </w:p>
    <w:p w14:paraId="710A85E0" w14:textId="77777777" w:rsidR="007C62B1" w:rsidRPr="009C2FDE" w:rsidRDefault="007C62B1" w:rsidP="007A1C2F">
      <w:pPr>
        <w:ind w:left="360"/>
        <w:rPr>
          <w:b/>
        </w:rPr>
      </w:pPr>
    </w:p>
    <w:p w14:paraId="3BBECB5A" w14:textId="77777777" w:rsidR="007A1C2F" w:rsidRPr="009C2FDE" w:rsidRDefault="007A1C2F" w:rsidP="007A1C2F">
      <w:pPr>
        <w:ind w:left="360"/>
        <w:rPr>
          <w:b/>
        </w:rPr>
      </w:pPr>
      <w:r w:rsidRPr="009C2FDE">
        <w:rPr>
          <w:b/>
        </w:rPr>
        <w:t xml:space="preserve">17. </w:t>
      </w:r>
      <w:r w:rsidR="00594A0E" w:rsidRPr="009C2FDE">
        <w:rPr>
          <w:b/>
        </w:rPr>
        <w:t>Reason</w:t>
      </w:r>
      <w:r w:rsidR="00DF6AA4" w:rsidRPr="009C2FDE">
        <w:rPr>
          <w:b/>
        </w:rPr>
        <w:t>(s)</w:t>
      </w:r>
      <w:r w:rsidR="00594A0E" w:rsidRPr="009C2FDE">
        <w:rPr>
          <w:b/>
        </w:rPr>
        <w:t xml:space="preserve"> Display of OMB Expiration Date is Inappropriate</w:t>
      </w:r>
    </w:p>
    <w:p w14:paraId="218C019B" w14:textId="77777777" w:rsidR="007A1C2F" w:rsidRPr="009C2FDE" w:rsidRDefault="007A1C2F" w:rsidP="007A1C2F">
      <w:pPr>
        <w:ind w:left="360"/>
        <w:rPr>
          <w:b/>
        </w:rPr>
      </w:pPr>
    </w:p>
    <w:p w14:paraId="13265CD8" w14:textId="77777777" w:rsidR="004309C8" w:rsidRPr="009C2FDE" w:rsidRDefault="007A1C2F" w:rsidP="00754B25">
      <w:r w:rsidRPr="009C2FDE">
        <w:t xml:space="preserve">The </w:t>
      </w:r>
      <w:r w:rsidR="000C774D" w:rsidRPr="009C2FDE">
        <w:t xml:space="preserve">DCH </w:t>
      </w:r>
      <w:r w:rsidR="0076255F">
        <w:t>DCH-PMD</w:t>
      </w:r>
      <w:r w:rsidRPr="009C2FDE">
        <w:t xml:space="preserve"> program will display the expiration date for OMB approval of the information system data collection on its Internet home page.</w:t>
      </w:r>
    </w:p>
    <w:p w14:paraId="41C49386" w14:textId="77777777" w:rsidR="007C62B1" w:rsidRPr="009C2FDE" w:rsidRDefault="007C62B1" w:rsidP="007A1C2F">
      <w:pPr>
        <w:ind w:left="360"/>
        <w:rPr>
          <w:b/>
        </w:rPr>
      </w:pPr>
    </w:p>
    <w:p w14:paraId="2D5C5957" w14:textId="77777777" w:rsidR="007A1C2F" w:rsidRPr="009C2FDE" w:rsidRDefault="007A1C2F" w:rsidP="007A1C2F">
      <w:pPr>
        <w:ind w:left="360"/>
        <w:rPr>
          <w:b/>
        </w:rPr>
      </w:pPr>
      <w:r w:rsidRPr="009C2FDE">
        <w:rPr>
          <w:b/>
        </w:rPr>
        <w:t>18. Exceptions to Certification</w:t>
      </w:r>
      <w:r w:rsidR="00594A0E" w:rsidRPr="009C2FDE">
        <w:rPr>
          <w:b/>
        </w:rPr>
        <w:t xml:space="preserve"> for Paperwork Reduction Act Submissions</w:t>
      </w:r>
    </w:p>
    <w:p w14:paraId="4ADC3A64" w14:textId="77777777" w:rsidR="007A1C2F" w:rsidRPr="009C2FDE" w:rsidRDefault="007A1C2F" w:rsidP="007A1C2F">
      <w:pPr>
        <w:ind w:left="360"/>
        <w:rPr>
          <w:b/>
        </w:rPr>
      </w:pPr>
    </w:p>
    <w:p w14:paraId="7DB8FBB8" w14:textId="77777777" w:rsidR="00C96619" w:rsidRPr="009C2FDE" w:rsidRDefault="00585FE6" w:rsidP="007B318D">
      <w:r w:rsidRPr="009C2FDE">
        <w:t>There are n</w:t>
      </w:r>
      <w:r w:rsidR="007A1C2F" w:rsidRPr="009C2FDE">
        <w:t>o exceptions to the certification statement</w:t>
      </w:r>
      <w:r w:rsidR="007B318D" w:rsidRPr="009C2FDE">
        <w:t>.</w:t>
      </w:r>
    </w:p>
    <w:sectPr w:rsidR="00C96619" w:rsidRPr="009C2FDE" w:rsidSect="00F3064C">
      <w:footerReference w:type="even" r:id="rId10"/>
      <w:footerReference w:type="defaul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AD633" w14:textId="77777777" w:rsidR="00C87CA3" w:rsidRDefault="00C87CA3">
      <w:r>
        <w:separator/>
      </w:r>
    </w:p>
  </w:endnote>
  <w:endnote w:type="continuationSeparator" w:id="0">
    <w:p w14:paraId="485D8155" w14:textId="77777777" w:rsidR="00C87CA3" w:rsidRDefault="00C8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2DEC9" w14:textId="77777777" w:rsidR="00C87CA3" w:rsidRDefault="00C87CA3" w:rsidP="00107D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199EA3" w14:textId="77777777" w:rsidR="00C87CA3" w:rsidRDefault="00C87C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B75EF" w14:textId="77777777" w:rsidR="00C87CA3" w:rsidRDefault="00C87CA3">
    <w:pPr>
      <w:pStyle w:val="Footer"/>
      <w:rPr>
        <w:rStyle w:val="PageNumber"/>
      </w:rPr>
    </w:pPr>
  </w:p>
  <w:p w14:paraId="5338454A" w14:textId="7A6D61A8" w:rsidR="00C87CA3" w:rsidRDefault="00C87CA3" w:rsidP="009111B3">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E75FF6">
      <w:rPr>
        <w:rStyle w:val="PageNumber"/>
        <w:noProof/>
      </w:rPr>
      <w:t>1</w:t>
    </w:r>
    <w:r>
      <w:rPr>
        <w:rStyle w:val="PageNumber"/>
      </w:rPr>
      <w:fldChar w:fldCharType="end"/>
    </w:r>
    <w:r>
      <w:rPr>
        <w:rStyle w:val="PageNumber"/>
      </w:rPr>
      <w:t xml:space="preserve"> -</w:t>
    </w:r>
  </w:p>
  <w:p w14:paraId="30C6FE47" w14:textId="77777777" w:rsidR="00C87CA3" w:rsidRDefault="00C87CA3" w:rsidP="009111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6D53B" w14:textId="77777777" w:rsidR="00C87CA3" w:rsidRDefault="00C87CA3">
      <w:r>
        <w:separator/>
      </w:r>
    </w:p>
  </w:footnote>
  <w:footnote w:type="continuationSeparator" w:id="0">
    <w:p w14:paraId="12E3ECF3" w14:textId="77777777" w:rsidR="00C87CA3" w:rsidRDefault="00C87C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25D55"/>
    <w:multiLevelType w:val="hybridMultilevel"/>
    <w:tmpl w:val="65F841C2"/>
    <w:lvl w:ilvl="0" w:tplc="29809004">
      <w:numFmt w:val="bullet"/>
      <w:lvlText w:val=""/>
      <w:lvlJc w:val="left"/>
      <w:pPr>
        <w:tabs>
          <w:tab w:val="num" w:pos="720"/>
        </w:tabs>
        <w:ind w:left="72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7824DC"/>
    <w:multiLevelType w:val="hybridMultilevel"/>
    <w:tmpl w:val="A252D1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5054EE4"/>
    <w:multiLevelType w:val="hybridMultilevel"/>
    <w:tmpl w:val="A112C3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7921496"/>
    <w:multiLevelType w:val="hybridMultilevel"/>
    <w:tmpl w:val="D6DEC0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8502849"/>
    <w:multiLevelType w:val="hybridMultilevel"/>
    <w:tmpl w:val="3FDA0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C85C67"/>
    <w:multiLevelType w:val="hybridMultilevel"/>
    <w:tmpl w:val="366E7394"/>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nsid w:val="09CD275D"/>
    <w:multiLevelType w:val="hybridMultilevel"/>
    <w:tmpl w:val="C3EA96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C0A021C"/>
    <w:multiLevelType w:val="multilevel"/>
    <w:tmpl w:val="D452FAE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0E5801B9"/>
    <w:multiLevelType w:val="hybridMultilevel"/>
    <w:tmpl w:val="05E0C0CE"/>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1170" w:hanging="180"/>
      </w:pPr>
      <w:rPr>
        <w:rFonts w:ascii="Courier New" w:hAnsi="Courier New" w:cs="Courier New"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1E6028"/>
    <w:multiLevelType w:val="hybridMultilevel"/>
    <w:tmpl w:val="3AAC443A"/>
    <w:lvl w:ilvl="0" w:tplc="BB06551E">
      <w:start w:val="1"/>
      <w:numFmt w:val="upperLetter"/>
      <w:lvlText w:val="%1."/>
      <w:lvlJc w:val="left"/>
      <w:pPr>
        <w:tabs>
          <w:tab w:val="num" w:pos="540"/>
        </w:tabs>
        <w:ind w:left="540" w:hanging="360"/>
      </w:pPr>
      <w:rPr>
        <w:rFonts w:hint="default"/>
        <w:b/>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1">
    <w:nsid w:val="23A415AB"/>
    <w:multiLevelType w:val="hybridMultilevel"/>
    <w:tmpl w:val="4552D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CE7739"/>
    <w:multiLevelType w:val="multilevel"/>
    <w:tmpl w:val="D6DEC0C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nsid w:val="274E2278"/>
    <w:multiLevelType w:val="hybridMultilevel"/>
    <w:tmpl w:val="C1E620A4"/>
    <w:lvl w:ilvl="0" w:tplc="493276C6">
      <w:start w:val="1"/>
      <w:numFmt w:val="upperRoman"/>
      <w:lvlText w:val="%1."/>
      <w:lvlJc w:val="left"/>
      <w:pPr>
        <w:ind w:left="810" w:hanging="720"/>
      </w:pPr>
      <w:rPr>
        <w:rFonts w:cs="Times New Roman"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2B0A5BDC"/>
    <w:multiLevelType w:val="hybridMultilevel"/>
    <w:tmpl w:val="C844854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nsid w:val="2DE43F19"/>
    <w:multiLevelType w:val="hybridMultilevel"/>
    <w:tmpl w:val="CDE2E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447983"/>
    <w:multiLevelType w:val="hybridMultilevel"/>
    <w:tmpl w:val="BEB854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F95839"/>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D47231"/>
    <w:multiLevelType w:val="hybridMultilevel"/>
    <w:tmpl w:val="A1129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7E68D9"/>
    <w:multiLevelType w:val="hybridMultilevel"/>
    <w:tmpl w:val="2D30DE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C6B0561"/>
    <w:multiLevelType w:val="hybridMultilevel"/>
    <w:tmpl w:val="99746D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BE09FD"/>
    <w:multiLevelType w:val="hybridMultilevel"/>
    <w:tmpl w:val="D43A5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0E2B6D"/>
    <w:multiLevelType w:val="multilevel"/>
    <w:tmpl w:val="81867798"/>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560335D"/>
    <w:multiLevelType w:val="hybridMultilevel"/>
    <w:tmpl w:val="919A4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FB7E7A"/>
    <w:multiLevelType w:val="hybridMultilevel"/>
    <w:tmpl w:val="CBA2B7A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952188C"/>
    <w:multiLevelType w:val="hybridMultilevel"/>
    <w:tmpl w:val="66240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F04C6D"/>
    <w:multiLevelType w:val="hybridMultilevel"/>
    <w:tmpl w:val="D12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385665"/>
    <w:multiLevelType w:val="hybridMultilevel"/>
    <w:tmpl w:val="3A68F8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CF764E5"/>
    <w:multiLevelType w:val="hybridMultilevel"/>
    <w:tmpl w:val="231681D4"/>
    <w:lvl w:ilvl="0" w:tplc="0409000F">
      <w:start w:val="1"/>
      <w:numFmt w:val="decimal"/>
      <w:lvlText w:val="%1."/>
      <w:lvlJc w:val="left"/>
      <w:pPr>
        <w:tabs>
          <w:tab w:val="num" w:pos="720"/>
        </w:tabs>
        <w:ind w:left="720" w:hanging="360"/>
      </w:pPr>
    </w:lvl>
    <w:lvl w:ilvl="1" w:tplc="10167590">
      <w:start w:val="1"/>
      <w:numFmt w:val="lowerLetter"/>
      <w:lvlText w:val="%2."/>
      <w:lvlJc w:val="left"/>
      <w:pPr>
        <w:tabs>
          <w:tab w:val="num" w:pos="1350"/>
        </w:tabs>
        <w:ind w:left="135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7A6F11"/>
    <w:multiLevelType w:val="hybridMultilevel"/>
    <w:tmpl w:val="6A2C9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AED0889"/>
    <w:multiLevelType w:val="hybridMultilevel"/>
    <w:tmpl w:val="9AC6314E"/>
    <w:lvl w:ilvl="0" w:tplc="56E4F4C4">
      <w:start w:val="1"/>
      <w:numFmt w:val="decimal"/>
      <w:lvlText w:val="%1."/>
      <w:lvlJc w:val="left"/>
      <w:pPr>
        <w:ind w:left="1080" w:hanging="36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ED4189"/>
    <w:multiLevelType w:val="multilevel"/>
    <w:tmpl w:val="EA92866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648D4176"/>
    <w:multiLevelType w:val="hybridMultilevel"/>
    <w:tmpl w:val="F124A966"/>
    <w:lvl w:ilvl="0" w:tplc="633694A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54B470E"/>
    <w:multiLevelType w:val="hybridMultilevel"/>
    <w:tmpl w:val="3F5ACCC2"/>
    <w:lvl w:ilvl="0" w:tplc="0409000F">
      <w:start w:val="1"/>
      <w:numFmt w:val="decimal"/>
      <w:lvlText w:val="%1."/>
      <w:lvlJc w:val="left"/>
      <w:pPr>
        <w:tabs>
          <w:tab w:val="num" w:pos="720"/>
        </w:tabs>
        <w:ind w:left="720" w:hanging="360"/>
      </w:pPr>
      <w:rPr>
        <w:rFonts w:hint="default"/>
      </w:rPr>
    </w:lvl>
    <w:lvl w:ilvl="1" w:tplc="C4AA5CA0">
      <w:start w:val="1"/>
      <w:numFmt w:val="upperLetter"/>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6865FC1"/>
    <w:multiLevelType w:val="hybridMultilevel"/>
    <w:tmpl w:val="7A00BA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A7A0DEB"/>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8952D83"/>
    <w:multiLevelType w:val="hybridMultilevel"/>
    <w:tmpl w:val="4B00CA5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nsid w:val="7A9D3D68"/>
    <w:multiLevelType w:val="multilevel"/>
    <w:tmpl w:val="A112C33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nsid w:val="7BC32AB6"/>
    <w:multiLevelType w:val="hybridMultilevel"/>
    <w:tmpl w:val="9C109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E304829"/>
    <w:multiLevelType w:val="hybridMultilevel"/>
    <w:tmpl w:val="032857D4"/>
    <w:lvl w:ilvl="0" w:tplc="04090001">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22"/>
  </w:num>
  <w:num w:numId="4">
    <w:abstractNumId w:val="3"/>
  </w:num>
  <w:num w:numId="5">
    <w:abstractNumId w:val="7"/>
  </w:num>
  <w:num w:numId="6">
    <w:abstractNumId w:val="12"/>
  </w:num>
  <w:num w:numId="7">
    <w:abstractNumId w:val="2"/>
  </w:num>
  <w:num w:numId="8">
    <w:abstractNumId w:val="38"/>
  </w:num>
  <w:num w:numId="9">
    <w:abstractNumId w:val="36"/>
  </w:num>
  <w:num w:numId="10">
    <w:abstractNumId w:val="17"/>
  </w:num>
  <w:num w:numId="11">
    <w:abstractNumId w:val="30"/>
  </w:num>
  <w:num w:numId="12">
    <w:abstractNumId w:val="34"/>
  </w:num>
  <w:num w:numId="13">
    <w:abstractNumId w:val="16"/>
  </w:num>
  <w:num w:numId="14">
    <w:abstractNumId w:val="35"/>
  </w:num>
  <w:num w:numId="15">
    <w:abstractNumId w:val="6"/>
  </w:num>
  <w:num w:numId="16">
    <w:abstractNumId w:val="29"/>
  </w:num>
  <w:num w:numId="17">
    <w:abstractNumId w:val="20"/>
  </w:num>
  <w:num w:numId="18">
    <w:abstractNumId w:val="39"/>
  </w:num>
  <w:num w:numId="19">
    <w:abstractNumId w:val="25"/>
  </w:num>
  <w:num w:numId="20">
    <w:abstractNumId w:val="10"/>
  </w:num>
  <w:num w:numId="21">
    <w:abstractNumId w:val="40"/>
  </w:num>
  <w:num w:numId="22">
    <w:abstractNumId w:val="0"/>
  </w:num>
  <w:num w:numId="23">
    <w:abstractNumId w:val="5"/>
  </w:num>
  <w:num w:numId="24">
    <w:abstractNumId w:val="14"/>
  </w:num>
  <w:num w:numId="25">
    <w:abstractNumId w:val="37"/>
  </w:num>
  <w:num w:numId="26">
    <w:abstractNumId w:val="4"/>
  </w:num>
  <w:num w:numId="27">
    <w:abstractNumId w:val="8"/>
  </w:num>
  <w:num w:numId="28">
    <w:abstractNumId w:val="13"/>
  </w:num>
  <w:num w:numId="29">
    <w:abstractNumId w:val="15"/>
  </w:num>
  <w:num w:numId="30">
    <w:abstractNumId w:val="41"/>
  </w:num>
  <w:num w:numId="31">
    <w:abstractNumId w:val="26"/>
  </w:num>
  <w:num w:numId="32">
    <w:abstractNumId w:val="9"/>
  </w:num>
  <w:num w:numId="33">
    <w:abstractNumId w:val="18"/>
  </w:num>
  <w:num w:numId="34">
    <w:abstractNumId w:val="24"/>
  </w:num>
  <w:num w:numId="35">
    <w:abstractNumId w:val="11"/>
  </w:num>
  <w:num w:numId="36">
    <w:abstractNumId w:val="31"/>
  </w:num>
  <w:num w:numId="37">
    <w:abstractNumId w:val="1"/>
  </w:num>
  <w:num w:numId="38">
    <w:abstractNumId w:val="33"/>
  </w:num>
  <w:num w:numId="39">
    <w:abstractNumId w:val="27"/>
  </w:num>
  <w:num w:numId="40">
    <w:abstractNumId w:val="19"/>
  </w:num>
  <w:num w:numId="41">
    <w:abstractNumId w:val="2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3C"/>
    <w:rsid w:val="00001871"/>
    <w:rsid w:val="00001C27"/>
    <w:rsid w:val="000077AA"/>
    <w:rsid w:val="00010E9A"/>
    <w:rsid w:val="000117EC"/>
    <w:rsid w:val="00011BDB"/>
    <w:rsid w:val="000136C2"/>
    <w:rsid w:val="00014C89"/>
    <w:rsid w:val="000164AF"/>
    <w:rsid w:val="000167BC"/>
    <w:rsid w:val="00021C45"/>
    <w:rsid w:val="000234F5"/>
    <w:rsid w:val="00025FB6"/>
    <w:rsid w:val="00027202"/>
    <w:rsid w:val="000305FE"/>
    <w:rsid w:val="000326DB"/>
    <w:rsid w:val="0003277F"/>
    <w:rsid w:val="00032E0D"/>
    <w:rsid w:val="00033697"/>
    <w:rsid w:val="00036143"/>
    <w:rsid w:val="00037365"/>
    <w:rsid w:val="00042159"/>
    <w:rsid w:val="00045071"/>
    <w:rsid w:val="0004540B"/>
    <w:rsid w:val="00045D51"/>
    <w:rsid w:val="000468CC"/>
    <w:rsid w:val="00050348"/>
    <w:rsid w:val="00050F55"/>
    <w:rsid w:val="00051547"/>
    <w:rsid w:val="000527A8"/>
    <w:rsid w:val="000548B6"/>
    <w:rsid w:val="00054962"/>
    <w:rsid w:val="00057063"/>
    <w:rsid w:val="00061AAC"/>
    <w:rsid w:val="00061E8C"/>
    <w:rsid w:val="0006397F"/>
    <w:rsid w:val="00065BEA"/>
    <w:rsid w:val="00066D3B"/>
    <w:rsid w:val="0007175B"/>
    <w:rsid w:val="00071ECA"/>
    <w:rsid w:val="000721E2"/>
    <w:rsid w:val="00072E30"/>
    <w:rsid w:val="000731C9"/>
    <w:rsid w:val="00074103"/>
    <w:rsid w:val="000743F2"/>
    <w:rsid w:val="000760D3"/>
    <w:rsid w:val="00076F8B"/>
    <w:rsid w:val="000777CE"/>
    <w:rsid w:val="0008306D"/>
    <w:rsid w:val="0009270E"/>
    <w:rsid w:val="00092E40"/>
    <w:rsid w:val="00096223"/>
    <w:rsid w:val="00096E21"/>
    <w:rsid w:val="000A0DBD"/>
    <w:rsid w:val="000A10E2"/>
    <w:rsid w:val="000A65F9"/>
    <w:rsid w:val="000B03CC"/>
    <w:rsid w:val="000B06F2"/>
    <w:rsid w:val="000B0782"/>
    <w:rsid w:val="000B1340"/>
    <w:rsid w:val="000B1417"/>
    <w:rsid w:val="000B213D"/>
    <w:rsid w:val="000B2405"/>
    <w:rsid w:val="000B25E2"/>
    <w:rsid w:val="000B3692"/>
    <w:rsid w:val="000B4637"/>
    <w:rsid w:val="000B699C"/>
    <w:rsid w:val="000B6CE4"/>
    <w:rsid w:val="000B6F3F"/>
    <w:rsid w:val="000C45ED"/>
    <w:rsid w:val="000C5BA7"/>
    <w:rsid w:val="000C5CD7"/>
    <w:rsid w:val="000C6940"/>
    <w:rsid w:val="000C6C4C"/>
    <w:rsid w:val="000C774D"/>
    <w:rsid w:val="000D0F50"/>
    <w:rsid w:val="000D19D8"/>
    <w:rsid w:val="000D449E"/>
    <w:rsid w:val="000D489C"/>
    <w:rsid w:val="000D4FBE"/>
    <w:rsid w:val="000D61A5"/>
    <w:rsid w:val="000D61D1"/>
    <w:rsid w:val="000D631F"/>
    <w:rsid w:val="000D67D7"/>
    <w:rsid w:val="000D73AC"/>
    <w:rsid w:val="000E162F"/>
    <w:rsid w:val="000E4A2C"/>
    <w:rsid w:val="000E4B5D"/>
    <w:rsid w:val="000E563D"/>
    <w:rsid w:val="000E5A61"/>
    <w:rsid w:val="000F32AC"/>
    <w:rsid w:val="000F66D5"/>
    <w:rsid w:val="000F7C91"/>
    <w:rsid w:val="00100405"/>
    <w:rsid w:val="0010228C"/>
    <w:rsid w:val="00103679"/>
    <w:rsid w:val="00107D3E"/>
    <w:rsid w:val="00111215"/>
    <w:rsid w:val="001119AA"/>
    <w:rsid w:val="00111BDE"/>
    <w:rsid w:val="001128EC"/>
    <w:rsid w:val="00112FD7"/>
    <w:rsid w:val="00114CCC"/>
    <w:rsid w:val="00117330"/>
    <w:rsid w:val="00117D76"/>
    <w:rsid w:val="001218B9"/>
    <w:rsid w:val="001222AC"/>
    <w:rsid w:val="0012247F"/>
    <w:rsid w:val="00123E8D"/>
    <w:rsid w:val="00124AEE"/>
    <w:rsid w:val="00124E6B"/>
    <w:rsid w:val="001256E1"/>
    <w:rsid w:val="00125774"/>
    <w:rsid w:val="00125BF8"/>
    <w:rsid w:val="0012791F"/>
    <w:rsid w:val="00130BFE"/>
    <w:rsid w:val="00131F3F"/>
    <w:rsid w:val="001328C7"/>
    <w:rsid w:val="00134AA0"/>
    <w:rsid w:val="00137D40"/>
    <w:rsid w:val="00140573"/>
    <w:rsid w:val="00141AD1"/>
    <w:rsid w:val="00147C13"/>
    <w:rsid w:val="00150032"/>
    <w:rsid w:val="00150107"/>
    <w:rsid w:val="0015313F"/>
    <w:rsid w:val="00153FEE"/>
    <w:rsid w:val="00154F2E"/>
    <w:rsid w:val="0015508C"/>
    <w:rsid w:val="00156D67"/>
    <w:rsid w:val="00157AAA"/>
    <w:rsid w:val="00157E98"/>
    <w:rsid w:val="00161468"/>
    <w:rsid w:val="001621BE"/>
    <w:rsid w:val="001624B2"/>
    <w:rsid w:val="00165C7E"/>
    <w:rsid w:val="00166469"/>
    <w:rsid w:val="00171D86"/>
    <w:rsid w:val="00171F6F"/>
    <w:rsid w:val="001720D7"/>
    <w:rsid w:val="00172176"/>
    <w:rsid w:val="00172B14"/>
    <w:rsid w:val="00173270"/>
    <w:rsid w:val="00173E20"/>
    <w:rsid w:val="00174EA7"/>
    <w:rsid w:val="00175CE3"/>
    <w:rsid w:val="0017653F"/>
    <w:rsid w:val="00177952"/>
    <w:rsid w:val="00180067"/>
    <w:rsid w:val="0018061B"/>
    <w:rsid w:val="001829E9"/>
    <w:rsid w:val="00183137"/>
    <w:rsid w:val="00183515"/>
    <w:rsid w:val="001847A1"/>
    <w:rsid w:val="00184EFE"/>
    <w:rsid w:val="00185661"/>
    <w:rsid w:val="00185C40"/>
    <w:rsid w:val="00185C55"/>
    <w:rsid w:val="0018742D"/>
    <w:rsid w:val="001879B2"/>
    <w:rsid w:val="00187FC2"/>
    <w:rsid w:val="0019081D"/>
    <w:rsid w:val="00191E75"/>
    <w:rsid w:val="00192D9E"/>
    <w:rsid w:val="00193987"/>
    <w:rsid w:val="00195682"/>
    <w:rsid w:val="00197A35"/>
    <w:rsid w:val="00197A52"/>
    <w:rsid w:val="001A29D8"/>
    <w:rsid w:val="001A2A62"/>
    <w:rsid w:val="001A3F66"/>
    <w:rsid w:val="001A4736"/>
    <w:rsid w:val="001A572E"/>
    <w:rsid w:val="001A67DA"/>
    <w:rsid w:val="001A793B"/>
    <w:rsid w:val="001B06C5"/>
    <w:rsid w:val="001B0892"/>
    <w:rsid w:val="001B583D"/>
    <w:rsid w:val="001B696F"/>
    <w:rsid w:val="001B6F38"/>
    <w:rsid w:val="001B78D1"/>
    <w:rsid w:val="001C0DC8"/>
    <w:rsid w:val="001C37C1"/>
    <w:rsid w:val="001C4311"/>
    <w:rsid w:val="001C4720"/>
    <w:rsid w:val="001C5B9C"/>
    <w:rsid w:val="001C6720"/>
    <w:rsid w:val="001D1485"/>
    <w:rsid w:val="001D26BD"/>
    <w:rsid w:val="001D2D45"/>
    <w:rsid w:val="001D2DA2"/>
    <w:rsid w:val="001D3A3A"/>
    <w:rsid w:val="001D3AD2"/>
    <w:rsid w:val="001D4A32"/>
    <w:rsid w:val="001D76F8"/>
    <w:rsid w:val="001E0F5B"/>
    <w:rsid w:val="001E1EC6"/>
    <w:rsid w:val="001E4B96"/>
    <w:rsid w:val="001E7C9F"/>
    <w:rsid w:val="001F045F"/>
    <w:rsid w:val="001F301B"/>
    <w:rsid w:val="001F64FD"/>
    <w:rsid w:val="001F7211"/>
    <w:rsid w:val="001F76D3"/>
    <w:rsid w:val="00201474"/>
    <w:rsid w:val="00201653"/>
    <w:rsid w:val="00201B19"/>
    <w:rsid w:val="002034C6"/>
    <w:rsid w:val="002044C9"/>
    <w:rsid w:val="00204B97"/>
    <w:rsid w:val="00205817"/>
    <w:rsid w:val="00207287"/>
    <w:rsid w:val="00211067"/>
    <w:rsid w:val="002115EA"/>
    <w:rsid w:val="00211A96"/>
    <w:rsid w:val="00213A6D"/>
    <w:rsid w:val="00213E39"/>
    <w:rsid w:val="002143ED"/>
    <w:rsid w:val="00214A31"/>
    <w:rsid w:val="0022082C"/>
    <w:rsid w:val="00220DA8"/>
    <w:rsid w:val="002246C4"/>
    <w:rsid w:val="00227082"/>
    <w:rsid w:val="00233C9A"/>
    <w:rsid w:val="00233DE3"/>
    <w:rsid w:val="0023402B"/>
    <w:rsid w:val="00234DA8"/>
    <w:rsid w:val="00235D48"/>
    <w:rsid w:val="0023626E"/>
    <w:rsid w:val="00236342"/>
    <w:rsid w:val="0024076E"/>
    <w:rsid w:val="00240AED"/>
    <w:rsid w:val="00240DAD"/>
    <w:rsid w:val="00242C9D"/>
    <w:rsid w:val="002473DB"/>
    <w:rsid w:val="00247672"/>
    <w:rsid w:val="00247688"/>
    <w:rsid w:val="00255946"/>
    <w:rsid w:val="0025740F"/>
    <w:rsid w:val="00260C97"/>
    <w:rsid w:val="002627DC"/>
    <w:rsid w:val="002630C1"/>
    <w:rsid w:val="00263B93"/>
    <w:rsid w:val="00263F6A"/>
    <w:rsid w:val="00264BFB"/>
    <w:rsid w:val="00265C18"/>
    <w:rsid w:val="00267E5B"/>
    <w:rsid w:val="002705FC"/>
    <w:rsid w:val="00272AE0"/>
    <w:rsid w:val="002739EA"/>
    <w:rsid w:val="00274DAA"/>
    <w:rsid w:val="002769C8"/>
    <w:rsid w:val="00276AB8"/>
    <w:rsid w:val="00277013"/>
    <w:rsid w:val="002773D8"/>
    <w:rsid w:val="0028180A"/>
    <w:rsid w:val="0028401A"/>
    <w:rsid w:val="00290341"/>
    <w:rsid w:val="0029035B"/>
    <w:rsid w:val="0029036F"/>
    <w:rsid w:val="00290E98"/>
    <w:rsid w:val="00292AC0"/>
    <w:rsid w:val="0029439A"/>
    <w:rsid w:val="002950D8"/>
    <w:rsid w:val="00296531"/>
    <w:rsid w:val="002A0133"/>
    <w:rsid w:val="002A0491"/>
    <w:rsid w:val="002A1EAF"/>
    <w:rsid w:val="002A239D"/>
    <w:rsid w:val="002A34F1"/>
    <w:rsid w:val="002A37F2"/>
    <w:rsid w:val="002A61EE"/>
    <w:rsid w:val="002B0B7C"/>
    <w:rsid w:val="002B29AD"/>
    <w:rsid w:val="002B3DC5"/>
    <w:rsid w:val="002B405B"/>
    <w:rsid w:val="002B4742"/>
    <w:rsid w:val="002B4A90"/>
    <w:rsid w:val="002C0BE3"/>
    <w:rsid w:val="002C1349"/>
    <w:rsid w:val="002C1A51"/>
    <w:rsid w:val="002C492D"/>
    <w:rsid w:val="002D3DF3"/>
    <w:rsid w:val="002D4B18"/>
    <w:rsid w:val="002D4EC9"/>
    <w:rsid w:val="002D5889"/>
    <w:rsid w:val="002D68A0"/>
    <w:rsid w:val="002E05BA"/>
    <w:rsid w:val="002E10E3"/>
    <w:rsid w:val="002E5052"/>
    <w:rsid w:val="002E6A28"/>
    <w:rsid w:val="002F04BC"/>
    <w:rsid w:val="0030001E"/>
    <w:rsid w:val="0030165D"/>
    <w:rsid w:val="003025E5"/>
    <w:rsid w:val="003040AE"/>
    <w:rsid w:val="003044D1"/>
    <w:rsid w:val="00304FF2"/>
    <w:rsid w:val="00305BEE"/>
    <w:rsid w:val="00306966"/>
    <w:rsid w:val="0031016C"/>
    <w:rsid w:val="00310B3E"/>
    <w:rsid w:val="00312020"/>
    <w:rsid w:val="00314186"/>
    <w:rsid w:val="0031436D"/>
    <w:rsid w:val="00314898"/>
    <w:rsid w:val="00314BC0"/>
    <w:rsid w:val="0031580B"/>
    <w:rsid w:val="003158EE"/>
    <w:rsid w:val="00315A45"/>
    <w:rsid w:val="00317863"/>
    <w:rsid w:val="00321985"/>
    <w:rsid w:val="00326351"/>
    <w:rsid w:val="00326B2C"/>
    <w:rsid w:val="0033009F"/>
    <w:rsid w:val="00330818"/>
    <w:rsid w:val="0033083D"/>
    <w:rsid w:val="00334A22"/>
    <w:rsid w:val="00334E23"/>
    <w:rsid w:val="00341B67"/>
    <w:rsid w:val="00343A42"/>
    <w:rsid w:val="00343A50"/>
    <w:rsid w:val="00343E36"/>
    <w:rsid w:val="003440F1"/>
    <w:rsid w:val="00346BD5"/>
    <w:rsid w:val="00346D22"/>
    <w:rsid w:val="00350CA9"/>
    <w:rsid w:val="00351661"/>
    <w:rsid w:val="00352615"/>
    <w:rsid w:val="0035348B"/>
    <w:rsid w:val="003534AB"/>
    <w:rsid w:val="00353A19"/>
    <w:rsid w:val="0035424E"/>
    <w:rsid w:val="0035762B"/>
    <w:rsid w:val="00367A9A"/>
    <w:rsid w:val="0037099B"/>
    <w:rsid w:val="00371D76"/>
    <w:rsid w:val="00372768"/>
    <w:rsid w:val="00373D24"/>
    <w:rsid w:val="003758A0"/>
    <w:rsid w:val="00375EF4"/>
    <w:rsid w:val="00377281"/>
    <w:rsid w:val="00377AA9"/>
    <w:rsid w:val="0038014B"/>
    <w:rsid w:val="0038124B"/>
    <w:rsid w:val="0038131A"/>
    <w:rsid w:val="00381B07"/>
    <w:rsid w:val="003841C1"/>
    <w:rsid w:val="00385414"/>
    <w:rsid w:val="00393382"/>
    <w:rsid w:val="00396525"/>
    <w:rsid w:val="003976FF"/>
    <w:rsid w:val="00397A1D"/>
    <w:rsid w:val="003A0CFB"/>
    <w:rsid w:val="003A1762"/>
    <w:rsid w:val="003A19ED"/>
    <w:rsid w:val="003A292B"/>
    <w:rsid w:val="003A2BD5"/>
    <w:rsid w:val="003A38F5"/>
    <w:rsid w:val="003A4279"/>
    <w:rsid w:val="003A47CC"/>
    <w:rsid w:val="003A50DF"/>
    <w:rsid w:val="003B0556"/>
    <w:rsid w:val="003B1463"/>
    <w:rsid w:val="003B19EC"/>
    <w:rsid w:val="003B6135"/>
    <w:rsid w:val="003B651B"/>
    <w:rsid w:val="003C044A"/>
    <w:rsid w:val="003C20B5"/>
    <w:rsid w:val="003C4B54"/>
    <w:rsid w:val="003C6593"/>
    <w:rsid w:val="003D19CE"/>
    <w:rsid w:val="003D1B3F"/>
    <w:rsid w:val="003D4680"/>
    <w:rsid w:val="003D5B9A"/>
    <w:rsid w:val="003D7B10"/>
    <w:rsid w:val="003E08CD"/>
    <w:rsid w:val="003E0E2C"/>
    <w:rsid w:val="003E1BD2"/>
    <w:rsid w:val="003E2CE0"/>
    <w:rsid w:val="003E42C2"/>
    <w:rsid w:val="003E5088"/>
    <w:rsid w:val="003E57D1"/>
    <w:rsid w:val="003E6781"/>
    <w:rsid w:val="003E69A1"/>
    <w:rsid w:val="003F1A18"/>
    <w:rsid w:val="003F4A41"/>
    <w:rsid w:val="003F50F6"/>
    <w:rsid w:val="003F5E43"/>
    <w:rsid w:val="003F73B8"/>
    <w:rsid w:val="0040202E"/>
    <w:rsid w:val="004023B4"/>
    <w:rsid w:val="00402D4F"/>
    <w:rsid w:val="00407A54"/>
    <w:rsid w:val="00412518"/>
    <w:rsid w:val="004132AB"/>
    <w:rsid w:val="0041387E"/>
    <w:rsid w:val="00413A55"/>
    <w:rsid w:val="00414583"/>
    <w:rsid w:val="00414787"/>
    <w:rsid w:val="004151BF"/>
    <w:rsid w:val="00415ADB"/>
    <w:rsid w:val="00415E86"/>
    <w:rsid w:val="00416509"/>
    <w:rsid w:val="004168C0"/>
    <w:rsid w:val="00417E3D"/>
    <w:rsid w:val="004201B9"/>
    <w:rsid w:val="004204B2"/>
    <w:rsid w:val="00420A89"/>
    <w:rsid w:val="00421EDC"/>
    <w:rsid w:val="00422B3B"/>
    <w:rsid w:val="00422E30"/>
    <w:rsid w:val="004309C8"/>
    <w:rsid w:val="00430FA4"/>
    <w:rsid w:val="0043219D"/>
    <w:rsid w:val="00432BF6"/>
    <w:rsid w:val="00433782"/>
    <w:rsid w:val="00436DD4"/>
    <w:rsid w:val="00437610"/>
    <w:rsid w:val="004401DA"/>
    <w:rsid w:val="004407A3"/>
    <w:rsid w:val="0044162B"/>
    <w:rsid w:val="0044258D"/>
    <w:rsid w:val="004433BD"/>
    <w:rsid w:val="0044384C"/>
    <w:rsid w:val="00443AFE"/>
    <w:rsid w:val="0044448C"/>
    <w:rsid w:val="00444A15"/>
    <w:rsid w:val="00447A5D"/>
    <w:rsid w:val="0045033C"/>
    <w:rsid w:val="0045107C"/>
    <w:rsid w:val="00453317"/>
    <w:rsid w:val="00453A5B"/>
    <w:rsid w:val="00453DD5"/>
    <w:rsid w:val="004546B8"/>
    <w:rsid w:val="004579E4"/>
    <w:rsid w:val="00457AEE"/>
    <w:rsid w:val="004649C4"/>
    <w:rsid w:val="00464F9A"/>
    <w:rsid w:val="00465D4D"/>
    <w:rsid w:val="0047316F"/>
    <w:rsid w:val="00476976"/>
    <w:rsid w:val="00476FB5"/>
    <w:rsid w:val="00477558"/>
    <w:rsid w:val="00477AA5"/>
    <w:rsid w:val="004819E9"/>
    <w:rsid w:val="00481BC9"/>
    <w:rsid w:val="004821DE"/>
    <w:rsid w:val="00486EF1"/>
    <w:rsid w:val="00490D60"/>
    <w:rsid w:val="00491307"/>
    <w:rsid w:val="0049148A"/>
    <w:rsid w:val="00493E0F"/>
    <w:rsid w:val="004959F5"/>
    <w:rsid w:val="00496514"/>
    <w:rsid w:val="00496E26"/>
    <w:rsid w:val="00497997"/>
    <w:rsid w:val="004A1A11"/>
    <w:rsid w:val="004A2CA0"/>
    <w:rsid w:val="004A4DEC"/>
    <w:rsid w:val="004A57E7"/>
    <w:rsid w:val="004A7088"/>
    <w:rsid w:val="004A71B8"/>
    <w:rsid w:val="004A75B4"/>
    <w:rsid w:val="004A787F"/>
    <w:rsid w:val="004B076A"/>
    <w:rsid w:val="004B0AE0"/>
    <w:rsid w:val="004B0BB2"/>
    <w:rsid w:val="004B1EEC"/>
    <w:rsid w:val="004B2833"/>
    <w:rsid w:val="004B42DD"/>
    <w:rsid w:val="004B5A8A"/>
    <w:rsid w:val="004B6E0C"/>
    <w:rsid w:val="004C020E"/>
    <w:rsid w:val="004C04CD"/>
    <w:rsid w:val="004C26C0"/>
    <w:rsid w:val="004C2BF6"/>
    <w:rsid w:val="004C31AC"/>
    <w:rsid w:val="004C46CF"/>
    <w:rsid w:val="004C6E52"/>
    <w:rsid w:val="004C70C5"/>
    <w:rsid w:val="004D208D"/>
    <w:rsid w:val="004D2B27"/>
    <w:rsid w:val="004D44F1"/>
    <w:rsid w:val="004D5886"/>
    <w:rsid w:val="004D6EC7"/>
    <w:rsid w:val="004D746C"/>
    <w:rsid w:val="004D7B78"/>
    <w:rsid w:val="004E0A4B"/>
    <w:rsid w:val="004E0EEF"/>
    <w:rsid w:val="004E1685"/>
    <w:rsid w:val="004E1872"/>
    <w:rsid w:val="004E3075"/>
    <w:rsid w:val="004E4ED3"/>
    <w:rsid w:val="004E4F94"/>
    <w:rsid w:val="004E6C70"/>
    <w:rsid w:val="004E7894"/>
    <w:rsid w:val="004F0564"/>
    <w:rsid w:val="004F10FF"/>
    <w:rsid w:val="004F2597"/>
    <w:rsid w:val="004F2C1D"/>
    <w:rsid w:val="004F2CBB"/>
    <w:rsid w:val="004F42D0"/>
    <w:rsid w:val="004F7899"/>
    <w:rsid w:val="00500FC0"/>
    <w:rsid w:val="00501969"/>
    <w:rsid w:val="00501A11"/>
    <w:rsid w:val="00502AF0"/>
    <w:rsid w:val="00504132"/>
    <w:rsid w:val="0050520C"/>
    <w:rsid w:val="0050728C"/>
    <w:rsid w:val="00510961"/>
    <w:rsid w:val="005116B1"/>
    <w:rsid w:val="00511D65"/>
    <w:rsid w:val="00516E47"/>
    <w:rsid w:val="00517C4C"/>
    <w:rsid w:val="00522FFE"/>
    <w:rsid w:val="00523D15"/>
    <w:rsid w:val="00525489"/>
    <w:rsid w:val="00526699"/>
    <w:rsid w:val="00526A2D"/>
    <w:rsid w:val="00526BE3"/>
    <w:rsid w:val="00527397"/>
    <w:rsid w:val="005277D3"/>
    <w:rsid w:val="00530F0B"/>
    <w:rsid w:val="0053113B"/>
    <w:rsid w:val="00531C2B"/>
    <w:rsid w:val="00531E54"/>
    <w:rsid w:val="005338A6"/>
    <w:rsid w:val="00533F97"/>
    <w:rsid w:val="00534F70"/>
    <w:rsid w:val="0053658F"/>
    <w:rsid w:val="005378DF"/>
    <w:rsid w:val="00537C04"/>
    <w:rsid w:val="005401CA"/>
    <w:rsid w:val="00542438"/>
    <w:rsid w:val="005424FD"/>
    <w:rsid w:val="00542504"/>
    <w:rsid w:val="00546D51"/>
    <w:rsid w:val="0055014A"/>
    <w:rsid w:val="00550D01"/>
    <w:rsid w:val="00552078"/>
    <w:rsid w:val="00553185"/>
    <w:rsid w:val="00556981"/>
    <w:rsid w:val="00560360"/>
    <w:rsid w:val="00560770"/>
    <w:rsid w:val="00563632"/>
    <w:rsid w:val="00564E92"/>
    <w:rsid w:val="00565563"/>
    <w:rsid w:val="00566B95"/>
    <w:rsid w:val="00567740"/>
    <w:rsid w:val="0056784D"/>
    <w:rsid w:val="00571A97"/>
    <w:rsid w:val="00574707"/>
    <w:rsid w:val="00576A34"/>
    <w:rsid w:val="0057703D"/>
    <w:rsid w:val="00577886"/>
    <w:rsid w:val="00584DF0"/>
    <w:rsid w:val="00585653"/>
    <w:rsid w:val="00585D8F"/>
    <w:rsid w:val="00585FE6"/>
    <w:rsid w:val="00591039"/>
    <w:rsid w:val="0059118A"/>
    <w:rsid w:val="005919E3"/>
    <w:rsid w:val="00591BA9"/>
    <w:rsid w:val="00593A0D"/>
    <w:rsid w:val="00594A0E"/>
    <w:rsid w:val="0059598F"/>
    <w:rsid w:val="005963F7"/>
    <w:rsid w:val="005A0416"/>
    <w:rsid w:val="005A0B43"/>
    <w:rsid w:val="005A129E"/>
    <w:rsid w:val="005A12FF"/>
    <w:rsid w:val="005A16ED"/>
    <w:rsid w:val="005A1782"/>
    <w:rsid w:val="005A5D9C"/>
    <w:rsid w:val="005A6459"/>
    <w:rsid w:val="005A6AC0"/>
    <w:rsid w:val="005B37DB"/>
    <w:rsid w:val="005B5FA4"/>
    <w:rsid w:val="005B667D"/>
    <w:rsid w:val="005B6F3D"/>
    <w:rsid w:val="005B77E2"/>
    <w:rsid w:val="005B784D"/>
    <w:rsid w:val="005C03BB"/>
    <w:rsid w:val="005C074A"/>
    <w:rsid w:val="005C2382"/>
    <w:rsid w:val="005C46A7"/>
    <w:rsid w:val="005C4989"/>
    <w:rsid w:val="005C4F1E"/>
    <w:rsid w:val="005C4F31"/>
    <w:rsid w:val="005C523D"/>
    <w:rsid w:val="005C548B"/>
    <w:rsid w:val="005C5D55"/>
    <w:rsid w:val="005C638A"/>
    <w:rsid w:val="005C65DA"/>
    <w:rsid w:val="005C7E3E"/>
    <w:rsid w:val="005C7FD2"/>
    <w:rsid w:val="005D1D2A"/>
    <w:rsid w:val="005D226E"/>
    <w:rsid w:val="005D3CCF"/>
    <w:rsid w:val="005D4468"/>
    <w:rsid w:val="005D48FA"/>
    <w:rsid w:val="005D4CBF"/>
    <w:rsid w:val="005D789A"/>
    <w:rsid w:val="005D7E85"/>
    <w:rsid w:val="005E01ED"/>
    <w:rsid w:val="005E592A"/>
    <w:rsid w:val="005E720B"/>
    <w:rsid w:val="005E750F"/>
    <w:rsid w:val="005F0046"/>
    <w:rsid w:val="005F0EC1"/>
    <w:rsid w:val="005F1211"/>
    <w:rsid w:val="005F4297"/>
    <w:rsid w:val="005F4927"/>
    <w:rsid w:val="0060153B"/>
    <w:rsid w:val="00601D44"/>
    <w:rsid w:val="00604CE4"/>
    <w:rsid w:val="00606086"/>
    <w:rsid w:val="006136E5"/>
    <w:rsid w:val="006140E0"/>
    <w:rsid w:val="006162C0"/>
    <w:rsid w:val="0061686A"/>
    <w:rsid w:val="00616B2B"/>
    <w:rsid w:val="00617117"/>
    <w:rsid w:val="006254FC"/>
    <w:rsid w:val="006263DA"/>
    <w:rsid w:val="00630644"/>
    <w:rsid w:val="00631C68"/>
    <w:rsid w:val="00631CA8"/>
    <w:rsid w:val="00633F7E"/>
    <w:rsid w:val="0063509E"/>
    <w:rsid w:val="006359F0"/>
    <w:rsid w:val="006362DF"/>
    <w:rsid w:val="00637481"/>
    <w:rsid w:val="00641886"/>
    <w:rsid w:val="00642BCF"/>
    <w:rsid w:val="00643132"/>
    <w:rsid w:val="00643287"/>
    <w:rsid w:val="00643474"/>
    <w:rsid w:val="00643873"/>
    <w:rsid w:val="0064417F"/>
    <w:rsid w:val="00644C02"/>
    <w:rsid w:val="006453BF"/>
    <w:rsid w:val="006472DD"/>
    <w:rsid w:val="00651A6B"/>
    <w:rsid w:val="006531C0"/>
    <w:rsid w:val="00654528"/>
    <w:rsid w:val="006578CE"/>
    <w:rsid w:val="00657A31"/>
    <w:rsid w:val="00657F65"/>
    <w:rsid w:val="006634B2"/>
    <w:rsid w:val="006646FF"/>
    <w:rsid w:val="0066568E"/>
    <w:rsid w:val="00665E82"/>
    <w:rsid w:val="006704BE"/>
    <w:rsid w:val="006712C4"/>
    <w:rsid w:val="00671314"/>
    <w:rsid w:val="00671F8C"/>
    <w:rsid w:val="006764E3"/>
    <w:rsid w:val="006803E0"/>
    <w:rsid w:val="00680661"/>
    <w:rsid w:val="00681AD0"/>
    <w:rsid w:val="00682440"/>
    <w:rsid w:val="00684E4E"/>
    <w:rsid w:val="00684F51"/>
    <w:rsid w:val="00685806"/>
    <w:rsid w:val="0068599A"/>
    <w:rsid w:val="006905F8"/>
    <w:rsid w:val="00690DBF"/>
    <w:rsid w:val="00691613"/>
    <w:rsid w:val="00692882"/>
    <w:rsid w:val="00693CC3"/>
    <w:rsid w:val="006961DC"/>
    <w:rsid w:val="00696652"/>
    <w:rsid w:val="00697739"/>
    <w:rsid w:val="006A1988"/>
    <w:rsid w:val="006A2D69"/>
    <w:rsid w:val="006A4C6F"/>
    <w:rsid w:val="006A70B0"/>
    <w:rsid w:val="006A72CD"/>
    <w:rsid w:val="006A7476"/>
    <w:rsid w:val="006B0716"/>
    <w:rsid w:val="006B109F"/>
    <w:rsid w:val="006B72EC"/>
    <w:rsid w:val="006B730B"/>
    <w:rsid w:val="006B7677"/>
    <w:rsid w:val="006C21C5"/>
    <w:rsid w:val="006C24A5"/>
    <w:rsid w:val="006C31A8"/>
    <w:rsid w:val="006D07A3"/>
    <w:rsid w:val="006D343E"/>
    <w:rsid w:val="006D3684"/>
    <w:rsid w:val="006D41B8"/>
    <w:rsid w:val="006D6538"/>
    <w:rsid w:val="006D67A5"/>
    <w:rsid w:val="006D6A96"/>
    <w:rsid w:val="006D7525"/>
    <w:rsid w:val="006E09A7"/>
    <w:rsid w:val="006E308A"/>
    <w:rsid w:val="006E5F8E"/>
    <w:rsid w:val="006E7763"/>
    <w:rsid w:val="006F39E0"/>
    <w:rsid w:val="006F4A72"/>
    <w:rsid w:val="00701A51"/>
    <w:rsid w:val="00702EA2"/>
    <w:rsid w:val="00704822"/>
    <w:rsid w:val="00704A3F"/>
    <w:rsid w:val="00705DAB"/>
    <w:rsid w:val="007065B5"/>
    <w:rsid w:val="00706C03"/>
    <w:rsid w:val="0070784F"/>
    <w:rsid w:val="00710336"/>
    <w:rsid w:val="00712E48"/>
    <w:rsid w:val="00714AE3"/>
    <w:rsid w:val="00717CDE"/>
    <w:rsid w:val="007209A6"/>
    <w:rsid w:val="007216C2"/>
    <w:rsid w:val="00722018"/>
    <w:rsid w:val="007250ED"/>
    <w:rsid w:val="00725B21"/>
    <w:rsid w:val="007263F6"/>
    <w:rsid w:val="007308C1"/>
    <w:rsid w:val="00732879"/>
    <w:rsid w:val="00732CD8"/>
    <w:rsid w:val="0073418E"/>
    <w:rsid w:val="007341C2"/>
    <w:rsid w:val="0073623E"/>
    <w:rsid w:val="00737F5F"/>
    <w:rsid w:val="00737F67"/>
    <w:rsid w:val="007428B2"/>
    <w:rsid w:val="00742FB9"/>
    <w:rsid w:val="007438AA"/>
    <w:rsid w:val="0074407C"/>
    <w:rsid w:val="00744286"/>
    <w:rsid w:val="007455E6"/>
    <w:rsid w:val="00745968"/>
    <w:rsid w:val="0074653C"/>
    <w:rsid w:val="0074797D"/>
    <w:rsid w:val="00747D96"/>
    <w:rsid w:val="00750799"/>
    <w:rsid w:val="00751031"/>
    <w:rsid w:val="0075188A"/>
    <w:rsid w:val="00752063"/>
    <w:rsid w:val="00753E20"/>
    <w:rsid w:val="00754B25"/>
    <w:rsid w:val="007556D5"/>
    <w:rsid w:val="0075582D"/>
    <w:rsid w:val="0075721C"/>
    <w:rsid w:val="007573C3"/>
    <w:rsid w:val="00760042"/>
    <w:rsid w:val="0076017B"/>
    <w:rsid w:val="00760582"/>
    <w:rsid w:val="00761988"/>
    <w:rsid w:val="0076255F"/>
    <w:rsid w:val="0076388E"/>
    <w:rsid w:val="0076452B"/>
    <w:rsid w:val="007663E1"/>
    <w:rsid w:val="0076677C"/>
    <w:rsid w:val="007708FF"/>
    <w:rsid w:val="00771706"/>
    <w:rsid w:val="007723F0"/>
    <w:rsid w:val="00772673"/>
    <w:rsid w:val="0077464C"/>
    <w:rsid w:val="00774804"/>
    <w:rsid w:val="007762E2"/>
    <w:rsid w:val="00777CFF"/>
    <w:rsid w:val="00780804"/>
    <w:rsid w:val="00781ADC"/>
    <w:rsid w:val="00781B4F"/>
    <w:rsid w:val="00782880"/>
    <w:rsid w:val="0078422A"/>
    <w:rsid w:val="00785151"/>
    <w:rsid w:val="007867DF"/>
    <w:rsid w:val="00786C09"/>
    <w:rsid w:val="00786EDB"/>
    <w:rsid w:val="00790257"/>
    <w:rsid w:val="00792446"/>
    <w:rsid w:val="00793FBB"/>
    <w:rsid w:val="00794E12"/>
    <w:rsid w:val="007A1C2F"/>
    <w:rsid w:val="007A2B34"/>
    <w:rsid w:val="007A3484"/>
    <w:rsid w:val="007A4946"/>
    <w:rsid w:val="007A6350"/>
    <w:rsid w:val="007A73F7"/>
    <w:rsid w:val="007A7853"/>
    <w:rsid w:val="007A7D44"/>
    <w:rsid w:val="007A7F49"/>
    <w:rsid w:val="007B01F8"/>
    <w:rsid w:val="007B11FB"/>
    <w:rsid w:val="007B2B5E"/>
    <w:rsid w:val="007B318D"/>
    <w:rsid w:val="007B41F1"/>
    <w:rsid w:val="007B6CA9"/>
    <w:rsid w:val="007B7FFA"/>
    <w:rsid w:val="007C0071"/>
    <w:rsid w:val="007C230E"/>
    <w:rsid w:val="007C474B"/>
    <w:rsid w:val="007C497A"/>
    <w:rsid w:val="007C5657"/>
    <w:rsid w:val="007C5F75"/>
    <w:rsid w:val="007C62B1"/>
    <w:rsid w:val="007C7FA1"/>
    <w:rsid w:val="007C7FB0"/>
    <w:rsid w:val="007D1625"/>
    <w:rsid w:val="007D20F4"/>
    <w:rsid w:val="007D284F"/>
    <w:rsid w:val="007D3A9D"/>
    <w:rsid w:val="007D4445"/>
    <w:rsid w:val="007D4906"/>
    <w:rsid w:val="007D6C51"/>
    <w:rsid w:val="007D6F17"/>
    <w:rsid w:val="007D7457"/>
    <w:rsid w:val="007D7E73"/>
    <w:rsid w:val="007E01D2"/>
    <w:rsid w:val="007E128F"/>
    <w:rsid w:val="007E2D5F"/>
    <w:rsid w:val="007E48FD"/>
    <w:rsid w:val="007E4A2F"/>
    <w:rsid w:val="007E55CC"/>
    <w:rsid w:val="007E5A4B"/>
    <w:rsid w:val="007F0F72"/>
    <w:rsid w:val="007F107E"/>
    <w:rsid w:val="007F2F8A"/>
    <w:rsid w:val="007F50A6"/>
    <w:rsid w:val="00802800"/>
    <w:rsid w:val="008029F2"/>
    <w:rsid w:val="00803F5C"/>
    <w:rsid w:val="00804525"/>
    <w:rsid w:val="0080549F"/>
    <w:rsid w:val="00806200"/>
    <w:rsid w:val="00807808"/>
    <w:rsid w:val="00810161"/>
    <w:rsid w:val="0081022A"/>
    <w:rsid w:val="008120AF"/>
    <w:rsid w:val="00812CC4"/>
    <w:rsid w:val="00813C3B"/>
    <w:rsid w:val="00815349"/>
    <w:rsid w:val="00815620"/>
    <w:rsid w:val="00817FA3"/>
    <w:rsid w:val="0082380C"/>
    <w:rsid w:val="00823E14"/>
    <w:rsid w:val="00824B97"/>
    <w:rsid w:val="00824DB9"/>
    <w:rsid w:val="0082676E"/>
    <w:rsid w:val="00831184"/>
    <w:rsid w:val="00834CBD"/>
    <w:rsid w:val="008373FD"/>
    <w:rsid w:val="00840219"/>
    <w:rsid w:val="0084021D"/>
    <w:rsid w:val="00840F9D"/>
    <w:rsid w:val="008418F7"/>
    <w:rsid w:val="00843165"/>
    <w:rsid w:val="0084411F"/>
    <w:rsid w:val="0084425E"/>
    <w:rsid w:val="00844659"/>
    <w:rsid w:val="00845BE4"/>
    <w:rsid w:val="00846338"/>
    <w:rsid w:val="00846E45"/>
    <w:rsid w:val="0084799E"/>
    <w:rsid w:val="00847B28"/>
    <w:rsid w:val="00850F77"/>
    <w:rsid w:val="00852B44"/>
    <w:rsid w:val="0085485E"/>
    <w:rsid w:val="008552DD"/>
    <w:rsid w:val="00856097"/>
    <w:rsid w:val="00856596"/>
    <w:rsid w:val="00856B3B"/>
    <w:rsid w:val="00860A62"/>
    <w:rsid w:val="00860D8C"/>
    <w:rsid w:val="00864BD4"/>
    <w:rsid w:val="008725AF"/>
    <w:rsid w:val="0087320B"/>
    <w:rsid w:val="008739BE"/>
    <w:rsid w:val="00874F14"/>
    <w:rsid w:val="00875437"/>
    <w:rsid w:val="00875D40"/>
    <w:rsid w:val="00875F23"/>
    <w:rsid w:val="0087660C"/>
    <w:rsid w:val="00877F38"/>
    <w:rsid w:val="00880B4F"/>
    <w:rsid w:val="008821DD"/>
    <w:rsid w:val="00882248"/>
    <w:rsid w:val="00884DDC"/>
    <w:rsid w:val="008860F1"/>
    <w:rsid w:val="00887B44"/>
    <w:rsid w:val="00890474"/>
    <w:rsid w:val="008931E1"/>
    <w:rsid w:val="0089521B"/>
    <w:rsid w:val="008959E8"/>
    <w:rsid w:val="0089686C"/>
    <w:rsid w:val="008970CC"/>
    <w:rsid w:val="00897977"/>
    <w:rsid w:val="008A06ED"/>
    <w:rsid w:val="008A1349"/>
    <w:rsid w:val="008A1F69"/>
    <w:rsid w:val="008A28FE"/>
    <w:rsid w:val="008A781C"/>
    <w:rsid w:val="008A7B33"/>
    <w:rsid w:val="008B12F8"/>
    <w:rsid w:val="008B13E2"/>
    <w:rsid w:val="008B1F5F"/>
    <w:rsid w:val="008B2A4E"/>
    <w:rsid w:val="008B33E6"/>
    <w:rsid w:val="008B38A6"/>
    <w:rsid w:val="008B3F91"/>
    <w:rsid w:val="008B5A26"/>
    <w:rsid w:val="008B6C04"/>
    <w:rsid w:val="008B76A8"/>
    <w:rsid w:val="008C0C8C"/>
    <w:rsid w:val="008C1258"/>
    <w:rsid w:val="008C1EF8"/>
    <w:rsid w:val="008C575B"/>
    <w:rsid w:val="008C5802"/>
    <w:rsid w:val="008C677F"/>
    <w:rsid w:val="008C7CE4"/>
    <w:rsid w:val="008D0D6A"/>
    <w:rsid w:val="008D0D7A"/>
    <w:rsid w:val="008E1300"/>
    <w:rsid w:val="008E15A2"/>
    <w:rsid w:val="008E641F"/>
    <w:rsid w:val="008F5276"/>
    <w:rsid w:val="008F5EBA"/>
    <w:rsid w:val="008F6A08"/>
    <w:rsid w:val="008F709C"/>
    <w:rsid w:val="00901CCE"/>
    <w:rsid w:val="00902621"/>
    <w:rsid w:val="00902B7C"/>
    <w:rsid w:val="00902D5C"/>
    <w:rsid w:val="00903542"/>
    <w:rsid w:val="00904212"/>
    <w:rsid w:val="00904217"/>
    <w:rsid w:val="0090620E"/>
    <w:rsid w:val="00907432"/>
    <w:rsid w:val="00907AB6"/>
    <w:rsid w:val="00910723"/>
    <w:rsid w:val="009111B3"/>
    <w:rsid w:val="00915D7F"/>
    <w:rsid w:val="00920785"/>
    <w:rsid w:val="00922ECD"/>
    <w:rsid w:val="00923229"/>
    <w:rsid w:val="00923C40"/>
    <w:rsid w:val="0092404C"/>
    <w:rsid w:val="00924440"/>
    <w:rsid w:val="00925E69"/>
    <w:rsid w:val="009306D0"/>
    <w:rsid w:val="009311B5"/>
    <w:rsid w:val="0093173A"/>
    <w:rsid w:val="0093179E"/>
    <w:rsid w:val="00934574"/>
    <w:rsid w:val="00934651"/>
    <w:rsid w:val="00935D87"/>
    <w:rsid w:val="00937A50"/>
    <w:rsid w:val="0094032D"/>
    <w:rsid w:val="00940724"/>
    <w:rsid w:val="00941428"/>
    <w:rsid w:val="009424AF"/>
    <w:rsid w:val="00942B03"/>
    <w:rsid w:val="00943D28"/>
    <w:rsid w:val="00944A9A"/>
    <w:rsid w:val="00945838"/>
    <w:rsid w:val="009469CE"/>
    <w:rsid w:val="009474B9"/>
    <w:rsid w:val="00953299"/>
    <w:rsid w:val="00953D4E"/>
    <w:rsid w:val="009570B2"/>
    <w:rsid w:val="00961CC5"/>
    <w:rsid w:val="0096217B"/>
    <w:rsid w:val="0096519E"/>
    <w:rsid w:val="009660C2"/>
    <w:rsid w:val="00966953"/>
    <w:rsid w:val="0096760C"/>
    <w:rsid w:val="00974012"/>
    <w:rsid w:val="009759F7"/>
    <w:rsid w:val="009764BE"/>
    <w:rsid w:val="00976D26"/>
    <w:rsid w:val="00977EE5"/>
    <w:rsid w:val="0098053B"/>
    <w:rsid w:val="009827E4"/>
    <w:rsid w:val="00983B6F"/>
    <w:rsid w:val="00984D57"/>
    <w:rsid w:val="009860D7"/>
    <w:rsid w:val="00986E4C"/>
    <w:rsid w:val="009872B2"/>
    <w:rsid w:val="00990D89"/>
    <w:rsid w:val="00991757"/>
    <w:rsid w:val="00991B93"/>
    <w:rsid w:val="00992F75"/>
    <w:rsid w:val="00993859"/>
    <w:rsid w:val="00993A69"/>
    <w:rsid w:val="00995702"/>
    <w:rsid w:val="00995B77"/>
    <w:rsid w:val="00996506"/>
    <w:rsid w:val="009967FD"/>
    <w:rsid w:val="00997F86"/>
    <w:rsid w:val="009A02C9"/>
    <w:rsid w:val="009A0D4C"/>
    <w:rsid w:val="009A3539"/>
    <w:rsid w:val="009A5884"/>
    <w:rsid w:val="009A5E42"/>
    <w:rsid w:val="009A7DB0"/>
    <w:rsid w:val="009B1331"/>
    <w:rsid w:val="009C223E"/>
    <w:rsid w:val="009C2595"/>
    <w:rsid w:val="009C275D"/>
    <w:rsid w:val="009C2FDE"/>
    <w:rsid w:val="009C384C"/>
    <w:rsid w:val="009C48CA"/>
    <w:rsid w:val="009C4FE1"/>
    <w:rsid w:val="009C50D8"/>
    <w:rsid w:val="009C74E7"/>
    <w:rsid w:val="009C7562"/>
    <w:rsid w:val="009C79BD"/>
    <w:rsid w:val="009D214A"/>
    <w:rsid w:val="009D227B"/>
    <w:rsid w:val="009D360D"/>
    <w:rsid w:val="009D48E3"/>
    <w:rsid w:val="009D53D8"/>
    <w:rsid w:val="009D558A"/>
    <w:rsid w:val="009D5EEF"/>
    <w:rsid w:val="009D71CD"/>
    <w:rsid w:val="009D7795"/>
    <w:rsid w:val="009E04B1"/>
    <w:rsid w:val="009E061B"/>
    <w:rsid w:val="009E2C10"/>
    <w:rsid w:val="009E5957"/>
    <w:rsid w:val="009E7DB8"/>
    <w:rsid w:val="009F1FBB"/>
    <w:rsid w:val="009F2EFF"/>
    <w:rsid w:val="009F321F"/>
    <w:rsid w:val="009F4514"/>
    <w:rsid w:val="009F57F6"/>
    <w:rsid w:val="009F72CC"/>
    <w:rsid w:val="009F79A4"/>
    <w:rsid w:val="009F7F35"/>
    <w:rsid w:val="00A00C66"/>
    <w:rsid w:val="00A01CEA"/>
    <w:rsid w:val="00A01F8E"/>
    <w:rsid w:val="00A023AB"/>
    <w:rsid w:val="00A02743"/>
    <w:rsid w:val="00A0398A"/>
    <w:rsid w:val="00A03AA2"/>
    <w:rsid w:val="00A03F7B"/>
    <w:rsid w:val="00A04E14"/>
    <w:rsid w:val="00A05734"/>
    <w:rsid w:val="00A05820"/>
    <w:rsid w:val="00A067C8"/>
    <w:rsid w:val="00A11321"/>
    <w:rsid w:val="00A11E4C"/>
    <w:rsid w:val="00A11EA4"/>
    <w:rsid w:val="00A13485"/>
    <w:rsid w:val="00A1395B"/>
    <w:rsid w:val="00A14BF3"/>
    <w:rsid w:val="00A14EF1"/>
    <w:rsid w:val="00A219C4"/>
    <w:rsid w:val="00A22A6E"/>
    <w:rsid w:val="00A24C58"/>
    <w:rsid w:val="00A27A13"/>
    <w:rsid w:val="00A27DCF"/>
    <w:rsid w:val="00A314F5"/>
    <w:rsid w:val="00A31BE2"/>
    <w:rsid w:val="00A3468F"/>
    <w:rsid w:val="00A349D6"/>
    <w:rsid w:val="00A35B65"/>
    <w:rsid w:val="00A4211D"/>
    <w:rsid w:val="00A43F13"/>
    <w:rsid w:val="00A44403"/>
    <w:rsid w:val="00A454D5"/>
    <w:rsid w:val="00A456DA"/>
    <w:rsid w:val="00A45CA7"/>
    <w:rsid w:val="00A4788E"/>
    <w:rsid w:val="00A50374"/>
    <w:rsid w:val="00A517E1"/>
    <w:rsid w:val="00A54A71"/>
    <w:rsid w:val="00A559F9"/>
    <w:rsid w:val="00A55A8F"/>
    <w:rsid w:val="00A563E0"/>
    <w:rsid w:val="00A565AD"/>
    <w:rsid w:val="00A56E53"/>
    <w:rsid w:val="00A57A19"/>
    <w:rsid w:val="00A60550"/>
    <w:rsid w:val="00A619CC"/>
    <w:rsid w:val="00A63025"/>
    <w:rsid w:val="00A640D8"/>
    <w:rsid w:val="00A65004"/>
    <w:rsid w:val="00A652DC"/>
    <w:rsid w:val="00A671D8"/>
    <w:rsid w:val="00A71D9E"/>
    <w:rsid w:val="00A720DA"/>
    <w:rsid w:val="00A7402E"/>
    <w:rsid w:val="00A74AC8"/>
    <w:rsid w:val="00A75BAB"/>
    <w:rsid w:val="00A80165"/>
    <w:rsid w:val="00A808C2"/>
    <w:rsid w:val="00A80A2F"/>
    <w:rsid w:val="00A81BAE"/>
    <w:rsid w:val="00A82310"/>
    <w:rsid w:val="00A8354E"/>
    <w:rsid w:val="00A85E23"/>
    <w:rsid w:val="00A87FDD"/>
    <w:rsid w:val="00A905D4"/>
    <w:rsid w:val="00A90860"/>
    <w:rsid w:val="00A925D1"/>
    <w:rsid w:val="00A9278F"/>
    <w:rsid w:val="00A96996"/>
    <w:rsid w:val="00A9732B"/>
    <w:rsid w:val="00A97D20"/>
    <w:rsid w:val="00AA0594"/>
    <w:rsid w:val="00AA1F99"/>
    <w:rsid w:val="00AA21CE"/>
    <w:rsid w:val="00AA3989"/>
    <w:rsid w:val="00AA3D2F"/>
    <w:rsid w:val="00AA45B2"/>
    <w:rsid w:val="00AA52C2"/>
    <w:rsid w:val="00AA5E0A"/>
    <w:rsid w:val="00AA7032"/>
    <w:rsid w:val="00AB1703"/>
    <w:rsid w:val="00AB224D"/>
    <w:rsid w:val="00AB23DD"/>
    <w:rsid w:val="00AB278D"/>
    <w:rsid w:val="00AB5141"/>
    <w:rsid w:val="00AC1DB7"/>
    <w:rsid w:val="00AC1F4D"/>
    <w:rsid w:val="00AC268F"/>
    <w:rsid w:val="00AC2DB6"/>
    <w:rsid w:val="00AC3189"/>
    <w:rsid w:val="00AC5295"/>
    <w:rsid w:val="00AC588F"/>
    <w:rsid w:val="00AC654E"/>
    <w:rsid w:val="00AC6D1E"/>
    <w:rsid w:val="00AD048F"/>
    <w:rsid w:val="00AD08B6"/>
    <w:rsid w:val="00AD1B7E"/>
    <w:rsid w:val="00AD217D"/>
    <w:rsid w:val="00AD338F"/>
    <w:rsid w:val="00AD3546"/>
    <w:rsid w:val="00AD765D"/>
    <w:rsid w:val="00AD7AF4"/>
    <w:rsid w:val="00AE00D9"/>
    <w:rsid w:val="00AE0723"/>
    <w:rsid w:val="00AE2908"/>
    <w:rsid w:val="00AE409A"/>
    <w:rsid w:val="00AE4F3F"/>
    <w:rsid w:val="00AE52C3"/>
    <w:rsid w:val="00AE5551"/>
    <w:rsid w:val="00AE5817"/>
    <w:rsid w:val="00AE59C0"/>
    <w:rsid w:val="00AE5B51"/>
    <w:rsid w:val="00AE6383"/>
    <w:rsid w:val="00AF066F"/>
    <w:rsid w:val="00AF0910"/>
    <w:rsid w:val="00AF1479"/>
    <w:rsid w:val="00AF1592"/>
    <w:rsid w:val="00AF1713"/>
    <w:rsid w:val="00AF5071"/>
    <w:rsid w:val="00AF6E97"/>
    <w:rsid w:val="00B0046B"/>
    <w:rsid w:val="00B004E0"/>
    <w:rsid w:val="00B02B40"/>
    <w:rsid w:val="00B0311C"/>
    <w:rsid w:val="00B03313"/>
    <w:rsid w:val="00B03B2B"/>
    <w:rsid w:val="00B04AD3"/>
    <w:rsid w:val="00B0549D"/>
    <w:rsid w:val="00B066BC"/>
    <w:rsid w:val="00B10826"/>
    <w:rsid w:val="00B10BC1"/>
    <w:rsid w:val="00B1160D"/>
    <w:rsid w:val="00B119A5"/>
    <w:rsid w:val="00B12648"/>
    <w:rsid w:val="00B14042"/>
    <w:rsid w:val="00B14205"/>
    <w:rsid w:val="00B14564"/>
    <w:rsid w:val="00B14CD8"/>
    <w:rsid w:val="00B15A4B"/>
    <w:rsid w:val="00B221FB"/>
    <w:rsid w:val="00B23496"/>
    <w:rsid w:val="00B2373F"/>
    <w:rsid w:val="00B24C61"/>
    <w:rsid w:val="00B2555E"/>
    <w:rsid w:val="00B261B1"/>
    <w:rsid w:val="00B273A3"/>
    <w:rsid w:val="00B30CF5"/>
    <w:rsid w:val="00B347C9"/>
    <w:rsid w:val="00B351E1"/>
    <w:rsid w:val="00B35216"/>
    <w:rsid w:val="00B35347"/>
    <w:rsid w:val="00B3693C"/>
    <w:rsid w:val="00B37058"/>
    <w:rsid w:val="00B4042E"/>
    <w:rsid w:val="00B4165F"/>
    <w:rsid w:val="00B42FE3"/>
    <w:rsid w:val="00B45D7A"/>
    <w:rsid w:val="00B45F69"/>
    <w:rsid w:val="00B46522"/>
    <w:rsid w:val="00B469E7"/>
    <w:rsid w:val="00B47CB9"/>
    <w:rsid w:val="00B47D43"/>
    <w:rsid w:val="00B51D37"/>
    <w:rsid w:val="00B53F4A"/>
    <w:rsid w:val="00B54A1F"/>
    <w:rsid w:val="00B60497"/>
    <w:rsid w:val="00B612CF"/>
    <w:rsid w:val="00B6331B"/>
    <w:rsid w:val="00B63389"/>
    <w:rsid w:val="00B6387D"/>
    <w:rsid w:val="00B64D9E"/>
    <w:rsid w:val="00B71024"/>
    <w:rsid w:val="00B7106E"/>
    <w:rsid w:val="00B719CA"/>
    <w:rsid w:val="00B76096"/>
    <w:rsid w:val="00B76605"/>
    <w:rsid w:val="00B80BBC"/>
    <w:rsid w:val="00B8102D"/>
    <w:rsid w:val="00B81823"/>
    <w:rsid w:val="00B8199C"/>
    <w:rsid w:val="00B81AFC"/>
    <w:rsid w:val="00B81E86"/>
    <w:rsid w:val="00B8315F"/>
    <w:rsid w:val="00B848D7"/>
    <w:rsid w:val="00B85EA4"/>
    <w:rsid w:val="00B87110"/>
    <w:rsid w:val="00B92947"/>
    <w:rsid w:val="00B965DD"/>
    <w:rsid w:val="00B974E0"/>
    <w:rsid w:val="00BA0AD7"/>
    <w:rsid w:val="00BA33C6"/>
    <w:rsid w:val="00BA5E6F"/>
    <w:rsid w:val="00BA5F94"/>
    <w:rsid w:val="00BB0202"/>
    <w:rsid w:val="00BB20D0"/>
    <w:rsid w:val="00BB41AC"/>
    <w:rsid w:val="00BB5FF0"/>
    <w:rsid w:val="00BC0444"/>
    <w:rsid w:val="00BC2612"/>
    <w:rsid w:val="00BC3C1A"/>
    <w:rsid w:val="00BC3D4D"/>
    <w:rsid w:val="00BC559A"/>
    <w:rsid w:val="00BD0300"/>
    <w:rsid w:val="00BD480E"/>
    <w:rsid w:val="00BD49A7"/>
    <w:rsid w:val="00BD75BB"/>
    <w:rsid w:val="00BE026C"/>
    <w:rsid w:val="00BE11F7"/>
    <w:rsid w:val="00BE12D4"/>
    <w:rsid w:val="00BE1D7D"/>
    <w:rsid w:val="00BE2DBA"/>
    <w:rsid w:val="00BE41B4"/>
    <w:rsid w:val="00BE6B58"/>
    <w:rsid w:val="00BE7F37"/>
    <w:rsid w:val="00BF1CA3"/>
    <w:rsid w:val="00BF1DD8"/>
    <w:rsid w:val="00BF21F9"/>
    <w:rsid w:val="00BF32C3"/>
    <w:rsid w:val="00BF4300"/>
    <w:rsid w:val="00BF4442"/>
    <w:rsid w:val="00BF4814"/>
    <w:rsid w:val="00BF78BB"/>
    <w:rsid w:val="00C02157"/>
    <w:rsid w:val="00C02407"/>
    <w:rsid w:val="00C04C49"/>
    <w:rsid w:val="00C04CE7"/>
    <w:rsid w:val="00C10D90"/>
    <w:rsid w:val="00C11598"/>
    <w:rsid w:val="00C11FF4"/>
    <w:rsid w:val="00C1533F"/>
    <w:rsid w:val="00C20118"/>
    <w:rsid w:val="00C20A85"/>
    <w:rsid w:val="00C218DE"/>
    <w:rsid w:val="00C21D44"/>
    <w:rsid w:val="00C222A1"/>
    <w:rsid w:val="00C232E9"/>
    <w:rsid w:val="00C24B40"/>
    <w:rsid w:val="00C305CD"/>
    <w:rsid w:val="00C31D3A"/>
    <w:rsid w:val="00C32768"/>
    <w:rsid w:val="00C33917"/>
    <w:rsid w:val="00C3574C"/>
    <w:rsid w:val="00C35DFA"/>
    <w:rsid w:val="00C426E1"/>
    <w:rsid w:val="00C42A3F"/>
    <w:rsid w:val="00C44DF5"/>
    <w:rsid w:val="00C452C3"/>
    <w:rsid w:val="00C47F7B"/>
    <w:rsid w:val="00C53953"/>
    <w:rsid w:val="00C54DD0"/>
    <w:rsid w:val="00C55878"/>
    <w:rsid w:val="00C56676"/>
    <w:rsid w:val="00C576B2"/>
    <w:rsid w:val="00C57C85"/>
    <w:rsid w:val="00C6147D"/>
    <w:rsid w:val="00C633B6"/>
    <w:rsid w:val="00C650B2"/>
    <w:rsid w:val="00C65288"/>
    <w:rsid w:val="00C6557E"/>
    <w:rsid w:val="00C65E3C"/>
    <w:rsid w:val="00C72B9E"/>
    <w:rsid w:val="00C72C3A"/>
    <w:rsid w:val="00C742DF"/>
    <w:rsid w:val="00C75027"/>
    <w:rsid w:val="00C758EF"/>
    <w:rsid w:val="00C75E87"/>
    <w:rsid w:val="00C76698"/>
    <w:rsid w:val="00C814C7"/>
    <w:rsid w:val="00C81A00"/>
    <w:rsid w:val="00C8253A"/>
    <w:rsid w:val="00C85AC0"/>
    <w:rsid w:val="00C87CA3"/>
    <w:rsid w:val="00C946E1"/>
    <w:rsid w:val="00C94AAD"/>
    <w:rsid w:val="00C953B6"/>
    <w:rsid w:val="00C95C73"/>
    <w:rsid w:val="00C96619"/>
    <w:rsid w:val="00C97311"/>
    <w:rsid w:val="00C97792"/>
    <w:rsid w:val="00CA1856"/>
    <w:rsid w:val="00CA23B5"/>
    <w:rsid w:val="00CA5711"/>
    <w:rsid w:val="00CA5BEE"/>
    <w:rsid w:val="00CA615A"/>
    <w:rsid w:val="00CA6DA6"/>
    <w:rsid w:val="00CA7AD8"/>
    <w:rsid w:val="00CA7B52"/>
    <w:rsid w:val="00CB025D"/>
    <w:rsid w:val="00CB114B"/>
    <w:rsid w:val="00CB147D"/>
    <w:rsid w:val="00CB1C59"/>
    <w:rsid w:val="00CB262B"/>
    <w:rsid w:val="00CB27DC"/>
    <w:rsid w:val="00CB3900"/>
    <w:rsid w:val="00CB4243"/>
    <w:rsid w:val="00CC26CA"/>
    <w:rsid w:val="00CC2DB7"/>
    <w:rsid w:val="00CC4206"/>
    <w:rsid w:val="00CC5D48"/>
    <w:rsid w:val="00CC7060"/>
    <w:rsid w:val="00CD1716"/>
    <w:rsid w:val="00CD2145"/>
    <w:rsid w:val="00CD256F"/>
    <w:rsid w:val="00CD3ADB"/>
    <w:rsid w:val="00CD54ED"/>
    <w:rsid w:val="00CD5A0C"/>
    <w:rsid w:val="00CD7106"/>
    <w:rsid w:val="00CE03BA"/>
    <w:rsid w:val="00CE14DC"/>
    <w:rsid w:val="00CE1958"/>
    <w:rsid w:val="00CE2A90"/>
    <w:rsid w:val="00CE3FB6"/>
    <w:rsid w:val="00CE4243"/>
    <w:rsid w:val="00CE7A7E"/>
    <w:rsid w:val="00CF12E2"/>
    <w:rsid w:val="00CF2AB9"/>
    <w:rsid w:val="00CF36B9"/>
    <w:rsid w:val="00CF3F27"/>
    <w:rsid w:val="00CF4361"/>
    <w:rsid w:val="00CF5135"/>
    <w:rsid w:val="00CF534D"/>
    <w:rsid w:val="00CF5364"/>
    <w:rsid w:val="00CF6884"/>
    <w:rsid w:val="00D012A0"/>
    <w:rsid w:val="00D01762"/>
    <w:rsid w:val="00D026FD"/>
    <w:rsid w:val="00D03449"/>
    <w:rsid w:val="00D04908"/>
    <w:rsid w:val="00D05DE1"/>
    <w:rsid w:val="00D072C8"/>
    <w:rsid w:val="00D07B51"/>
    <w:rsid w:val="00D11620"/>
    <w:rsid w:val="00D11FA3"/>
    <w:rsid w:val="00D128EC"/>
    <w:rsid w:val="00D139D0"/>
    <w:rsid w:val="00D13DBA"/>
    <w:rsid w:val="00D15D3F"/>
    <w:rsid w:val="00D1789A"/>
    <w:rsid w:val="00D21917"/>
    <w:rsid w:val="00D23484"/>
    <w:rsid w:val="00D24814"/>
    <w:rsid w:val="00D307C9"/>
    <w:rsid w:val="00D3094C"/>
    <w:rsid w:val="00D30B24"/>
    <w:rsid w:val="00D31189"/>
    <w:rsid w:val="00D32BFA"/>
    <w:rsid w:val="00D33113"/>
    <w:rsid w:val="00D35404"/>
    <w:rsid w:val="00D3561E"/>
    <w:rsid w:val="00D37537"/>
    <w:rsid w:val="00D416D7"/>
    <w:rsid w:val="00D41BB9"/>
    <w:rsid w:val="00D42BCE"/>
    <w:rsid w:val="00D43096"/>
    <w:rsid w:val="00D43DD0"/>
    <w:rsid w:val="00D46B87"/>
    <w:rsid w:val="00D50193"/>
    <w:rsid w:val="00D541F7"/>
    <w:rsid w:val="00D54D5E"/>
    <w:rsid w:val="00D5533E"/>
    <w:rsid w:val="00D556A2"/>
    <w:rsid w:val="00D55FB6"/>
    <w:rsid w:val="00D622C7"/>
    <w:rsid w:val="00D678B5"/>
    <w:rsid w:val="00D70844"/>
    <w:rsid w:val="00D71B94"/>
    <w:rsid w:val="00D720BD"/>
    <w:rsid w:val="00D738B8"/>
    <w:rsid w:val="00D73CD3"/>
    <w:rsid w:val="00D76EB1"/>
    <w:rsid w:val="00D80405"/>
    <w:rsid w:val="00D806CE"/>
    <w:rsid w:val="00D81E3C"/>
    <w:rsid w:val="00D849C0"/>
    <w:rsid w:val="00D84E3A"/>
    <w:rsid w:val="00D84FE9"/>
    <w:rsid w:val="00D850B0"/>
    <w:rsid w:val="00D8586E"/>
    <w:rsid w:val="00D858AB"/>
    <w:rsid w:val="00D85BCE"/>
    <w:rsid w:val="00D86F39"/>
    <w:rsid w:val="00D91C60"/>
    <w:rsid w:val="00D92ACE"/>
    <w:rsid w:val="00D92CA7"/>
    <w:rsid w:val="00D95471"/>
    <w:rsid w:val="00D97B14"/>
    <w:rsid w:val="00DA19D6"/>
    <w:rsid w:val="00DA19DC"/>
    <w:rsid w:val="00DA270C"/>
    <w:rsid w:val="00DA35FA"/>
    <w:rsid w:val="00DA462A"/>
    <w:rsid w:val="00DA7C10"/>
    <w:rsid w:val="00DB08D9"/>
    <w:rsid w:val="00DB10FD"/>
    <w:rsid w:val="00DB1633"/>
    <w:rsid w:val="00DB26D8"/>
    <w:rsid w:val="00DB5D9A"/>
    <w:rsid w:val="00DB5FA2"/>
    <w:rsid w:val="00DB6335"/>
    <w:rsid w:val="00DB757F"/>
    <w:rsid w:val="00DC03B7"/>
    <w:rsid w:val="00DC042A"/>
    <w:rsid w:val="00DC1174"/>
    <w:rsid w:val="00DC3379"/>
    <w:rsid w:val="00DC3413"/>
    <w:rsid w:val="00DC5A46"/>
    <w:rsid w:val="00DC73E4"/>
    <w:rsid w:val="00DC79B2"/>
    <w:rsid w:val="00DD1A7F"/>
    <w:rsid w:val="00DD558D"/>
    <w:rsid w:val="00DD67BE"/>
    <w:rsid w:val="00DD7973"/>
    <w:rsid w:val="00DE0163"/>
    <w:rsid w:val="00DE0E4A"/>
    <w:rsid w:val="00DE35FA"/>
    <w:rsid w:val="00DE78E8"/>
    <w:rsid w:val="00DE79A2"/>
    <w:rsid w:val="00DF0118"/>
    <w:rsid w:val="00DF0357"/>
    <w:rsid w:val="00DF4C1D"/>
    <w:rsid w:val="00DF5CE5"/>
    <w:rsid w:val="00DF5F80"/>
    <w:rsid w:val="00DF6202"/>
    <w:rsid w:val="00DF6342"/>
    <w:rsid w:val="00DF64CF"/>
    <w:rsid w:val="00DF6AA4"/>
    <w:rsid w:val="00E002D5"/>
    <w:rsid w:val="00E0160A"/>
    <w:rsid w:val="00E01D8F"/>
    <w:rsid w:val="00E0256C"/>
    <w:rsid w:val="00E02DC9"/>
    <w:rsid w:val="00E045DF"/>
    <w:rsid w:val="00E0662F"/>
    <w:rsid w:val="00E10E0E"/>
    <w:rsid w:val="00E115C1"/>
    <w:rsid w:val="00E123F2"/>
    <w:rsid w:val="00E1323F"/>
    <w:rsid w:val="00E1338F"/>
    <w:rsid w:val="00E13F18"/>
    <w:rsid w:val="00E14E83"/>
    <w:rsid w:val="00E169B4"/>
    <w:rsid w:val="00E17D6A"/>
    <w:rsid w:val="00E209C0"/>
    <w:rsid w:val="00E21237"/>
    <w:rsid w:val="00E21643"/>
    <w:rsid w:val="00E21CD0"/>
    <w:rsid w:val="00E2210D"/>
    <w:rsid w:val="00E23162"/>
    <w:rsid w:val="00E241C7"/>
    <w:rsid w:val="00E26986"/>
    <w:rsid w:val="00E26F4C"/>
    <w:rsid w:val="00E3106B"/>
    <w:rsid w:val="00E318C1"/>
    <w:rsid w:val="00E327B2"/>
    <w:rsid w:val="00E32AA4"/>
    <w:rsid w:val="00E35137"/>
    <w:rsid w:val="00E35E38"/>
    <w:rsid w:val="00E40B3D"/>
    <w:rsid w:val="00E45666"/>
    <w:rsid w:val="00E458CD"/>
    <w:rsid w:val="00E45B56"/>
    <w:rsid w:val="00E47B11"/>
    <w:rsid w:val="00E47CDC"/>
    <w:rsid w:val="00E47E27"/>
    <w:rsid w:val="00E527FF"/>
    <w:rsid w:val="00E52DD1"/>
    <w:rsid w:val="00E548E9"/>
    <w:rsid w:val="00E5540E"/>
    <w:rsid w:val="00E575EE"/>
    <w:rsid w:val="00E61040"/>
    <w:rsid w:val="00E6280D"/>
    <w:rsid w:val="00E62F1B"/>
    <w:rsid w:val="00E64745"/>
    <w:rsid w:val="00E65157"/>
    <w:rsid w:val="00E65521"/>
    <w:rsid w:val="00E67FA7"/>
    <w:rsid w:val="00E71AA8"/>
    <w:rsid w:val="00E72990"/>
    <w:rsid w:val="00E74E8D"/>
    <w:rsid w:val="00E74F45"/>
    <w:rsid w:val="00E75192"/>
    <w:rsid w:val="00E75FF6"/>
    <w:rsid w:val="00E7670D"/>
    <w:rsid w:val="00E86E3F"/>
    <w:rsid w:val="00E86E76"/>
    <w:rsid w:val="00E91C0F"/>
    <w:rsid w:val="00E92121"/>
    <w:rsid w:val="00E940F2"/>
    <w:rsid w:val="00E94633"/>
    <w:rsid w:val="00E95CFC"/>
    <w:rsid w:val="00E97A9F"/>
    <w:rsid w:val="00EA087F"/>
    <w:rsid w:val="00EA2555"/>
    <w:rsid w:val="00EA2BF8"/>
    <w:rsid w:val="00EA31CB"/>
    <w:rsid w:val="00EA3426"/>
    <w:rsid w:val="00EA4E83"/>
    <w:rsid w:val="00EA5941"/>
    <w:rsid w:val="00EA6304"/>
    <w:rsid w:val="00EB0A4A"/>
    <w:rsid w:val="00EB221C"/>
    <w:rsid w:val="00EB2ECD"/>
    <w:rsid w:val="00EB410E"/>
    <w:rsid w:val="00EC1A6F"/>
    <w:rsid w:val="00EC3AE7"/>
    <w:rsid w:val="00EC4931"/>
    <w:rsid w:val="00EC7F8C"/>
    <w:rsid w:val="00ED00D1"/>
    <w:rsid w:val="00ED045D"/>
    <w:rsid w:val="00ED4396"/>
    <w:rsid w:val="00ED5255"/>
    <w:rsid w:val="00ED52D0"/>
    <w:rsid w:val="00ED5632"/>
    <w:rsid w:val="00ED686D"/>
    <w:rsid w:val="00EE0BBD"/>
    <w:rsid w:val="00EE1876"/>
    <w:rsid w:val="00EE24B8"/>
    <w:rsid w:val="00EE3AAB"/>
    <w:rsid w:val="00EE40E7"/>
    <w:rsid w:val="00EE523C"/>
    <w:rsid w:val="00EE5425"/>
    <w:rsid w:val="00EE6367"/>
    <w:rsid w:val="00EE733D"/>
    <w:rsid w:val="00EF0721"/>
    <w:rsid w:val="00EF0DF6"/>
    <w:rsid w:val="00EF0E37"/>
    <w:rsid w:val="00EF1105"/>
    <w:rsid w:val="00EF181A"/>
    <w:rsid w:val="00EF1F79"/>
    <w:rsid w:val="00EF3434"/>
    <w:rsid w:val="00EF3B1A"/>
    <w:rsid w:val="00EF4038"/>
    <w:rsid w:val="00EF6EE3"/>
    <w:rsid w:val="00EF779B"/>
    <w:rsid w:val="00F01DC0"/>
    <w:rsid w:val="00F02CF8"/>
    <w:rsid w:val="00F02E45"/>
    <w:rsid w:val="00F02F2B"/>
    <w:rsid w:val="00F039F8"/>
    <w:rsid w:val="00F10378"/>
    <w:rsid w:val="00F12B79"/>
    <w:rsid w:val="00F147F2"/>
    <w:rsid w:val="00F15F6C"/>
    <w:rsid w:val="00F16BED"/>
    <w:rsid w:val="00F21581"/>
    <w:rsid w:val="00F23521"/>
    <w:rsid w:val="00F265A4"/>
    <w:rsid w:val="00F2798D"/>
    <w:rsid w:val="00F3064C"/>
    <w:rsid w:val="00F32BCC"/>
    <w:rsid w:val="00F33207"/>
    <w:rsid w:val="00F36003"/>
    <w:rsid w:val="00F367E4"/>
    <w:rsid w:val="00F40635"/>
    <w:rsid w:val="00F40785"/>
    <w:rsid w:val="00F44CBC"/>
    <w:rsid w:val="00F44D72"/>
    <w:rsid w:val="00F45426"/>
    <w:rsid w:val="00F46593"/>
    <w:rsid w:val="00F46C70"/>
    <w:rsid w:val="00F520FE"/>
    <w:rsid w:val="00F5266B"/>
    <w:rsid w:val="00F54AC1"/>
    <w:rsid w:val="00F57221"/>
    <w:rsid w:val="00F572EE"/>
    <w:rsid w:val="00F577F8"/>
    <w:rsid w:val="00F60D5C"/>
    <w:rsid w:val="00F6732F"/>
    <w:rsid w:val="00F70FD7"/>
    <w:rsid w:val="00F71928"/>
    <w:rsid w:val="00F73DD0"/>
    <w:rsid w:val="00F802FC"/>
    <w:rsid w:val="00F80E75"/>
    <w:rsid w:val="00F81E03"/>
    <w:rsid w:val="00F825E4"/>
    <w:rsid w:val="00F84489"/>
    <w:rsid w:val="00F8450F"/>
    <w:rsid w:val="00F84D4C"/>
    <w:rsid w:val="00F850A3"/>
    <w:rsid w:val="00F862BA"/>
    <w:rsid w:val="00F8697F"/>
    <w:rsid w:val="00F87086"/>
    <w:rsid w:val="00F93021"/>
    <w:rsid w:val="00F93D18"/>
    <w:rsid w:val="00F965A4"/>
    <w:rsid w:val="00FA25F1"/>
    <w:rsid w:val="00FA4AD5"/>
    <w:rsid w:val="00FA6305"/>
    <w:rsid w:val="00FB0A46"/>
    <w:rsid w:val="00FB0DF3"/>
    <w:rsid w:val="00FB10EB"/>
    <w:rsid w:val="00FB3322"/>
    <w:rsid w:val="00FB44DA"/>
    <w:rsid w:val="00FB6727"/>
    <w:rsid w:val="00FC2016"/>
    <w:rsid w:val="00FC6778"/>
    <w:rsid w:val="00FC77E4"/>
    <w:rsid w:val="00FC7B93"/>
    <w:rsid w:val="00FD07F9"/>
    <w:rsid w:val="00FD41EF"/>
    <w:rsid w:val="00FD6634"/>
    <w:rsid w:val="00FD6973"/>
    <w:rsid w:val="00FE1590"/>
    <w:rsid w:val="00FE2B16"/>
    <w:rsid w:val="00FE3A26"/>
    <w:rsid w:val="00FE4674"/>
    <w:rsid w:val="00FE46D0"/>
    <w:rsid w:val="00FE5688"/>
    <w:rsid w:val="00FF0F14"/>
    <w:rsid w:val="00FF29E1"/>
    <w:rsid w:val="00FF4E20"/>
    <w:rsid w:val="00FF5F47"/>
    <w:rsid w:val="00FF652C"/>
    <w:rsid w:val="00FF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F37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semiHidden/>
    <w:rsid w:val="00902D5C"/>
    <w:rPr>
      <w:sz w:val="16"/>
      <w:szCs w:val="16"/>
    </w:rPr>
  </w:style>
  <w:style w:type="paragraph" w:styleId="CommentText">
    <w:name w:val="annotation text"/>
    <w:basedOn w:val="Normal"/>
    <w:link w:val="CommentTextChar"/>
    <w:uiPriority w:val="99"/>
    <w:semiHidden/>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uiPriority w:val="22"/>
    <w:qFormat/>
    <w:rsid w:val="0044258D"/>
    <w:rPr>
      <w:b/>
      <w:bCs/>
    </w:rPr>
  </w:style>
  <w:style w:type="paragraph" w:styleId="ListParagraph">
    <w:name w:val="List Paragraph"/>
    <w:basedOn w:val="Normal"/>
    <w:link w:val="ListParagraphChar"/>
    <w:uiPriority w:val="34"/>
    <w:qFormat/>
    <w:rsid w:val="001328C7"/>
    <w:pPr>
      <w:ind w:left="720"/>
      <w:contextualSpacing/>
    </w:pPr>
  </w:style>
  <w:style w:type="character" w:customStyle="1" w:styleId="CommentTextChar">
    <w:name w:val="Comment Text Char"/>
    <w:basedOn w:val="DefaultParagraphFont"/>
    <w:link w:val="CommentText"/>
    <w:uiPriority w:val="99"/>
    <w:semiHidden/>
    <w:rsid w:val="00464F9A"/>
  </w:style>
  <w:style w:type="paragraph" w:customStyle="1" w:styleId="level10">
    <w:name w:val="level1"/>
    <w:basedOn w:val="Normal"/>
    <w:uiPriority w:val="99"/>
    <w:rsid w:val="00464F9A"/>
    <w:pPr>
      <w:autoSpaceDE w:val="0"/>
      <w:autoSpaceDN w:val="0"/>
      <w:ind w:left="720"/>
    </w:pPr>
  </w:style>
  <w:style w:type="character" w:styleId="SubtleEmphasis">
    <w:name w:val="Subtle Emphasis"/>
    <w:basedOn w:val="DefaultParagraphFont"/>
    <w:uiPriority w:val="19"/>
    <w:qFormat/>
    <w:rsid w:val="00DD7973"/>
    <w:rPr>
      <w:i/>
      <w:iCs/>
      <w:color w:val="808080" w:themeColor="text1" w:themeTint="7F"/>
    </w:rPr>
  </w:style>
  <w:style w:type="paragraph" w:styleId="NormalWeb">
    <w:name w:val="Normal (Web)"/>
    <w:basedOn w:val="Normal"/>
    <w:uiPriority w:val="99"/>
    <w:unhideWhenUsed/>
    <w:rsid w:val="007A2B34"/>
    <w:pPr>
      <w:spacing w:before="100" w:beforeAutospacing="1" w:after="100" w:afterAutospacing="1"/>
    </w:pPr>
  </w:style>
  <w:style w:type="character" w:customStyle="1" w:styleId="style11">
    <w:name w:val="style11"/>
    <w:basedOn w:val="DefaultParagraphFont"/>
    <w:rsid w:val="007A2B34"/>
    <w:rPr>
      <w:color w:val="8A8D09"/>
    </w:rPr>
  </w:style>
  <w:style w:type="table" w:customStyle="1" w:styleId="TableGrid1">
    <w:name w:val="Table Grid1"/>
    <w:basedOn w:val="TableNormal"/>
    <w:next w:val="TableGrid"/>
    <w:uiPriority w:val="59"/>
    <w:rsid w:val="00D30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AC1DB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semiHidden/>
    <w:rsid w:val="00902D5C"/>
    <w:rPr>
      <w:sz w:val="16"/>
      <w:szCs w:val="16"/>
    </w:rPr>
  </w:style>
  <w:style w:type="paragraph" w:styleId="CommentText">
    <w:name w:val="annotation text"/>
    <w:basedOn w:val="Normal"/>
    <w:link w:val="CommentTextChar"/>
    <w:uiPriority w:val="99"/>
    <w:semiHidden/>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uiPriority w:val="22"/>
    <w:qFormat/>
    <w:rsid w:val="0044258D"/>
    <w:rPr>
      <w:b/>
      <w:bCs/>
    </w:rPr>
  </w:style>
  <w:style w:type="paragraph" w:styleId="ListParagraph">
    <w:name w:val="List Paragraph"/>
    <w:basedOn w:val="Normal"/>
    <w:link w:val="ListParagraphChar"/>
    <w:uiPriority w:val="34"/>
    <w:qFormat/>
    <w:rsid w:val="001328C7"/>
    <w:pPr>
      <w:ind w:left="720"/>
      <w:contextualSpacing/>
    </w:pPr>
  </w:style>
  <w:style w:type="character" w:customStyle="1" w:styleId="CommentTextChar">
    <w:name w:val="Comment Text Char"/>
    <w:basedOn w:val="DefaultParagraphFont"/>
    <w:link w:val="CommentText"/>
    <w:uiPriority w:val="99"/>
    <w:semiHidden/>
    <w:rsid w:val="00464F9A"/>
  </w:style>
  <w:style w:type="paragraph" w:customStyle="1" w:styleId="level10">
    <w:name w:val="level1"/>
    <w:basedOn w:val="Normal"/>
    <w:uiPriority w:val="99"/>
    <w:rsid w:val="00464F9A"/>
    <w:pPr>
      <w:autoSpaceDE w:val="0"/>
      <w:autoSpaceDN w:val="0"/>
      <w:ind w:left="720"/>
    </w:pPr>
  </w:style>
  <w:style w:type="character" w:styleId="SubtleEmphasis">
    <w:name w:val="Subtle Emphasis"/>
    <w:basedOn w:val="DefaultParagraphFont"/>
    <w:uiPriority w:val="19"/>
    <w:qFormat/>
    <w:rsid w:val="00DD7973"/>
    <w:rPr>
      <w:i/>
      <w:iCs/>
      <w:color w:val="808080" w:themeColor="text1" w:themeTint="7F"/>
    </w:rPr>
  </w:style>
  <w:style w:type="paragraph" w:styleId="NormalWeb">
    <w:name w:val="Normal (Web)"/>
    <w:basedOn w:val="Normal"/>
    <w:uiPriority w:val="99"/>
    <w:unhideWhenUsed/>
    <w:rsid w:val="007A2B34"/>
    <w:pPr>
      <w:spacing w:before="100" w:beforeAutospacing="1" w:after="100" w:afterAutospacing="1"/>
    </w:pPr>
  </w:style>
  <w:style w:type="character" w:customStyle="1" w:styleId="style11">
    <w:name w:val="style11"/>
    <w:basedOn w:val="DefaultParagraphFont"/>
    <w:rsid w:val="007A2B34"/>
    <w:rPr>
      <w:color w:val="8A8D09"/>
    </w:rPr>
  </w:style>
  <w:style w:type="table" w:customStyle="1" w:styleId="TableGrid1">
    <w:name w:val="Table Grid1"/>
    <w:basedOn w:val="TableNormal"/>
    <w:next w:val="TableGrid"/>
    <w:uiPriority w:val="59"/>
    <w:rsid w:val="00D30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AC1D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171">
      <w:bodyDiv w:val="1"/>
      <w:marLeft w:val="0"/>
      <w:marRight w:val="0"/>
      <w:marTop w:val="0"/>
      <w:marBottom w:val="0"/>
      <w:divBdr>
        <w:top w:val="none" w:sz="0" w:space="0" w:color="auto"/>
        <w:left w:val="none" w:sz="0" w:space="0" w:color="auto"/>
        <w:bottom w:val="none" w:sz="0" w:space="0" w:color="auto"/>
        <w:right w:val="none" w:sz="0" w:space="0" w:color="auto"/>
      </w:divBdr>
    </w:div>
    <w:div w:id="29426759">
      <w:bodyDiv w:val="1"/>
      <w:marLeft w:val="0"/>
      <w:marRight w:val="0"/>
      <w:marTop w:val="0"/>
      <w:marBottom w:val="0"/>
      <w:divBdr>
        <w:top w:val="none" w:sz="0" w:space="0" w:color="auto"/>
        <w:left w:val="none" w:sz="0" w:space="0" w:color="auto"/>
        <w:bottom w:val="none" w:sz="0" w:space="0" w:color="auto"/>
        <w:right w:val="none" w:sz="0" w:space="0" w:color="auto"/>
      </w:divBdr>
    </w:div>
    <w:div w:id="232936084">
      <w:bodyDiv w:val="1"/>
      <w:marLeft w:val="0"/>
      <w:marRight w:val="0"/>
      <w:marTop w:val="0"/>
      <w:marBottom w:val="0"/>
      <w:divBdr>
        <w:top w:val="none" w:sz="0" w:space="0" w:color="auto"/>
        <w:left w:val="none" w:sz="0" w:space="0" w:color="auto"/>
        <w:bottom w:val="none" w:sz="0" w:space="0" w:color="auto"/>
        <w:right w:val="none" w:sz="0" w:space="0" w:color="auto"/>
      </w:divBdr>
    </w:div>
    <w:div w:id="724183479">
      <w:bodyDiv w:val="1"/>
      <w:marLeft w:val="0"/>
      <w:marRight w:val="0"/>
      <w:marTop w:val="0"/>
      <w:marBottom w:val="0"/>
      <w:divBdr>
        <w:top w:val="none" w:sz="0" w:space="0" w:color="auto"/>
        <w:left w:val="none" w:sz="0" w:space="0" w:color="auto"/>
        <w:bottom w:val="none" w:sz="0" w:space="0" w:color="auto"/>
        <w:right w:val="none" w:sz="0" w:space="0" w:color="auto"/>
      </w:divBdr>
    </w:div>
    <w:div w:id="1248881184">
      <w:bodyDiv w:val="1"/>
      <w:marLeft w:val="0"/>
      <w:marRight w:val="0"/>
      <w:marTop w:val="0"/>
      <w:marBottom w:val="0"/>
      <w:divBdr>
        <w:top w:val="none" w:sz="0" w:space="0" w:color="auto"/>
        <w:left w:val="none" w:sz="0" w:space="0" w:color="auto"/>
        <w:bottom w:val="none" w:sz="0" w:space="0" w:color="auto"/>
        <w:right w:val="none" w:sz="0" w:space="0" w:color="auto"/>
      </w:divBdr>
    </w:div>
    <w:div w:id="1249927590">
      <w:bodyDiv w:val="1"/>
      <w:marLeft w:val="0"/>
      <w:marRight w:val="0"/>
      <w:marTop w:val="0"/>
      <w:marBottom w:val="0"/>
      <w:divBdr>
        <w:top w:val="none" w:sz="0" w:space="0" w:color="auto"/>
        <w:left w:val="none" w:sz="0" w:space="0" w:color="auto"/>
        <w:bottom w:val="none" w:sz="0" w:space="0" w:color="auto"/>
        <w:right w:val="none" w:sz="0" w:space="0" w:color="auto"/>
      </w:divBdr>
    </w:div>
    <w:div w:id="1714959344">
      <w:bodyDiv w:val="1"/>
      <w:marLeft w:val="0"/>
      <w:marRight w:val="0"/>
      <w:marTop w:val="0"/>
      <w:marBottom w:val="0"/>
      <w:divBdr>
        <w:top w:val="none" w:sz="0" w:space="0" w:color="auto"/>
        <w:left w:val="none" w:sz="0" w:space="0" w:color="auto"/>
        <w:bottom w:val="none" w:sz="0" w:space="0" w:color="auto"/>
        <w:right w:val="none" w:sz="0" w:space="0" w:color="auto"/>
      </w:divBdr>
    </w:div>
    <w:div w:id="1729036724">
      <w:bodyDiv w:val="1"/>
      <w:marLeft w:val="0"/>
      <w:marRight w:val="0"/>
      <w:marTop w:val="0"/>
      <w:marBottom w:val="0"/>
      <w:divBdr>
        <w:top w:val="none" w:sz="0" w:space="0" w:color="auto"/>
        <w:left w:val="none" w:sz="0" w:space="0" w:color="auto"/>
        <w:bottom w:val="none" w:sz="0" w:space="0" w:color="auto"/>
        <w:right w:val="none" w:sz="0" w:space="0" w:color="auto"/>
      </w:divBdr>
    </w:div>
    <w:div w:id="1869873505">
      <w:bodyDiv w:val="1"/>
      <w:marLeft w:val="0"/>
      <w:marRight w:val="0"/>
      <w:marTop w:val="0"/>
      <w:marBottom w:val="0"/>
      <w:divBdr>
        <w:top w:val="none" w:sz="0" w:space="0" w:color="auto"/>
        <w:left w:val="none" w:sz="0" w:space="0" w:color="auto"/>
        <w:bottom w:val="none" w:sz="0" w:space="0" w:color="auto"/>
        <w:right w:val="none" w:sz="0" w:space="0" w:color="auto"/>
      </w:divBdr>
    </w:div>
    <w:div w:id="2132744491">
      <w:bodyDiv w:val="1"/>
      <w:marLeft w:val="0"/>
      <w:marRight w:val="0"/>
      <w:marTop w:val="0"/>
      <w:marBottom w:val="0"/>
      <w:divBdr>
        <w:top w:val="none" w:sz="0" w:space="0" w:color="auto"/>
        <w:left w:val="none" w:sz="0" w:space="0" w:color="auto"/>
        <w:bottom w:val="none" w:sz="0" w:space="0" w:color="auto"/>
        <w:right w:val="none" w:sz="0" w:space="0" w:color="auto"/>
      </w:divBdr>
      <w:divsChild>
        <w:div w:id="208957925">
          <w:marLeft w:val="0"/>
          <w:marRight w:val="0"/>
          <w:marTop w:val="0"/>
          <w:marBottom w:val="0"/>
          <w:divBdr>
            <w:top w:val="none" w:sz="0" w:space="0" w:color="auto"/>
            <w:left w:val="none" w:sz="0" w:space="0" w:color="auto"/>
            <w:bottom w:val="none" w:sz="0" w:space="0" w:color="auto"/>
            <w:right w:val="none" w:sz="0" w:space="0" w:color="auto"/>
          </w:divBdr>
          <w:divsChild>
            <w:div w:id="1928230924">
              <w:marLeft w:val="0"/>
              <w:marRight w:val="0"/>
              <w:marTop w:val="0"/>
              <w:marBottom w:val="0"/>
              <w:divBdr>
                <w:top w:val="none" w:sz="0" w:space="0" w:color="auto"/>
                <w:left w:val="none" w:sz="0" w:space="0" w:color="auto"/>
                <w:bottom w:val="none" w:sz="0" w:space="0" w:color="auto"/>
                <w:right w:val="none" w:sz="0" w:space="0" w:color="auto"/>
              </w:divBdr>
              <w:divsChild>
                <w:div w:id="447041715">
                  <w:marLeft w:val="0"/>
                  <w:marRight w:val="0"/>
                  <w:marTop w:val="0"/>
                  <w:marBottom w:val="0"/>
                  <w:divBdr>
                    <w:top w:val="none" w:sz="0" w:space="0" w:color="auto"/>
                    <w:left w:val="none" w:sz="0" w:space="0" w:color="auto"/>
                    <w:bottom w:val="none" w:sz="0" w:space="0" w:color="auto"/>
                    <w:right w:val="none" w:sz="0" w:space="0" w:color="auto"/>
                  </w:divBdr>
                  <w:divsChild>
                    <w:div w:id="1149440872">
                      <w:marLeft w:val="0"/>
                      <w:marRight w:val="0"/>
                      <w:marTop w:val="0"/>
                      <w:marBottom w:val="0"/>
                      <w:divBdr>
                        <w:top w:val="none" w:sz="0" w:space="0" w:color="auto"/>
                        <w:left w:val="none" w:sz="0" w:space="0" w:color="auto"/>
                        <w:bottom w:val="none" w:sz="0" w:space="0" w:color="auto"/>
                        <w:right w:val="none" w:sz="0" w:space="0" w:color="auto"/>
                      </w:divBdr>
                      <w:divsChild>
                        <w:div w:id="943656993">
                          <w:marLeft w:val="0"/>
                          <w:marRight w:val="0"/>
                          <w:marTop w:val="0"/>
                          <w:marBottom w:val="0"/>
                          <w:divBdr>
                            <w:top w:val="none" w:sz="0" w:space="0" w:color="auto"/>
                            <w:left w:val="none" w:sz="0" w:space="0" w:color="auto"/>
                            <w:bottom w:val="none" w:sz="0" w:space="0" w:color="auto"/>
                            <w:right w:val="none" w:sz="0" w:space="0" w:color="auto"/>
                          </w:divBdr>
                          <w:divsChild>
                            <w:div w:id="1299922996">
                              <w:marLeft w:val="0"/>
                              <w:marRight w:val="0"/>
                              <w:marTop w:val="0"/>
                              <w:marBottom w:val="0"/>
                              <w:divBdr>
                                <w:top w:val="none" w:sz="0" w:space="0" w:color="auto"/>
                                <w:left w:val="none" w:sz="0" w:space="0" w:color="auto"/>
                                <w:bottom w:val="none" w:sz="0" w:space="0" w:color="auto"/>
                                <w:right w:val="none" w:sz="0" w:space="0" w:color="auto"/>
                              </w:divBdr>
                              <w:divsChild>
                                <w:div w:id="425466417">
                                  <w:marLeft w:val="0"/>
                                  <w:marRight w:val="0"/>
                                  <w:marTop w:val="0"/>
                                  <w:marBottom w:val="0"/>
                                  <w:divBdr>
                                    <w:top w:val="none" w:sz="0" w:space="0" w:color="auto"/>
                                    <w:left w:val="none" w:sz="0" w:space="0" w:color="auto"/>
                                    <w:bottom w:val="none" w:sz="0" w:space="0" w:color="auto"/>
                                    <w:right w:val="none" w:sz="0" w:space="0" w:color="auto"/>
                                  </w:divBdr>
                                  <w:divsChild>
                                    <w:div w:id="901331856">
                                      <w:marLeft w:val="0"/>
                                      <w:marRight w:val="0"/>
                                      <w:marTop w:val="0"/>
                                      <w:marBottom w:val="0"/>
                                      <w:divBdr>
                                        <w:top w:val="none" w:sz="0" w:space="0" w:color="auto"/>
                                        <w:left w:val="none" w:sz="0" w:space="0" w:color="auto"/>
                                        <w:bottom w:val="none" w:sz="0" w:space="0" w:color="auto"/>
                                        <w:right w:val="none" w:sz="0" w:space="0" w:color="auto"/>
                                      </w:divBdr>
                                      <w:divsChild>
                                        <w:div w:id="1449859782">
                                          <w:marLeft w:val="0"/>
                                          <w:marRight w:val="0"/>
                                          <w:marTop w:val="0"/>
                                          <w:marBottom w:val="0"/>
                                          <w:divBdr>
                                            <w:top w:val="none" w:sz="0" w:space="0" w:color="auto"/>
                                            <w:left w:val="none" w:sz="0" w:space="0" w:color="auto"/>
                                            <w:bottom w:val="none" w:sz="0" w:space="0" w:color="auto"/>
                                            <w:right w:val="none" w:sz="0" w:space="0" w:color="auto"/>
                                          </w:divBdr>
                                          <w:divsChild>
                                            <w:div w:id="93332001">
                                              <w:marLeft w:val="0"/>
                                              <w:marRight w:val="0"/>
                                              <w:marTop w:val="0"/>
                                              <w:marBottom w:val="0"/>
                                              <w:divBdr>
                                                <w:top w:val="none" w:sz="0" w:space="0" w:color="auto"/>
                                                <w:left w:val="none" w:sz="0" w:space="0" w:color="auto"/>
                                                <w:bottom w:val="none" w:sz="0" w:space="0" w:color="auto"/>
                                                <w:right w:val="none" w:sz="0" w:space="0" w:color="auto"/>
                                              </w:divBdr>
                                              <w:divsChild>
                                                <w:div w:id="1811094260">
                                                  <w:marLeft w:val="0"/>
                                                  <w:marRight w:val="0"/>
                                                  <w:marTop w:val="0"/>
                                                  <w:marBottom w:val="0"/>
                                                  <w:divBdr>
                                                    <w:top w:val="none" w:sz="0" w:space="0" w:color="auto"/>
                                                    <w:left w:val="none" w:sz="0" w:space="0" w:color="auto"/>
                                                    <w:bottom w:val="none" w:sz="0" w:space="0" w:color="auto"/>
                                                    <w:right w:val="none" w:sz="0" w:space="0" w:color="auto"/>
                                                  </w:divBdr>
                                                  <w:divsChild>
                                                    <w:div w:id="4728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ealthcare.gov/center/councils/nphpphc/draftframework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74D20-01FA-4253-AD3C-ABE7650F7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4824</Words>
  <Characters>27503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32263</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458797</vt:i4>
      </vt:variant>
      <vt:variant>
        <vt:i4>0</vt:i4>
      </vt:variant>
      <vt:variant>
        <vt:i4>0</vt:i4>
      </vt:variant>
      <vt:variant>
        <vt:i4>5</vt:i4>
      </vt:variant>
      <vt:variant>
        <vt:lpwstr>mailto:@cdc.gov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rst8</dc:creator>
  <cp:lastModifiedBy>SYSTEM</cp:lastModifiedBy>
  <cp:revision>2</cp:revision>
  <cp:lastPrinted>2017-07-17T14:48:00Z</cp:lastPrinted>
  <dcterms:created xsi:type="dcterms:W3CDTF">2018-02-05T19:45:00Z</dcterms:created>
  <dcterms:modified xsi:type="dcterms:W3CDTF">2018-02-05T19:45:00Z</dcterms:modified>
</cp:coreProperties>
</file>