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5BFF721" w14:textId="11EF6932" w:rsidR="00907586" w:rsidRPr="00DC50FC" w:rsidRDefault="00F7365B" w:rsidP="00907586">
      <w:pPr>
        <w:widowControl w:val="0"/>
        <w:autoSpaceDE w:val="0"/>
        <w:autoSpaceDN w:val="0"/>
        <w:adjustRightInd w:val="0"/>
        <w:rPr>
          <w:rFonts w:cs="Arial"/>
          <w:b/>
          <w:bCs/>
          <w:szCs w:val="22"/>
        </w:rPr>
      </w:pPr>
      <w:bookmarkStart w:id="0" w:name="_GoBack"/>
      <w:bookmarkEnd w:id="0"/>
      <w:r w:rsidRPr="00F7365B">
        <w:rPr>
          <w:rFonts w:cs="Arial"/>
          <w:b/>
          <w:bCs/>
          <w:i/>
          <w:szCs w:val="22"/>
        </w:rPr>
        <w:t>The Real Cost</w:t>
      </w:r>
      <w:r w:rsidR="00907586" w:rsidRPr="00DC50FC">
        <w:rPr>
          <w:rFonts w:cs="Arial"/>
          <w:b/>
          <w:bCs/>
          <w:szCs w:val="22"/>
        </w:rPr>
        <w:t xml:space="preserve"> Campaign: Online Quantitative Study of Reactions to Rough-Cut Advertising Designed to Prevent Youth Tobacco Use</w:t>
      </w:r>
    </w:p>
    <w:p w14:paraId="6304F84B" w14:textId="77777777" w:rsidR="000928AE" w:rsidRPr="00DC50FC" w:rsidRDefault="000928AE" w:rsidP="000C5CD3">
      <w:pPr>
        <w:rPr>
          <w:rFonts w:cs="Times New Roman"/>
          <w:b/>
        </w:rPr>
      </w:pPr>
    </w:p>
    <w:p w14:paraId="44B7C3CD" w14:textId="2FB78722" w:rsidR="000928AE" w:rsidRPr="00DC50FC" w:rsidRDefault="000928AE" w:rsidP="000C5CD3">
      <w:pPr>
        <w:rPr>
          <w:rFonts w:cs="Times New Roman"/>
          <w:b/>
        </w:rPr>
      </w:pPr>
      <w:r w:rsidRPr="00DC50FC">
        <w:rPr>
          <w:rFonts w:cs="Times New Roman"/>
          <w:b/>
        </w:rPr>
        <w:t xml:space="preserve">Supporting Statement: </w:t>
      </w:r>
      <w:r w:rsidR="00476B0B" w:rsidRPr="00DC50FC">
        <w:rPr>
          <w:rFonts w:cs="Times New Roman"/>
          <w:b/>
        </w:rPr>
        <w:t>Summary</w:t>
      </w:r>
    </w:p>
    <w:p w14:paraId="58DF6351" w14:textId="77777777" w:rsidR="000928AE" w:rsidRPr="00DC50FC" w:rsidRDefault="000928AE" w:rsidP="000C5CD3">
      <w:pPr>
        <w:rPr>
          <w:rFonts w:cs="Times New Roman"/>
          <w:b/>
        </w:rPr>
      </w:pPr>
    </w:p>
    <w:tbl>
      <w:tblPr>
        <w:tblStyle w:val="TableGrid"/>
        <w:tblW w:w="0" w:type="auto"/>
        <w:tblLook w:val="04A0" w:firstRow="1" w:lastRow="0" w:firstColumn="1" w:lastColumn="0" w:noHBand="0" w:noVBand="1"/>
      </w:tblPr>
      <w:tblGrid>
        <w:gridCol w:w="9576"/>
      </w:tblGrid>
      <w:tr w:rsidR="000928AE" w:rsidRPr="00DC50FC" w14:paraId="03328FC9" w14:textId="77777777" w:rsidTr="00AB0ADA">
        <w:tc>
          <w:tcPr>
            <w:tcW w:w="9576" w:type="dxa"/>
          </w:tcPr>
          <w:p w14:paraId="0CF1FE15" w14:textId="77777777" w:rsidR="000928AE" w:rsidRPr="00DC50FC" w:rsidRDefault="000928AE" w:rsidP="000C5CD3">
            <w:pPr>
              <w:pStyle w:val="ListParagraph"/>
              <w:spacing w:after="200" w:line="276" w:lineRule="auto"/>
              <w:ind w:left="360"/>
              <w:rPr>
                <w:rFonts w:asciiTheme="minorHAnsi" w:hAnsiTheme="minorHAnsi" w:cs="Times New Roman"/>
                <w:sz w:val="24"/>
                <w:szCs w:val="24"/>
              </w:rPr>
            </w:pPr>
          </w:p>
          <w:p w14:paraId="6F4BBF90" w14:textId="7161E3B5" w:rsidR="00C53348" w:rsidRPr="00DC50FC" w:rsidRDefault="000928AE" w:rsidP="00C53348">
            <w:pPr>
              <w:pStyle w:val="ListParagraph"/>
              <w:numPr>
                <w:ilvl w:val="0"/>
                <w:numId w:val="1"/>
              </w:numPr>
              <w:spacing w:line="276" w:lineRule="auto"/>
              <w:rPr>
                <w:rFonts w:asciiTheme="minorHAnsi" w:hAnsiTheme="minorHAnsi" w:cs="Times New Roman"/>
                <w:sz w:val="22"/>
              </w:rPr>
            </w:pPr>
            <w:r w:rsidRPr="00DC50FC">
              <w:rPr>
                <w:rFonts w:asciiTheme="minorHAnsi" w:hAnsiTheme="minorHAnsi" w:cs="Times New Roman"/>
                <w:sz w:val="22"/>
              </w:rPr>
              <w:t xml:space="preserve">The goal of this project is to conduct quantitative copy testing of video ads for FDA’s </w:t>
            </w:r>
            <w:r w:rsidR="00F7365B" w:rsidRPr="00F7365B">
              <w:rPr>
                <w:rFonts w:asciiTheme="minorHAnsi" w:hAnsiTheme="minorHAnsi" w:cs="Times New Roman"/>
                <w:i/>
                <w:sz w:val="22"/>
              </w:rPr>
              <w:t>The Real Cost</w:t>
            </w:r>
            <w:r w:rsidR="00974FE5" w:rsidRPr="00DC50FC">
              <w:rPr>
                <w:rFonts w:asciiTheme="minorHAnsi" w:hAnsiTheme="minorHAnsi" w:cs="Times New Roman"/>
                <w:i/>
                <w:sz w:val="22"/>
              </w:rPr>
              <w:t xml:space="preserve"> </w:t>
            </w:r>
            <w:r w:rsidR="00974FE5" w:rsidRPr="00DC50FC">
              <w:rPr>
                <w:rFonts w:asciiTheme="minorHAnsi" w:hAnsiTheme="minorHAnsi" w:cs="Times New Roman"/>
                <w:sz w:val="22"/>
              </w:rPr>
              <w:t xml:space="preserve">tobacco prevention campaigns </w:t>
            </w:r>
            <w:r w:rsidR="00476B0B" w:rsidRPr="00DC50FC">
              <w:rPr>
                <w:rFonts w:asciiTheme="minorHAnsi" w:hAnsiTheme="minorHAnsi" w:cs="Times New Roman"/>
                <w:sz w:val="22"/>
              </w:rPr>
              <w:t>among</w:t>
            </w:r>
            <w:r w:rsidR="00154689" w:rsidRPr="00DC50FC">
              <w:rPr>
                <w:rFonts w:asciiTheme="minorHAnsi" w:hAnsiTheme="minorHAnsi" w:cs="Times New Roman"/>
                <w:sz w:val="22"/>
              </w:rPr>
              <w:t xml:space="preserve"> youth ages</w:t>
            </w:r>
            <w:r w:rsidRPr="00DC50FC">
              <w:rPr>
                <w:rFonts w:asciiTheme="minorHAnsi" w:hAnsiTheme="minorHAnsi" w:cs="Times New Roman"/>
                <w:sz w:val="22"/>
              </w:rPr>
              <w:t xml:space="preserve"> </w:t>
            </w:r>
            <w:r w:rsidR="00476B0B" w:rsidRPr="00DC50FC">
              <w:rPr>
                <w:rFonts w:asciiTheme="minorHAnsi" w:hAnsiTheme="minorHAnsi" w:cs="Times New Roman"/>
                <w:sz w:val="22"/>
              </w:rPr>
              <w:t xml:space="preserve">13 </w:t>
            </w:r>
            <w:r w:rsidRPr="00DC50FC">
              <w:rPr>
                <w:rFonts w:asciiTheme="minorHAnsi" w:hAnsiTheme="minorHAnsi" w:cs="Times New Roman"/>
                <w:sz w:val="22"/>
              </w:rPr>
              <w:t xml:space="preserve">to 17 </w:t>
            </w:r>
            <w:r w:rsidR="00E161B3" w:rsidRPr="00DC50FC">
              <w:rPr>
                <w:rFonts w:asciiTheme="minorHAnsi" w:hAnsiTheme="minorHAnsi" w:cs="Times New Roman"/>
                <w:sz w:val="22"/>
              </w:rPr>
              <w:t>(</w:t>
            </w:r>
            <w:r w:rsidR="00CF7916">
              <w:rPr>
                <w:rFonts w:asciiTheme="minorHAnsi" w:hAnsiTheme="minorHAnsi" w:cs="Times New Roman"/>
                <w:sz w:val="22"/>
              </w:rPr>
              <w:t>N = 3</w:t>
            </w:r>
            <w:r w:rsidR="00974FE5" w:rsidRPr="00DC50FC">
              <w:rPr>
                <w:rFonts w:asciiTheme="minorHAnsi" w:hAnsiTheme="minorHAnsi" w:cs="Times New Roman"/>
                <w:sz w:val="22"/>
              </w:rPr>
              <w:t>000</w:t>
            </w:r>
            <w:r w:rsidR="00AD4C5C" w:rsidRPr="00DC50FC">
              <w:rPr>
                <w:rFonts w:asciiTheme="minorHAnsi" w:hAnsiTheme="minorHAnsi" w:cs="Times New Roman"/>
                <w:sz w:val="22"/>
              </w:rPr>
              <w:t xml:space="preserve"> enrolled</w:t>
            </w:r>
            <w:r w:rsidRPr="00DC50FC">
              <w:rPr>
                <w:rFonts w:asciiTheme="minorHAnsi" w:hAnsiTheme="minorHAnsi" w:cs="Times New Roman"/>
                <w:sz w:val="22"/>
              </w:rPr>
              <w:t xml:space="preserve">) </w:t>
            </w:r>
            <w:r w:rsidR="00C53348" w:rsidRPr="00DC50FC">
              <w:rPr>
                <w:rFonts w:asciiTheme="minorHAnsi" w:hAnsiTheme="minorHAnsi" w:cs="Times New Roman"/>
                <w:sz w:val="22"/>
              </w:rPr>
              <w:t>and adults aged 19 to 54 (N = 1000 enrolled).</w:t>
            </w:r>
          </w:p>
          <w:p w14:paraId="4BFFC4BF" w14:textId="77777777" w:rsidR="00A117A5" w:rsidRPr="00DC50FC" w:rsidRDefault="00A117A5" w:rsidP="00A117A5">
            <w:pPr>
              <w:pStyle w:val="ListParagraph"/>
              <w:spacing w:line="276" w:lineRule="auto"/>
              <w:ind w:left="360"/>
              <w:rPr>
                <w:rFonts w:asciiTheme="minorHAnsi" w:hAnsiTheme="minorHAnsi" w:cs="Times New Roman"/>
                <w:sz w:val="22"/>
              </w:rPr>
            </w:pPr>
          </w:p>
          <w:p w14:paraId="539B0311" w14:textId="77777777" w:rsidR="00F37604" w:rsidRDefault="000928AE" w:rsidP="00C53348">
            <w:pPr>
              <w:pStyle w:val="ListParagraph"/>
              <w:numPr>
                <w:ilvl w:val="0"/>
                <w:numId w:val="1"/>
              </w:numPr>
              <w:spacing w:line="276" w:lineRule="auto"/>
              <w:rPr>
                <w:rFonts w:asciiTheme="minorHAnsi" w:eastAsia="Times New Roman" w:hAnsiTheme="minorHAnsi" w:cs="Times New Roman"/>
                <w:sz w:val="22"/>
              </w:rPr>
            </w:pPr>
            <w:r w:rsidRPr="00DC50FC">
              <w:rPr>
                <w:rFonts w:asciiTheme="minorHAnsi" w:eastAsia="Times New Roman" w:hAnsiTheme="minorHAnsi" w:cs="Times New Roman"/>
                <w:sz w:val="22"/>
              </w:rPr>
              <w:t xml:space="preserve">Participants will be </w:t>
            </w:r>
            <w:r w:rsidR="00974FE5" w:rsidRPr="00DC50FC">
              <w:rPr>
                <w:rFonts w:asciiTheme="minorHAnsi" w:eastAsia="Times New Roman" w:hAnsiTheme="minorHAnsi" w:cs="Times New Roman"/>
                <w:sz w:val="22"/>
              </w:rPr>
              <w:t xml:space="preserve">recruited via panels and </w:t>
            </w:r>
            <w:r w:rsidR="00AD4C5C" w:rsidRPr="00DC50FC">
              <w:rPr>
                <w:rFonts w:asciiTheme="minorHAnsi" w:eastAsia="Times New Roman" w:hAnsiTheme="minorHAnsi" w:cs="Times New Roman"/>
                <w:sz w:val="22"/>
              </w:rPr>
              <w:t>enrolled</w:t>
            </w:r>
            <w:r w:rsidRPr="00DC50FC">
              <w:rPr>
                <w:rFonts w:asciiTheme="minorHAnsi" w:eastAsia="Times New Roman" w:hAnsiTheme="minorHAnsi" w:cs="Times New Roman"/>
                <w:sz w:val="22"/>
              </w:rPr>
              <w:t xml:space="preserve"> via a </w:t>
            </w:r>
            <w:r w:rsidR="005B62A8" w:rsidRPr="00DC50FC">
              <w:rPr>
                <w:rFonts w:asciiTheme="minorHAnsi" w:eastAsia="Times New Roman" w:hAnsiTheme="minorHAnsi" w:cs="Times New Roman"/>
                <w:sz w:val="22"/>
              </w:rPr>
              <w:t>s</w:t>
            </w:r>
            <w:r w:rsidRPr="00DC50FC">
              <w:rPr>
                <w:rFonts w:asciiTheme="minorHAnsi" w:eastAsia="Times New Roman" w:hAnsiTheme="minorHAnsi" w:cs="Times New Roman"/>
                <w:sz w:val="22"/>
              </w:rPr>
              <w:t>creener survey</w:t>
            </w:r>
            <w:r w:rsidR="00974FE5" w:rsidRPr="00DC50FC">
              <w:rPr>
                <w:rFonts w:asciiTheme="minorHAnsi" w:eastAsia="Times New Roman" w:hAnsiTheme="minorHAnsi" w:cs="Times New Roman"/>
                <w:sz w:val="22"/>
              </w:rPr>
              <w:t>.</w:t>
            </w:r>
            <w:r w:rsidRPr="00DC50FC">
              <w:rPr>
                <w:rFonts w:asciiTheme="minorHAnsi" w:eastAsia="Times New Roman" w:hAnsiTheme="minorHAnsi" w:cs="Times New Roman"/>
                <w:sz w:val="22"/>
              </w:rPr>
              <w:t xml:space="preserve"> </w:t>
            </w:r>
            <w:r w:rsidR="00496682" w:rsidRPr="00DC50FC">
              <w:rPr>
                <w:rFonts w:asciiTheme="minorHAnsi" w:eastAsia="Times New Roman" w:hAnsiTheme="minorHAnsi" w:cs="Times New Roman"/>
                <w:sz w:val="22"/>
              </w:rPr>
              <w:t>Participants who qualify for study inclusion</w:t>
            </w:r>
            <w:r w:rsidRPr="00DC50FC">
              <w:rPr>
                <w:rFonts w:asciiTheme="minorHAnsi" w:eastAsia="Times New Roman" w:hAnsiTheme="minorHAnsi" w:cs="Times New Roman"/>
                <w:sz w:val="22"/>
              </w:rPr>
              <w:t xml:space="preserve"> will compl</w:t>
            </w:r>
            <w:r w:rsidR="003B510E" w:rsidRPr="00DC50FC">
              <w:rPr>
                <w:rFonts w:asciiTheme="minorHAnsi" w:eastAsia="Times New Roman" w:hAnsiTheme="minorHAnsi" w:cs="Times New Roman"/>
                <w:sz w:val="22"/>
              </w:rPr>
              <w:t>ete the q</w:t>
            </w:r>
            <w:r w:rsidR="00496682" w:rsidRPr="00DC50FC">
              <w:rPr>
                <w:rFonts w:asciiTheme="minorHAnsi" w:eastAsia="Times New Roman" w:hAnsiTheme="minorHAnsi" w:cs="Times New Roman"/>
                <w:sz w:val="22"/>
              </w:rPr>
              <w:t xml:space="preserve">uestionnaire online using </w:t>
            </w:r>
            <w:r w:rsidRPr="00DC50FC">
              <w:rPr>
                <w:rFonts w:asciiTheme="minorHAnsi" w:eastAsia="Times New Roman" w:hAnsiTheme="minorHAnsi" w:cs="Times New Roman"/>
                <w:sz w:val="22"/>
              </w:rPr>
              <w:t xml:space="preserve">their own device. </w:t>
            </w:r>
            <w:r w:rsidR="00974FE5" w:rsidRPr="00DC50FC">
              <w:rPr>
                <w:rFonts w:asciiTheme="minorHAnsi" w:eastAsia="Times New Roman" w:hAnsiTheme="minorHAnsi" w:cs="Times New Roman"/>
                <w:sz w:val="22"/>
              </w:rPr>
              <w:t xml:space="preserve">The screener will take no more than </w:t>
            </w:r>
            <w:r w:rsidR="00C53348" w:rsidRPr="00DC50FC">
              <w:rPr>
                <w:rFonts w:asciiTheme="minorHAnsi" w:eastAsia="Times New Roman" w:hAnsiTheme="minorHAnsi" w:cs="Times New Roman"/>
                <w:sz w:val="22"/>
              </w:rPr>
              <w:t>ten</w:t>
            </w:r>
            <w:r w:rsidR="00974FE5" w:rsidRPr="00DC50FC">
              <w:rPr>
                <w:rFonts w:asciiTheme="minorHAnsi" w:eastAsia="Times New Roman" w:hAnsiTheme="minorHAnsi" w:cs="Times New Roman"/>
                <w:sz w:val="22"/>
              </w:rPr>
              <w:t xml:space="preserve"> minutes to complete, and the questionnaire will take no more than</w:t>
            </w:r>
            <w:r w:rsidR="00C53348" w:rsidRPr="00DC50FC">
              <w:rPr>
                <w:rFonts w:asciiTheme="minorHAnsi" w:eastAsia="Times New Roman" w:hAnsiTheme="minorHAnsi" w:cs="Times New Roman"/>
                <w:sz w:val="22"/>
              </w:rPr>
              <w:t xml:space="preserve"> twenty </w:t>
            </w:r>
            <w:r w:rsidR="00974FE5" w:rsidRPr="00DC50FC">
              <w:rPr>
                <w:rFonts w:asciiTheme="minorHAnsi" w:eastAsia="Times New Roman" w:hAnsiTheme="minorHAnsi" w:cs="Times New Roman"/>
                <w:sz w:val="22"/>
              </w:rPr>
              <w:t>minutes for participants to complete.</w:t>
            </w:r>
          </w:p>
          <w:p w14:paraId="3B4E72F9" w14:textId="1D334998" w:rsidR="000B52FA" w:rsidRPr="00DC50FC" w:rsidRDefault="000B52FA" w:rsidP="000B52FA">
            <w:pPr>
              <w:pStyle w:val="ListParagraph"/>
              <w:rPr>
                <w:rFonts w:asciiTheme="minorHAnsi" w:eastAsia="Times New Roman" w:hAnsiTheme="minorHAnsi" w:cs="Times New Roman"/>
                <w:sz w:val="22"/>
              </w:rPr>
            </w:pPr>
          </w:p>
          <w:p w14:paraId="0B7C56B7" w14:textId="77777777" w:rsidR="00F37604" w:rsidRDefault="00974FE5" w:rsidP="00C53348">
            <w:pPr>
              <w:pStyle w:val="ListParagraph"/>
              <w:numPr>
                <w:ilvl w:val="0"/>
                <w:numId w:val="1"/>
              </w:numPr>
              <w:spacing w:line="276" w:lineRule="auto"/>
              <w:rPr>
                <w:rFonts w:asciiTheme="minorHAnsi" w:eastAsia="Times New Roman" w:hAnsiTheme="minorHAnsi" w:cs="Times New Roman"/>
                <w:sz w:val="22"/>
              </w:rPr>
            </w:pPr>
            <w:r w:rsidRPr="00DC50FC">
              <w:rPr>
                <w:rFonts w:asciiTheme="minorHAnsi" w:eastAsia="Times New Roman" w:hAnsiTheme="minorHAnsi" w:cs="Times New Roman"/>
                <w:sz w:val="22"/>
              </w:rPr>
              <w:t>Four thousand youth</w:t>
            </w:r>
            <w:r w:rsidR="00496682" w:rsidRPr="00DC50FC">
              <w:rPr>
                <w:rFonts w:asciiTheme="minorHAnsi" w:eastAsia="Times New Roman" w:hAnsiTheme="minorHAnsi" w:cs="Times New Roman"/>
                <w:sz w:val="22"/>
              </w:rPr>
              <w:t xml:space="preserve"> who are 13</w:t>
            </w:r>
            <w:r w:rsidR="00740E83" w:rsidRPr="00DC50FC">
              <w:rPr>
                <w:rFonts w:asciiTheme="minorHAnsi" w:eastAsia="Times New Roman" w:hAnsiTheme="minorHAnsi" w:cs="Times New Roman"/>
                <w:sz w:val="22"/>
              </w:rPr>
              <w:t>-</w:t>
            </w:r>
            <w:r w:rsidR="000928AE" w:rsidRPr="00DC50FC">
              <w:rPr>
                <w:rFonts w:asciiTheme="minorHAnsi" w:eastAsia="Times New Roman" w:hAnsiTheme="minorHAnsi" w:cs="Times New Roman"/>
                <w:sz w:val="22"/>
              </w:rPr>
              <w:t xml:space="preserve">17 years old, </w:t>
            </w:r>
            <w:r w:rsidR="00E175C8" w:rsidRPr="00DC50FC">
              <w:rPr>
                <w:rFonts w:asciiTheme="minorHAnsi" w:eastAsia="Times New Roman" w:hAnsiTheme="minorHAnsi" w:cs="Times New Roman"/>
                <w:sz w:val="22"/>
              </w:rPr>
              <w:t xml:space="preserve">tobacco users or </w:t>
            </w:r>
            <w:r w:rsidR="008A7737" w:rsidRPr="00DC50FC">
              <w:rPr>
                <w:rFonts w:asciiTheme="minorHAnsi" w:eastAsia="Times New Roman" w:hAnsiTheme="minorHAnsi" w:cs="Times New Roman"/>
                <w:sz w:val="22"/>
              </w:rPr>
              <w:t>open</w:t>
            </w:r>
            <w:r w:rsidR="00E175C8" w:rsidRPr="00DC50FC">
              <w:rPr>
                <w:rFonts w:asciiTheme="minorHAnsi" w:eastAsia="Times New Roman" w:hAnsiTheme="minorHAnsi" w:cs="Times New Roman"/>
                <w:sz w:val="22"/>
              </w:rPr>
              <w:t xml:space="preserve"> non-users</w:t>
            </w:r>
            <w:r w:rsidR="000928AE" w:rsidRPr="00DC50FC">
              <w:rPr>
                <w:rFonts w:asciiTheme="minorHAnsi" w:eastAsia="Times New Roman" w:hAnsiTheme="minorHAnsi" w:cs="Times New Roman"/>
                <w:sz w:val="22"/>
              </w:rPr>
              <w:t xml:space="preserve"> will </w:t>
            </w:r>
            <w:r w:rsidR="00496682" w:rsidRPr="00DC50FC">
              <w:rPr>
                <w:rFonts w:asciiTheme="minorHAnsi" w:eastAsia="Times New Roman" w:hAnsiTheme="minorHAnsi" w:cs="Times New Roman"/>
                <w:sz w:val="22"/>
              </w:rPr>
              <w:t>be enrolled</w:t>
            </w:r>
            <w:r w:rsidR="000928AE" w:rsidRPr="00DC50FC">
              <w:rPr>
                <w:rFonts w:asciiTheme="minorHAnsi" w:eastAsia="Times New Roman" w:hAnsiTheme="minorHAnsi" w:cs="Times New Roman"/>
                <w:sz w:val="22"/>
              </w:rPr>
              <w:t xml:space="preserve">. </w:t>
            </w:r>
            <w:r w:rsidR="0087008A" w:rsidRPr="00DC50FC">
              <w:rPr>
                <w:rFonts w:asciiTheme="minorHAnsi" w:eastAsia="Times New Roman" w:hAnsiTheme="minorHAnsi" w:cs="Times New Roman"/>
                <w:sz w:val="22"/>
              </w:rPr>
              <w:t>Youth must be ages 13</w:t>
            </w:r>
            <w:r w:rsidR="00740E83" w:rsidRPr="00DC50FC">
              <w:rPr>
                <w:rFonts w:asciiTheme="minorHAnsi" w:eastAsia="Times New Roman" w:hAnsiTheme="minorHAnsi" w:cs="Times New Roman"/>
                <w:sz w:val="22"/>
              </w:rPr>
              <w:t>-</w:t>
            </w:r>
            <w:r w:rsidR="0087008A" w:rsidRPr="00DC50FC">
              <w:rPr>
                <w:rFonts w:asciiTheme="minorHAnsi" w:eastAsia="Times New Roman" w:hAnsiTheme="minorHAnsi" w:cs="Times New Roman"/>
                <w:sz w:val="22"/>
              </w:rPr>
              <w:t>17 to participate in order to comply with Children’s Online Privacy Protection Act (COPPA) regulations.</w:t>
            </w:r>
          </w:p>
          <w:p w14:paraId="6E8B888E" w14:textId="7CD17B83" w:rsidR="000B52FA" w:rsidRPr="00DC50FC" w:rsidRDefault="000B52FA" w:rsidP="000B52FA">
            <w:pPr>
              <w:pStyle w:val="ListParagraph"/>
              <w:rPr>
                <w:rFonts w:asciiTheme="minorHAnsi" w:eastAsia="Times New Roman" w:hAnsiTheme="minorHAnsi" w:cs="Times New Roman"/>
                <w:sz w:val="22"/>
              </w:rPr>
            </w:pPr>
          </w:p>
          <w:p w14:paraId="684B485D" w14:textId="77777777" w:rsidR="00F37604" w:rsidRDefault="00C53348" w:rsidP="00C53348">
            <w:pPr>
              <w:pStyle w:val="ListParagraph"/>
              <w:numPr>
                <w:ilvl w:val="0"/>
                <w:numId w:val="1"/>
              </w:numPr>
              <w:spacing w:line="276" w:lineRule="auto"/>
              <w:rPr>
                <w:rFonts w:asciiTheme="minorHAnsi" w:eastAsia="Times New Roman" w:hAnsiTheme="minorHAnsi" w:cs="Times New Roman"/>
                <w:sz w:val="22"/>
              </w:rPr>
            </w:pPr>
            <w:r w:rsidRPr="00DC50FC">
              <w:rPr>
                <w:rFonts w:asciiTheme="minorHAnsi" w:eastAsia="Times New Roman" w:hAnsiTheme="minorHAnsi" w:cs="Times New Roman"/>
                <w:sz w:val="22"/>
              </w:rPr>
              <w:t>Additionally</w:t>
            </w:r>
            <w:r w:rsidR="00141386">
              <w:rPr>
                <w:rFonts w:asciiTheme="minorHAnsi" w:eastAsia="Times New Roman" w:hAnsiTheme="minorHAnsi" w:cs="Times New Roman"/>
                <w:sz w:val="22"/>
              </w:rPr>
              <w:t>,</w:t>
            </w:r>
            <w:r w:rsidRPr="00DC50FC">
              <w:rPr>
                <w:rFonts w:asciiTheme="minorHAnsi" w:eastAsia="Times New Roman" w:hAnsiTheme="minorHAnsi" w:cs="Times New Roman"/>
                <w:sz w:val="22"/>
              </w:rPr>
              <w:t xml:space="preserve"> 1000 adults who are adult smokers and dual users of cigarettes and ENDS interested in quitting cigarettes </w:t>
            </w:r>
            <w:r w:rsidR="00141386">
              <w:rPr>
                <w:rFonts w:asciiTheme="minorHAnsi" w:eastAsia="Times New Roman" w:hAnsiTheme="minorHAnsi" w:cs="Times New Roman"/>
                <w:sz w:val="22"/>
              </w:rPr>
              <w:t xml:space="preserve">will be asked to complete questionnaires </w:t>
            </w:r>
            <w:r w:rsidRPr="00DC50FC">
              <w:rPr>
                <w:rFonts w:asciiTheme="minorHAnsi" w:eastAsia="Times New Roman" w:hAnsiTheme="minorHAnsi" w:cs="Times New Roman"/>
                <w:sz w:val="22"/>
              </w:rPr>
              <w:t>to assess if ENDS messages aimed at preventing use among youth have any unintended consequences among adult smokers interested in quitting smoking.</w:t>
            </w:r>
          </w:p>
          <w:p w14:paraId="073C113C" w14:textId="3C17635A" w:rsidR="00C53348" w:rsidRPr="00DC50FC" w:rsidRDefault="00C53348" w:rsidP="00C53348">
            <w:pPr>
              <w:pStyle w:val="ListParagraph"/>
              <w:spacing w:line="276" w:lineRule="auto"/>
              <w:ind w:left="360"/>
              <w:rPr>
                <w:rFonts w:asciiTheme="minorHAnsi" w:hAnsiTheme="minorHAnsi" w:cs="Times New Roman"/>
                <w:sz w:val="22"/>
              </w:rPr>
            </w:pPr>
          </w:p>
          <w:p w14:paraId="2DC42431" w14:textId="4FD6AF9E" w:rsidR="007C405F" w:rsidRPr="00DC50FC" w:rsidRDefault="00C53348" w:rsidP="000C5CD3">
            <w:pPr>
              <w:pStyle w:val="ListParagraph"/>
              <w:numPr>
                <w:ilvl w:val="0"/>
                <w:numId w:val="1"/>
              </w:numPr>
              <w:spacing w:line="276" w:lineRule="auto"/>
              <w:rPr>
                <w:rFonts w:asciiTheme="minorHAnsi" w:hAnsiTheme="minorHAnsi"/>
                <w:sz w:val="22"/>
              </w:rPr>
            </w:pPr>
            <w:r w:rsidRPr="00DC50FC">
              <w:rPr>
                <w:rFonts w:asciiTheme="minorHAnsi" w:hAnsiTheme="minorHAnsi"/>
                <w:sz w:val="22"/>
              </w:rPr>
              <w:t>Participants will be randomly assigned to either the ad-viewing group or the “no ad” control group; if in the ad-viewing group, participants will be randomly assigned to view one ad. Participants will be randomly assigned so that an approximately equal number of participants are in the control group as view each individual ad</w:t>
            </w:r>
            <w:r w:rsidR="00141386">
              <w:rPr>
                <w:rFonts w:asciiTheme="minorHAnsi" w:hAnsiTheme="minorHAnsi"/>
                <w:sz w:val="22"/>
              </w:rPr>
              <w:t>.</w:t>
            </w:r>
          </w:p>
          <w:p w14:paraId="756D06B3" w14:textId="77777777" w:rsidR="00C53348" w:rsidRPr="00DC50FC" w:rsidRDefault="00C53348" w:rsidP="00C53348">
            <w:pPr>
              <w:pStyle w:val="ListParagraph"/>
              <w:spacing w:line="276" w:lineRule="auto"/>
              <w:ind w:left="360"/>
              <w:rPr>
                <w:rFonts w:asciiTheme="minorHAnsi" w:hAnsiTheme="minorHAnsi"/>
                <w:sz w:val="22"/>
              </w:rPr>
            </w:pPr>
          </w:p>
          <w:p w14:paraId="5F4944B3" w14:textId="10F7130A" w:rsidR="000928AE" w:rsidRPr="00DC50FC" w:rsidRDefault="000928AE" w:rsidP="008F2D6E">
            <w:pPr>
              <w:pStyle w:val="ListParagraph"/>
              <w:numPr>
                <w:ilvl w:val="0"/>
                <w:numId w:val="1"/>
              </w:numPr>
              <w:spacing w:line="276" w:lineRule="auto"/>
              <w:rPr>
                <w:rFonts w:asciiTheme="minorHAnsi" w:hAnsiTheme="minorHAnsi" w:cs="Times New Roman"/>
                <w:sz w:val="22"/>
              </w:rPr>
            </w:pPr>
            <w:r w:rsidRPr="00DC50FC">
              <w:rPr>
                <w:rFonts w:asciiTheme="minorHAnsi" w:hAnsiTheme="minorHAnsi" w:cs="Times New Roman"/>
                <w:sz w:val="22"/>
              </w:rPr>
              <w:t>The outcome of the study will be an understanding of overall ad performance and potential un</w:t>
            </w:r>
            <w:r w:rsidR="008B1D2F" w:rsidRPr="00DC50FC">
              <w:rPr>
                <w:rFonts w:asciiTheme="minorHAnsi" w:hAnsiTheme="minorHAnsi" w:cs="Times New Roman"/>
                <w:sz w:val="22"/>
              </w:rPr>
              <w:t xml:space="preserve">intended consequences for FDA’s </w:t>
            </w:r>
            <w:r w:rsidR="00F7365B" w:rsidRPr="00F7365B">
              <w:rPr>
                <w:rFonts w:asciiTheme="minorHAnsi" w:hAnsiTheme="minorHAnsi" w:cs="Times New Roman"/>
                <w:i/>
                <w:sz w:val="22"/>
              </w:rPr>
              <w:t>The Real Cost</w:t>
            </w:r>
            <w:r w:rsidR="00C53348" w:rsidRPr="00DC50FC">
              <w:rPr>
                <w:rFonts w:asciiTheme="minorHAnsi" w:hAnsiTheme="minorHAnsi" w:cs="Times New Roman"/>
                <w:sz w:val="22"/>
              </w:rPr>
              <w:t xml:space="preserve"> </w:t>
            </w:r>
            <w:r w:rsidR="00141386">
              <w:rPr>
                <w:rFonts w:asciiTheme="minorHAnsi" w:hAnsiTheme="minorHAnsi" w:cs="Times New Roman"/>
                <w:sz w:val="22"/>
              </w:rPr>
              <w:t>c</w:t>
            </w:r>
            <w:r w:rsidR="00C53348" w:rsidRPr="00DC50FC">
              <w:rPr>
                <w:rFonts w:asciiTheme="minorHAnsi" w:hAnsiTheme="minorHAnsi" w:cs="Times New Roman"/>
                <w:sz w:val="22"/>
              </w:rPr>
              <w:t>ampaign</w:t>
            </w:r>
            <w:r w:rsidRPr="00DC50FC">
              <w:rPr>
                <w:rFonts w:asciiTheme="minorHAnsi" w:hAnsiTheme="minorHAnsi" w:cs="Times New Roman"/>
                <w:sz w:val="22"/>
              </w:rPr>
              <w:t xml:space="preserve">. Understanding </w:t>
            </w:r>
            <w:r w:rsidR="00AB0ADA" w:rsidRPr="00DC50FC">
              <w:rPr>
                <w:rFonts w:asciiTheme="minorHAnsi" w:hAnsiTheme="minorHAnsi" w:cs="Times New Roman"/>
                <w:sz w:val="22"/>
              </w:rPr>
              <w:t xml:space="preserve">the target audience’s </w:t>
            </w:r>
            <w:r w:rsidRPr="00DC50FC">
              <w:rPr>
                <w:rFonts w:asciiTheme="minorHAnsi" w:hAnsiTheme="minorHAnsi" w:cs="Times New Roman"/>
                <w:sz w:val="22"/>
              </w:rPr>
              <w:t>receptivity of these video ads</w:t>
            </w:r>
            <w:r w:rsidR="000B52FA" w:rsidRPr="00DC50FC">
              <w:rPr>
                <w:rFonts w:asciiTheme="minorHAnsi" w:hAnsiTheme="minorHAnsi" w:cs="Times New Roman"/>
                <w:sz w:val="22"/>
              </w:rPr>
              <w:t xml:space="preserve"> and possible unintended consequences with these ads among adults</w:t>
            </w:r>
            <w:r w:rsidRPr="00DC50FC">
              <w:rPr>
                <w:rFonts w:asciiTheme="minorHAnsi" w:hAnsiTheme="minorHAnsi" w:cs="Times New Roman"/>
                <w:sz w:val="22"/>
              </w:rPr>
              <w:t xml:space="preserve"> can help optimize messaging</w:t>
            </w:r>
            <w:r w:rsidR="008B1D2F" w:rsidRPr="00DC50FC">
              <w:rPr>
                <w:rFonts w:asciiTheme="minorHAnsi" w:hAnsiTheme="minorHAnsi" w:cs="Times New Roman"/>
                <w:sz w:val="22"/>
              </w:rPr>
              <w:t xml:space="preserve"> </w:t>
            </w:r>
            <w:r w:rsidR="000B52FA" w:rsidRPr="00DC50FC">
              <w:rPr>
                <w:rFonts w:asciiTheme="minorHAnsi" w:hAnsiTheme="minorHAnsi" w:cs="Times New Roman"/>
                <w:sz w:val="22"/>
              </w:rPr>
              <w:t xml:space="preserve">for FDA’s </w:t>
            </w:r>
            <w:r w:rsidR="00F7365B" w:rsidRPr="00F7365B">
              <w:rPr>
                <w:rFonts w:asciiTheme="minorHAnsi" w:hAnsiTheme="minorHAnsi" w:cs="Times New Roman"/>
                <w:i/>
                <w:sz w:val="22"/>
              </w:rPr>
              <w:t>The Real Cost</w:t>
            </w:r>
            <w:r w:rsidR="000B52FA" w:rsidRPr="00DC50FC">
              <w:rPr>
                <w:rFonts w:asciiTheme="minorHAnsi" w:hAnsiTheme="minorHAnsi" w:cs="Times New Roman"/>
                <w:sz w:val="22"/>
              </w:rPr>
              <w:t xml:space="preserve"> campaign</w:t>
            </w:r>
            <w:r w:rsidRPr="00DC50FC">
              <w:rPr>
                <w:rFonts w:asciiTheme="minorHAnsi" w:hAnsiTheme="minorHAnsi" w:cs="Times New Roman"/>
                <w:sz w:val="22"/>
              </w:rPr>
              <w:t>.</w:t>
            </w:r>
            <w:r w:rsidRPr="00DC50FC">
              <w:rPr>
                <w:rFonts w:asciiTheme="minorHAnsi" w:hAnsiTheme="minorHAnsi" w:cs="Times New Roman"/>
                <w:sz w:val="22"/>
              </w:rPr>
              <w:br/>
            </w:r>
          </w:p>
          <w:p w14:paraId="55A0BCBA" w14:textId="037C57F2" w:rsidR="000928AE" w:rsidRPr="00DC50FC" w:rsidRDefault="00AB0ADA" w:rsidP="000C5CD3">
            <w:pPr>
              <w:pStyle w:val="ListParagraph"/>
              <w:numPr>
                <w:ilvl w:val="0"/>
                <w:numId w:val="1"/>
              </w:numPr>
              <w:spacing w:line="276" w:lineRule="auto"/>
              <w:rPr>
                <w:rFonts w:asciiTheme="minorHAnsi" w:hAnsiTheme="minorHAnsi" w:cs="Times New Roman"/>
                <w:sz w:val="22"/>
              </w:rPr>
            </w:pPr>
            <w:r w:rsidRPr="00DC50FC">
              <w:rPr>
                <w:rFonts w:asciiTheme="minorHAnsi" w:eastAsia="Times New Roman" w:hAnsiTheme="minorHAnsi" w:cs="Times New Roman"/>
                <w:sz w:val="22"/>
              </w:rPr>
              <w:t xml:space="preserve">The resulting data will be analyzed using conventional tabulation techniques for quantitative data. Qualitative analysis of open-ended items will also be conducted. The study questions collect information about </w:t>
            </w:r>
            <w:r w:rsidR="000B52FA" w:rsidRPr="00DC50FC">
              <w:rPr>
                <w:rFonts w:asciiTheme="minorHAnsi" w:eastAsia="Times New Roman" w:hAnsiTheme="minorHAnsi" w:cs="Times New Roman"/>
                <w:sz w:val="22"/>
              </w:rPr>
              <w:t xml:space="preserve">respondents’ reactions to </w:t>
            </w:r>
            <w:r w:rsidRPr="00DC50FC">
              <w:rPr>
                <w:rFonts w:asciiTheme="minorHAnsi" w:eastAsia="Times New Roman" w:hAnsiTheme="minorHAnsi" w:cs="Times New Roman"/>
                <w:sz w:val="22"/>
              </w:rPr>
              <w:t xml:space="preserve">video ads for FDA’s </w:t>
            </w:r>
            <w:r w:rsidR="00F7365B" w:rsidRPr="00F7365B">
              <w:rPr>
                <w:rFonts w:asciiTheme="minorHAnsi" w:eastAsia="Times New Roman" w:hAnsiTheme="minorHAnsi" w:cs="Times New Roman"/>
                <w:i/>
                <w:sz w:val="22"/>
              </w:rPr>
              <w:t>The Real Cost</w:t>
            </w:r>
            <w:r w:rsidR="000B52FA" w:rsidRPr="00DC50FC">
              <w:rPr>
                <w:rFonts w:asciiTheme="minorHAnsi" w:eastAsia="Times New Roman" w:hAnsiTheme="minorHAnsi" w:cs="Times New Roman"/>
                <w:sz w:val="22"/>
              </w:rPr>
              <w:t xml:space="preserve"> campaign </w:t>
            </w:r>
            <w:r w:rsidRPr="00DC50FC">
              <w:rPr>
                <w:rFonts w:asciiTheme="minorHAnsi" w:eastAsia="Times New Roman" w:hAnsiTheme="minorHAnsi" w:cs="Times New Roman"/>
                <w:sz w:val="22"/>
              </w:rPr>
              <w:t>and also include basic demographic and tobacco use information in order to understand whether and how these factors may influence individuals’ responses to the video ads.</w:t>
            </w:r>
            <w:r w:rsidR="00DA11D0" w:rsidRPr="00DC50FC">
              <w:rPr>
                <w:rFonts w:asciiTheme="minorHAnsi" w:eastAsia="Times New Roman" w:hAnsiTheme="minorHAnsi" w:cs="Times New Roman"/>
                <w:sz w:val="22"/>
              </w:rPr>
              <w:br/>
            </w:r>
          </w:p>
          <w:p w14:paraId="18DD7733" w14:textId="36ABF582" w:rsidR="00DA11D0" w:rsidRPr="00DC50FC" w:rsidRDefault="00DA11D0" w:rsidP="00316BEC">
            <w:pPr>
              <w:pStyle w:val="ListParagraph"/>
              <w:numPr>
                <w:ilvl w:val="0"/>
                <w:numId w:val="1"/>
              </w:numPr>
              <w:spacing w:line="276" w:lineRule="auto"/>
              <w:rPr>
                <w:rFonts w:asciiTheme="minorHAnsi" w:hAnsiTheme="minorHAnsi" w:cs="Times New Roman"/>
                <w:sz w:val="24"/>
                <w:szCs w:val="24"/>
              </w:rPr>
            </w:pPr>
            <w:r w:rsidRPr="00DC50FC">
              <w:rPr>
                <w:rFonts w:asciiTheme="minorHAnsi" w:eastAsia="Times New Roman" w:hAnsiTheme="minorHAnsi" w:cs="Times New Roman"/>
                <w:b/>
                <w:sz w:val="24"/>
                <w:szCs w:val="24"/>
              </w:rPr>
              <w:t xml:space="preserve">REQUESTED </w:t>
            </w:r>
            <w:r w:rsidRPr="009E1943">
              <w:rPr>
                <w:rFonts w:asciiTheme="minorHAnsi" w:eastAsia="Times New Roman" w:hAnsiTheme="minorHAnsi" w:cs="Times New Roman"/>
                <w:b/>
                <w:sz w:val="24"/>
                <w:szCs w:val="24"/>
              </w:rPr>
              <w:t xml:space="preserve">APPROVAL DATE: </w:t>
            </w:r>
            <w:r w:rsidR="009E1943">
              <w:rPr>
                <w:rFonts w:asciiTheme="minorHAnsi" w:eastAsia="Times New Roman" w:hAnsiTheme="minorHAnsi" w:cs="Times New Roman"/>
                <w:b/>
                <w:sz w:val="24"/>
                <w:szCs w:val="24"/>
              </w:rPr>
              <w:t>June 1</w:t>
            </w:r>
            <w:r w:rsidR="009E1943" w:rsidRPr="009E1943">
              <w:rPr>
                <w:rFonts w:asciiTheme="minorHAnsi" w:eastAsia="Times New Roman" w:hAnsiTheme="minorHAnsi" w:cs="Times New Roman"/>
                <w:b/>
                <w:sz w:val="24"/>
                <w:szCs w:val="24"/>
                <w:vertAlign w:val="superscript"/>
              </w:rPr>
              <w:t>st</w:t>
            </w:r>
            <w:r w:rsidR="009E1943">
              <w:rPr>
                <w:rFonts w:asciiTheme="minorHAnsi" w:eastAsia="Times New Roman" w:hAnsiTheme="minorHAnsi" w:cs="Times New Roman"/>
                <w:b/>
                <w:sz w:val="24"/>
                <w:szCs w:val="24"/>
              </w:rPr>
              <w:t>, 2018</w:t>
            </w:r>
          </w:p>
        </w:tc>
      </w:tr>
    </w:tbl>
    <w:p w14:paraId="7BC2B7A3" w14:textId="77777777" w:rsidR="00DA11D0" w:rsidRPr="00DC50FC" w:rsidRDefault="00DA11D0" w:rsidP="000C5CD3">
      <w:pPr>
        <w:rPr>
          <w:rFonts w:cs="Times New Roman"/>
          <w:b/>
          <w:u w:val="single"/>
        </w:rPr>
      </w:pPr>
    </w:p>
    <w:p w14:paraId="11062C39" w14:textId="5A148614" w:rsidR="008A7737" w:rsidRPr="00DC50FC" w:rsidRDefault="008A7737" w:rsidP="000C5CD3">
      <w:pPr>
        <w:rPr>
          <w:rFonts w:cs="Times New Roman"/>
          <w:b/>
          <w:u w:val="single"/>
        </w:rPr>
      </w:pPr>
      <w:r w:rsidRPr="00DC50FC">
        <w:rPr>
          <w:rFonts w:cs="Times New Roman"/>
          <w:b/>
          <w:u w:val="single"/>
        </w:rPr>
        <w:t>Data Collection Instruments</w:t>
      </w:r>
    </w:p>
    <w:p w14:paraId="6068A573" w14:textId="2284FF45" w:rsidR="008A7737" w:rsidRPr="00DC50FC" w:rsidRDefault="008A7737" w:rsidP="000C5CD3">
      <w:pPr>
        <w:pStyle w:val="ListParagraph"/>
        <w:numPr>
          <w:ilvl w:val="0"/>
          <w:numId w:val="2"/>
        </w:numPr>
        <w:rPr>
          <w:rFonts w:asciiTheme="minorHAnsi" w:hAnsiTheme="minorHAnsi" w:cs="Times New Roman"/>
          <w:szCs w:val="24"/>
        </w:rPr>
      </w:pPr>
      <w:r w:rsidRPr="00DC50FC">
        <w:rPr>
          <w:rFonts w:asciiTheme="minorHAnsi" w:hAnsiTheme="minorHAnsi" w:cs="Times New Roman"/>
          <w:szCs w:val="24"/>
        </w:rPr>
        <w:t xml:space="preserve">Attachment A: </w:t>
      </w:r>
      <w:r w:rsidR="00DC50FC">
        <w:rPr>
          <w:rFonts w:asciiTheme="minorHAnsi" w:hAnsiTheme="minorHAnsi" w:cs="Times New Roman"/>
          <w:szCs w:val="24"/>
        </w:rPr>
        <w:t xml:space="preserve">Youth </w:t>
      </w:r>
      <w:r w:rsidRPr="00DC50FC">
        <w:rPr>
          <w:rFonts w:asciiTheme="minorHAnsi" w:hAnsiTheme="minorHAnsi" w:cs="Times New Roman"/>
          <w:szCs w:val="24"/>
        </w:rPr>
        <w:t>Screener</w:t>
      </w:r>
    </w:p>
    <w:p w14:paraId="6341D148" w14:textId="6C6DBBDB" w:rsidR="00DC50FC" w:rsidRDefault="008A7737" w:rsidP="000C5CD3">
      <w:pPr>
        <w:pStyle w:val="ListParagraph"/>
        <w:numPr>
          <w:ilvl w:val="0"/>
          <w:numId w:val="2"/>
        </w:numPr>
        <w:rPr>
          <w:rFonts w:asciiTheme="minorHAnsi" w:hAnsiTheme="minorHAnsi" w:cs="Times New Roman"/>
          <w:szCs w:val="24"/>
        </w:rPr>
      </w:pPr>
      <w:r w:rsidRPr="00DC50FC">
        <w:rPr>
          <w:rFonts w:asciiTheme="minorHAnsi" w:hAnsiTheme="minorHAnsi" w:cs="Times New Roman"/>
          <w:szCs w:val="24"/>
        </w:rPr>
        <w:t xml:space="preserve">Attachment B: </w:t>
      </w:r>
      <w:r w:rsidR="00DC50FC">
        <w:rPr>
          <w:rFonts w:asciiTheme="minorHAnsi" w:hAnsiTheme="minorHAnsi" w:cs="Times New Roman"/>
          <w:szCs w:val="24"/>
        </w:rPr>
        <w:t>Adult Screener</w:t>
      </w:r>
    </w:p>
    <w:p w14:paraId="2419E58E" w14:textId="48CCA809" w:rsidR="008A7737" w:rsidRDefault="00DC50FC" w:rsidP="000C5CD3">
      <w:pPr>
        <w:pStyle w:val="ListParagraph"/>
        <w:numPr>
          <w:ilvl w:val="0"/>
          <w:numId w:val="2"/>
        </w:numPr>
        <w:rPr>
          <w:rFonts w:asciiTheme="minorHAnsi" w:hAnsiTheme="minorHAnsi" w:cs="Times New Roman"/>
          <w:szCs w:val="24"/>
        </w:rPr>
      </w:pPr>
      <w:r>
        <w:rPr>
          <w:rFonts w:asciiTheme="minorHAnsi" w:hAnsiTheme="minorHAnsi" w:cs="Times New Roman"/>
          <w:szCs w:val="24"/>
        </w:rPr>
        <w:t xml:space="preserve">Attachment C: Youth </w:t>
      </w:r>
      <w:r w:rsidR="008A7737" w:rsidRPr="00DC50FC">
        <w:rPr>
          <w:rFonts w:asciiTheme="minorHAnsi" w:hAnsiTheme="minorHAnsi" w:cs="Times New Roman"/>
          <w:szCs w:val="24"/>
        </w:rPr>
        <w:t>Questionnaire</w:t>
      </w:r>
    </w:p>
    <w:p w14:paraId="6E573543" w14:textId="22A33CEF" w:rsidR="00DC50FC" w:rsidRPr="00DC50FC" w:rsidRDefault="00DC50FC" w:rsidP="000C5CD3">
      <w:pPr>
        <w:pStyle w:val="ListParagraph"/>
        <w:numPr>
          <w:ilvl w:val="0"/>
          <w:numId w:val="2"/>
        </w:numPr>
        <w:rPr>
          <w:rFonts w:asciiTheme="minorHAnsi" w:hAnsiTheme="minorHAnsi" w:cs="Times New Roman"/>
          <w:szCs w:val="24"/>
        </w:rPr>
      </w:pPr>
      <w:r>
        <w:rPr>
          <w:rFonts w:asciiTheme="minorHAnsi" w:hAnsiTheme="minorHAnsi" w:cs="Times New Roman"/>
          <w:szCs w:val="24"/>
        </w:rPr>
        <w:t>Attachment D: Ault Questionnaire</w:t>
      </w:r>
    </w:p>
    <w:p w14:paraId="55B594F6" w14:textId="77777777" w:rsidR="008A7737" w:rsidRPr="00DC50FC" w:rsidRDefault="008A7737" w:rsidP="000C5CD3">
      <w:pPr>
        <w:rPr>
          <w:rFonts w:cs="Times New Roman"/>
        </w:rPr>
      </w:pPr>
    </w:p>
    <w:p w14:paraId="7012B2A4" w14:textId="7C98D81B" w:rsidR="008A7737" w:rsidRPr="00DC50FC" w:rsidRDefault="008A7737" w:rsidP="000C5CD3">
      <w:pPr>
        <w:rPr>
          <w:rFonts w:cs="Times New Roman"/>
          <w:b/>
          <w:u w:val="single"/>
        </w:rPr>
      </w:pPr>
      <w:r w:rsidRPr="00DC50FC">
        <w:rPr>
          <w:rFonts w:cs="Times New Roman"/>
          <w:b/>
          <w:u w:val="single"/>
        </w:rPr>
        <w:t xml:space="preserve">Participant </w:t>
      </w:r>
      <w:r w:rsidR="00BD4D87" w:rsidRPr="00DC50FC">
        <w:rPr>
          <w:rFonts w:cs="Times New Roman"/>
          <w:b/>
          <w:u w:val="single"/>
        </w:rPr>
        <w:t>Assent/Consent</w:t>
      </w:r>
      <w:r w:rsidRPr="00DC50FC">
        <w:rPr>
          <w:rFonts w:cs="Times New Roman"/>
          <w:b/>
          <w:u w:val="single"/>
        </w:rPr>
        <w:t xml:space="preserve"> &amp; Parental Opt-Out Forms</w:t>
      </w:r>
    </w:p>
    <w:p w14:paraId="185C4294" w14:textId="702335CB" w:rsidR="008A7737" w:rsidRPr="00DC50FC" w:rsidRDefault="00DC50FC" w:rsidP="000C5CD3">
      <w:pPr>
        <w:pStyle w:val="ListParagraph"/>
        <w:numPr>
          <w:ilvl w:val="0"/>
          <w:numId w:val="4"/>
        </w:numPr>
        <w:rPr>
          <w:rFonts w:asciiTheme="minorHAnsi" w:hAnsiTheme="minorHAnsi" w:cs="Times New Roman"/>
          <w:b/>
          <w:szCs w:val="24"/>
          <w:u w:val="single"/>
        </w:rPr>
      </w:pPr>
      <w:r>
        <w:rPr>
          <w:rFonts w:asciiTheme="minorHAnsi" w:hAnsiTheme="minorHAnsi" w:cs="Times New Roman"/>
          <w:szCs w:val="24"/>
        </w:rPr>
        <w:t>Attachment E</w:t>
      </w:r>
      <w:r w:rsidR="008A7737" w:rsidRPr="00DC50FC">
        <w:rPr>
          <w:rFonts w:asciiTheme="minorHAnsi" w:hAnsiTheme="minorHAnsi" w:cs="Times New Roman"/>
          <w:szCs w:val="24"/>
        </w:rPr>
        <w:t xml:space="preserve"> Parental </w:t>
      </w:r>
      <w:r w:rsidR="00141386">
        <w:rPr>
          <w:rFonts w:asciiTheme="minorHAnsi" w:hAnsiTheme="minorHAnsi" w:cs="Times New Roman"/>
          <w:szCs w:val="24"/>
        </w:rPr>
        <w:t xml:space="preserve">Notification and </w:t>
      </w:r>
      <w:r w:rsidR="008A7737" w:rsidRPr="00DC50FC">
        <w:rPr>
          <w:rFonts w:asciiTheme="minorHAnsi" w:hAnsiTheme="minorHAnsi" w:cs="Times New Roman"/>
          <w:szCs w:val="24"/>
        </w:rPr>
        <w:t>Opt-Out Form</w:t>
      </w:r>
    </w:p>
    <w:p w14:paraId="7D42F429" w14:textId="74A254CE" w:rsidR="008A7737" w:rsidRPr="00DC50FC" w:rsidRDefault="00DC50FC" w:rsidP="000C5CD3">
      <w:pPr>
        <w:pStyle w:val="ListParagraph"/>
        <w:numPr>
          <w:ilvl w:val="0"/>
          <w:numId w:val="4"/>
        </w:numPr>
        <w:rPr>
          <w:rFonts w:asciiTheme="minorHAnsi" w:hAnsiTheme="minorHAnsi" w:cs="Times New Roman"/>
          <w:b/>
          <w:szCs w:val="24"/>
          <w:u w:val="single"/>
        </w:rPr>
      </w:pPr>
      <w:r>
        <w:rPr>
          <w:rFonts w:asciiTheme="minorHAnsi" w:hAnsiTheme="minorHAnsi" w:cs="Times New Roman"/>
          <w:szCs w:val="24"/>
        </w:rPr>
        <w:t>Attachment F</w:t>
      </w:r>
      <w:r w:rsidR="008A7737" w:rsidRPr="00DC50FC">
        <w:rPr>
          <w:rFonts w:asciiTheme="minorHAnsi" w:hAnsiTheme="minorHAnsi" w:cs="Times New Roman"/>
          <w:szCs w:val="24"/>
        </w:rPr>
        <w:t xml:space="preserve">: </w:t>
      </w:r>
      <w:r w:rsidR="00141386">
        <w:rPr>
          <w:rFonts w:asciiTheme="minorHAnsi" w:hAnsiTheme="minorHAnsi" w:cs="Times New Roman"/>
          <w:szCs w:val="24"/>
        </w:rPr>
        <w:t>Youth</w:t>
      </w:r>
      <w:r w:rsidR="00141386" w:rsidRPr="00DC50FC">
        <w:rPr>
          <w:rFonts w:asciiTheme="minorHAnsi" w:hAnsiTheme="minorHAnsi" w:cs="Times New Roman"/>
          <w:szCs w:val="24"/>
        </w:rPr>
        <w:t xml:space="preserve"> </w:t>
      </w:r>
      <w:r>
        <w:rPr>
          <w:rFonts w:asciiTheme="minorHAnsi" w:hAnsiTheme="minorHAnsi" w:cs="Times New Roman"/>
          <w:szCs w:val="24"/>
        </w:rPr>
        <w:t xml:space="preserve">Assent </w:t>
      </w:r>
      <w:r w:rsidR="008A7737" w:rsidRPr="00DC50FC">
        <w:rPr>
          <w:rFonts w:asciiTheme="minorHAnsi" w:hAnsiTheme="minorHAnsi" w:cs="Times New Roman"/>
          <w:szCs w:val="24"/>
        </w:rPr>
        <w:t>Form</w:t>
      </w:r>
    </w:p>
    <w:p w14:paraId="476D4BF6" w14:textId="0E479199" w:rsidR="00AB0ADA" w:rsidRPr="00DC50FC" w:rsidRDefault="00DC50FC" w:rsidP="000C5CD3">
      <w:pPr>
        <w:pStyle w:val="ListParagraph"/>
        <w:numPr>
          <w:ilvl w:val="0"/>
          <w:numId w:val="4"/>
        </w:numPr>
        <w:rPr>
          <w:rFonts w:asciiTheme="minorHAnsi" w:hAnsiTheme="minorHAnsi" w:cs="Times New Roman"/>
          <w:b/>
          <w:szCs w:val="24"/>
          <w:u w:val="single"/>
        </w:rPr>
      </w:pPr>
      <w:r>
        <w:rPr>
          <w:rFonts w:asciiTheme="minorHAnsi" w:hAnsiTheme="minorHAnsi" w:cs="Times New Roman"/>
          <w:szCs w:val="24"/>
        </w:rPr>
        <w:t>Attachment G</w:t>
      </w:r>
      <w:r w:rsidR="00AB0ADA" w:rsidRPr="00DC50FC">
        <w:rPr>
          <w:rFonts w:asciiTheme="minorHAnsi" w:hAnsiTheme="minorHAnsi" w:cs="Times New Roman"/>
          <w:szCs w:val="24"/>
        </w:rPr>
        <w:t xml:space="preserve">: </w:t>
      </w:r>
      <w:r w:rsidR="00A117A5" w:rsidRPr="00DC50FC">
        <w:rPr>
          <w:rFonts w:asciiTheme="minorHAnsi" w:hAnsiTheme="minorHAnsi" w:cs="Times New Roman"/>
          <w:szCs w:val="24"/>
        </w:rPr>
        <w:t xml:space="preserve">Adult </w:t>
      </w:r>
      <w:r w:rsidR="00141386">
        <w:rPr>
          <w:rFonts w:asciiTheme="minorHAnsi" w:hAnsiTheme="minorHAnsi" w:cs="Times New Roman"/>
          <w:szCs w:val="24"/>
        </w:rPr>
        <w:t xml:space="preserve">Participant </w:t>
      </w:r>
      <w:r w:rsidR="00A117A5" w:rsidRPr="00DC50FC">
        <w:rPr>
          <w:rFonts w:asciiTheme="minorHAnsi" w:hAnsiTheme="minorHAnsi" w:cs="Times New Roman"/>
          <w:szCs w:val="24"/>
        </w:rPr>
        <w:t>Consent Form</w:t>
      </w:r>
    </w:p>
    <w:p w14:paraId="1D7A8759" w14:textId="77777777" w:rsidR="008A7737" w:rsidRPr="00DC50FC" w:rsidRDefault="008A7737" w:rsidP="000C5CD3">
      <w:pPr>
        <w:rPr>
          <w:rFonts w:cs="Times New Roman"/>
          <w:b/>
          <w:u w:val="single"/>
        </w:rPr>
      </w:pPr>
    </w:p>
    <w:p w14:paraId="6C0A6F9A" w14:textId="67685C81" w:rsidR="00DC50FC" w:rsidRPr="00DC50FC" w:rsidRDefault="00A117A5" w:rsidP="000C5CD3">
      <w:pPr>
        <w:rPr>
          <w:rFonts w:cs="Times New Roman"/>
          <w:b/>
          <w:u w:val="single"/>
        </w:rPr>
      </w:pPr>
      <w:r w:rsidRPr="00DC50FC">
        <w:rPr>
          <w:rFonts w:cs="Times New Roman"/>
          <w:b/>
          <w:u w:val="single"/>
        </w:rPr>
        <w:t>Additional Materials</w:t>
      </w:r>
    </w:p>
    <w:p w14:paraId="5210DC70" w14:textId="30785E82" w:rsidR="00DC50FC" w:rsidRPr="00DC50FC" w:rsidRDefault="00DA11D0" w:rsidP="00BB44C4">
      <w:pPr>
        <w:pStyle w:val="ListParagraph"/>
        <w:numPr>
          <w:ilvl w:val="0"/>
          <w:numId w:val="5"/>
        </w:numPr>
        <w:rPr>
          <w:rFonts w:asciiTheme="minorHAnsi" w:hAnsiTheme="minorHAnsi" w:cs="Times New Roman"/>
          <w:b/>
          <w:szCs w:val="24"/>
          <w:u w:val="single"/>
        </w:rPr>
      </w:pPr>
      <w:r w:rsidRPr="00DC50FC">
        <w:rPr>
          <w:rFonts w:asciiTheme="minorHAnsi" w:hAnsiTheme="minorHAnsi" w:cs="Times New Roman"/>
          <w:szCs w:val="24"/>
        </w:rPr>
        <w:t xml:space="preserve">Attachment </w:t>
      </w:r>
      <w:r w:rsidR="00DC50FC">
        <w:rPr>
          <w:rFonts w:asciiTheme="minorHAnsi" w:hAnsiTheme="minorHAnsi" w:cs="Times New Roman"/>
          <w:szCs w:val="24"/>
        </w:rPr>
        <w:t>H</w:t>
      </w:r>
      <w:r w:rsidRPr="00DC50FC">
        <w:rPr>
          <w:rFonts w:asciiTheme="minorHAnsi" w:hAnsiTheme="minorHAnsi" w:cs="Times New Roman"/>
          <w:szCs w:val="24"/>
        </w:rPr>
        <w:t xml:space="preserve">: </w:t>
      </w:r>
      <w:r w:rsidR="00DC50FC" w:rsidRPr="00DC50FC">
        <w:rPr>
          <w:rFonts w:asciiTheme="minorHAnsi" w:hAnsiTheme="minorHAnsi" w:cs="Times New Roman"/>
          <w:szCs w:val="24"/>
        </w:rPr>
        <w:t>Stimuli</w:t>
      </w:r>
    </w:p>
    <w:p w14:paraId="1201C891" w14:textId="2A66CE12" w:rsidR="00DA11D0" w:rsidRPr="00DC50FC" w:rsidRDefault="00DC50FC" w:rsidP="00BB44C4">
      <w:pPr>
        <w:pStyle w:val="ListParagraph"/>
        <w:numPr>
          <w:ilvl w:val="0"/>
          <w:numId w:val="5"/>
        </w:numPr>
        <w:rPr>
          <w:rFonts w:asciiTheme="minorHAnsi" w:hAnsiTheme="minorHAnsi" w:cs="Times New Roman"/>
          <w:b/>
          <w:szCs w:val="24"/>
          <w:u w:val="single"/>
        </w:rPr>
      </w:pPr>
      <w:r>
        <w:rPr>
          <w:rFonts w:asciiTheme="minorHAnsi" w:hAnsiTheme="minorHAnsi" w:cs="Times New Roman"/>
          <w:szCs w:val="24"/>
        </w:rPr>
        <w:t>Attachment I</w:t>
      </w:r>
      <w:r w:rsidRPr="00DC50FC">
        <w:rPr>
          <w:rFonts w:asciiTheme="minorHAnsi" w:hAnsiTheme="minorHAnsi" w:cs="Times New Roman"/>
          <w:szCs w:val="24"/>
        </w:rPr>
        <w:t xml:space="preserve">: </w:t>
      </w:r>
      <w:r w:rsidR="00DA11D0" w:rsidRPr="00DC50FC">
        <w:rPr>
          <w:rFonts w:asciiTheme="minorHAnsi" w:hAnsiTheme="minorHAnsi" w:cs="Times New Roman"/>
          <w:szCs w:val="24"/>
        </w:rPr>
        <w:t>IRB Approval Letter</w:t>
      </w:r>
    </w:p>
    <w:p w14:paraId="60C2E74A" w14:textId="77777777" w:rsidR="008A7737" w:rsidRPr="00DC50FC" w:rsidRDefault="008A7737" w:rsidP="000C5CD3">
      <w:pPr>
        <w:rPr>
          <w:rFonts w:cs="Times New Roman"/>
          <w:b/>
          <w:u w:val="single"/>
        </w:rPr>
      </w:pPr>
    </w:p>
    <w:p w14:paraId="62CF8054" w14:textId="4D7AF9CC" w:rsidR="008A7737" w:rsidRPr="00DC50FC" w:rsidRDefault="008A7737" w:rsidP="000C5CD3">
      <w:pPr>
        <w:rPr>
          <w:rFonts w:cs="Times New Roman"/>
          <w:b/>
          <w:u w:val="single"/>
        </w:rPr>
      </w:pPr>
      <w:r w:rsidRPr="00DC50FC">
        <w:rPr>
          <w:rFonts w:cs="Times New Roman"/>
          <w:b/>
          <w:u w:val="single"/>
        </w:rPr>
        <w:br w:type="page"/>
      </w:r>
    </w:p>
    <w:p w14:paraId="7B479322" w14:textId="316263E6" w:rsidR="00D720D4" w:rsidRPr="00DC50FC" w:rsidRDefault="00F7365B" w:rsidP="00D720D4">
      <w:pPr>
        <w:widowControl w:val="0"/>
        <w:autoSpaceDE w:val="0"/>
        <w:autoSpaceDN w:val="0"/>
        <w:adjustRightInd w:val="0"/>
        <w:rPr>
          <w:rFonts w:cs="Arial"/>
          <w:b/>
          <w:bCs/>
          <w:szCs w:val="22"/>
        </w:rPr>
      </w:pPr>
      <w:r w:rsidRPr="00F7365B">
        <w:rPr>
          <w:rFonts w:cs="Arial"/>
          <w:b/>
          <w:bCs/>
          <w:i/>
          <w:szCs w:val="22"/>
        </w:rPr>
        <w:lastRenderedPageBreak/>
        <w:t>The Real Cost</w:t>
      </w:r>
      <w:r w:rsidR="00D720D4" w:rsidRPr="00DC50FC">
        <w:rPr>
          <w:rFonts w:cs="Arial"/>
          <w:b/>
          <w:bCs/>
          <w:szCs w:val="22"/>
        </w:rPr>
        <w:t xml:space="preserve"> Campaign: Online Quantitative Study of Reactions to Rough-Cut Advertising Designed to Prevent Youth Tobacco Use</w:t>
      </w:r>
    </w:p>
    <w:p w14:paraId="602CC137" w14:textId="77777777" w:rsidR="008A7737" w:rsidRPr="00DC50FC" w:rsidRDefault="008A7737" w:rsidP="000C5CD3">
      <w:pPr>
        <w:rPr>
          <w:rFonts w:eastAsia="Times New Roman" w:cs="Times New Roman"/>
        </w:rPr>
      </w:pPr>
    </w:p>
    <w:p w14:paraId="2FFD31D3" w14:textId="1268B0E8" w:rsidR="008A7737" w:rsidRPr="00DC50FC" w:rsidRDefault="008A7737" w:rsidP="009C6AAC">
      <w:pPr>
        <w:jc w:val="center"/>
        <w:rPr>
          <w:rFonts w:eastAsia="Times New Roman" w:cs="Times New Roman"/>
        </w:rPr>
      </w:pPr>
      <w:r w:rsidRPr="00DC50FC">
        <w:rPr>
          <w:rFonts w:eastAsia="Times New Roman" w:cs="Times New Roman"/>
        </w:rPr>
        <w:t>0910-0</w:t>
      </w:r>
      <w:r w:rsidR="005E4E8F" w:rsidRPr="00DC50FC">
        <w:rPr>
          <w:rFonts w:eastAsia="Times New Roman" w:cs="Times New Roman"/>
        </w:rPr>
        <w:t>810</w:t>
      </w:r>
    </w:p>
    <w:p w14:paraId="01CDD471" w14:textId="77777777" w:rsidR="008A7737" w:rsidRPr="00DC50FC" w:rsidRDefault="008A7737" w:rsidP="009C6AAC">
      <w:pPr>
        <w:jc w:val="center"/>
        <w:rPr>
          <w:rFonts w:cs="Times New Roman"/>
          <w:b/>
          <w:u w:val="single"/>
        </w:rPr>
      </w:pPr>
    </w:p>
    <w:p w14:paraId="40A494C9" w14:textId="675DB1B4" w:rsidR="008A7737" w:rsidRPr="00DC50FC" w:rsidRDefault="008A7737" w:rsidP="009C6AAC">
      <w:pPr>
        <w:keepNext/>
        <w:spacing w:before="120" w:after="120"/>
        <w:jc w:val="center"/>
        <w:outlineLvl w:val="0"/>
        <w:rPr>
          <w:rFonts w:eastAsia="Times New Roman" w:cs="Times New Roman"/>
          <w:b/>
          <w:bCs/>
          <w:caps/>
        </w:rPr>
      </w:pPr>
      <w:bookmarkStart w:id="1" w:name="_Toc365038358"/>
      <w:bookmarkStart w:id="2" w:name="_Toc365473622"/>
      <w:r w:rsidRPr="00DC50FC">
        <w:rPr>
          <w:rFonts w:eastAsia="Times New Roman" w:cs="Times New Roman"/>
          <w:b/>
          <w:bCs/>
          <w:caps/>
        </w:rPr>
        <w:t>SUPPORTING STATEMENT</w:t>
      </w:r>
      <w:bookmarkEnd w:id="1"/>
      <w:bookmarkEnd w:id="2"/>
      <w:r w:rsidRPr="00DC50FC">
        <w:rPr>
          <w:rFonts w:eastAsia="Times New Roman" w:cs="Times New Roman"/>
          <w:b/>
          <w:bCs/>
          <w:caps/>
        </w:rPr>
        <w:t>: PART A</w:t>
      </w:r>
    </w:p>
    <w:p w14:paraId="1E0BCD11" w14:textId="77777777" w:rsidR="008A7737" w:rsidRPr="00DC50FC" w:rsidRDefault="008A7737" w:rsidP="000C5CD3">
      <w:pPr>
        <w:spacing w:before="100" w:beforeAutospacing="1" w:after="100" w:afterAutospacing="1"/>
        <w:rPr>
          <w:rFonts w:eastAsia="Times New Roman" w:cs="Times New Roman"/>
        </w:rPr>
      </w:pPr>
      <w:r w:rsidRPr="00DC50FC">
        <w:rPr>
          <w:rFonts w:eastAsia="Times New Roman" w:cs="Times New Roman"/>
          <w:b/>
          <w:bCs/>
        </w:rPr>
        <w:t>A. Justification</w:t>
      </w:r>
    </w:p>
    <w:p w14:paraId="3463B821" w14:textId="77777777" w:rsidR="002F2C04" w:rsidRPr="00DC50FC" w:rsidRDefault="002F2C04" w:rsidP="000C5CD3">
      <w:pPr>
        <w:numPr>
          <w:ilvl w:val="0"/>
          <w:numId w:val="6"/>
        </w:numPr>
        <w:spacing w:before="100" w:beforeAutospacing="1" w:after="100" w:afterAutospacing="1"/>
        <w:rPr>
          <w:rFonts w:eastAsia="Times New Roman" w:cs="Times New Roman"/>
          <w:u w:val="single"/>
        </w:rPr>
      </w:pPr>
      <w:r w:rsidRPr="00DC50FC">
        <w:rPr>
          <w:rFonts w:eastAsia="Times New Roman" w:cs="Times New Roman"/>
          <w:u w:val="single"/>
        </w:rPr>
        <w:t>Circumstances Making the Collection of Information Necessary</w:t>
      </w:r>
    </w:p>
    <w:p w14:paraId="0A9D869D" w14:textId="707A188A" w:rsidR="00A117A5" w:rsidRPr="00DC50FC" w:rsidRDefault="00A117A5" w:rsidP="00A117A5">
      <w:pPr>
        <w:pStyle w:val="Heading1"/>
        <w:rPr>
          <w:rFonts w:asciiTheme="minorHAnsi" w:hAnsiTheme="minorHAnsi"/>
        </w:rPr>
      </w:pPr>
      <w:r w:rsidRPr="00DC50FC">
        <w:rPr>
          <w:rFonts w:asciiTheme="minorHAnsi" w:hAnsiTheme="minorHAnsi"/>
        </w:rPr>
        <w:tab/>
        <w:t>Introduction</w:t>
      </w:r>
    </w:p>
    <w:p w14:paraId="0F950ECD" w14:textId="7DE290C7" w:rsidR="000B52FA" w:rsidRPr="00DC50FC" w:rsidRDefault="00A117A5" w:rsidP="00C04567">
      <w:pPr>
        <w:spacing w:after="240"/>
        <w:ind w:left="720"/>
      </w:pPr>
      <w:r w:rsidRPr="00DC50FC">
        <w:t xml:space="preserve">The Centers for Disease Control and Prevention (CDC) report that youth cigarette use </w:t>
      </w:r>
      <w:r w:rsidR="00D06B25">
        <w:t xml:space="preserve"> </w:t>
      </w:r>
      <w:r w:rsidRPr="00DC50FC">
        <w:t xml:space="preserve">declined sharply from 1997-2003, but declines have slowed in recent years (CDC, 2010). </w:t>
      </w:r>
      <w:r w:rsidR="00C04567">
        <w:t xml:space="preserve"> </w:t>
      </w:r>
      <w:r w:rsidRPr="00DC50FC">
        <w:t xml:space="preserve">Today, cigarette use continues to be a significant health risk to youth, as 8.0% of high </w:t>
      </w:r>
      <w:r w:rsidR="00C04567">
        <w:t xml:space="preserve"> </w:t>
      </w:r>
      <w:r w:rsidRPr="00DC50FC">
        <w:t xml:space="preserve">school students and 2.2% of middle school students reported current cigarette use in </w:t>
      </w:r>
      <w:r w:rsidR="00C04567">
        <w:t xml:space="preserve"> </w:t>
      </w:r>
      <w:r w:rsidRPr="00DC50FC">
        <w:t xml:space="preserve">2016 (Jamal et al., 2017). Additionally, other tobacco products such as e-cigarettes and </w:t>
      </w:r>
      <w:r w:rsidR="00C04567">
        <w:t xml:space="preserve"> </w:t>
      </w:r>
      <w:r w:rsidRPr="00DC50FC">
        <w:t xml:space="preserve">smokeless tobacco (SLT) have become increasingly common among US teens, even as </w:t>
      </w:r>
      <w:r w:rsidR="00C04567">
        <w:t xml:space="preserve"> </w:t>
      </w:r>
      <w:r w:rsidRPr="00DC50FC">
        <w:t xml:space="preserve">cigarette smoking continues to decline. Currently, smokeless tobacco is the third most </w:t>
      </w:r>
      <w:r w:rsidR="00C04567">
        <w:t xml:space="preserve"> </w:t>
      </w:r>
      <w:r w:rsidRPr="00DC50FC">
        <w:t xml:space="preserve">prevalent form of tobacco among high school students, with 860,000 students reporting </w:t>
      </w:r>
      <w:r w:rsidR="00C04567">
        <w:t xml:space="preserve"> </w:t>
      </w:r>
      <w:r w:rsidRPr="00DC50FC">
        <w:t xml:space="preserve">past 30-day SLT (chewing tobacco, snuff, dip, snus, and dissolvable tobacco) use </w:t>
      </w:r>
      <w:r w:rsidR="00C04567">
        <w:t xml:space="preserve"> </w:t>
      </w:r>
      <w:r w:rsidRPr="00DC50FC">
        <w:t xml:space="preserve">nationwide. From 2011 to 2016, the National Youth Tobacco Survey found that while </w:t>
      </w:r>
      <w:r w:rsidR="00C04567">
        <w:t xml:space="preserve"> </w:t>
      </w:r>
      <w:r w:rsidRPr="00DC50FC">
        <w:t xml:space="preserve">use of cigarettes decreased significantly among teens, increased use of other tobacco </w:t>
      </w:r>
      <w:r w:rsidR="00C04567">
        <w:t xml:space="preserve"> </w:t>
      </w:r>
      <w:r w:rsidRPr="00DC50FC">
        <w:t xml:space="preserve">products, including e-cigarettes, offset these decreases, resulting in no significant </w:t>
      </w:r>
      <w:r w:rsidR="00C04567">
        <w:t xml:space="preserve"> </w:t>
      </w:r>
      <w:r w:rsidRPr="00DC50FC">
        <w:t xml:space="preserve">change in the overall rate of any tobacco product use among teens (Jamal et al., 2017). </w:t>
      </w:r>
      <w:r w:rsidR="00C04567">
        <w:t xml:space="preserve"> </w:t>
      </w:r>
      <w:r w:rsidRPr="00DC50FC">
        <w:t xml:space="preserve">This trend indicates a need for public education campaigns designed to inform youth </w:t>
      </w:r>
      <w:r w:rsidR="00C04567">
        <w:t xml:space="preserve"> </w:t>
      </w:r>
      <w:r w:rsidRPr="00DC50FC">
        <w:t>about the harms of tobacco use.</w:t>
      </w:r>
    </w:p>
    <w:p w14:paraId="49B8F953" w14:textId="129C4991" w:rsidR="000B52FA" w:rsidRPr="00D06B25" w:rsidRDefault="00A117A5" w:rsidP="00C04567">
      <w:pPr>
        <w:spacing w:after="240"/>
        <w:ind w:left="720"/>
      </w:pPr>
      <w:r w:rsidRPr="00DC50FC">
        <w:t xml:space="preserve">On June 22, 2009, President Obama signed the Family Smoking Prevention and Tobacco </w:t>
      </w:r>
      <w:r w:rsidR="00C04567">
        <w:t xml:space="preserve"> </w:t>
      </w:r>
      <w:r w:rsidRPr="00DC50FC">
        <w:t xml:space="preserve">Control Act (FSPTCA) (Public Law 111-31) into law. The FSPTCA granted FDA important </w:t>
      </w:r>
      <w:r w:rsidR="00C04567">
        <w:t xml:space="preserve"> </w:t>
      </w:r>
      <w:r w:rsidRPr="00DC50FC">
        <w:t xml:space="preserve">new authority to regulate the manufacture, marketing, and distribution of tobacco </w:t>
      </w:r>
      <w:r w:rsidR="00C04567">
        <w:t xml:space="preserve"> </w:t>
      </w:r>
      <w:r w:rsidRPr="00DC50FC">
        <w:t xml:space="preserve">products to protect the public health generally and to reduce tobacco use by minors. </w:t>
      </w:r>
      <w:r w:rsidR="00C04567">
        <w:t xml:space="preserve"> </w:t>
      </w:r>
      <w:r w:rsidRPr="00DC50FC">
        <w:t xml:space="preserve">Part of the FDA’s responsibility is to inform the public on health-related issues. To </w:t>
      </w:r>
      <w:r w:rsidR="00C04567">
        <w:t xml:space="preserve"> </w:t>
      </w:r>
      <w:r w:rsidRPr="00DC50FC">
        <w:t xml:space="preserve">develop the appropriate messaging to inform the public, it is important for the FDA to </w:t>
      </w:r>
      <w:r w:rsidR="00C04567">
        <w:t xml:space="preserve"> </w:t>
      </w:r>
      <w:r w:rsidRPr="00DC50FC">
        <w:t xml:space="preserve">conduct research to assess youth </w:t>
      </w:r>
      <w:r w:rsidRPr="00C04567">
        <w:rPr>
          <w:rFonts w:eastAsia="Times New Roman" w:cs="Times New Roman"/>
        </w:rPr>
        <w:t>perceptions</w:t>
      </w:r>
      <w:r w:rsidRPr="00DC50FC">
        <w:t xml:space="preserve"> of tobacco prevention messaging. </w:t>
      </w:r>
      <w:r w:rsidR="00C04567">
        <w:t xml:space="preserve"> </w:t>
      </w:r>
      <w:r w:rsidRPr="00DC50FC">
        <w:t xml:space="preserve">Information obtained through this study will be used to assess the performance of ads </w:t>
      </w:r>
      <w:r w:rsidR="00C04567">
        <w:t xml:space="preserve"> </w:t>
      </w:r>
      <w:r w:rsidRPr="00DC50FC">
        <w:t xml:space="preserve">developed to reduce tobacco initiation and use among at-risk youth as part of CTP’s </w:t>
      </w:r>
      <w:r w:rsidRPr="00F7365B">
        <w:rPr>
          <w:i/>
        </w:rPr>
        <w:t xml:space="preserve">The </w:t>
      </w:r>
      <w:r w:rsidR="00C04567" w:rsidRPr="00F7365B">
        <w:rPr>
          <w:i/>
        </w:rPr>
        <w:t xml:space="preserve"> </w:t>
      </w:r>
      <w:r w:rsidRPr="00F7365B">
        <w:rPr>
          <w:i/>
        </w:rPr>
        <w:t>Real Cost</w:t>
      </w:r>
      <w:r w:rsidRPr="00D06B25">
        <w:t xml:space="preserve"> </w:t>
      </w:r>
      <w:r w:rsidR="00141386">
        <w:t>c</w:t>
      </w:r>
      <w:r w:rsidRPr="00DC50FC">
        <w:t>ampaign.</w:t>
      </w:r>
    </w:p>
    <w:p w14:paraId="39295E76" w14:textId="49C8769B" w:rsidR="00F37604" w:rsidRDefault="00DA1A69" w:rsidP="00C04567">
      <w:pPr>
        <w:spacing w:after="240"/>
        <w:ind w:left="720"/>
      </w:pPr>
      <w:r w:rsidRPr="00DC50FC">
        <w:t>As part</w:t>
      </w:r>
      <w:r w:rsidR="000C21FB" w:rsidRPr="00DC50FC">
        <w:t xml:space="preserve"> of FDA’s </w:t>
      </w:r>
      <w:r w:rsidR="00F7365B" w:rsidRPr="00F7365B">
        <w:rPr>
          <w:i/>
        </w:rPr>
        <w:t>The Real Cost</w:t>
      </w:r>
      <w:r w:rsidR="00DC50FC">
        <w:t xml:space="preserve"> </w:t>
      </w:r>
      <w:r w:rsidR="00141386">
        <w:t>c</w:t>
      </w:r>
      <w:r w:rsidR="000C21FB" w:rsidRPr="00DC50FC">
        <w:t>ampaign</w:t>
      </w:r>
      <w:r w:rsidRPr="00DC50FC">
        <w:t>, FDA will implement video advertising that highlights the negative health and addiction consequences of tobacco use</w:t>
      </w:r>
      <w:r w:rsidR="00DC50FC">
        <w:t xml:space="preserve"> (see Attachment </w:t>
      </w:r>
      <w:r w:rsidR="00F7365B">
        <w:t xml:space="preserve">H </w:t>
      </w:r>
      <w:r w:rsidR="00DC50FC">
        <w:t>for stimuli)</w:t>
      </w:r>
      <w:r w:rsidRPr="00DC50FC">
        <w:t xml:space="preserve">. </w:t>
      </w:r>
      <w:r w:rsidR="00965AE2" w:rsidRPr="00DC50FC">
        <w:t xml:space="preserve">Before these video ads may be used in this campaign, they must undergo copy testing to assess overall ad performance and the potential for unintended consequences related to viewing the ads. </w:t>
      </w:r>
      <w:r w:rsidRPr="00DC50FC">
        <w:t>The objective of the proposed data collection</w:t>
      </w:r>
      <w:r w:rsidR="00965AE2" w:rsidRPr="00DC50FC">
        <w:t xml:space="preserve"> is to measure </w:t>
      </w:r>
      <w:r w:rsidR="00124223" w:rsidRPr="00DC50FC">
        <w:t xml:space="preserve">ad </w:t>
      </w:r>
      <w:r w:rsidR="00965AE2" w:rsidRPr="00DC50FC">
        <w:t xml:space="preserve">perceived effectiveness and unintended consequences of viewing the ads among the </w:t>
      </w:r>
      <w:r w:rsidR="00965AE2" w:rsidRPr="00C04567">
        <w:rPr>
          <w:rFonts w:eastAsia="Times New Roman" w:cs="Times New Roman"/>
        </w:rPr>
        <w:t>campaign</w:t>
      </w:r>
      <w:r w:rsidR="00965AE2" w:rsidRPr="00DC50FC">
        <w:t xml:space="preserve"> target audience</w:t>
      </w:r>
      <w:r w:rsidR="00012627" w:rsidRPr="00DC50FC">
        <w:t xml:space="preserve"> of youth </w:t>
      </w:r>
      <w:r w:rsidRPr="00DC50FC">
        <w:t xml:space="preserve">who </w:t>
      </w:r>
      <w:r w:rsidR="00965AE2" w:rsidRPr="00DC50FC">
        <w:t xml:space="preserve">are </w:t>
      </w:r>
      <w:r w:rsidR="00ED15F4" w:rsidRPr="00DC50FC">
        <w:t>at</w:t>
      </w:r>
      <w:r w:rsidR="00F7365B">
        <w:t xml:space="preserve"> </w:t>
      </w:r>
      <w:r w:rsidR="00ED15F4" w:rsidRPr="00DC50FC">
        <w:t>risk for tobacco use</w:t>
      </w:r>
      <w:r w:rsidR="000C21FB" w:rsidRPr="00DC50FC">
        <w:t xml:space="preserve">. In instances where there is concern that there </w:t>
      </w:r>
      <w:r w:rsidR="00F7365B">
        <w:t>might</w:t>
      </w:r>
      <w:r w:rsidR="00F7365B" w:rsidRPr="00DC50FC">
        <w:t xml:space="preserve"> </w:t>
      </w:r>
      <w:r w:rsidR="000C21FB" w:rsidRPr="00DC50FC">
        <w:t>be unintended consequences for adults, stimuli will also be tested with adults. To this end, a subsample of the ads that message on ENDS will be tested on adult smokers and dual users of cigarettes and ENDS interested in quitting cigarettes to assess if ENDS messages aimed at preventing use among youth have any unintended consequences among adult smokers interested in quitting smoking.</w:t>
      </w:r>
    </w:p>
    <w:p w14:paraId="59988483" w14:textId="24582698" w:rsidR="00F37604" w:rsidRDefault="00303CD6" w:rsidP="00C04567">
      <w:pPr>
        <w:spacing w:after="240"/>
        <w:ind w:left="720"/>
      </w:pPr>
      <w:r w:rsidRPr="00DC50FC">
        <w:t xml:space="preserve">This study is designed to </w:t>
      </w:r>
      <w:r w:rsidR="006F181D" w:rsidRPr="00DC50FC">
        <w:t>measure</w:t>
      </w:r>
      <w:r w:rsidR="000B52FA" w:rsidRPr="00DC50FC">
        <w:t xml:space="preserve"> youth and adult</w:t>
      </w:r>
      <w:r w:rsidRPr="00DC50FC">
        <w:t xml:space="preserve"> reacti</w:t>
      </w:r>
      <w:r w:rsidR="0087008A" w:rsidRPr="00DC50FC">
        <w:t xml:space="preserve">ons to </w:t>
      </w:r>
      <w:r w:rsidR="000C21FB" w:rsidRPr="00DC50FC">
        <w:t>rough</w:t>
      </w:r>
      <w:r w:rsidR="00F7365B">
        <w:t>-</w:t>
      </w:r>
      <w:r w:rsidR="000C21FB" w:rsidRPr="00DC50FC">
        <w:t xml:space="preserve">cut videos to prevent youth tobacco use. </w:t>
      </w:r>
      <w:r w:rsidRPr="00DC50FC">
        <w:t xml:space="preserve">The study will be conducted </w:t>
      </w:r>
      <w:r w:rsidR="0087008A" w:rsidRPr="00DC50FC">
        <w:t xml:space="preserve">using </w:t>
      </w:r>
      <w:r w:rsidR="005B62A8" w:rsidRPr="00DC50FC">
        <w:t>an online screener and q</w:t>
      </w:r>
      <w:r w:rsidR="0087008A" w:rsidRPr="00DC50FC">
        <w:t xml:space="preserve">uestionnaire. </w:t>
      </w:r>
      <w:r w:rsidR="000B52FA" w:rsidRPr="00DC50FC">
        <w:t>Four thousand</w:t>
      </w:r>
      <w:r w:rsidR="0087008A" w:rsidRPr="00DC50FC">
        <w:t xml:space="preserve"> </w:t>
      </w:r>
      <w:r w:rsidR="00F7365B">
        <w:t xml:space="preserve">youth </w:t>
      </w:r>
      <w:r w:rsidR="0087008A" w:rsidRPr="00DC50FC">
        <w:t xml:space="preserve">who are 13-17 years old, have a valid email address, and who are either tobacco users or </w:t>
      </w:r>
      <w:r w:rsidR="00CF7916">
        <w:t>non-users susceptible</w:t>
      </w:r>
      <w:r w:rsidR="00F97C7F" w:rsidRPr="00DC50FC">
        <w:t xml:space="preserve"> to using tobacco (</w:t>
      </w:r>
      <w:r w:rsidR="00CF7916">
        <w:t>susceptible</w:t>
      </w:r>
      <w:r w:rsidR="0087008A" w:rsidRPr="00DC50FC">
        <w:t xml:space="preserve"> non-users</w:t>
      </w:r>
      <w:r w:rsidR="00F97C7F" w:rsidRPr="00DC50FC">
        <w:t>)</w:t>
      </w:r>
      <w:r w:rsidR="0087008A" w:rsidRPr="00DC50FC">
        <w:t xml:space="preserve"> will be enrolled. </w:t>
      </w:r>
      <w:r w:rsidR="00F32248" w:rsidRPr="00DC50FC">
        <w:t xml:space="preserve">Participants </w:t>
      </w:r>
      <w:r w:rsidR="0087008A" w:rsidRPr="00DC50FC">
        <w:t>must be ages 13</w:t>
      </w:r>
      <w:r w:rsidR="00740E83" w:rsidRPr="00DC50FC">
        <w:t>-</w:t>
      </w:r>
      <w:r w:rsidR="0087008A" w:rsidRPr="00DC50FC">
        <w:t xml:space="preserve">17 to participate in order to comply with </w:t>
      </w:r>
      <w:r w:rsidR="00F32248" w:rsidRPr="00DC50FC">
        <w:t>Children's Online Privacy Protection Act (</w:t>
      </w:r>
      <w:r w:rsidR="0087008A" w:rsidRPr="00DC50FC">
        <w:t>COPPA</w:t>
      </w:r>
      <w:r w:rsidR="00F32248" w:rsidRPr="00DC50FC">
        <w:t>)</w:t>
      </w:r>
      <w:r w:rsidR="0087008A" w:rsidRPr="00DC50FC">
        <w:t xml:space="preserve"> regulations</w:t>
      </w:r>
      <w:r w:rsidR="00F32248" w:rsidRPr="00DC50FC">
        <w:t>. A</w:t>
      </w:r>
      <w:r w:rsidR="000B52FA" w:rsidRPr="00DC50FC">
        <w:t xml:space="preserve">lthough part of FDA’s </w:t>
      </w:r>
      <w:r w:rsidR="00F7365B" w:rsidRPr="00F7365B">
        <w:rPr>
          <w:i/>
        </w:rPr>
        <w:t>The Real Cost</w:t>
      </w:r>
      <w:r w:rsidR="000B52FA" w:rsidRPr="00DC50FC">
        <w:t xml:space="preserve"> </w:t>
      </w:r>
      <w:r w:rsidR="000B52FA" w:rsidRPr="00D06B25">
        <w:t>campaign</w:t>
      </w:r>
      <w:r w:rsidR="00ED15F4" w:rsidRPr="00D06B25">
        <w:t xml:space="preserve"> target audience, youth age 12 will not be permitted to participate in this online study</w:t>
      </w:r>
      <w:r w:rsidR="0072348C" w:rsidRPr="00D06B25">
        <w:t xml:space="preserve"> due to COPPA regulations</w:t>
      </w:r>
      <w:r w:rsidR="0087008A" w:rsidRPr="00D06B25">
        <w:t xml:space="preserve">. </w:t>
      </w:r>
      <w:r w:rsidR="000B52FA" w:rsidRPr="00D06B25">
        <w:t>Additionally, up to 1</w:t>
      </w:r>
      <w:r w:rsidR="00F7365B">
        <w:t>,</w:t>
      </w:r>
      <w:r w:rsidR="000B52FA" w:rsidRPr="00D06B25">
        <w:t>000 adults aged 19-54</w:t>
      </w:r>
      <w:r w:rsidR="005877E8" w:rsidRPr="00D06B25">
        <w:t xml:space="preserve"> who are current </w:t>
      </w:r>
      <w:r w:rsidR="000B52FA" w:rsidRPr="00D06B25">
        <w:t xml:space="preserve">cigarettes smokers </w:t>
      </w:r>
      <w:r w:rsidR="005877E8" w:rsidRPr="00D06B25">
        <w:t xml:space="preserve">(assessed as </w:t>
      </w:r>
      <w:r w:rsidR="000B52FA" w:rsidRPr="00D06B25">
        <w:t>having smoked 100 or more cigarettes in their life time and report currently smoking every day or some days</w:t>
      </w:r>
      <w:r w:rsidR="00DC50FC" w:rsidRPr="00D06B25">
        <w:t xml:space="preserve">), ever </w:t>
      </w:r>
      <w:r w:rsidR="005877E8" w:rsidRPr="00D06B25">
        <w:t>e-cigarette users (assessed as</w:t>
      </w:r>
      <w:r w:rsidR="000B52FA" w:rsidRPr="00D06B25">
        <w:t xml:space="preserve"> having ever used an e-cigarette</w:t>
      </w:r>
      <w:r w:rsidR="005877E8" w:rsidRPr="00D06B25">
        <w:t>) and have</w:t>
      </w:r>
      <w:r w:rsidR="000B52FA" w:rsidRPr="00D06B25">
        <w:t xml:space="preserve"> an interest in </w:t>
      </w:r>
      <w:r w:rsidR="005877E8" w:rsidRPr="00D06B25">
        <w:t xml:space="preserve">quitting smoking (assessed as </w:t>
      </w:r>
      <w:r w:rsidR="000B52FA" w:rsidRPr="00D06B25">
        <w:t>thinking about quitting cigarettes</w:t>
      </w:r>
      <w:r w:rsidR="005877E8" w:rsidRPr="00D06B25">
        <w:t>) will be enrolled</w:t>
      </w:r>
      <w:r w:rsidR="000B52FA" w:rsidRPr="00D06B25">
        <w:t>.</w:t>
      </w:r>
    </w:p>
    <w:p w14:paraId="251DFE6F" w14:textId="644789B8" w:rsidR="0071221A" w:rsidRPr="00DC50FC" w:rsidRDefault="00CF7916" w:rsidP="00C04567">
      <w:pPr>
        <w:spacing w:after="240"/>
        <w:ind w:left="720"/>
      </w:pPr>
      <w:r>
        <w:t>Adult and youth p</w:t>
      </w:r>
      <w:r w:rsidR="0087008A" w:rsidRPr="00DC50FC">
        <w:t xml:space="preserve">articipants will be randomly assigned to the control group, where they will not view </w:t>
      </w:r>
      <w:r w:rsidR="00C04567">
        <w:t xml:space="preserve"> </w:t>
      </w:r>
      <w:r w:rsidR="0087008A" w:rsidRPr="00DC50FC">
        <w:t xml:space="preserve">any ads, or to the ad-viewing group, where they will be asked to view </w:t>
      </w:r>
      <w:r w:rsidR="0072348C" w:rsidRPr="00DC50FC">
        <w:t xml:space="preserve">one </w:t>
      </w:r>
      <w:r w:rsidR="0087008A" w:rsidRPr="00DC50FC">
        <w:t xml:space="preserve">randomly </w:t>
      </w:r>
      <w:r w:rsidR="00C04567">
        <w:t xml:space="preserve"> </w:t>
      </w:r>
      <w:r w:rsidR="0087008A" w:rsidRPr="00DC50FC">
        <w:t xml:space="preserve">assigned ad and provide </w:t>
      </w:r>
      <w:r w:rsidR="00C45351" w:rsidRPr="00DC50FC">
        <w:t xml:space="preserve">responses to quantitative items </w:t>
      </w:r>
      <w:r w:rsidR="0087008A" w:rsidRPr="00DC50FC">
        <w:t xml:space="preserve">and </w:t>
      </w:r>
      <w:r w:rsidR="00C45351" w:rsidRPr="00DC50FC">
        <w:t xml:space="preserve">give </w:t>
      </w:r>
      <w:r w:rsidR="0087008A" w:rsidRPr="00DC50FC">
        <w:t>qualitative feedbac</w:t>
      </w:r>
      <w:r w:rsidR="005877E8" w:rsidRPr="00DC50FC">
        <w:t xml:space="preserve">k </w:t>
      </w:r>
      <w:r w:rsidR="00C04567">
        <w:t xml:space="preserve"> </w:t>
      </w:r>
      <w:r w:rsidR="005877E8" w:rsidRPr="00DC50FC">
        <w:t>about the ad</w:t>
      </w:r>
      <w:r w:rsidR="00C82ECC">
        <w:t xml:space="preserve"> (see </w:t>
      </w:r>
      <w:r w:rsidR="00F7365B">
        <w:t xml:space="preserve">Attachment H:  </w:t>
      </w:r>
      <w:r w:rsidR="00C82ECC">
        <w:t>Stimuli)</w:t>
      </w:r>
      <w:r w:rsidR="005877E8" w:rsidRPr="00DC50FC">
        <w:t xml:space="preserve">. </w:t>
      </w:r>
      <w:r w:rsidR="00F7365B">
        <w:t>All y</w:t>
      </w:r>
      <w:r w:rsidR="005877E8" w:rsidRPr="00DC50FC">
        <w:t xml:space="preserve">outh </w:t>
      </w:r>
      <w:r w:rsidR="001B6839" w:rsidRPr="00C04567">
        <w:rPr>
          <w:rFonts w:eastAsia="Times New Roman" w:cs="Times New Roman"/>
        </w:rPr>
        <w:t>participants</w:t>
      </w:r>
      <w:r w:rsidR="0087008A" w:rsidRPr="00DC50FC">
        <w:t xml:space="preserve"> will be asked to answer questions about their knowledge, attitudes, and beliefs about tobacco use as a check for potential unintended consequences of viewing the video ads.</w:t>
      </w:r>
      <w:r w:rsidR="005877E8" w:rsidRPr="00DC50FC">
        <w:t xml:space="preserve"> Adult participants will be asked questions related to their perceptions of the benefits of quitting</w:t>
      </w:r>
      <w:r w:rsidR="009E1943">
        <w:t xml:space="preserve"> smoking, intentions to</w:t>
      </w:r>
      <w:r w:rsidR="00C04567">
        <w:t xml:space="preserve"> </w:t>
      </w:r>
      <w:r w:rsidR="005877E8" w:rsidRPr="00DC50FC">
        <w:t xml:space="preserve">quit smoking, products they would consider using to quit smoking, and perceptions of </w:t>
      </w:r>
      <w:r w:rsidR="00C04567">
        <w:t xml:space="preserve"> </w:t>
      </w:r>
      <w:r w:rsidR="005877E8" w:rsidRPr="00DC50FC">
        <w:t>tobacco products.</w:t>
      </w:r>
    </w:p>
    <w:p w14:paraId="56576A99" w14:textId="77777777" w:rsidR="00F37604" w:rsidRDefault="002324AB" w:rsidP="009C6AAC">
      <w:pPr>
        <w:numPr>
          <w:ilvl w:val="0"/>
          <w:numId w:val="6"/>
        </w:numPr>
        <w:tabs>
          <w:tab w:val="num" w:pos="720"/>
        </w:tabs>
        <w:spacing w:before="100" w:beforeAutospacing="1" w:after="240"/>
        <w:rPr>
          <w:rFonts w:eastAsia="Times New Roman" w:cs="Times New Roman"/>
          <w:u w:val="single"/>
        </w:rPr>
      </w:pPr>
      <w:r w:rsidRPr="00DC50FC">
        <w:rPr>
          <w:rFonts w:eastAsia="Times New Roman" w:cs="Times New Roman"/>
          <w:u w:val="single"/>
        </w:rPr>
        <w:t>Purpose and Use of the Information Collection</w:t>
      </w:r>
    </w:p>
    <w:p w14:paraId="519B2DEE" w14:textId="493D943F" w:rsidR="002324AB" w:rsidRPr="00C04567" w:rsidRDefault="0087008A" w:rsidP="00C04567">
      <w:pPr>
        <w:spacing w:after="240"/>
        <w:ind w:left="720"/>
      </w:pPr>
      <w:r w:rsidRPr="00C04567">
        <w:t xml:space="preserve">The information obtained through this study </w:t>
      </w:r>
      <w:r w:rsidR="00135481" w:rsidRPr="00C04567">
        <w:t>will inform</w:t>
      </w:r>
      <w:r w:rsidRPr="00C04567">
        <w:t xml:space="preserve"> the implementation of </w:t>
      </w:r>
      <w:r w:rsidR="005877E8" w:rsidRPr="00C04567">
        <w:t xml:space="preserve">FDA’s </w:t>
      </w:r>
      <w:r w:rsidR="00F7365B" w:rsidRPr="00F7365B">
        <w:rPr>
          <w:i/>
        </w:rPr>
        <w:t>The Real Cost</w:t>
      </w:r>
      <w:r w:rsidR="005877E8" w:rsidRPr="00C04567">
        <w:t xml:space="preserve"> campaign</w:t>
      </w:r>
      <w:r w:rsidR="00135481" w:rsidRPr="00C04567">
        <w:t xml:space="preserve">. While not </w:t>
      </w:r>
      <w:r w:rsidR="00135481" w:rsidRPr="00C04567">
        <w:rPr>
          <w:rFonts w:eastAsia="Times New Roman" w:cs="Times New Roman"/>
        </w:rPr>
        <w:t>exhaustive</w:t>
      </w:r>
      <w:r w:rsidR="00135481" w:rsidRPr="00C04567">
        <w:t>, the list below illustrates a range of purposes and uses for the proposed information collection:</w:t>
      </w:r>
    </w:p>
    <w:p w14:paraId="293FA9EB" w14:textId="0CA4CCE2" w:rsidR="00D966FE" w:rsidRPr="00DC50FC" w:rsidRDefault="00D966FE" w:rsidP="009C6AAC">
      <w:pPr>
        <w:pStyle w:val="ListParagraph"/>
        <w:numPr>
          <w:ilvl w:val="0"/>
          <w:numId w:val="7"/>
        </w:numPr>
        <w:spacing w:after="240"/>
        <w:rPr>
          <w:rFonts w:asciiTheme="minorHAnsi" w:eastAsia="Times New Roman" w:hAnsiTheme="minorHAnsi" w:cs="Times New Roman"/>
          <w:szCs w:val="24"/>
          <w:u w:val="single"/>
        </w:rPr>
      </w:pPr>
      <w:r w:rsidRPr="00DC50FC">
        <w:rPr>
          <w:rFonts w:asciiTheme="minorHAnsi" w:eastAsia="Times New Roman" w:hAnsiTheme="minorHAnsi" w:cs="Times New Roman"/>
          <w:szCs w:val="24"/>
        </w:rPr>
        <w:t xml:space="preserve">Optimize video ads </w:t>
      </w:r>
      <w:r w:rsidR="005877E8" w:rsidRPr="00DC50FC">
        <w:rPr>
          <w:rFonts w:asciiTheme="minorHAnsi" w:eastAsia="Times New Roman" w:hAnsiTheme="minorHAnsi" w:cs="Times New Roman"/>
          <w:szCs w:val="24"/>
        </w:rPr>
        <w:t xml:space="preserve">for FDA’s </w:t>
      </w:r>
      <w:r w:rsidR="00F7365B" w:rsidRPr="00F7365B">
        <w:rPr>
          <w:rFonts w:asciiTheme="minorHAnsi" w:eastAsia="Times New Roman" w:hAnsiTheme="minorHAnsi" w:cs="Times New Roman"/>
          <w:i/>
          <w:szCs w:val="24"/>
        </w:rPr>
        <w:t>The Real Cost</w:t>
      </w:r>
      <w:r w:rsidR="005877E8" w:rsidRPr="00DC50FC">
        <w:rPr>
          <w:rFonts w:asciiTheme="minorHAnsi" w:eastAsia="Times New Roman" w:hAnsiTheme="minorHAnsi" w:cs="Times New Roman"/>
          <w:szCs w:val="24"/>
        </w:rPr>
        <w:t xml:space="preserve"> campaign</w:t>
      </w:r>
    </w:p>
    <w:p w14:paraId="3874FE1A" w14:textId="07B36511" w:rsidR="00D966FE" w:rsidRPr="00DC50FC" w:rsidRDefault="00D966FE" w:rsidP="009C6AAC">
      <w:pPr>
        <w:pStyle w:val="ListParagraph"/>
        <w:numPr>
          <w:ilvl w:val="0"/>
          <w:numId w:val="7"/>
        </w:numPr>
        <w:spacing w:after="240"/>
        <w:rPr>
          <w:rFonts w:asciiTheme="minorHAnsi" w:eastAsia="Times New Roman" w:hAnsiTheme="minorHAnsi" w:cs="Times New Roman"/>
          <w:szCs w:val="24"/>
        </w:rPr>
      </w:pPr>
      <w:r w:rsidRPr="00DC50FC">
        <w:rPr>
          <w:rFonts w:asciiTheme="minorHAnsi" w:eastAsia="Times New Roman" w:hAnsiTheme="minorHAnsi" w:cs="Times New Roman"/>
          <w:szCs w:val="24"/>
        </w:rPr>
        <w:t>Inform future programs that may be designed for similar purposes</w:t>
      </w:r>
    </w:p>
    <w:p w14:paraId="4EE50A85" w14:textId="702E3841" w:rsidR="00C04567" w:rsidRPr="00C04567" w:rsidRDefault="0087008A" w:rsidP="00C04567">
      <w:pPr>
        <w:spacing w:after="240"/>
        <w:ind w:left="720"/>
      </w:pPr>
      <w:r w:rsidRPr="00C04567">
        <w:t>Participants will</w:t>
      </w:r>
      <w:r w:rsidR="00D720D4" w:rsidRPr="00C04567">
        <w:t xml:space="preserve"> be recruited via panel</w:t>
      </w:r>
      <w:r w:rsidRPr="00C04567">
        <w:t xml:space="preserve">. </w:t>
      </w:r>
      <w:r w:rsidR="000E52AD" w:rsidRPr="00C04567">
        <w:t xml:space="preserve">Data collection will be completed by </w:t>
      </w:r>
      <w:r w:rsidR="005877E8" w:rsidRPr="00C04567">
        <w:t xml:space="preserve">participants </w:t>
      </w:r>
      <w:r w:rsidR="000E52AD" w:rsidRPr="00C04567">
        <w:t xml:space="preserve">independently on their own electronic devices, such as a mobile phone, tablet, or home computer. </w:t>
      </w:r>
      <w:r w:rsidRPr="00C04567">
        <w:t>All potentia</w:t>
      </w:r>
      <w:r w:rsidR="005B62A8" w:rsidRPr="00C04567">
        <w:t>l participants will complete a s</w:t>
      </w:r>
      <w:r w:rsidR="00DC50FC" w:rsidRPr="00C04567">
        <w:t>creener (see Youth and Adult Screeners</w:t>
      </w:r>
      <w:r w:rsidRPr="00C04567">
        <w:t>)</w:t>
      </w:r>
      <w:r w:rsidR="000E52AD" w:rsidRPr="00C04567">
        <w:t xml:space="preserve"> </w:t>
      </w:r>
      <w:r w:rsidRPr="00C04567">
        <w:t xml:space="preserve">to determine their </w:t>
      </w:r>
      <w:r w:rsidRPr="00C04567">
        <w:rPr>
          <w:rFonts w:eastAsia="Times New Roman" w:cs="Times New Roman"/>
        </w:rPr>
        <w:t>quali</w:t>
      </w:r>
      <w:r w:rsidR="000E52AD" w:rsidRPr="00C04567">
        <w:rPr>
          <w:rFonts w:eastAsia="Times New Roman" w:cs="Times New Roman"/>
        </w:rPr>
        <w:t>fication</w:t>
      </w:r>
      <w:r w:rsidR="000E52AD" w:rsidRPr="00C04567">
        <w:t xml:space="preserve"> for inclusion into the </w:t>
      </w:r>
      <w:r w:rsidR="005B62A8" w:rsidRPr="00C04567">
        <w:t>study. Upon s</w:t>
      </w:r>
      <w:r w:rsidRPr="00C04567">
        <w:t xml:space="preserve">creener completion, participants will be immediately notified if they qualify. </w:t>
      </w:r>
      <w:r w:rsidR="00E077FD" w:rsidRPr="00C04567">
        <w:t>Both the screener and copy testing questionnaire will be compatible for use on smartphones, tablets, and computers.</w:t>
      </w:r>
    </w:p>
    <w:p w14:paraId="32567137" w14:textId="1DB4A7F2" w:rsidR="00F37604" w:rsidRDefault="0087008A" w:rsidP="00C04567">
      <w:pPr>
        <w:spacing w:after="240"/>
        <w:ind w:left="720"/>
      </w:pPr>
      <w:r w:rsidRPr="00DC50FC">
        <w:t xml:space="preserve">All qualified </w:t>
      </w:r>
      <w:r w:rsidR="005877E8" w:rsidRPr="00DC50FC">
        <w:t xml:space="preserve">youth </w:t>
      </w:r>
      <w:r w:rsidRPr="00DC50FC">
        <w:t xml:space="preserve">participants will then be </w:t>
      </w:r>
      <w:r w:rsidR="000E52AD" w:rsidRPr="00DC50FC">
        <w:t>prompted to provide their parent/guardian’s email address</w:t>
      </w:r>
      <w:r w:rsidR="00060783" w:rsidRPr="00DC50FC">
        <w:t xml:space="preserve">, to </w:t>
      </w:r>
      <w:r w:rsidR="00CF085B" w:rsidRPr="00DC50FC">
        <w:t>facilitate</w:t>
      </w:r>
      <w:r w:rsidR="000E52AD" w:rsidRPr="00DC50FC">
        <w:t xml:space="preserve"> email</w:t>
      </w:r>
      <w:r w:rsidR="00060783" w:rsidRPr="00DC50FC">
        <w:t>ing</w:t>
      </w:r>
      <w:r w:rsidR="005B62A8" w:rsidRPr="00DC50FC">
        <w:t xml:space="preserve"> the parental </w:t>
      </w:r>
      <w:r w:rsidR="00F7365B">
        <w:t xml:space="preserve">notification and </w:t>
      </w:r>
      <w:r w:rsidR="005B62A8" w:rsidRPr="00DC50FC">
        <w:t>opt-out f</w:t>
      </w:r>
      <w:r w:rsidR="00DC50FC">
        <w:t>orm (Attachment E</w:t>
      </w:r>
      <w:r w:rsidR="000E52AD" w:rsidRPr="00DC50FC">
        <w:t>) to a potential participant’s parent or guardian</w:t>
      </w:r>
      <w:r w:rsidR="00060783" w:rsidRPr="00DC50FC">
        <w:t xml:space="preserve">, and if desired to provide their cell phone number to receive the </w:t>
      </w:r>
      <w:r w:rsidR="00060783" w:rsidRPr="00C04567">
        <w:t>study</w:t>
      </w:r>
      <w:r w:rsidR="00060783" w:rsidRPr="00DC50FC">
        <w:t xml:space="preserve"> link and up to two reminders by text message</w:t>
      </w:r>
      <w:r w:rsidR="000E52AD" w:rsidRPr="00DC50FC">
        <w:t>. Qualified youth whose parents</w:t>
      </w:r>
      <w:r w:rsidR="00561F65" w:rsidRPr="00DC50FC">
        <w:t>’ email does not bounce back and whose parents</w:t>
      </w:r>
      <w:r w:rsidR="000E52AD" w:rsidRPr="00DC50FC">
        <w:t xml:space="preserve"> do not opt them out will be emailed </w:t>
      </w:r>
      <w:r w:rsidR="00ED15F4" w:rsidRPr="00DC50FC">
        <w:t>and</w:t>
      </w:r>
      <w:r w:rsidR="00BD5741" w:rsidRPr="00DC50FC">
        <w:t xml:space="preserve"> texted </w:t>
      </w:r>
      <w:r w:rsidR="00ED15F4" w:rsidRPr="00DC50FC">
        <w:t>(if</w:t>
      </w:r>
      <w:r w:rsidR="00DF4896">
        <w:t xml:space="preserve"> they</w:t>
      </w:r>
      <w:r w:rsidR="00ED15F4" w:rsidRPr="00DC50FC">
        <w:t xml:space="preserve"> selected</w:t>
      </w:r>
      <w:r w:rsidR="00DF4896">
        <w:t xml:space="preserve"> the option</w:t>
      </w:r>
      <w:r w:rsidR="00ED15F4" w:rsidRPr="00DC50FC">
        <w:t xml:space="preserve">) </w:t>
      </w:r>
      <w:r w:rsidR="000E52AD" w:rsidRPr="00DC50FC">
        <w:t xml:space="preserve">a link to </w:t>
      </w:r>
      <w:r w:rsidR="003C11F7" w:rsidRPr="00DC50FC">
        <w:t xml:space="preserve">complete </w:t>
      </w:r>
      <w:r w:rsidR="000E52AD" w:rsidRPr="00DC50FC">
        <w:t xml:space="preserve">the </w:t>
      </w:r>
      <w:r w:rsidR="005B62A8" w:rsidRPr="00DC50FC">
        <w:t>participant a</w:t>
      </w:r>
      <w:r w:rsidR="00ED15F4" w:rsidRPr="00DC50FC">
        <w:t>ssent</w:t>
      </w:r>
      <w:r w:rsidR="005B62A8" w:rsidRPr="00DC50FC">
        <w:t xml:space="preserve"> f</w:t>
      </w:r>
      <w:r w:rsidR="00DC50FC">
        <w:t xml:space="preserve">orm (see </w:t>
      </w:r>
      <w:r w:rsidR="00DF4896">
        <w:t xml:space="preserve">Attachment F: </w:t>
      </w:r>
      <w:r w:rsidR="00DC50FC">
        <w:t>Youth Assent Form</w:t>
      </w:r>
      <w:r w:rsidR="00ED15F4" w:rsidRPr="00DC50FC">
        <w:t xml:space="preserve">) and </w:t>
      </w:r>
      <w:r w:rsidR="00ED15F4" w:rsidRPr="00C04567">
        <w:rPr>
          <w:rFonts w:eastAsia="Times New Roman" w:cs="Times New Roman"/>
        </w:rPr>
        <w:t>the</w:t>
      </w:r>
      <w:r w:rsidR="00ED15F4" w:rsidRPr="00DC50FC">
        <w:t xml:space="preserve"> </w:t>
      </w:r>
      <w:r w:rsidR="005B62A8" w:rsidRPr="00DC50FC">
        <w:t>q</w:t>
      </w:r>
      <w:r w:rsidR="00DC50FC">
        <w:t xml:space="preserve">uestionnaire (see </w:t>
      </w:r>
      <w:r w:rsidR="00DF4896">
        <w:t xml:space="preserve">Attachment C: </w:t>
      </w:r>
      <w:r w:rsidR="00DC50FC">
        <w:t>Youth Questionnaire</w:t>
      </w:r>
      <w:r w:rsidR="000E52AD" w:rsidRPr="00DC50FC">
        <w:t xml:space="preserve">) </w:t>
      </w:r>
      <w:r w:rsidR="003C11F7" w:rsidRPr="00DC50FC">
        <w:t>n</w:t>
      </w:r>
      <w:r w:rsidR="005B62A8" w:rsidRPr="00DC50FC">
        <w:t>o less than 24 hours after the parental opt-out f</w:t>
      </w:r>
      <w:r w:rsidR="003C11F7" w:rsidRPr="00DC50FC">
        <w:t>orm is emailed to their parent/guardian, to allow sufficient time for parental-opt out to occur.</w:t>
      </w:r>
    </w:p>
    <w:p w14:paraId="386BEAE5" w14:textId="6CEA9AC1" w:rsidR="00F37604" w:rsidRDefault="00636E15" w:rsidP="00C04567">
      <w:pPr>
        <w:spacing w:after="240"/>
        <w:ind w:left="720"/>
        <w:rPr>
          <w:rFonts w:eastAsia="Times New Roman" w:cs="Times New Roman"/>
        </w:rPr>
      </w:pPr>
      <w:r w:rsidRPr="00DC50FC">
        <w:rPr>
          <w:rFonts w:eastAsia="Times New Roman" w:cs="Times New Roman"/>
        </w:rPr>
        <w:t xml:space="preserve">All </w:t>
      </w:r>
      <w:r w:rsidR="00093634" w:rsidRPr="00DC50FC">
        <w:rPr>
          <w:rFonts w:eastAsia="Times New Roman" w:cs="Times New Roman"/>
        </w:rPr>
        <w:t xml:space="preserve">youth </w:t>
      </w:r>
      <w:r w:rsidRPr="00DC50FC">
        <w:rPr>
          <w:rFonts w:eastAsia="Times New Roman" w:cs="Times New Roman"/>
        </w:rPr>
        <w:t xml:space="preserve">participants </w:t>
      </w:r>
      <w:r w:rsidR="005B62A8" w:rsidRPr="00DC50FC">
        <w:rPr>
          <w:rFonts w:eastAsia="Times New Roman" w:cs="Times New Roman"/>
        </w:rPr>
        <w:t>will complete a p</w:t>
      </w:r>
      <w:r w:rsidR="003C11F7" w:rsidRPr="00DC50FC">
        <w:rPr>
          <w:rFonts w:eastAsia="Times New Roman" w:cs="Times New Roman"/>
        </w:rPr>
        <w:t xml:space="preserve">articipant </w:t>
      </w:r>
      <w:r w:rsidR="005B62A8" w:rsidRPr="00DC50FC">
        <w:rPr>
          <w:rFonts w:eastAsia="Times New Roman" w:cs="Times New Roman"/>
        </w:rPr>
        <w:t>assent f</w:t>
      </w:r>
      <w:r w:rsidRPr="00DC50FC">
        <w:rPr>
          <w:rFonts w:eastAsia="Times New Roman" w:cs="Times New Roman"/>
        </w:rPr>
        <w:t>orm</w:t>
      </w:r>
      <w:r w:rsidR="003C11F7" w:rsidRPr="00DC50FC">
        <w:rPr>
          <w:rFonts w:eastAsia="Times New Roman" w:cs="Times New Roman"/>
        </w:rPr>
        <w:t xml:space="preserve"> </w:t>
      </w:r>
      <w:r w:rsidRPr="00DC50FC">
        <w:rPr>
          <w:rFonts w:eastAsia="Times New Roman" w:cs="Times New Roman"/>
        </w:rPr>
        <w:t>befo</w:t>
      </w:r>
      <w:r w:rsidR="005B62A8" w:rsidRPr="00DC50FC">
        <w:rPr>
          <w:rFonts w:eastAsia="Times New Roman" w:cs="Times New Roman"/>
        </w:rPr>
        <w:t>re beginning the q</w:t>
      </w:r>
      <w:r w:rsidR="009F1FDA" w:rsidRPr="00DC50FC">
        <w:rPr>
          <w:rFonts w:eastAsia="Times New Roman" w:cs="Times New Roman"/>
        </w:rPr>
        <w:t xml:space="preserve">uestionnaire. </w:t>
      </w:r>
      <w:r w:rsidRPr="00DC50FC">
        <w:rPr>
          <w:rFonts w:eastAsia="Times New Roman" w:cs="Times New Roman"/>
        </w:rPr>
        <w:t xml:space="preserve">The </w:t>
      </w:r>
      <w:r w:rsidR="005B62A8" w:rsidRPr="00DC50FC">
        <w:rPr>
          <w:rFonts w:eastAsia="Times New Roman" w:cs="Times New Roman"/>
        </w:rPr>
        <w:t>p</w:t>
      </w:r>
      <w:r w:rsidR="003C11F7" w:rsidRPr="00DC50FC">
        <w:rPr>
          <w:rFonts w:eastAsia="Times New Roman" w:cs="Times New Roman"/>
        </w:rPr>
        <w:t xml:space="preserve">articipant </w:t>
      </w:r>
      <w:r w:rsidR="005B62A8" w:rsidRPr="00DC50FC">
        <w:rPr>
          <w:rFonts w:eastAsia="Times New Roman" w:cs="Times New Roman"/>
        </w:rPr>
        <w:t>assent f</w:t>
      </w:r>
      <w:r w:rsidR="003C11F7" w:rsidRPr="00DC50FC">
        <w:rPr>
          <w:rFonts w:eastAsia="Times New Roman" w:cs="Times New Roman"/>
        </w:rPr>
        <w:t>orm</w:t>
      </w:r>
      <w:r w:rsidRPr="00DC50FC">
        <w:rPr>
          <w:rFonts w:eastAsia="Times New Roman" w:cs="Times New Roman"/>
        </w:rPr>
        <w:t xml:space="preserve"> will be presented elec</w:t>
      </w:r>
      <w:r w:rsidR="005B62A8" w:rsidRPr="00DC50FC">
        <w:rPr>
          <w:rFonts w:eastAsia="Times New Roman" w:cs="Times New Roman"/>
        </w:rPr>
        <w:t>tronically at the start of the q</w:t>
      </w:r>
      <w:r w:rsidRPr="00DC50FC">
        <w:rPr>
          <w:rFonts w:eastAsia="Times New Roman" w:cs="Times New Roman"/>
        </w:rPr>
        <w:t>uestionnaire</w:t>
      </w:r>
      <w:r w:rsidR="00CF085B" w:rsidRPr="00DC50FC">
        <w:rPr>
          <w:rFonts w:eastAsia="Times New Roman" w:cs="Times New Roman"/>
        </w:rPr>
        <w:t xml:space="preserve"> to collect assent from youth ages 13-17</w:t>
      </w:r>
      <w:r w:rsidR="00093634" w:rsidRPr="00DC50FC">
        <w:rPr>
          <w:rFonts w:eastAsia="Times New Roman" w:cs="Times New Roman"/>
        </w:rPr>
        <w:t xml:space="preserve">. </w:t>
      </w:r>
      <w:r w:rsidRPr="00DC50FC">
        <w:rPr>
          <w:rFonts w:eastAsia="Times New Roman" w:cs="Times New Roman"/>
        </w:rPr>
        <w:t xml:space="preserve">Youth will be prompted to read the form and provide </w:t>
      </w:r>
      <w:r w:rsidR="007B50F5" w:rsidRPr="00DC50FC">
        <w:rPr>
          <w:rFonts w:eastAsia="Times New Roman" w:cs="Times New Roman"/>
        </w:rPr>
        <w:t xml:space="preserve">their </w:t>
      </w:r>
      <w:r w:rsidR="00BD4D87" w:rsidRPr="00DC50FC">
        <w:rPr>
          <w:rFonts w:eastAsia="Times New Roman" w:cs="Times New Roman"/>
        </w:rPr>
        <w:t>assent</w:t>
      </w:r>
      <w:r w:rsidRPr="00DC50FC">
        <w:rPr>
          <w:rFonts w:eastAsia="Times New Roman" w:cs="Times New Roman"/>
        </w:rPr>
        <w:t xml:space="preserve"> </w:t>
      </w:r>
      <w:r w:rsidR="003C11F7" w:rsidRPr="00DC50FC">
        <w:rPr>
          <w:rFonts w:eastAsia="Times New Roman" w:cs="Times New Roman"/>
        </w:rPr>
        <w:t>by selecting a</w:t>
      </w:r>
      <w:r w:rsidRPr="00DC50FC">
        <w:rPr>
          <w:rFonts w:eastAsia="Times New Roman" w:cs="Times New Roman"/>
        </w:rPr>
        <w:t xml:space="preserve"> radio button</w:t>
      </w:r>
      <w:r w:rsidR="003C11F7" w:rsidRPr="00DC50FC">
        <w:rPr>
          <w:rFonts w:eastAsia="Times New Roman" w:cs="Times New Roman"/>
        </w:rPr>
        <w:t xml:space="preserve"> option</w:t>
      </w:r>
      <w:r w:rsidRPr="00DC50FC">
        <w:rPr>
          <w:rFonts w:eastAsia="Times New Roman" w:cs="Times New Roman"/>
        </w:rPr>
        <w:t xml:space="preserve">. </w:t>
      </w:r>
      <w:r w:rsidR="007B50F5" w:rsidRPr="00DC50FC">
        <w:rPr>
          <w:rFonts w:eastAsia="Times New Roman" w:cs="Times New Roman"/>
        </w:rPr>
        <w:t>I</w:t>
      </w:r>
      <w:r w:rsidRPr="00DC50FC">
        <w:rPr>
          <w:rFonts w:eastAsia="Times New Roman" w:cs="Times New Roman"/>
        </w:rPr>
        <w:t xml:space="preserve">f they do not provide </w:t>
      </w:r>
      <w:r w:rsidR="00BD4D87" w:rsidRPr="00DC50FC">
        <w:rPr>
          <w:rFonts w:eastAsia="Times New Roman" w:cs="Times New Roman"/>
        </w:rPr>
        <w:t>assent</w:t>
      </w:r>
      <w:r w:rsidRPr="00DC50FC">
        <w:rPr>
          <w:rFonts w:eastAsia="Times New Roman" w:cs="Times New Roman"/>
        </w:rPr>
        <w:t>, they wi</w:t>
      </w:r>
      <w:r w:rsidR="007363C9" w:rsidRPr="00DC50FC">
        <w:rPr>
          <w:rFonts w:eastAsia="Times New Roman" w:cs="Times New Roman"/>
        </w:rPr>
        <w:t>ll not be able to complete the q</w:t>
      </w:r>
      <w:r w:rsidRPr="00DC50FC">
        <w:rPr>
          <w:rFonts w:eastAsia="Times New Roman" w:cs="Times New Roman"/>
        </w:rPr>
        <w:t>uestionnaire.</w:t>
      </w:r>
      <w:r w:rsidR="003F642C" w:rsidRPr="00DC50FC">
        <w:rPr>
          <w:rFonts w:eastAsia="Times New Roman" w:cs="Times New Roman"/>
        </w:rPr>
        <w:t xml:space="preserve"> </w:t>
      </w:r>
      <w:r w:rsidR="00BE5079" w:rsidRPr="00DC50FC">
        <w:rPr>
          <w:rFonts w:eastAsia="Times New Roman" w:cs="Times New Roman"/>
        </w:rPr>
        <w:t>Additionally</w:t>
      </w:r>
      <w:r w:rsidR="00DF4896">
        <w:rPr>
          <w:rFonts w:eastAsia="Times New Roman" w:cs="Times New Roman"/>
        </w:rPr>
        <w:t>,</w:t>
      </w:r>
      <w:r w:rsidR="00093634" w:rsidRPr="00DC50FC">
        <w:rPr>
          <w:rFonts w:eastAsia="Times New Roman" w:cs="Times New Roman"/>
        </w:rPr>
        <w:t xml:space="preserve"> youth who will turn 18 by the time the survey takes place will be ineligible to participate. </w:t>
      </w:r>
      <w:r w:rsidR="003F642C" w:rsidRPr="00DC50FC">
        <w:rPr>
          <w:rFonts w:eastAsia="Times New Roman" w:cs="Times New Roman"/>
        </w:rPr>
        <w:t xml:space="preserve">After providing </w:t>
      </w:r>
      <w:r w:rsidR="00BD4D87" w:rsidRPr="00DC50FC">
        <w:rPr>
          <w:rFonts w:eastAsia="Times New Roman" w:cs="Times New Roman"/>
        </w:rPr>
        <w:t>assent</w:t>
      </w:r>
      <w:r w:rsidR="003F642C" w:rsidRPr="00DC50FC">
        <w:rPr>
          <w:rFonts w:eastAsia="Times New Roman" w:cs="Times New Roman"/>
        </w:rPr>
        <w:t xml:space="preserve">, participants will automatically receive an electronic copy of the </w:t>
      </w:r>
      <w:r w:rsidR="00F42667" w:rsidRPr="00DC50FC">
        <w:rPr>
          <w:rFonts w:eastAsia="Times New Roman" w:cs="Times New Roman"/>
        </w:rPr>
        <w:t>f</w:t>
      </w:r>
      <w:r w:rsidR="003F642C" w:rsidRPr="00DC50FC">
        <w:rPr>
          <w:rFonts w:eastAsia="Times New Roman" w:cs="Times New Roman"/>
        </w:rPr>
        <w:t>orm via email. Qualified</w:t>
      </w:r>
      <w:r w:rsidR="007363C9" w:rsidRPr="00DC50FC">
        <w:rPr>
          <w:rFonts w:eastAsia="Times New Roman" w:cs="Times New Roman"/>
        </w:rPr>
        <w:t xml:space="preserve"> participants who complete the s</w:t>
      </w:r>
      <w:r w:rsidR="003F642C" w:rsidRPr="00DC50FC">
        <w:rPr>
          <w:rFonts w:eastAsia="Times New Roman" w:cs="Times New Roman"/>
        </w:rPr>
        <w:t xml:space="preserve">creener </w:t>
      </w:r>
      <w:r w:rsidR="007363C9" w:rsidRPr="00DC50FC">
        <w:rPr>
          <w:rFonts w:eastAsia="Times New Roman" w:cs="Times New Roman"/>
        </w:rPr>
        <w:t>but do not complete the q</w:t>
      </w:r>
      <w:r w:rsidR="003F642C" w:rsidRPr="00DC50FC">
        <w:rPr>
          <w:rFonts w:eastAsia="Times New Roman" w:cs="Times New Roman"/>
        </w:rPr>
        <w:t xml:space="preserve">uestionnaire will be contacted up to two times via email </w:t>
      </w:r>
      <w:r w:rsidR="00ED15F4" w:rsidRPr="00DC50FC">
        <w:rPr>
          <w:rFonts w:eastAsia="Times New Roman" w:cs="Times New Roman"/>
        </w:rPr>
        <w:t xml:space="preserve">and text message (if selected) </w:t>
      </w:r>
      <w:r w:rsidR="003F642C" w:rsidRPr="00DC50FC">
        <w:rPr>
          <w:rFonts w:eastAsia="Times New Roman" w:cs="Times New Roman"/>
        </w:rPr>
        <w:t>w</w:t>
      </w:r>
      <w:r w:rsidR="007363C9" w:rsidRPr="00DC50FC">
        <w:rPr>
          <w:rFonts w:eastAsia="Times New Roman" w:cs="Times New Roman"/>
        </w:rPr>
        <w:t>ith a reminder to complete the q</w:t>
      </w:r>
      <w:r w:rsidR="003F642C" w:rsidRPr="00DC50FC">
        <w:rPr>
          <w:rFonts w:eastAsia="Times New Roman" w:cs="Times New Roman"/>
        </w:rPr>
        <w:t>uestionnaire</w:t>
      </w:r>
      <w:r w:rsidR="00DC50FC">
        <w:rPr>
          <w:rFonts w:eastAsia="Times New Roman" w:cs="Times New Roman"/>
        </w:rPr>
        <w:t xml:space="preserve"> (see </w:t>
      </w:r>
      <w:r w:rsidR="00DF4896">
        <w:rPr>
          <w:rFonts w:eastAsia="Times New Roman" w:cs="Times New Roman"/>
        </w:rPr>
        <w:t xml:space="preserve">Attachment C: </w:t>
      </w:r>
      <w:r w:rsidR="00DC50FC">
        <w:rPr>
          <w:rFonts w:eastAsia="Times New Roman" w:cs="Times New Roman"/>
        </w:rPr>
        <w:t>Youth Questionnaire</w:t>
      </w:r>
      <w:r w:rsidR="00CF085B" w:rsidRPr="00DC50FC">
        <w:rPr>
          <w:rFonts w:eastAsia="Times New Roman" w:cs="Times New Roman"/>
        </w:rPr>
        <w:t>)</w:t>
      </w:r>
      <w:r w:rsidR="003F642C" w:rsidRPr="00DC50FC">
        <w:rPr>
          <w:rFonts w:eastAsia="Times New Roman" w:cs="Times New Roman"/>
        </w:rPr>
        <w:t>.</w:t>
      </w:r>
    </w:p>
    <w:p w14:paraId="6DDAD1A4" w14:textId="4C540A16" w:rsidR="00347053" w:rsidRPr="00DC50FC" w:rsidRDefault="00E077FD" w:rsidP="00C04567">
      <w:pPr>
        <w:spacing w:after="240"/>
        <w:ind w:left="720"/>
        <w:rPr>
          <w:szCs w:val="22"/>
        </w:rPr>
      </w:pPr>
      <w:r w:rsidRPr="00DC50FC">
        <w:t xml:space="preserve">All qualified adult participants will review and provide consent via </w:t>
      </w:r>
      <w:r w:rsidR="00DC50FC">
        <w:t xml:space="preserve">an electronic </w:t>
      </w:r>
      <w:r w:rsidRPr="00DC50FC">
        <w:t>Participant Consent Form</w:t>
      </w:r>
      <w:r w:rsidR="00DC50FC">
        <w:t xml:space="preserve"> (see </w:t>
      </w:r>
      <w:r w:rsidR="00DF4896">
        <w:t xml:space="preserve">Attachment G: </w:t>
      </w:r>
      <w:r w:rsidR="00DC50FC">
        <w:t>Adult</w:t>
      </w:r>
      <w:r w:rsidR="00DF4896">
        <w:t xml:space="preserve"> Participant</w:t>
      </w:r>
      <w:r w:rsidR="00DC50FC">
        <w:t xml:space="preserve"> Consent Form)</w:t>
      </w:r>
      <w:r w:rsidRPr="00DC50FC">
        <w:t xml:space="preserve"> presented prior to the start of the Questio</w:t>
      </w:r>
      <w:r w:rsidR="00DC50FC">
        <w:t xml:space="preserve">nnaire (see </w:t>
      </w:r>
      <w:r w:rsidR="00DF4896">
        <w:t xml:space="preserve">Attachment D: </w:t>
      </w:r>
      <w:r w:rsidR="00DC50FC">
        <w:t xml:space="preserve">Adult </w:t>
      </w:r>
      <w:r w:rsidR="00DC50FC" w:rsidRPr="00C04567">
        <w:rPr>
          <w:rFonts w:eastAsia="Times New Roman" w:cs="Times New Roman"/>
        </w:rPr>
        <w:t>Questionnaire</w:t>
      </w:r>
      <w:r w:rsidRPr="00DC50FC">
        <w:t xml:space="preserve">). At the start of the Adult Questionnaire, participants will be prompted to read the form and provide consent by selecting a radio button option. </w:t>
      </w:r>
      <w:r w:rsidR="00DC50FC">
        <w:t xml:space="preserve">Adult </w:t>
      </w:r>
      <w:r w:rsidRPr="00DC50FC">
        <w:t>participants must complete the Participant Consent Form to continue to the Questionnaire; if they do not provide consent, they will not be able to complete the Questionnaire.</w:t>
      </w:r>
      <w:r w:rsidR="00347053" w:rsidRPr="00DC50FC">
        <w:rPr>
          <w:szCs w:val="22"/>
        </w:rPr>
        <w:tab/>
      </w:r>
    </w:p>
    <w:p w14:paraId="69E64BFA" w14:textId="14E8B30B" w:rsidR="00B04E7D" w:rsidRPr="00DC50FC" w:rsidRDefault="00B04E7D" w:rsidP="00C04567">
      <w:pPr>
        <w:spacing w:after="240"/>
        <w:ind w:left="720"/>
        <w:rPr>
          <w:rFonts w:eastAsia="Times New Roman" w:cs="Times New Roman"/>
          <w:b/>
        </w:rPr>
      </w:pPr>
      <w:r w:rsidRPr="00DC50FC">
        <w:rPr>
          <w:rFonts w:cs="Arial"/>
          <w:szCs w:val="22"/>
        </w:rPr>
        <w:t xml:space="preserve">Questionnaire items that youth participants see will </w:t>
      </w:r>
      <w:r w:rsidR="00DF4896">
        <w:rPr>
          <w:rFonts w:cs="Arial"/>
          <w:szCs w:val="22"/>
        </w:rPr>
        <w:t>vary depending</w:t>
      </w:r>
      <w:r w:rsidRPr="00DC50FC">
        <w:rPr>
          <w:rFonts w:cs="Arial"/>
          <w:szCs w:val="22"/>
        </w:rPr>
        <w:t xml:space="preserve"> on their screener responses (</w:t>
      </w:r>
      <w:r w:rsidR="00DF4896">
        <w:rPr>
          <w:rFonts w:cs="Arial"/>
          <w:szCs w:val="22"/>
        </w:rPr>
        <w:t xml:space="preserve">i.e., </w:t>
      </w:r>
      <w:r w:rsidRPr="00DC50FC">
        <w:rPr>
          <w:rFonts w:cs="Arial"/>
          <w:szCs w:val="22"/>
        </w:rPr>
        <w:t xml:space="preserve">their use of or susceptibility to experimentation with cigarettes, ENDS, or SLT) (see </w:t>
      </w:r>
      <w:r w:rsidR="00DF4896">
        <w:rPr>
          <w:rFonts w:cs="Arial"/>
          <w:szCs w:val="22"/>
        </w:rPr>
        <w:t xml:space="preserve">Attachment C: </w:t>
      </w:r>
      <w:r w:rsidRPr="00DC50FC">
        <w:rPr>
          <w:rFonts w:cs="Arial"/>
          <w:szCs w:val="22"/>
        </w:rPr>
        <w:t xml:space="preserve">Youth </w:t>
      </w:r>
      <w:r w:rsidRPr="00C04567">
        <w:t>Questionnaire</w:t>
      </w:r>
      <w:r w:rsidRPr="00DC50FC">
        <w:rPr>
          <w:rFonts w:cs="Arial"/>
          <w:szCs w:val="22"/>
        </w:rPr>
        <w:t>).</w:t>
      </w:r>
      <w:r w:rsidR="00347053" w:rsidRPr="00DC50FC">
        <w:rPr>
          <w:rFonts w:cs="Arial"/>
          <w:szCs w:val="22"/>
        </w:rPr>
        <w:t xml:space="preserve"> </w:t>
      </w:r>
      <w:r w:rsidRPr="00DC50FC">
        <w:rPr>
          <w:rFonts w:cs="Arial"/>
          <w:szCs w:val="22"/>
        </w:rPr>
        <w:t>Adult participants will all see questions specifically tailored for that portion of the data collection (see</w:t>
      </w:r>
      <w:r w:rsidR="00DF4896">
        <w:rPr>
          <w:rFonts w:cs="Arial"/>
          <w:szCs w:val="22"/>
        </w:rPr>
        <w:t xml:space="preserve"> Attachment D: </w:t>
      </w:r>
      <w:r w:rsidRPr="00DC50FC">
        <w:rPr>
          <w:rFonts w:cs="Arial"/>
          <w:szCs w:val="22"/>
        </w:rPr>
        <w:t xml:space="preserve"> Adult Questionnaire). For both the youth and adult studies, participants will be randomly assigned to either the ad-viewing group or the “no ad” control group; if in the ad-viewing group, participants will be randomly assigned to view one ad. Participants will be randomly assigned so that an approximately equal number of participants are in the control group as view each individual ad.</w:t>
      </w:r>
    </w:p>
    <w:p w14:paraId="7E23BF83" w14:textId="105DB9C6" w:rsidR="00B04E7D" w:rsidRPr="00DC50FC" w:rsidRDefault="007B50F5" w:rsidP="00C04567">
      <w:pPr>
        <w:spacing w:after="240"/>
        <w:ind w:left="720"/>
        <w:rPr>
          <w:rFonts w:eastAsia="Times New Roman" w:cs="Times New Roman"/>
        </w:rPr>
      </w:pPr>
      <w:r w:rsidRPr="00DC50FC">
        <w:rPr>
          <w:rFonts w:eastAsia="Times New Roman" w:cs="Times New Roman"/>
        </w:rPr>
        <w:t xml:space="preserve">Control </w:t>
      </w:r>
      <w:r w:rsidR="00C16F90" w:rsidRPr="00DC50FC">
        <w:rPr>
          <w:rFonts w:eastAsia="Times New Roman" w:cs="Times New Roman"/>
        </w:rPr>
        <w:t xml:space="preserve">and ad-viewing </w:t>
      </w:r>
      <w:r w:rsidRPr="00DC50FC">
        <w:rPr>
          <w:rFonts w:eastAsia="Times New Roman" w:cs="Times New Roman"/>
        </w:rPr>
        <w:t xml:space="preserve">participants </w:t>
      </w:r>
      <w:r w:rsidR="003F642C" w:rsidRPr="00DC50FC">
        <w:rPr>
          <w:rFonts w:eastAsia="Times New Roman" w:cs="Times New Roman"/>
        </w:rPr>
        <w:t>will complete</w:t>
      </w:r>
      <w:r w:rsidR="007363C9" w:rsidRPr="00DC50FC">
        <w:rPr>
          <w:rFonts w:eastAsia="Times New Roman" w:cs="Times New Roman"/>
        </w:rPr>
        <w:t xml:space="preserve"> a series of questions in the q</w:t>
      </w:r>
      <w:r w:rsidR="00B04E7D" w:rsidRPr="00DC50FC">
        <w:rPr>
          <w:rFonts w:eastAsia="Times New Roman" w:cs="Times New Roman"/>
        </w:rPr>
        <w:t>uestionnaire related to household tobacco use and personal tobacco use.</w:t>
      </w:r>
      <w:r w:rsidR="003F642C" w:rsidRPr="00DC50FC">
        <w:rPr>
          <w:rFonts w:eastAsia="Times New Roman" w:cs="Times New Roman"/>
        </w:rPr>
        <w:t xml:space="preserve"> These questions will be used to assess effectiveness of the randomization process</w:t>
      </w:r>
      <w:r w:rsidR="00F9213E" w:rsidRPr="00DC50FC">
        <w:rPr>
          <w:rFonts w:eastAsia="Times New Roman" w:cs="Times New Roman"/>
        </w:rPr>
        <w:t>,</w:t>
      </w:r>
      <w:r w:rsidR="003F642C" w:rsidRPr="00DC50FC">
        <w:rPr>
          <w:rFonts w:eastAsia="Times New Roman" w:cs="Times New Roman"/>
        </w:rPr>
        <w:t xml:space="preserve"> ensure there are no confounding differences between groups</w:t>
      </w:r>
      <w:r w:rsidR="00F9213E" w:rsidRPr="00DC50FC">
        <w:rPr>
          <w:rFonts w:eastAsia="Times New Roman" w:cs="Times New Roman"/>
        </w:rPr>
        <w:t>, and</w:t>
      </w:r>
      <w:r w:rsidRPr="00DC50FC">
        <w:rPr>
          <w:rFonts w:eastAsia="Times New Roman" w:cs="Times New Roman"/>
        </w:rPr>
        <w:t xml:space="preserve"> act as control variables (i.e., covariates) in analyses.</w:t>
      </w:r>
      <w:r w:rsidR="003F642C" w:rsidRPr="00DC50FC">
        <w:rPr>
          <w:rFonts w:eastAsia="Times New Roman" w:cs="Times New Roman"/>
        </w:rPr>
        <w:t xml:space="preserve"> Following exposure to an ad, ad-viewing participants will be presented with a series of questions designed to assess their initial reactions to the ad, including what they liked or disliked, how the ad made them feel (e.g. sad, afraid, </w:t>
      </w:r>
      <w:r w:rsidR="005D717A" w:rsidRPr="00DC50FC">
        <w:rPr>
          <w:rFonts w:eastAsia="Times New Roman" w:cs="Times New Roman"/>
        </w:rPr>
        <w:t>inspired</w:t>
      </w:r>
      <w:r w:rsidR="003F642C" w:rsidRPr="00DC50FC">
        <w:rPr>
          <w:rFonts w:eastAsia="Times New Roman" w:cs="Times New Roman"/>
        </w:rPr>
        <w:t xml:space="preserve">), and, among other things, whether they felt the ad was powerful, informative, meaningful, convincing, terrible, or silly. Additionally, questions will be asked on whether the ad </w:t>
      </w:r>
      <w:r w:rsidR="003F642C" w:rsidRPr="00C04567">
        <w:t>influenced</w:t>
      </w:r>
      <w:r w:rsidR="003F642C" w:rsidRPr="00DC50FC">
        <w:rPr>
          <w:rFonts w:eastAsia="Times New Roman" w:cs="Times New Roman"/>
        </w:rPr>
        <w:t xml:space="preserve"> the participant’s thoughts about smoking, the degree to which the claims in the ad were believable, and if anything about the ad was confusing or unclear. </w:t>
      </w:r>
      <w:r w:rsidR="00FC589F" w:rsidRPr="00DC50FC">
        <w:rPr>
          <w:rFonts w:eastAsia="Times New Roman" w:cs="Times New Roman"/>
        </w:rPr>
        <w:t>Finally, a</w:t>
      </w:r>
      <w:r w:rsidR="003F642C" w:rsidRPr="00DC50FC">
        <w:rPr>
          <w:rFonts w:eastAsia="Times New Roman" w:cs="Times New Roman"/>
        </w:rPr>
        <w:t>ll participants will complete a series of questions assessing tobacco-related knowledge, attitudes, and beliefs</w:t>
      </w:r>
      <w:r w:rsidR="008179D7" w:rsidRPr="00DC50FC">
        <w:rPr>
          <w:rFonts w:eastAsia="Times New Roman" w:cs="Times New Roman"/>
        </w:rPr>
        <w:t>, which are used</w:t>
      </w:r>
      <w:r w:rsidR="003F642C" w:rsidRPr="00DC50FC">
        <w:rPr>
          <w:rFonts w:eastAsia="Times New Roman" w:cs="Times New Roman"/>
        </w:rPr>
        <w:t xml:space="preserve"> to examine for the presence of unintended consequences.</w:t>
      </w:r>
    </w:p>
    <w:p w14:paraId="0882AF6E" w14:textId="77777777" w:rsidR="00F37604" w:rsidRDefault="00636E15" w:rsidP="009C6AAC">
      <w:pPr>
        <w:numPr>
          <w:ilvl w:val="0"/>
          <w:numId w:val="6"/>
        </w:numPr>
        <w:tabs>
          <w:tab w:val="num" w:pos="720"/>
        </w:tabs>
        <w:spacing w:before="100" w:beforeAutospacing="1" w:after="240"/>
        <w:ind w:right="-1440"/>
        <w:rPr>
          <w:rFonts w:eastAsia="Times New Roman" w:cs="Times New Roman"/>
          <w:u w:val="single"/>
        </w:rPr>
      </w:pPr>
      <w:r w:rsidRPr="00DC50FC">
        <w:rPr>
          <w:rFonts w:eastAsia="Times New Roman" w:cs="Times New Roman"/>
          <w:u w:val="single"/>
        </w:rPr>
        <w:t>Use of Improved Information Technology and Burden Reduction</w:t>
      </w:r>
    </w:p>
    <w:p w14:paraId="1A337903" w14:textId="1F1F22B1" w:rsidR="00636E15" w:rsidRPr="00DC50FC" w:rsidRDefault="007363C9" w:rsidP="00C04567">
      <w:pPr>
        <w:spacing w:after="240"/>
        <w:ind w:left="720"/>
      </w:pPr>
      <w:r w:rsidRPr="00DC50FC">
        <w:rPr>
          <w:rFonts w:cs="Times New Roman"/>
        </w:rPr>
        <w:t>The use of electronic screener and q</w:t>
      </w:r>
      <w:r w:rsidR="00636E15" w:rsidRPr="00DC50FC">
        <w:rPr>
          <w:rFonts w:cs="Times New Roman"/>
        </w:rPr>
        <w:t xml:space="preserve">uestionnaire surveys offers a number of benefits. First, computerized administration permits the instrument designer to incorporate into the instruments routings that </w:t>
      </w:r>
      <w:r w:rsidR="00636E15" w:rsidRPr="00C04567">
        <w:rPr>
          <w:rFonts w:eastAsia="Times New Roman" w:cs="Times New Roman"/>
        </w:rPr>
        <w:t>might</w:t>
      </w:r>
      <w:r w:rsidR="00636E15" w:rsidRPr="00DC50FC">
        <w:rPr>
          <w:rFonts w:cs="Times New Roman"/>
        </w:rPr>
        <w:t xml:space="preserve"> be overly complex or not possible using a pa</w:t>
      </w:r>
      <w:r w:rsidRPr="00DC50FC">
        <w:rPr>
          <w:rFonts w:cs="Times New Roman"/>
        </w:rPr>
        <w:t>per-based survey. For example, s</w:t>
      </w:r>
      <w:r w:rsidR="00636E15" w:rsidRPr="00DC50FC">
        <w:rPr>
          <w:rFonts w:cs="Times New Roman"/>
        </w:rPr>
        <w:t>creener surveys can be programmed to implement skip patterns based on a respondent’s previous answers. Interviewer and respondent errors caused by faulty implementation of skip instructions are virtually eliminated. Second, electronic administration increases the consisten</w:t>
      </w:r>
      <w:r w:rsidRPr="00DC50FC">
        <w:rPr>
          <w:rFonts w:cs="Times New Roman"/>
        </w:rPr>
        <w:t>cy of the data. The electronic screener and q</w:t>
      </w:r>
      <w:r w:rsidR="00636E15" w:rsidRPr="00DC50FC">
        <w:rPr>
          <w:rFonts w:cs="Times New Roman"/>
        </w:rPr>
        <w:t>uestionnaire can be programmed to identify inconsistent responses and attempt to resolve them through respondent prompts. This approach reduces the need for most manual and machine editing, thus saving time and money. In addition, it is likely that respondent-resolved inconsistencies will result in data that are more accurate than when inconsistencies are resolved using editing rules. Third, electronic data collection permits greater expediency with respect to data processing and analysis (e.g., a number of back-end processing steps, including coding and data entry, will be minimized). These efficiencies save time due to the speed of data transmission, as well as receipt in a format suitable for analysis. Finally, this technology permits respondents to complete the instruments in privacy. Providing the respondent with a methodology that improves privacy makes reporting of potentially embarrassing or stigmatizing behaviors (e.g., tobacco use) less threatening and enhances response validity and response rates.</w:t>
      </w:r>
    </w:p>
    <w:p w14:paraId="3F18CD30" w14:textId="7C5EA3F7" w:rsidR="00306495" w:rsidRPr="00DC50FC" w:rsidRDefault="00093634" w:rsidP="009C6AAC">
      <w:pPr>
        <w:spacing w:after="240"/>
        <w:ind w:left="720"/>
        <w:rPr>
          <w:rFonts w:eastAsia="Times New Roman" w:cs="Times New Roman"/>
        </w:rPr>
      </w:pPr>
      <w:r w:rsidRPr="00DC50FC">
        <w:rPr>
          <w:szCs w:val="22"/>
        </w:rPr>
        <w:t xml:space="preserve">This study will recruit both youth and adult participants through online panels. </w:t>
      </w:r>
      <w:r w:rsidR="008F5DD6">
        <w:rPr>
          <w:szCs w:val="22"/>
        </w:rPr>
        <w:t xml:space="preserve">The campaign contractors, FCB and </w:t>
      </w:r>
      <w:r w:rsidRPr="00DC50FC">
        <w:rPr>
          <w:szCs w:val="22"/>
        </w:rPr>
        <w:t>Marketing Workshop</w:t>
      </w:r>
      <w:r w:rsidR="008F5DD6">
        <w:rPr>
          <w:szCs w:val="22"/>
        </w:rPr>
        <w:t>, subcontract</w:t>
      </w:r>
      <w:r w:rsidRPr="00DC50FC">
        <w:rPr>
          <w:szCs w:val="22"/>
        </w:rPr>
        <w:t xml:space="preserve"> to the panel provider, Market Cube, which has</w:t>
      </w:r>
      <w:r w:rsidRPr="00DC50FC">
        <w:rPr>
          <w:bCs/>
        </w:rPr>
        <w:t xml:space="preserve"> a proven and demonstrated ability to orchestrate and support the sampling plan specifications of these studies. </w:t>
      </w:r>
      <w:r w:rsidRPr="00DC50FC">
        <w:t xml:space="preserve">The panel includes over 600,000 adults age 19-54, over 25,000 teens 13-17 years old, as </w:t>
      </w:r>
      <w:r w:rsidRPr="00C04567">
        <w:rPr>
          <w:rFonts w:eastAsia="Times New Roman" w:cs="Times New Roman"/>
        </w:rPr>
        <w:t>well</w:t>
      </w:r>
      <w:r w:rsidRPr="00DC50FC">
        <w:t xml:space="preserve"> as hundreds of thousands of households that include teens.</w:t>
      </w:r>
      <w:r w:rsidRPr="00DC50FC">
        <w:rPr>
          <w:rFonts w:eastAsia="Times New Roman" w:cs="Times New Roman"/>
        </w:rPr>
        <w:t xml:space="preserve"> </w:t>
      </w:r>
      <w:r w:rsidR="00306495" w:rsidRPr="00DC50FC">
        <w:rPr>
          <w:rFonts w:eastAsia="Times New Roman" w:cs="Times New Roman"/>
        </w:rPr>
        <w:t xml:space="preserve">During recruitment for this study, participants </w:t>
      </w:r>
      <w:r w:rsidR="007363C9" w:rsidRPr="00DC50FC">
        <w:rPr>
          <w:rFonts w:eastAsia="Times New Roman" w:cs="Times New Roman"/>
        </w:rPr>
        <w:t>will complete the s</w:t>
      </w:r>
      <w:r w:rsidR="00306495" w:rsidRPr="00DC50FC">
        <w:rPr>
          <w:rFonts w:eastAsia="Times New Roman" w:cs="Times New Roman"/>
        </w:rPr>
        <w:t xml:space="preserve">creener electronically on their own device such as a mobile phone, tablet, or computer. This allows for more accurate data collection because respondents provide more honest responses, since it is clear that the answers will remain </w:t>
      </w:r>
      <w:r w:rsidR="00B91ADB" w:rsidRPr="00DC50FC">
        <w:rPr>
          <w:rFonts w:eastAsia="Times New Roman" w:cs="Times New Roman"/>
        </w:rPr>
        <w:t>private</w:t>
      </w:r>
      <w:r w:rsidR="00306495" w:rsidRPr="00DC50FC">
        <w:rPr>
          <w:rFonts w:eastAsia="Times New Roman" w:cs="Times New Roman"/>
        </w:rPr>
        <w:t>.</w:t>
      </w:r>
    </w:p>
    <w:p w14:paraId="036C20C7" w14:textId="55C53204" w:rsidR="00F37604" w:rsidRDefault="00306495" w:rsidP="009C6AAC">
      <w:pPr>
        <w:spacing w:after="240"/>
        <w:ind w:left="720"/>
        <w:rPr>
          <w:rFonts w:eastAsia="Times New Roman" w:cs="Times New Roman"/>
        </w:rPr>
      </w:pPr>
      <w:r w:rsidRPr="00DC50FC">
        <w:rPr>
          <w:rFonts w:eastAsia="Times New Roman" w:cs="Times New Roman"/>
        </w:rPr>
        <w:t xml:space="preserve">This study, which relies on electronic data collection </w:t>
      </w:r>
      <w:r w:rsidR="003B510E" w:rsidRPr="00DC50FC">
        <w:rPr>
          <w:rFonts w:eastAsia="Times New Roman" w:cs="Times New Roman"/>
        </w:rPr>
        <w:t>to provide accurate records of q</w:t>
      </w:r>
      <w:r w:rsidRPr="00DC50FC">
        <w:rPr>
          <w:rFonts w:eastAsia="Times New Roman" w:cs="Times New Roman"/>
        </w:rPr>
        <w:t>uestionnaire completion</w:t>
      </w:r>
      <w:r w:rsidR="006E3D95" w:rsidRPr="00DC50FC">
        <w:rPr>
          <w:rFonts w:eastAsia="Times New Roman" w:cs="Times New Roman"/>
        </w:rPr>
        <w:t>,</w:t>
      </w:r>
      <w:r w:rsidRPr="00DC50FC">
        <w:rPr>
          <w:rFonts w:eastAsia="Times New Roman" w:cs="Times New Roman"/>
        </w:rPr>
        <w:t xml:space="preserve"> will reduce burden by increasing participation rates, thereby reducing the number of participants needed to complete the Screener in order to achieve the desired sample size.</w:t>
      </w:r>
      <w:r w:rsidR="00707369">
        <w:rPr>
          <w:rFonts w:eastAsia="Times New Roman" w:cs="Times New Roman"/>
        </w:rPr>
        <w:t xml:space="preserve"> </w:t>
      </w:r>
    </w:p>
    <w:p w14:paraId="2E9A7453" w14:textId="77777777" w:rsidR="00F37604" w:rsidRDefault="00327637" w:rsidP="009C6AAC">
      <w:pPr>
        <w:numPr>
          <w:ilvl w:val="0"/>
          <w:numId w:val="6"/>
        </w:numPr>
        <w:tabs>
          <w:tab w:val="num" w:pos="720"/>
        </w:tabs>
        <w:spacing w:before="100" w:beforeAutospacing="1" w:after="240"/>
        <w:rPr>
          <w:rFonts w:eastAsia="Times New Roman" w:cs="Times New Roman"/>
          <w:u w:val="single"/>
        </w:rPr>
      </w:pPr>
      <w:r w:rsidRPr="00DC50FC">
        <w:rPr>
          <w:rFonts w:eastAsia="Times New Roman" w:cs="Times New Roman"/>
          <w:u w:val="single"/>
        </w:rPr>
        <w:t>Efforts to Identify Duplication and Use of Similar Information</w:t>
      </w:r>
    </w:p>
    <w:p w14:paraId="5BF11FAC" w14:textId="5577E758" w:rsidR="00F37604" w:rsidRDefault="00327637" w:rsidP="00C04567">
      <w:pPr>
        <w:spacing w:after="240"/>
        <w:ind w:left="720"/>
        <w:rPr>
          <w:rFonts w:cs="Times New Roman"/>
        </w:rPr>
      </w:pPr>
      <w:r w:rsidRPr="00DC50FC">
        <w:rPr>
          <w:rFonts w:cs="Times New Roman"/>
        </w:rPr>
        <w:t>The video ads being tested in th</w:t>
      </w:r>
      <w:r w:rsidR="00FE1AE4" w:rsidRPr="00DC50FC">
        <w:rPr>
          <w:rFonts w:cs="Times New Roman"/>
        </w:rPr>
        <w:t xml:space="preserve">is study are original to FDA’s </w:t>
      </w:r>
      <w:r w:rsidR="00F7365B" w:rsidRPr="00F7365B">
        <w:rPr>
          <w:rFonts w:cs="Times New Roman"/>
          <w:i/>
        </w:rPr>
        <w:t>The Real Cost</w:t>
      </w:r>
      <w:r w:rsidR="000C21FB" w:rsidRPr="00DC50FC">
        <w:rPr>
          <w:rFonts w:cs="Times New Roman"/>
        </w:rPr>
        <w:t xml:space="preserve"> campaign </w:t>
      </w:r>
      <w:r w:rsidRPr="00DC50FC">
        <w:rPr>
          <w:rFonts w:cs="Times New Roman"/>
        </w:rPr>
        <w:t xml:space="preserve">and have not previously been </w:t>
      </w:r>
      <w:r w:rsidR="00220260" w:rsidRPr="00DC50FC">
        <w:rPr>
          <w:rFonts w:cs="Times New Roman"/>
        </w:rPr>
        <w:t xml:space="preserve">copy tested </w:t>
      </w:r>
      <w:r w:rsidRPr="00DC50FC">
        <w:rPr>
          <w:rFonts w:cs="Times New Roman"/>
        </w:rPr>
        <w:t xml:space="preserve">or </w:t>
      </w:r>
      <w:r w:rsidR="00D4468C" w:rsidRPr="00DC50FC">
        <w:rPr>
          <w:rFonts w:cs="Times New Roman"/>
        </w:rPr>
        <w:t>publicly</w:t>
      </w:r>
      <w:r w:rsidRPr="00DC50FC">
        <w:rPr>
          <w:rFonts w:cs="Times New Roman"/>
        </w:rPr>
        <w:t xml:space="preserve"> aired. As such, there are no existing datasets that can be used or modified to address FDA’</w:t>
      </w:r>
      <w:r w:rsidR="00FE1AE4" w:rsidRPr="00DC50FC">
        <w:rPr>
          <w:rFonts w:cs="Times New Roman"/>
        </w:rPr>
        <w:t xml:space="preserve">s need for information on </w:t>
      </w:r>
      <w:r w:rsidRPr="00DC50FC">
        <w:rPr>
          <w:rFonts w:cs="Times New Roman"/>
        </w:rPr>
        <w:t>reacti</w:t>
      </w:r>
      <w:r w:rsidR="00FE1AE4" w:rsidRPr="00DC50FC">
        <w:rPr>
          <w:rFonts w:cs="Times New Roman"/>
        </w:rPr>
        <w:t xml:space="preserve">ons to the video ads </w:t>
      </w:r>
      <w:r w:rsidR="00093634" w:rsidRPr="00DC50FC">
        <w:rPr>
          <w:rFonts w:cs="Times New Roman"/>
        </w:rPr>
        <w:t xml:space="preserve">for </w:t>
      </w:r>
      <w:r w:rsidR="00093634" w:rsidRPr="00C04567">
        <w:rPr>
          <w:rFonts w:eastAsia="Times New Roman" w:cs="Times New Roman"/>
        </w:rPr>
        <w:t>FDA’s</w:t>
      </w:r>
      <w:r w:rsidR="00093634" w:rsidRPr="00DC50FC">
        <w:rPr>
          <w:rFonts w:cs="Times New Roman"/>
        </w:rPr>
        <w:t xml:space="preserve"> </w:t>
      </w:r>
      <w:r w:rsidR="00F7365B" w:rsidRPr="00F7365B">
        <w:rPr>
          <w:rFonts w:cs="Times New Roman"/>
          <w:i/>
        </w:rPr>
        <w:t>The Real Cost</w:t>
      </w:r>
      <w:r w:rsidR="00093634" w:rsidRPr="00C82ECC">
        <w:rPr>
          <w:rFonts w:cs="Times New Roman"/>
          <w:i/>
        </w:rPr>
        <w:t xml:space="preserve"> </w:t>
      </w:r>
      <w:r w:rsidR="00141386">
        <w:rPr>
          <w:rFonts w:cs="Times New Roman"/>
        </w:rPr>
        <w:t>c</w:t>
      </w:r>
      <w:r w:rsidR="00093634" w:rsidRPr="00141386">
        <w:rPr>
          <w:rFonts w:cs="Times New Roman"/>
        </w:rPr>
        <w:t>ampaign</w:t>
      </w:r>
      <w:r w:rsidR="00093634" w:rsidRPr="00DC50FC">
        <w:rPr>
          <w:rFonts w:cs="Times New Roman"/>
        </w:rPr>
        <w:t xml:space="preserve">. </w:t>
      </w:r>
      <w:r w:rsidR="00FE1AE4" w:rsidRPr="00DC50FC">
        <w:rPr>
          <w:rFonts w:cs="Times New Roman"/>
        </w:rPr>
        <w:t>This type of focused recruitment of youth in the target audience</w:t>
      </w:r>
      <w:r w:rsidR="00901173" w:rsidRPr="00DC50FC">
        <w:rPr>
          <w:rFonts w:cs="Times New Roman"/>
        </w:rPr>
        <w:t xml:space="preserve"> and adults in instances where there are concerns of unintended consequences to individuals outside of the target</w:t>
      </w:r>
      <w:r w:rsidR="00FE1AE4" w:rsidRPr="00DC50FC">
        <w:rPr>
          <w:rFonts w:cs="Times New Roman"/>
        </w:rPr>
        <w:t xml:space="preserve"> is necessary to test </w:t>
      </w:r>
      <w:r w:rsidR="00220260" w:rsidRPr="00DC50FC">
        <w:rPr>
          <w:rFonts w:cs="Times New Roman"/>
        </w:rPr>
        <w:t xml:space="preserve">the effectiveness of ads developed </w:t>
      </w:r>
      <w:r w:rsidR="00901173" w:rsidRPr="00DC50FC">
        <w:rPr>
          <w:rFonts w:cs="Times New Roman"/>
        </w:rPr>
        <w:t xml:space="preserve">for FDA’s </w:t>
      </w:r>
      <w:r w:rsidR="00F7365B" w:rsidRPr="00F7365B">
        <w:rPr>
          <w:rFonts w:cs="Times New Roman"/>
          <w:i/>
        </w:rPr>
        <w:t>The Real Cost</w:t>
      </w:r>
      <w:r w:rsidR="00901173" w:rsidRPr="00C82ECC">
        <w:rPr>
          <w:rFonts w:cs="Times New Roman"/>
          <w:i/>
        </w:rPr>
        <w:t xml:space="preserve"> campaign</w:t>
      </w:r>
      <w:r w:rsidR="00FE1AE4" w:rsidRPr="00DC50FC">
        <w:rPr>
          <w:rFonts w:cs="Times New Roman"/>
        </w:rPr>
        <w:t>. Therefore, we have determined that the proposed information collection does not duplicate previous efforts.</w:t>
      </w:r>
    </w:p>
    <w:p w14:paraId="091A4F0A" w14:textId="766D58B5" w:rsidR="00327637" w:rsidRPr="00DC50FC" w:rsidRDefault="00FE1AE4" w:rsidP="009C6AAC">
      <w:pPr>
        <w:pStyle w:val="ListParagraph"/>
        <w:numPr>
          <w:ilvl w:val="0"/>
          <w:numId w:val="6"/>
        </w:numPr>
        <w:spacing w:before="100" w:beforeAutospacing="1" w:after="240"/>
        <w:contextualSpacing w:val="0"/>
        <w:rPr>
          <w:rFonts w:asciiTheme="minorHAnsi" w:eastAsia="Times New Roman" w:hAnsiTheme="minorHAnsi" w:cs="Times New Roman"/>
          <w:szCs w:val="24"/>
          <w:u w:val="single"/>
        </w:rPr>
      </w:pPr>
      <w:r w:rsidRPr="00DC50FC">
        <w:rPr>
          <w:rFonts w:asciiTheme="minorHAnsi" w:eastAsia="Times New Roman" w:hAnsiTheme="minorHAnsi" w:cs="Times New Roman"/>
          <w:szCs w:val="24"/>
          <w:u w:val="single"/>
        </w:rPr>
        <w:t>Impact on Small Businesses or Other Small Entities</w:t>
      </w:r>
    </w:p>
    <w:p w14:paraId="0C10932D" w14:textId="4341C154" w:rsidR="00264665" w:rsidRPr="00DC50FC" w:rsidRDefault="00264665" w:rsidP="00C04567">
      <w:pPr>
        <w:spacing w:after="240"/>
        <w:ind w:left="720"/>
      </w:pPr>
      <w:r w:rsidRPr="00DC50FC">
        <w:rPr>
          <w:rFonts w:cs="Times New Roman"/>
        </w:rPr>
        <w:t xml:space="preserve">Respondents in this study will be members of the general public, specific subpopulations, or specific </w:t>
      </w:r>
      <w:r w:rsidRPr="00C04567">
        <w:rPr>
          <w:rFonts w:eastAsia="Times New Roman" w:cs="Times New Roman"/>
        </w:rPr>
        <w:t>professions</w:t>
      </w:r>
      <w:r w:rsidRPr="00DC50FC">
        <w:rPr>
          <w:rFonts w:cs="Times New Roman"/>
        </w:rPr>
        <w:t>, not business entities. No impact on small businesses or other small entities is anticipated.</w:t>
      </w:r>
    </w:p>
    <w:p w14:paraId="06B96596" w14:textId="09011D13" w:rsidR="00327637" w:rsidRPr="00DC50FC" w:rsidRDefault="00264665" w:rsidP="009C6AAC">
      <w:pPr>
        <w:pStyle w:val="ListParagraph"/>
        <w:numPr>
          <w:ilvl w:val="0"/>
          <w:numId w:val="6"/>
        </w:numPr>
        <w:spacing w:before="100" w:beforeAutospacing="1" w:after="240"/>
        <w:contextualSpacing w:val="0"/>
        <w:rPr>
          <w:rFonts w:asciiTheme="minorHAnsi" w:hAnsiTheme="minorHAnsi" w:cs="Times New Roman"/>
          <w:szCs w:val="24"/>
        </w:rPr>
      </w:pPr>
      <w:r w:rsidRPr="00DC50FC">
        <w:rPr>
          <w:rFonts w:asciiTheme="minorHAnsi" w:hAnsiTheme="minorHAnsi" w:cs="Times New Roman"/>
          <w:szCs w:val="24"/>
          <w:u w:val="single"/>
        </w:rPr>
        <w:t>Consequences of Collecting the Information Less Frequently</w:t>
      </w:r>
    </w:p>
    <w:p w14:paraId="0BF597B8" w14:textId="73F2EC7D" w:rsidR="00F37604" w:rsidRDefault="00264665" w:rsidP="00C04567">
      <w:pPr>
        <w:spacing w:after="240"/>
        <w:ind w:left="720"/>
        <w:rPr>
          <w:rFonts w:cs="Times New Roman"/>
        </w:rPr>
      </w:pPr>
      <w:r w:rsidRPr="00DC50FC">
        <w:rPr>
          <w:rFonts w:cs="Times New Roman"/>
        </w:rPr>
        <w:t xml:space="preserve">There are no legal obstacles to reduce the participant burden. Respondents to this collection of information will </w:t>
      </w:r>
      <w:r w:rsidR="009A7CF4" w:rsidRPr="00DC50FC">
        <w:rPr>
          <w:rFonts w:cs="Times New Roman"/>
        </w:rPr>
        <w:t>answer only once</w:t>
      </w:r>
      <w:r w:rsidRPr="00DC50FC">
        <w:rPr>
          <w:rFonts w:cs="Times New Roman"/>
        </w:rPr>
        <w:t xml:space="preserve"> to ensure the participant burden is as low as possible. Without the </w:t>
      </w:r>
      <w:r w:rsidRPr="00C04567">
        <w:rPr>
          <w:rFonts w:eastAsia="Times New Roman" w:cs="Times New Roman"/>
        </w:rPr>
        <w:t>information</w:t>
      </w:r>
      <w:r w:rsidRPr="00DC50FC">
        <w:rPr>
          <w:rFonts w:cs="Times New Roman"/>
        </w:rPr>
        <w:t xml:space="preserve"> collection requested, it would be difficult to measure target audience </w:t>
      </w:r>
      <w:r w:rsidR="00901173" w:rsidRPr="00DC50FC">
        <w:rPr>
          <w:rFonts w:cs="Times New Roman"/>
        </w:rPr>
        <w:t xml:space="preserve">and adult </w:t>
      </w:r>
      <w:r w:rsidRPr="00DC50FC">
        <w:rPr>
          <w:rFonts w:cs="Times New Roman"/>
        </w:rPr>
        <w:t xml:space="preserve">reactions to </w:t>
      </w:r>
      <w:r w:rsidR="00B53C9A" w:rsidRPr="00DC50FC">
        <w:rPr>
          <w:rFonts w:cs="Times New Roman"/>
        </w:rPr>
        <w:t>video ads</w:t>
      </w:r>
      <w:r w:rsidRPr="00DC50FC">
        <w:rPr>
          <w:rFonts w:cs="Times New Roman"/>
        </w:rPr>
        <w:t xml:space="preserve"> for FDA’s </w:t>
      </w:r>
      <w:r w:rsidR="00F7365B" w:rsidRPr="00F7365B">
        <w:rPr>
          <w:rFonts w:cs="Times New Roman"/>
          <w:i/>
        </w:rPr>
        <w:t>The Real Cost</w:t>
      </w:r>
      <w:r w:rsidRPr="00DC50FC">
        <w:rPr>
          <w:rFonts w:cs="Times New Roman"/>
        </w:rPr>
        <w:t xml:space="preserve"> </w:t>
      </w:r>
      <w:r w:rsidR="00141386">
        <w:rPr>
          <w:rFonts w:cs="Times New Roman"/>
        </w:rPr>
        <w:t>c</w:t>
      </w:r>
      <w:r w:rsidRPr="00DC50FC">
        <w:rPr>
          <w:rFonts w:cs="Times New Roman"/>
        </w:rPr>
        <w:t>ampaign. Failure to collect this data could reduce effectiveness of the FDA’s messaging, and the</w:t>
      </w:r>
      <w:r w:rsidR="00901173" w:rsidRPr="00DC50FC">
        <w:rPr>
          <w:rFonts w:cs="Times New Roman"/>
        </w:rPr>
        <w:t>refore reduce the benefit of this messaging campaign.</w:t>
      </w:r>
    </w:p>
    <w:p w14:paraId="3EAFBDB5" w14:textId="4C58F681" w:rsidR="00264665" w:rsidRPr="00DC50FC" w:rsidRDefault="00B53C9A" w:rsidP="009C6AAC">
      <w:pPr>
        <w:pStyle w:val="ListParagraph"/>
        <w:numPr>
          <w:ilvl w:val="0"/>
          <w:numId w:val="6"/>
        </w:numPr>
        <w:spacing w:before="100" w:beforeAutospacing="1" w:after="240"/>
        <w:contextualSpacing w:val="0"/>
        <w:rPr>
          <w:rFonts w:asciiTheme="minorHAnsi" w:hAnsiTheme="minorHAnsi" w:cs="Times New Roman"/>
          <w:szCs w:val="24"/>
        </w:rPr>
      </w:pPr>
      <w:r w:rsidRPr="00DC50FC">
        <w:rPr>
          <w:rFonts w:asciiTheme="minorHAnsi" w:eastAsia="Times New Roman" w:hAnsiTheme="minorHAnsi" w:cs="Times New Roman"/>
          <w:szCs w:val="24"/>
          <w:u w:val="single"/>
        </w:rPr>
        <w:t>Special Circumstances Relating to the Guidelines of 5 CFR 1320.5</w:t>
      </w:r>
    </w:p>
    <w:p w14:paraId="391EDE93" w14:textId="1243D72D" w:rsidR="00B73D5E" w:rsidRPr="00DC50FC" w:rsidRDefault="00B53C9A" w:rsidP="00C04567">
      <w:pPr>
        <w:spacing w:after="240"/>
        <w:ind w:left="720"/>
        <w:rPr>
          <w:rFonts w:cs="Times New Roman"/>
        </w:rPr>
      </w:pPr>
      <w:r w:rsidRPr="00DC50FC">
        <w:rPr>
          <w:rFonts w:cs="Times New Roman"/>
        </w:rPr>
        <w:t xml:space="preserve">There are no special circumstances for this collection of information that require the data collection to be </w:t>
      </w:r>
      <w:r w:rsidRPr="00C04567">
        <w:rPr>
          <w:rFonts w:eastAsia="Times New Roman" w:cs="Times New Roman"/>
        </w:rPr>
        <w:t>conducted</w:t>
      </w:r>
      <w:r w:rsidRPr="00DC50FC">
        <w:rPr>
          <w:rFonts w:cs="Times New Roman"/>
        </w:rPr>
        <w:t xml:space="preserve"> in a manner inconsistent with 5 CRF 1320.5(d)(2). The message testing activities fully comply with the guidelines in 5 CFR 1320.5.</w:t>
      </w:r>
    </w:p>
    <w:p w14:paraId="30B311B8" w14:textId="658BAC73" w:rsidR="00B73D5E" w:rsidRPr="00DC50FC" w:rsidRDefault="00B73D5E" w:rsidP="009C6AAC">
      <w:pPr>
        <w:pStyle w:val="ListParagraph"/>
        <w:numPr>
          <w:ilvl w:val="0"/>
          <w:numId w:val="6"/>
        </w:numPr>
        <w:spacing w:before="100" w:beforeAutospacing="1" w:after="240"/>
        <w:contextualSpacing w:val="0"/>
        <w:rPr>
          <w:rFonts w:asciiTheme="minorHAnsi" w:eastAsia="Times New Roman" w:hAnsiTheme="minorHAnsi" w:cs="Times New Roman"/>
          <w:szCs w:val="24"/>
        </w:rPr>
      </w:pPr>
      <w:r w:rsidRPr="00DC50FC">
        <w:rPr>
          <w:rFonts w:asciiTheme="minorHAnsi" w:eastAsia="Times New Roman" w:hAnsiTheme="minorHAnsi" w:cs="Times New Roman"/>
          <w:szCs w:val="24"/>
          <w:u w:val="single"/>
        </w:rPr>
        <w:t>Comments in Response to the Federal Register Notice and Efforts to Consult Outside the Agency</w:t>
      </w:r>
    </w:p>
    <w:p w14:paraId="67F41695" w14:textId="33E66767" w:rsidR="00B73D5E" w:rsidRPr="00DC50FC" w:rsidRDefault="00B73D5E" w:rsidP="00C04567">
      <w:pPr>
        <w:spacing w:after="240"/>
        <w:ind w:left="720"/>
        <w:rPr>
          <w:rFonts w:cs="Times New Roman"/>
        </w:rPr>
      </w:pPr>
      <w:r w:rsidRPr="00DC50FC">
        <w:rPr>
          <w:rFonts w:cs="Times New Roman"/>
        </w:rPr>
        <w:t xml:space="preserve">The following </w:t>
      </w:r>
      <w:r w:rsidRPr="00C04567">
        <w:rPr>
          <w:rFonts w:eastAsia="Times New Roman" w:cs="Times New Roman"/>
        </w:rPr>
        <w:t>individuals</w:t>
      </w:r>
      <w:r w:rsidRPr="00DC50FC">
        <w:rPr>
          <w:rFonts w:cs="Times New Roman"/>
        </w:rPr>
        <w:t xml:space="preserve"> inside the agency have been consulted on </w:t>
      </w:r>
      <w:r w:rsidR="008E4EEC" w:rsidRPr="00DC50FC">
        <w:rPr>
          <w:rFonts w:eastAsia="Times New Roman"/>
        </w:rPr>
        <w:t>the design of the copy testing plan, survey development, or intra-agency coordination of information collection efforts:</w:t>
      </w:r>
    </w:p>
    <w:p w14:paraId="277EC57C"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Gem Benoza</w:t>
      </w:r>
    </w:p>
    <w:p w14:paraId="456AF9D1"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Office of Health Communication &amp; Education</w:t>
      </w:r>
    </w:p>
    <w:p w14:paraId="33FEA39D"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Center for Tobacco Products</w:t>
      </w:r>
    </w:p>
    <w:p w14:paraId="4AD78BF6"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Food and Drug Administration</w:t>
      </w:r>
    </w:p>
    <w:p w14:paraId="4A21329C"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10903 New Hampshire Avenue</w:t>
      </w:r>
    </w:p>
    <w:p w14:paraId="769F6721"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Silver Spring, MD 20993</w:t>
      </w:r>
    </w:p>
    <w:p w14:paraId="5C4462BC"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Phone:</w:t>
      </w:r>
      <w:r w:rsidRPr="00DC50FC">
        <w:rPr>
          <w:rFonts w:eastAsia="Times New Roman" w:cs="Times New Roman"/>
        </w:rPr>
        <w:tab/>
        <w:t>240-402-0088</w:t>
      </w:r>
    </w:p>
    <w:p w14:paraId="0C80FDF8" w14:textId="4FA2864E" w:rsidR="001446C2" w:rsidRPr="00DC50FC" w:rsidRDefault="00B73D5E" w:rsidP="009C6AAC">
      <w:pPr>
        <w:spacing w:after="240"/>
        <w:ind w:left="720"/>
        <w:contextualSpacing/>
        <w:rPr>
          <w:rFonts w:eastAsia="Times New Roman" w:cs="Times New Roman"/>
        </w:rPr>
      </w:pPr>
      <w:r w:rsidRPr="00DC50FC">
        <w:rPr>
          <w:rFonts w:eastAsia="Times New Roman" w:cs="Times New Roman"/>
        </w:rPr>
        <w:t>E-mail:</w:t>
      </w:r>
      <w:r w:rsidRPr="00DC50FC">
        <w:rPr>
          <w:rFonts w:eastAsia="Times New Roman" w:cs="Times New Roman"/>
        </w:rPr>
        <w:tab/>
        <w:t xml:space="preserve"> </w:t>
      </w:r>
      <w:hyperlink r:id="rId9" w:history="1">
        <w:r w:rsidRPr="00DC50FC">
          <w:rPr>
            <w:rStyle w:val="Hyperlink"/>
            <w:rFonts w:eastAsia="Times New Roman" w:cs="Times New Roman"/>
          </w:rPr>
          <w:t>Maria.Benoza@fda.hhs.gov</w:t>
        </w:r>
      </w:hyperlink>
    </w:p>
    <w:p w14:paraId="3EFFF461" w14:textId="77777777" w:rsidR="00FB77A6" w:rsidRPr="00DC50FC" w:rsidRDefault="00FB77A6" w:rsidP="009C6AAC">
      <w:pPr>
        <w:pStyle w:val="ListParagraph"/>
        <w:spacing w:after="240"/>
        <w:rPr>
          <w:rFonts w:asciiTheme="minorHAnsi" w:hAnsiTheme="minorHAnsi" w:cs="Times New Roman"/>
          <w:szCs w:val="24"/>
        </w:rPr>
      </w:pPr>
      <w:r w:rsidRPr="00DC50FC">
        <w:rPr>
          <w:rFonts w:asciiTheme="minorHAnsi" w:hAnsiTheme="minorHAnsi" w:cs="Times New Roman"/>
          <w:szCs w:val="24"/>
        </w:rPr>
        <w:t>Mario Navarro</w:t>
      </w:r>
    </w:p>
    <w:p w14:paraId="7C4F0FEA" w14:textId="77777777" w:rsidR="00FB77A6" w:rsidRPr="00DC50FC" w:rsidRDefault="00FB77A6" w:rsidP="009C6AAC">
      <w:pPr>
        <w:pStyle w:val="ListParagraph"/>
        <w:spacing w:after="240"/>
        <w:rPr>
          <w:rFonts w:asciiTheme="minorHAnsi" w:hAnsiTheme="minorHAnsi" w:cs="Times New Roman"/>
          <w:szCs w:val="24"/>
        </w:rPr>
      </w:pPr>
      <w:r w:rsidRPr="00DC50FC">
        <w:rPr>
          <w:rFonts w:asciiTheme="minorHAnsi" w:hAnsiTheme="minorHAnsi" w:cs="Times New Roman"/>
          <w:szCs w:val="24"/>
        </w:rPr>
        <w:t>Office of Health Communication &amp; Education</w:t>
      </w:r>
    </w:p>
    <w:p w14:paraId="00228CAE" w14:textId="77777777" w:rsidR="00FB77A6" w:rsidRPr="00DC50FC" w:rsidRDefault="00FB77A6" w:rsidP="009C6AAC">
      <w:pPr>
        <w:pStyle w:val="ListParagraph"/>
        <w:spacing w:after="240"/>
        <w:rPr>
          <w:rFonts w:asciiTheme="minorHAnsi" w:hAnsiTheme="minorHAnsi" w:cs="Times New Roman"/>
          <w:szCs w:val="24"/>
        </w:rPr>
      </w:pPr>
      <w:r w:rsidRPr="00DC50FC">
        <w:rPr>
          <w:rFonts w:asciiTheme="minorHAnsi" w:hAnsiTheme="minorHAnsi" w:cs="Times New Roman"/>
          <w:szCs w:val="24"/>
        </w:rPr>
        <w:t>Center for Tobacco Products</w:t>
      </w:r>
    </w:p>
    <w:p w14:paraId="487BAEAD" w14:textId="77777777" w:rsidR="00FB77A6" w:rsidRPr="00DC50FC" w:rsidRDefault="00FB77A6" w:rsidP="009C6AAC">
      <w:pPr>
        <w:pStyle w:val="ListParagraph"/>
        <w:spacing w:after="240"/>
        <w:rPr>
          <w:rFonts w:asciiTheme="minorHAnsi" w:hAnsiTheme="minorHAnsi" w:cs="Times New Roman"/>
          <w:szCs w:val="24"/>
        </w:rPr>
      </w:pPr>
      <w:r w:rsidRPr="00DC50FC">
        <w:rPr>
          <w:rFonts w:asciiTheme="minorHAnsi" w:hAnsiTheme="minorHAnsi" w:cs="Times New Roman"/>
          <w:szCs w:val="24"/>
        </w:rPr>
        <w:t>Food and Drug Administration</w:t>
      </w:r>
    </w:p>
    <w:p w14:paraId="4BE8F6EB" w14:textId="77777777" w:rsidR="00FB77A6" w:rsidRPr="00DC50FC" w:rsidRDefault="00FB77A6" w:rsidP="009C6AAC">
      <w:pPr>
        <w:pStyle w:val="ListParagraph"/>
        <w:spacing w:after="240"/>
        <w:rPr>
          <w:rFonts w:asciiTheme="minorHAnsi" w:hAnsiTheme="minorHAnsi" w:cs="Times New Roman"/>
          <w:szCs w:val="24"/>
        </w:rPr>
      </w:pPr>
      <w:r w:rsidRPr="00DC50FC">
        <w:rPr>
          <w:rFonts w:asciiTheme="minorHAnsi" w:hAnsiTheme="minorHAnsi" w:cs="Times New Roman"/>
          <w:szCs w:val="24"/>
        </w:rPr>
        <w:t>10903 New Hampshire Avenue</w:t>
      </w:r>
    </w:p>
    <w:p w14:paraId="435575F4" w14:textId="77777777" w:rsidR="00FB77A6" w:rsidRPr="00DC50FC" w:rsidRDefault="00FB77A6" w:rsidP="009C6AAC">
      <w:pPr>
        <w:pStyle w:val="ListParagraph"/>
        <w:spacing w:after="240"/>
        <w:rPr>
          <w:rFonts w:asciiTheme="minorHAnsi" w:hAnsiTheme="minorHAnsi" w:cs="Times New Roman"/>
          <w:szCs w:val="24"/>
        </w:rPr>
      </w:pPr>
      <w:r w:rsidRPr="00DC50FC">
        <w:rPr>
          <w:rFonts w:asciiTheme="minorHAnsi" w:hAnsiTheme="minorHAnsi" w:cs="Times New Roman"/>
          <w:szCs w:val="24"/>
        </w:rPr>
        <w:t>Silver Spring, MD 20993</w:t>
      </w:r>
    </w:p>
    <w:p w14:paraId="409AF0A6" w14:textId="2A9C8D02" w:rsidR="00FB77A6" w:rsidRPr="00DC50FC" w:rsidRDefault="00FB77A6" w:rsidP="009C6AAC">
      <w:pPr>
        <w:pStyle w:val="ListParagraph"/>
        <w:spacing w:after="240"/>
        <w:rPr>
          <w:rFonts w:asciiTheme="minorHAnsi" w:hAnsiTheme="minorHAnsi" w:cs="Times New Roman"/>
          <w:szCs w:val="24"/>
        </w:rPr>
      </w:pPr>
      <w:r w:rsidRPr="00DC50FC">
        <w:rPr>
          <w:rFonts w:asciiTheme="minorHAnsi" w:hAnsiTheme="minorHAnsi" w:cs="Times New Roman"/>
          <w:szCs w:val="24"/>
        </w:rPr>
        <w:t>Phone:</w:t>
      </w:r>
      <w:r w:rsidRPr="00DC50FC">
        <w:rPr>
          <w:rFonts w:asciiTheme="minorHAnsi" w:hAnsiTheme="minorHAnsi" w:cs="Times New Roman"/>
          <w:szCs w:val="24"/>
        </w:rPr>
        <w:tab/>
      </w:r>
      <w:r w:rsidR="000F1B31" w:rsidRPr="00DC50FC">
        <w:rPr>
          <w:rFonts w:asciiTheme="minorHAnsi" w:hAnsiTheme="minorHAnsi" w:cs="Times New Roman"/>
          <w:szCs w:val="24"/>
        </w:rPr>
        <w:t>240-402-4963</w:t>
      </w:r>
    </w:p>
    <w:p w14:paraId="5F1E8AFE" w14:textId="29073794" w:rsidR="00FB77A6" w:rsidRPr="00DC50FC" w:rsidRDefault="00FB77A6" w:rsidP="009C6AAC">
      <w:pPr>
        <w:pStyle w:val="ListParagraph"/>
        <w:spacing w:after="240"/>
        <w:rPr>
          <w:rFonts w:asciiTheme="minorHAnsi" w:hAnsiTheme="minorHAnsi"/>
          <w:szCs w:val="24"/>
        </w:rPr>
      </w:pPr>
      <w:r w:rsidRPr="00DC50FC">
        <w:rPr>
          <w:rFonts w:asciiTheme="minorHAnsi" w:hAnsiTheme="minorHAnsi" w:cs="Times New Roman"/>
          <w:szCs w:val="24"/>
        </w:rPr>
        <w:t>E-mail:</w:t>
      </w:r>
      <w:r w:rsidRPr="00DC50FC">
        <w:rPr>
          <w:rFonts w:asciiTheme="minorHAnsi" w:hAnsiTheme="minorHAnsi" w:cs="Times New Roman"/>
          <w:szCs w:val="24"/>
        </w:rPr>
        <w:tab/>
        <w:t xml:space="preserve"> </w:t>
      </w:r>
      <w:hyperlink r:id="rId10" w:history="1">
        <w:r w:rsidRPr="00DC50FC">
          <w:rPr>
            <w:rStyle w:val="Hyperlink"/>
            <w:rFonts w:asciiTheme="minorHAnsi" w:hAnsiTheme="minorHAnsi" w:cs="Times New Roman"/>
            <w:szCs w:val="24"/>
          </w:rPr>
          <w:t>Mario.Navarro@fda.hhs.gov</w:t>
        </w:r>
      </w:hyperlink>
    </w:p>
    <w:p w14:paraId="00FF6523"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Matthew Walker</w:t>
      </w:r>
    </w:p>
    <w:p w14:paraId="60D79853"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Office of Health Communication &amp; Education</w:t>
      </w:r>
    </w:p>
    <w:p w14:paraId="49FB933A"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Center for Tobacco Products</w:t>
      </w:r>
    </w:p>
    <w:p w14:paraId="534BECAA"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Food and Drug Administration</w:t>
      </w:r>
    </w:p>
    <w:p w14:paraId="22C3125F"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10903 New Hampshire Avenue</w:t>
      </w:r>
    </w:p>
    <w:p w14:paraId="30A48D78"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Silver Spring, MD 20993</w:t>
      </w:r>
    </w:p>
    <w:p w14:paraId="33D40EF5" w14:textId="77777777" w:rsidR="00B73D5E" w:rsidRPr="00DC50FC" w:rsidRDefault="00B73D5E" w:rsidP="009C6AAC">
      <w:pPr>
        <w:spacing w:after="240"/>
        <w:ind w:left="720"/>
        <w:contextualSpacing/>
        <w:rPr>
          <w:rFonts w:eastAsia="Times New Roman" w:cs="Times New Roman"/>
        </w:rPr>
      </w:pPr>
      <w:r w:rsidRPr="00DC50FC">
        <w:rPr>
          <w:rFonts w:eastAsia="Times New Roman" w:cs="Times New Roman"/>
        </w:rPr>
        <w:t>Phone:</w:t>
      </w:r>
      <w:r w:rsidRPr="00DC50FC">
        <w:rPr>
          <w:rFonts w:eastAsia="Times New Roman" w:cs="Times New Roman"/>
        </w:rPr>
        <w:tab/>
        <w:t>240-402-3824</w:t>
      </w:r>
    </w:p>
    <w:p w14:paraId="078A599C" w14:textId="77547C22" w:rsidR="000F1B31" w:rsidRPr="00DC50FC" w:rsidRDefault="00B73D5E" w:rsidP="009C6AAC">
      <w:pPr>
        <w:spacing w:after="240"/>
        <w:ind w:left="720"/>
        <w:contextualSpacing/>
        <w:rPr>
          <w:rFonts w:eastAsia="Times New Roman" w:cs="Times New Roman"/>
        </w:rPr>
      </w:pPr>
      <w:r w:rsidRPr="00DC50FC">
        <w:rPr>
          <w:rFonts w:eastAsia="Times New Roman" w:cs="Times New Roman"/>
        </w:rPr>
        <w:t>E-mail:</w:t>
      </w:r>
      <w:r w:rsidRPr="00DC50FC">
        <w:rPr>
          <w:rFonts w:eastAsia="Times New Roman" w:cs="Times New Roman"/>
        </w:rPr>
        <w:tab/>
        <w:t xml:space="preserve"> </w:t>
      </w:r>
      <w:hyperlink r:id="rId11" w:history="1">
        <w:r w:rsidR="000F1B31" w:rsidRPr="00DC50FC">
          <w:rPr>
            <w:rStyle w:val="Hyperlink"/>
            <w:rFonts w:eastAsia="Times New Roman" w:cs="Times New Roman"/>
          </w:rPr>
          <w:t>Matthew.Walker@fda.hhs.gov</w:t>
        </w:r>
      </w:hyperlink>
    </w:p>
    <w:p w14:paraId="277A663E" w14:textId="77777777" w:rsidR="008179D7" w:rsidRPr="00DC50FC" w:rsidRDefault="008179D7" w:rsidP="009C6AAC">
      <w:pPr>
        <w:spacing w:after="240"/>
        <w:ind w:left="720"/>
        <w:rPr>
          <w:rFonts w:eastAsia="Times New Roman" w:cs="Times New Roman"/>
        </w:rPr>
      </w:pPr>
    </w:p>
    <w:p w14:paraId="454A1B65" w14:textId="6F7A294E" w:rsidR="00B73D5E" w:rsidRPr="00DC50FC" w:rsidRDefault="00B73D5E" w:rsidP="009C6AAC">
      <w:pPr>
        <w:spacing w:after="240"/>
        <w:ind w:left="720"/>
        <w:rPr>
          <w:rFonts w:eastAsia="Times New Roman" w:cs="Times New Roman"/>
        </w:rPr>
      </w:pPr>
      <w:r w:rsidRPr="00DC50FC">
        <w:rPr>
          <w:rFonts w:eastAsia="Times New Roman" w:cs="Times New Roman"/>
        </w:rPr>
        <w:t>The following individuals outside of the agency have been</w:t>
      </w:r>
      <w:r w:rsidR="00E95C2A" w:rsidRPr="00DC50FC">
        <w:rPr>
          <w:rFonts w:eastAsia="Times New Roman" w:cs="Times New Roman"/>
        </w:rPr>
        <w:t xml:space="preserve"> consulted on questionnaire</w:t>
      </w:r>
      <w:r w:rsidRPr="00DC50FC">
        <w:rPr>
          <w:rFonts w:eastAsia="Times New Roman" w:cs="Times New Roman"/>
        </w:rPr>
        <w:t xml:space="preserve"> development:</w:t>
      </w:r>
    </w:p>
    <w:p w14:paraId="2324BA24" w14:textId="205DA25B" w:rsidR="00901173" w:rsidRPr="00DC50FC" w:rsidRDefault="00901173" w:rsidP="00901173">
      <w:pPr>
        <w:widowControl w:val="0"/>
        <w:autoSpaceDE w:val="0"/>
        <w:autoSpaceDN w:val="0"/>
        <w:adjustRightInd w:val="0"/>
        <w:rPr>
          <w:rFonts w:cs="Arial"/>
          <w:color w:val="000000" w:themeColor="text1"/>
        </w:rPr>
      </w:pPr>
      <w:r w:rsidRPr="00DC50FC">
        <w:rPr>
          <w:rFonts w:cs="Arial"/>
          <w:szCs w:val="22"/>
        </w:rPr>
        <w:tab/>
      </w:r>
      <w:r w:rsidRPr="00DC50FC">
        <w:rPr>
          <w:rFonts w:cs="Arial"/>
          <w:color w:val="000000" w:themeColor="text1"/>
        </w:rPr>
        <w:t>Todd Sussman - FCB New York</w:t>
      </w:r>
    </w:p>
    <w:p w14:paraId="5305CB85" w14:textId="432A4C42" w:rsidR="00901173" w:rsidRPr="00DC50FC" w:rsidRDefault="00901173" w:rsidP="00901173">
      <w:pPr>
        <w:widowControl w:val="0"/>
        <w:autoSpaceDE w:val="0"/>
        <w:autoSpaceDN w:val="0"/>
        <w:adjustRightInd w:val="0"/>
        <w:rPr>
          <w:rFonts w:cs="Arial"/>
          <w:color w:val="000000" w:themeColor="text1"/>
        </w:rPr>
      </w:pPr>
      <w:r w:rsidRPr="00DC50FC">
        <w:rPr>
          <w:rFonts w:cs="Arial"/>
          <w:color w:val="000000" w:themeColor="text1"/>
        </w:rPr>
        <w:tab/>
        <w:t>SVP, Group Strategy Director</w:t>
      </w:r>
    </w:p>
    <w:p w14:paraId="0B38F53C" w14:textId="4746C52B" w:rsidR="00901173" w:rsidRPr="00DC50FC" w:rsidRDefault="00901173" w:rsidP="009C6AAC">
      <w:pPr>
        <w:spacing w:after="240"/>
        <w:ind w:left="720"/>
        <w:contextualSpacing/>
        <w:rPr>
          <w:rStyle w:val="lrzxr"/>
          <w:rFonts w:cs="Arial"/>
          <w:color w:val="000000" w:themeColor="text1"/>
        </w:rPr>
      </w:pPr>
      <w:r w:rsidRPr="00DC50FC">
        <w:rPr>
          <w:rStyle w:val="lrzxr"/>
          <w:rFonts w:cs="Arial"/>
          <w:color w:val="000000" w:themeColor="text1"/>
        </w:rPr>
        <w:t>100 West 33rd Street, New York, NY 10001</w:t>
      </w:r>
    </w:p>
    <w:p w14:paraId="2327AB27" w14:textId="77777777" w:rsidR="00901173" w:rsidRPr="00DC50FC" w:rsidRDefault="00901173" w:rsidP="00901173">
      <w:pPr>
        <w:spacing w:after="240"/>
        <w:ind w:left="720"/>
        <w:contextualSpacing/>
        <w:rPr>
          <w:rStyle w:val="lrzxr"/>
          <w:rFonts w:cs="Arial"/>
          <w:color w:val="000000" w:themeColor="text1"/>
        </w:rPr>
      </w:pPr>
      <w:r w:rsidRPr="00DC50FC">
        <w:rPr>
          <w:rStyle w:val="lrzxr"/>
          <w:rFonts w:cs="Arial"/>
          <w:color w:val="000000" w:themeColor="text1"/>
        </w:rPr>
        <w:t>Phone: 917 685 6580</w:t>
      </w:r>
    </w:p>
    <w:p w14:paraId="45057A87" w14:textId="7D458344" w:rsidR="00901173" w:rsidRPr="00DC50FC" w:rsidRDefault="00901173" w:rsidP="00901173">
      <w:pPr>
        <w:spacing w:after="240"/>
        <w:ind w:left="720"/>
        <w:contextualSpacing/>
        <w:rPr>
          <w:rFonts w:cs="Arial"/>
          <w:color w:val="000000" w:themeColor="text1"/>
        </w:rPr>
      </w:pPr>
      <w:r w:rsidRPr="00DC50FC">
        <w:rPr>
          <w:rStyle w:val="lrzxr"/>
          <w:rFonts w:cs="Arial"/>
          <w:color w:val="000000" w:themeColor="text1"/>
        </w:rPr>
        <w:t xml:space="preserve">Email: </w:t>
      </w:r>
      <w:r w:rsidR="004D7B71" w:rsidRPr="00DC50FC">
        <w:rPr>
          <w:rFonts w:cs="Arial"/>
          <w:color w:val="000000" w:themeColor="text1"/>
        </w:rPr>
        <w:t>Todd.sussman@fcb</w:t>
      </w:r>
      <w:r w:rsidRPr="00DC50FC">
        <w:rPr>
          <w:rFonts w:cs="Arial"/>
          <w:color w:val="000000" w:themeColor="text1"/>
        </w:rPr>
        <w:t>.com</w:t>
      </w:r>
    </w:p>
    <w:p w14:paraId="7F418CAA" w14:textId="0E7B99C0" w:rsidR="00901173" w:rsidRPr="00DC50FC" w:rsidRDefault="00901173" w:rsidP="009C6AAC">
      <w:pPr>
        <w:spacing w:after="240"/>
        <w:ind w:left="720"/>
        <w:contextualSpacing/>
        <w:rPr>
          <w:rStyle w:val="lrzxr"/>
          <w:rFonts w:cs="Arial"/>
          <w:color w:val="000000" w:themeColor="text1"/>
        </w:rPr>
      </w:pPr>
    </w:p>
    <w:p w14:paraId="7948744D" w14:textId="77777777" w:rsidR="006775C1" w:rsidRDefault="00901173" w:rsidP="009C6AAC">
      <w:pPr>
        <w:spacing w:after="240"/>
        <w:contextualSpacing/>
        <w:rPr>
          <w:rFonts w:eastAsia="Times New Roman" w:cs="Times New Roman"/>
          <w:color w:val="000000" w:themeColor="text1"/>
        </w:rPr>
      </w:pPr>
      <w:r w:rsidRPr="00DC50FC">
        <w:rPr>
          <w:rFonts w:eastAsia="Times New Roman" w:cs="Times New Roman"/>
          <w:color w:val="000000" w:themeColor="text1"/>
        </w:rPr>
        <w:tab/>
      </w:r>
    </w:p>
    <w:p w14:paraId="7A6923B3" w14:textId="5B3A4382" w:rsidR="004D7B71" w:rsidRPr="00DC50FC" w:rsidRDefault="006775C1" w:rsidP="009C6AAC">
      <w:pPr>
        <w:spacing w:after="240"/>
        <w:contextualSpacing/>
        <w:rPr>
          <w:rFonts w:eastAsia="Times New Roman" w:cs="Times New Roman"/>
          <w:color w:val="000000" w:themeColor="text1"/>
        </w:rPr>
      </w:pPr>
      <w:r>
        <w:rPr>
          <w:rFonts w:eastAsia="Times New Roman" w:cs="Times New Roman"/>
          <w:color w:val="000000" w:themeColor="text1"/>
        </w:rPr>
        <w:tab/>
      </w:r>
      <w:r w:rsidR="00901173" w:rsidRPr="00DC50FC">
        <w:rPr>
          <w:rFonts w:eastAsia="Times New Roman" w:cs="Times New Roman"/>
          <w:color w:val="000000" w:themeColor="text1"/>
        </w:rPr>
        <w:t>Dimas Adi</w:t>
      </w:r>
      <w:r w:rsidR="004D7B71" w:rsidRPr="00DC50FC">
        <w:rPr>
          <w:rFonts w:eastAsia="Times New Roman" w:cs="Times New Roman"/>
          <w:color w:val="000000" w:themeColor="text1"/>
        </w:rPr>
        <w:t>wiyoto-FCB New York</w:t>
      </w:r>
    </w:p>
    <w:p w14:paraId="5A88408B" w14:textId="4967693A" w:rsidR="004D7B71" w:rsidRPr="00DC50FC" w:rsidRDefault="004D7B71" w:rsidP="009C6AAC">
      <w:pPr>
        <w:spacing w:after="240"/>
        <w:contextualSpacing/>
        <w:rPr>
          <w:rFonts w:eastAsia="Times New Roman" w:cs="Times New Roman"/>
          <w:color w:val="000000" w:themeColor="text1"/>
        </w:rPr>
      </w:pPr>
      <w:r w:rsidRPr="00DC50FC">
        <w:rPr>
          <w:rFonts w:eastAsia="Times New Roman" w:cs="Times New Roman"/>
          <w:color w:val="000000" w:themeColor="text1"/>
        </w:rPr>
        <w:tab/>
        <w:t>VP, Account Directo</w:t>
      </w:r>
      <w:r w:rsidR="00D22C11">
        <w:rPr>
          <w:rFonts w:eastAsia="Times New Roman" w:cs="Times New Roman"/>
          <w:color w:val="000000" w:themeColor="text1"/>
        </w:rPr>
        <w:t>r</w:t>
      </w:r>
    </w:p>
    <w:p w14:paraId="28B0C337" w14:textId="0D18F239" w:rsidR="004D7B71" w:rsidRPr="00DC50FC" w:rsidRDefault="004D7B71" w:rsidP="004D7B71">
      <w:pPr>
        <w:spacing w:after="240"/>
        <w:ind w:left="720"/>
        <w:contextualSpacing/>
        <w:rPr>
          <w:rStyle w:val="lrzxr"/>
          <w:rFonts w:cs="Arial"/>
          <w:color w:val="000000" w:themeColor="text1"/>
        </w:rPr>
      </w:pPr>
      <w:r w:rsidRPr="00DC50FC">
        <w:rPr>
          <w:rStyle w:val="lrzxr"/>
          <w:rFonts w:cs="Arial"/>
          <w:color w:val="000000" w:themeColor="text1"/>
        </w:rPr>
        <w:t>100 West 33rd Street, New York, NY 10001</w:t>
      </w:r>
    </w:p>
    <w:p w14:paraId="203DE648" w14:textId="222CA2C4" w:rsidR="004D7B71" w:rsidRPr="00DC50FC" w:rsidRDefault="004D7B71" w:rsidP="004D7B71">
      <w:pPr>
        <w:rPr>
          <w:rStyle w:val="lrzxr"/>
          <w:color w:val="000000" w:themeColor="text1"/>
        </w:rPr>
      </w:pPr>
      <w:r w:rsidRPr="00DC50FC">
        <w:rPr>
          <w:rStyle w:val="lrzxr"/>
          <w:rFonts w:cs="Arial"/>
          <w:color w:val="000000" w:themeColor="text1"/>
        </w:rPr>
        <w:tab/>
        <w:t xml:space="preserve">Phone: </w:t>
      </w:r>
      <w:r w:rsidRPr="00DC50FC">
        <w:rPr>
          <w:color w:val="000000" w:themeColor="text1"/>
        </w:rPr>
        <w:t>212 885 3283</w:t>
      </w:r>
    </w:p>
    <w:p w14:paraId="01B80EB5" w14:textId="5D04F4B5" w:rsidR="004D7B71" w:rsidRPr="00DC50FC" w:rsidRDefault="004D7B71" w:rsidP="004D7B71">
      <w:pPr>
        <w:spacing w:after="240"/>
        <w:ind w:left="720"/>
        <w:contextualSpacing/>
        <w:rPr>
          <w:rFonts w:cs="Arial"/>
          <w:color w:val="000000" w:themeColor="text1"/>
        </w:rPr>
      </w:pPr>
      <w:r w:rsidRPr="00DC50FC">
        <w:rPr>
          <w:rStyle w:val="lrzxr"/>
          <w:rFonts w:cs="Arial"/>
          <w:color w:val="000000" w:themeColor="text1"/>
        </w:rPr>
        <w:t xml:space="preserve">Email: </w:t>
      </w:r>
      <w:r w:rsidRPr="00DC50FC">
        <w:rPr>
          <w:rFonts w:eastAsia="Times New Roman" w:cs="Times New Roman"/>
          <w:color w:val="000000" w:themeColor="text1"/>
        </w:rPr>
        <w:t>Dimas Adiwiyoto@fcb.com</w:t>
      </w:r>
    </w:p>
    <w:p w14:paraId="0C8235B6" w14:textId="78BA9345" w:rsidR="004D7B71" w:rsidRPr="00DC50FC" w:rsidRDefault="004D7B71" w:rsidP="009C6AAC">
      <w:pPr>
        <w:spacing w:after="240"/>
        <w:contextualSpacing/>
        <w:rPr>
          <w:rFonts w:eastAsia="Times New Roman" w:cs="Times New Roman"/>
        </w:rPr>
      </w:pPr>
    </w:p>
    <w:p w14:paraId="38B3E2B4" w14:textId="77777777" w:rsidR="00990C6B" w:rsidRPr="00DC50FC" w:rsidRDefault="00990C6B" w:rsidP="009C6AAC">
      <w:pPr>
        <w:spacing w:after="240"/>
        <w:ind w:left="720"/>
        <w:contextualSpacing/>
        <w:rPr>
          <w:rFonts w:eastAsia="Times New Roman" w:cs="Times New Roman"/>
        </w:rPr>
      </w:pPr>
      <w:r w:rsidRPr="00DC50FC">
        <w:rPr>
          <w:rFonts w:eastAsia="Times New Roman" w:cs="Times New Roman"/>
        </w:rPr>
        <w:t>Xiaoquan Zhao</w:t>
      </w:r>
    </w:p>
    <w:p w14:paraId="680CF2B3" w14:textId="77777777" w:rsidR="00990C6B" w:rsidRPr="00DC50FC" w:rsidRDefault="00990C6B" w:rsidP="009C6AAC">
      <w:pPr>
        <w:spacing w:after="240"/>
        <w:ind w:left="720"/>
        <w:contextualSpacing/>
        <w:rPr>
          <w:rFonts w:eastAsia="Times New Roman" w:cs="Times New Roman"/>
        </w:rPr>
      </w:pPr>
      <w:r w:rsidRPr="00DC50FC">
        <w:rPr>
          <w:rFonts w:eastAsia="Times New Roman" w:cs="Times New Roman"/>
        </w:rPr>
        <w:t>Department of Communication</w:t>
      </w:r>
    </w:p>
    <w:p w14:paraId="53C798AA" w14:textId="77777777" w:rsidR="00990C6B" w:rsidRPr="00DC50FC" w:rsidRDefault="00990C6B" w:rsidP="009C6AAC">
      <w:pPr>
        <w:spacing w:after="240"/>
        <w:ind w:left="720"/>
        <w:contextualSpacing/>
        <w:rPr>
          <w:rFonts w:eastAsia="Times New Roman" w:cs="Times New Roman"/>
        </w:rPr>
      </w:pPr>
      <w:r w:rsidRPr="00DC50FC">
        <w:rPr>
          <w:rFonts w:eastAsia="Times New Roman" w:cs="Times New Roman"/>
        </w:rPr>
        <w:t>George Mason University</w:t>
      </w:r>
    </w:p>
    <w:p w14:paraId="2B389138" w14:textId="77777777" w:rsidR="00990C6B" w:rsidRPr="00DC50FC" w:rsidRDefault="00990C6B" w:rsidP="009C6AAC">
      <w:pPr>
        <w:spacing w:after="240"/>
        <w:ind w:left="720"/>
        <w:contextualSpacing/>
        <w:rPr>
          <w:rFonts w:eastAsia="Times New Roman" w:cs="Times New Roman"/>
        </w:rPr>
      </w:pPr>
      <w:r w:rsidRPr="00DC50FC">
        <w:rPr>
          <w:rFonts w:eastAsia="Times New Roman" w:cs="Times New Roman"/>
        </w:rPr>
        <w:t>Robinson Hall A, Room 307B</w:t>
      </w:r>
    </w:p>
    <w:p w14:paraId="3427D48E" w14:textId="77777777" w:rsidR="00990C6B" w:rsidRPr="00DC50FC" w:rsidRDefault="00990C6B" w:rsidP="009C6AAC">
      <w:pPr>
        <w:spacing w:after="240"/>
        <w:ind w:left="720"/>
        <w:contextualSpacing/>
        <w:rPr>
          <w:rFonts w:eastAsia="Times New Roman" w:cs="Times New Roman"/>
        </w:rPr>
      </w:pPr>
      <w:r w:rsidRPr="00DC50FC">
        <w:rPr>
          <w:rFonts w:eastAsia="Times New Roman" w:cs="Times New Roman"/>
        </w:rPr>
        <w:t>4400 University Drive, 3D6</w:t>
      </w:r>
    </w:p>
    <w:p w14:paraId="771222CD" w14:textId="77777777" w:rsidR="00990C6B" w:rsidRPr="00DC50FC" w:rsidRDefault="00990C6B" w:rsidP="009C6AAC">
      <w:pPr>
        <w:spacing w:after="240"/>
        <w:ind w:left="720"/>
        <w:contextualSpacing/>
        <w:rPr>
          <w:rFonts w:eastAsia="Times New Roman" w:cs="Times New Roman"/>
        </w:rPr>
      </w:pPr>
      <w:r w:rsidRPr="00DC50FC">
        <w:rPr>
          <w:rFonts w:eastAsia="Times New Roman" w:cs="Times New Roman"/>
        </w:rPr>
        <w:t>Fairfax, VA 22030</w:t>
      </w:r>
    </w:p>
    <w:p w14:paraId="0DCDFCCD" w14:textId="77777777" w:rsidR="00990C6B" w:rsidRPr="00DC50FC" w:rsidRDefault="00990C6B" w:rsidP="009C6AAC">
      <w:pPr>
        <w:spacing w:after="240"/>
        <w:ind w:left="720"/>
        <w:contextualSpacing/>
        <w:rPr>
          <w:rFonts w:eastAsia="Times New Roman" w:cs="Times New Roman"/>
        </w:rPr>
      </w:pPr>
      <w:r w:rsidRPr="00DC50FC">
        <w:rPr>
          <w:rFonts w:eastAsia="Times New Roman" w:cs="Times New Roman"/>
        </w:rPr>
        <w:t>Phone: 703-993-4008</w:t>
      </w:r>
    </w:p>
    <w:p w14:paraId="1F4C0CE2" w14:textId="14EBE90F" w:rsidR="00B73D5E" w:rsidRPr="00DC50FC" w:rsidRDefault="00990C6B" w:rsidP="009C6AAC">
      <w:pPr>
        <w:spacing w:after="240"/>
        <w:ind w:left="720"/>
        <w:contextualSpacing/>
        <w:rPr>
          <w:rFonts w:cs="Times New Roman"/>
        </w:rPr>
      </w:pPr>
      <w:r w:rsidRPr="00DC50FC">
        <w:rPr>
          <w:rFonts w:eastAsia="Times New Roman" w:cs="Times New Roman"/>
        </w:rPr>
        <w:t xml:space="preserve">E-mail: </w:t>
      </w:r>
      <w:hyperlink r:id="rId12" w:history="1">
        <w:r w:rsidR="000F1B31" w:rsidRPr="00DC50FC">
          <w:rPr>
            <w:rStyle w:val="Hyperlink"/>
            <w:rFonts w:eastAsia="Times New Roman" w:cs="Times New Roman"/>
          </w:rPr>
          <w:t>xzhao3@gmu.edu</w:t>
        </w:r>
      </w:hyperlink>
    </w:p>
    <w:p w14:paraId="0AE7155A" w14:textId="5EB2FC67" w:rsidR="00A14533" w:rsidRPr="00DC50FC" w:rsidRDefault="00990C6B" w:rsidP="009C6AAC">
      <w:pPr>
        <w:pStyle w:val="ListParagraph"/>
        <w:numPr>
          <w:ilvl w:val="0"/>
          <w:numId w:val="6"/>
        </w:numPr>
        <w:spacing w:after="240"/>
        <w:rPr>
          <w:rFonts w:asciiTheme="minorHAnsi" w:hAnsiTheme="minorHAnsi" w:cs="Times New Roman"/>
          <w:szCs w:val="24"/>
        </w:rPr>
      </w:pPr>
      <w:r w:rsidRPr="00DC50FC">
        <w:rPr>
          <w:rFonts w:asciiTheme="minorHAnsi" w:eastAsia="Times New Roman" w:hAnsiTheme="minorHAnsi" w:cs="Times New Roman"/>
          <w:szCs w:val="24"/>
          <w:u w:val="single"/>
        </w:rPr>
        <w:t>Explanation of Any Incentive or Gift to Respondent</w:t>
      </w:r>
      <w:r w:rsidR="003418DA" w:rsidRPr="00DC50FC">
        <w:rPr>
          <w:rFonts w:asciiTheme="minorHAnsi" w:eastAsia="Times New Roman" w:hAnsiTheme="minorHAnsi" w:cs="Times New Roman"/>
          <w:szCs w:val="24"/>
          <w:u w:val="single"/>
        </w:rPr>
        <w:t>s</w:t>
      </w:r>
    </w:p>
    <w:p w14:paraId="0F62659E" w14:textId="75B6D501" w:rsidR="008770AF" w:rsidRPr="00DC50FC" w:rsidRDefault="004D7B71" w:rsidP="00C04567">
      <w:pPr>
        <w:spacing w:after="240"/>
        <w:ind w:left="720"/>
      </w:pPr>
      <w:r w:rsidRPr="00DC50FC">
        <w:t xml:space="preserve">As is customary with online surveys conducted via panel sampling, panelists are invited by the panel management company to respond to the survey opportunity incentivized with award points that are accrued and redeemable with the panel company for cash or other rewards. For example: </w:t>
      </w:r>
      <w:r w:rsidR="005B1FE3" w:rsidRPr="00DC50FC">
        <w:t xml:space="preserve">100 points </w:t>
      </w:r>
      <w:r w:rsidRPr="00DC50FC">
        <w:t xml:space="preserve"> is equivalent to</w:t>
      </w:r>
      <w:r w:rsidR="005B1FE3">
        <w:t xml:space="preserve"> </w:t>
      </w:r>
      <w:r w:rsidR="005B1FE3" w:rsidRPr="00DC50FC">
        <w:t>$1</w:t>
      </w:r>
      <w:r w:rsidRPr="00DC50FC">
        <w:t xml:space="preserve"> which can be redeemed through Amazon E-Gift voucher or E-Visa. The award points offered for participation in these studies </w:t>
      </w:r>
      <w:r w:rsidRPr="00C04567">
        <w:rPr>
          <w:rFonts w:eastAsia="Times New Roman" w:cs="Times New Roman"/>
        </w:rPr>
        <w:t>will</w:t>
      </w:r>
      <w:r w:rsidRPr="00DC50FC">
        <w:t xml:space="preserve"> be valued at not more than $10. </w:t>
      </w:r>
      <w:r w:rsidRPr="00DC50FC">
        <w:rPr>
          <w:rFonts w:eastAsia="Times New Roman" w:cs="Times New Roman"/>
        </w:rPr>
        <w:t xml:space="preserve">A participant </w:t>
      </w:r>
      <w:r w:rsidR="008770AF" w:rsidRPr="00DC50FC">
        <w:rPr>
          <w:rFonts w:eastAsia="Times New Roman" w:cs="Times New Roman"/>
        </w:rPr>
        <w:t>must be eligible to participate (per the screener) and submit the questionnaire to receive the token of appreciation.</w:t>
      </w:r>
    </w:p>
    <w:p w14:paraId="533BB821" w14:textId="77777777" w:rsidR="00F37604" w:rsidRDefault="00B6512C" w:rsidP="00C04567">
      <w:pPr>
        <w:spacing w:after="240"/>
        <w:ind w:left="720"/>
        <w:rPr>
          <w:rFonts w:eastAsia="Times New Roman" w:cs="Times New Roman"/>
        </w:rPr>
      </w:pPr>
      <w:r w:rsidRPr="00DC50FC">
        <w:rPr>
          <w:rFonts w:eastAsia="Times New Roman" w:cs="Times New Roman"/>
        </w:rPr>
        <w:t>N</w:t>
      </w:r>
      <w:r w:rsidR="004D2517" w:rsidRPr="00DC50FC">
        <w:rPr>
          <w:rFonts w:eastAsia="Times New Roman" w:cs="Times New Roman"/>
        </w:rPr>
        <w:t xml:space="preserve">umerous empirical studies have shown that </w:t>
      </w:r>
      <w:r w:rsidR="00724D56" w:rsidRPr="00DC50FC">
        <w:rPr>
          <w:rFonts w:eastAsia="Times New Roman" w:cs="Times New Roman"/>
        </w:rPr>
        <w:t>a token</w:t>
      </w:r>
      <w:r w:rsidR="00F40F48" w:rsidRPr="00DC50FC">
        <w:rPr>
          <w:rFonts w:eastAsia="Times New Roman" w:cs="Times New Roman"/>
        </w:rPr>
        <w:t xml:space="preserve"> of appreciation </w:t>
      </w:r>
      <w:r w:rsidR="004D2517" w:rsidRPr="00DC50FC">
        <w:rPr>
          <w:rFonts w:eastAsia="Times New Roman" w:cs="Times New Roman"/>
        </w:rPr>
        <w:t xml:space="preserve">can significantly increase response rates in cross-sectional surveys and reduce attrition in longitudinal surveys (e.g., Abreu &amp; Winters, 1999; Castiglioni, Pforr, &amp; Krieger, 2008; Jäckle &amp; Lynn, 2008; Shettle &amp; Mooney, 1999; Singer, 2002). The use of </w:t>
      </w:r>
      <w:r w:rsidR="00724D56" w:rsidRPr="00DC50FC">
        <w:rPr>
          <w:rFonts w:eastAsia="Times New Roman" w:cs="Times New Roman"/>
        </w:rPr>
        <w:t xml:space="preserve">a </w:t>
      </w:r>
      <w:r w:rsidR="004D2517" w:rsidRPr="00DC50FC">
        <w:rPr>
          <w:rFonts w:eastAsia="Times New Roman" w:cs="Times New Roman"/>
        </w:rPr>
        <w:t xml:space="preserve">modest </w:t>
      </w:r>
      <w:r w:rsidR="007363C9" w:rsidRPr="00DC50FC">
        <w:rPr>
          <w:rFonts w:eastAsia="Times New Roman" w:cs="Times New Roman"/>
        </w:rPr>
        <w:t>incentive</w:t>
      </w:r>
      <w:r w:rsidR="004D2517" w:rsidRPr="00DC50FC">
        <w:rPr>
          <w:rFonts w:eastAsia="Times New Roman" w:cs="Times New Roman"/>
        </w:rPr>
        <w:t xml:space="preserve"> is expected to enhance survey response rates without biasing responses. </w:t>
      </w:r>
      <w:r w:rsidR="00724D56" w:rsidRPr="00DC50FC">
        <w:rPr>
          <w:rFonts w:eastAsia="Times New Roman" w:cs="Times New Roman"/>
        </w:rPr>
        <w:t>A</w:t>
      </w:r>
      <w:r w:rsidR="007363C9" w:rsidRPr="00DC50FC">
        <w:rPr>
          <w:rFonts w:eastAsia="Times New Roman" w:cs="Times New Roman"/>
        </w:rPr>
        <w:t>n incentive</w:t>
      </w:r>
      <w:r w:rsidR="00F40F48" w:rsidRPr="00DC50FC">
        <w:rPr>
          <w:rFonts w:eastAsia="Times New Roman" w:cs="Times New Roman"/>
        </w:rPr>
        <w:t xml:space="preserve"> </w:t>
      </w:r>
      <w:r w:rsidRPr="00DC50FC">
        <w:rPr>
          <w:rFonts w:eastAsia="Times New Roman" w:cs="Times New Roman"/>
        </w:rPr>
        <w:t xml:space="preserve">must be high enough to </w:t>
      </w:r>
      <w:r w:rsidR="004C3B6E" w:rsidRPr="00DC50FC">
        <w:rPr>
          <w:rFonts w:eastAsia="Times New Roman" w:cs="Times New Roman"/>
        </w:rPr>
        <w:t xml:space="preserve">address competing demands for participants’ time and to </w:t>
      </w:r>
      <w:r w:rsidRPr="00DC50FC">
        <w:rPr>
          <w:rFonts w:eastAsia="Times New Roman" w:cs="Times New Roman"/>
        </w:rPr>
        <w:t>equalize the burden placed on participants with respect to their time and cost o</w:t>
      </w:r>
      <w:r w:rsidR="007363C9" w:rsidRPr="00DC50FC">
        <w:rPr>
          <w:rFonts w:eastAsia="Times New Roman" w:cs="Times New Roman"/>
        </w:rPr>
        <w:t>f participation</w:t>
      </w:r>
      <w:r w:rsidR="004D2517" w:rsidRPr="00DC50FC">
        <w:rPr>
          <w:rFonts w:eastAsia="Times New Roman" w:cs="Times New Roman"/>
        </w:rPr>
        <w:t xml:space="preserve">. </w:t>
      </w:r>
      <w:r w:rsidR="00724D56" w:rsidRPr="00DC50FC">
        <w:rPr>
          <w:rFonts w:eastAsia="Times New Roman" w:cs="Times New Roman"/>
        </w:rPr>
        <w:t>An i</w:t>
      </w:r>
      <w:r w:rsidR="004D2517" w:rsidRPr="00DC50FC">
        <w:rPr>
          <w:rFonts w:eastAsia="Times New Roman" w:cs="Times New Roman"/>
        </w:rPr>
        <w:t xml:space="preserve">nadequate </w:t>
      </w:r>
      <w:r w:rsidR="007363C9" w:rsidRPr="00DC50FC">
        <w:rPr>
          <w:rFonts w:eastAsia="Times New Roman" w:cs="Times New Roman"/>
        </w:rPr>
        <w:t>incentive</w:t>
      </w:r>
      <w:r w:rsidR="004D2517" w:rsidRPr="00DC50FC">
        <w:rPr>
          <w:rFonts w:eastAsia="Times New Roman" w:cs="Times New Roman"/>
        </w:rPr>
        <w:t xml:space="preserve"> may </w:t>
      </w:r>
      <w:r w:rsidR="00C1519B" w:rsidRPr="00DC50FC">
        <w:rPr>
          <w:rFonts w:eastAsia="Times New Roman" w:cs="Times New Roman"/>
        </w:rPr>
        <w:t xml:space="preserve">also </w:t>
      </w:r>
      <w:r w:rsidR="004D2517" w:rsidRPr="00DC50FC">
        <w:rPr>
          <w:rFonts w:eastAsia="Times New Roman" w:cs="Times New Roman"/>
        </w:rPr>
        <w:t xml:space="preserve">result in a </w:t>
      </w:r>
      <w:r w:rsidR="003150BC" w:rsidRPr="00DC50FC">
        <w:rPr>
          <w:rFonts w:eastAsia="Times New Roman" w:cs="Times New Roman"/>
        </w:rPr>
        <w:t xml:space="preserve">significantly more </w:t>
      </w:r>
      <w:r w:rsidR="004D2517" w:rsidRPr="00DC50FC">
        <w:rPr>
          <w:rFonts w:eastAsia="Times New Roman" w:cs="Times New Roman"/>
        </w:rPr>
        <w:t>difficult and lengthy recruitment process and/or</w:t>
      </w:r>
      <w:r w:rsidR="003150BC" w:rsidRPr="00DC50FC">
        <w:rPr>
          <w:rFonts w:eastAsia="Times New Roman" w:cs="Times New Roman"/>
        </w:rPr>
        <w:t xml:space="preserve"> increases in the number of</w:t>
      </w:r>
      <w:r w:rsidR="004D2517" w:rsidRPr="00DC50FC">
        <w:rPr>
          <w:rFonts w:eastAsia="Times New Roman" w:cs="Times New Roman"/>
        </w:rPr>
        <w:t xml:space="preserve"> participants who agree to participate and then drop out early. </w:t>
      </w:r>
      <w:r w:rsidR="00724D56" w:rsidRPr="00DC50FC">
        <w:rPr>
          <w:rFonts w:eastAsia="Times New Roman" w:cs="Times New Roman"/>
        </w:rPr>
        <w:t>An i</w:t>
      </w:r>
      <w:r w:rsidR="003150BC" w:rsidRPr="00DC50FC">
        <w:rPr>
          <w:rFonts w:eastAsia="Times New Roman" w:cs="Times New Roman"/>
        </w:rPr>
        <w:t xml:space="preserve">nadequate </w:t>
      </w:r>
      <w:r w:rsidR="007363C9" w:rsidRPr="00DC50FC">
        <w:rPr>
          <w:rFonts w:eastAsia="Times New Roman" w:cs="Times New Roman"/>
        </w:rPr>
        <w:t>incentive</w:t>
      </w:r>
      <w:r w:rsidR="003150BC" w:rsidRPr="00DC50FC">
        <w:rPr>
          <w:rFonts w:eastAsia="Times New Roman" w:cs="Times New Roman"/>
        </w:rPr>
        <w:t xml:space="preserve"> may thus result in a more costly and lengthy period of data collection </w:t>
      </w:r>
      <w:r w:rsidR="00BE789F" w:rsidRPr="00DC50FC">
        <w:rPr>
          <w:rFonts w:eastAsia="Times New Roman" w:cs="Times New Roman"/>
        </w:rPr>
        <w:t>by increasing</w:t>
      </w:r>
      <w:r w:rsidR="003150BC" w:rsidRPr="00DC50FC">
        <w:rPr>
          <w:rFonts w:eastAsia="Times New Roman" w:cs="Times New Roman"/>
        </w:rPr>
        <w:t xml:space="preserve"> recruitment</w:t>
      </w:r>
      <w:r w:rsidR="00011DD3" w:rsidRPr="00DC50FC">
        <w:rPr>
          <w:rFonts w:eastAsia="Times New Roman" w:cs="Times New Roman"/>
        </w:rPr>
        <w:t xml:space="preserve"> </w:t>
      </w:r>
      <w:r w:rsidR="003150BC" w:rsidRPr="00DC50FC">
        <w:rPr>
          <w:rFonts w:eastAsia="Times New Roman" w:cs="Times New Roman"/>
        </w:rPr>
        <w:t>and other associated data collection costs.</w:t>
      </w:r>
    </w:p>
    <w:p w14:paraId="4BB84F67" w14:textId="67CA340D" w:rsidR="003418DA" w:rsidRPr="00DC50FC" w:rsidRDefault="00E876B7" w:rsidP="00C04567">
      <w:pPr>
        <w:spacing w:after="240"/>
        <w:ind w:left="720"/>
        <w:rPr>
          <w:rFonts w:eastAsia="Times New Roman" w:cs="Times New Roman"/>
        </w:rPr>
      </w:pPr>
      <w:r w:rsidRPr="00DC50FC">
        <w:rPr>
          <w:rFonts w:eastAsia="Times New Roman" w:cs="Times New Roman"/>
        </w:rPr>
        <w:t xml:space="preserve">In this research, we are asking participants to respond to close-ended questions and provide thought-intensive, open-ended feedback on video ads, which requires a high level of engagement. The use of </w:t>
      </w:r>
      <w:r w:rsidR="007363C9" w:rsidRPr="00DC50FC">
        <w:rPr>
          <w:rFonts w:eastAsia="Times New Roman" w:cs="Times New Roman"/>
        </w:rPr>
        <w:t>an incentive is provided as a thank you</w:t>
      </w:r>
      <w:r w:rsidRPr="00DC50FC">
        <w:rPr>
          <w:rFonts w:eastAsia="Times New Roman" w:cs="Times New Roman"/>
        </w:rPr>
        <w:t xml:space="preserve"> for the participants' time and the effort they expend to participate</w:t>
      </w:r>
      <w:r w:rsidR="00DC50FC">
        <w:rPr>
          <w:rFonts w:eastAsia="Times New Roman" w:cs="Times New Roman"/>
        </w:rPr>
        <w:t xml:space="preserve">. </w:t>
      </w:r>
      <w:r w:rsidR="004D7B71" w:rsidRPr="00DC50FC">
        <w:rPr>
          <w:rFonts w:eastAsia="Times New Roman" w:cs="Times New Roman"/>
        </w:rPr>
        <w:t>W</w:t>
      </w:r>
      <w:r w:rsidRPr="00DC50FC">
        <w:rPr>
          <w:rFonts w:eastAsia="Times New Roman" w:cs="Times New Roman"/>
        </w:rPr>
        <w:t>e believe that utilizing</w:t>
      </w:r>
      <w:r w:rsidR="00C833F6" w:rsidRPr="00DC50FC">
        <w:rPr>
          <w:rFonts w:eastAsia="Times New Roman" w:cs="Times New Roman"/>
        </w:rPr>
        <w:t xml:space="preserve"> </w:t>
      </w:r>
      <w:r w:rsidRPr="00DC50FC">
        <w:rPr>
          <w:rFonts w:eastAsia="Times New Roman" w:cs="Times New Roman"/>
        </w:rPr>
        <w:t>$</w:t>
      </w:r>
      <w:r w:rsidR="00DC4E9B" w:rsidRPr="00DC50FC">
        <w:rPr>
          <w:rFonts w:eastAsia="Times New Roman" w:cs="Times New Roman"/>
        </w:rPr>
        <w:t>10</w:t>
      </w:r>
      <w:r w:rsidRPr="00DC50FC">
        <w:rPr>
          <w:rFonts w:eastAsia="Times New Roman" w:cs="Times New Roman"/>
        </w:rPr>
        <w:t xml:space="preserve"> </w:t>
      </w:r>
      <w:r w:rsidR="00724D56" w:rsidRPr="00DC50FC">
        <w:rPr>
          <w:rFonts w:eastAsia="Times New Roman" w:cs="Times New Roman"/>
        </w:rPr>
        <w:t>as a</w:t>
      </w:r>
      <w:r w:rsidR="00B60BEC" w:rsidRPr="00DC50FC">
        <w:rPr>
          <w:rFonts w:eastAsia="Times New Roman" w:cs="Times New Roman"/>
        </w:rPr>
        <w:t xml:space="preserve"> </w:t>
      </w:r>
      <w:r w:rsidR="00724D56" w:rsidRPr="00DC50FC">
        <w:rPr>
          <w:rFonts w:eastAsia="Times New Roman" w:cs="Times New Roman"/>
        </w:rPr>
        <w:t>token</w:t>
      </w:r>
      <w:r w:rsidR="005C2B45" w:rsidRPr="00DC50FC">
        <w:rPr>
          <w:rFonts w:eastAsia="Times New Roman" w:cs="Times New Roman"/>
        </w:rPr>
        <w:t xml:space="preserve"> of appreciation</w:t>
      </w:r>
      <w:r w:rsidRPr="00DC50FC">
        <w:rPr>
          <w:rFonts w:eastAsia="Times New Roman" w:cs="Times New Roman"/>
        </w:rPr>
        <w:t xml:space="preserve"> in the current study will reduce overall burden by increasing participation rates, thereby reducing the number of parti</w:t>
      </w:r>
      <w:r w:rsidR="00632ADF" w:rsidRPr="00DC50FC">
        <w:rPr>
          <w:rFonts w:eastAsia="Times New Roman" w:cs="Times New Roman"/>
        </w:rPr>
        <w:t>cipants needed to complete the s</w:t>
      </w:r>
      <w:r w:rsidRPr="00DC50FC">
        <w:rPr>
          <w:rFonts w:eastAsia="Times New Roman" w:cs="Times New Roman"/>
        </w:rPr>
        <w:t xml:space="preserve">creener in order to achieve the </w:t>
      </w:r>
      <w:r w:rsidR="00101ED4" w:rsidRPr="00DC50FC">
        <w:rPr>
          <w:rFonts w:eastAsia="Times New Roman" w:cs="Times New Roman"/>
        </w:rPr>
        <w:t>required</w:t>
      </w:r>
      <w:r w:rsidRPr="00DC50FC">
        <w:rPr>
          <w:rFonts w:eastAsia="Times New Roman" w:cs="Times New Roman"/>
        </w:rPr>
        <w:t xml:space="preserve"> sample size.</w:t>
      </w:r>
    </w:p>
    <w:p w14:paraId="48D2C032" w14:textId="021579E8" w:rsidR="006A5837" w:rsidRPr="00DC50FC" w:rsidRDefault="006A5837" w:rsidP="00C04567">
      <w:pPr>
        <w:pStyle w:val="ListParagraph"/>
        <w:keepNext/>
        <w:numPr>
          <w:ilvl w:val="0"/>
          <w:numId w:val="6"/>
        </w:numPr>
        <w:spacing w:before="100" w:beforeAutospacing="1" w:after="240"/>
        <w:ind w:left="806"/>
        <w:rPr>
          <w:rFonts w:asciiTheme="minorHAnsi" w:hAnsiTheme="minorHAnsi" w:cs="Times New Roman"/>
          <w:szCs w:val="24"/>
        </w:rPr>
      </w:pPr>
      <w:r w:rsidRPr="00DC50FC">
        <w:rPr>
          <w:rFonts w:asciiTheme="minorHAnsi" w:hAnsiTheme="minorHAnsi" w:cs="Times New Roman"/>
          <w:szCs w:val="24"/>
          <w:u w:val="single"/>
        </w:rPr>
        <w:t>Privacy Impact Assessment Information</w:t>
      </w:r>
    </w:p>
    <w:p w14:paraId="7A9CFE40" w14:textId="33B7EA4E" w:rsidR="006A5837" w:rsidRPr="00DC50FC" w:rsidRDefault="00FA0671" w:rsidP="00C04567">
      <w:pPr>
        <w:spacing w:after="240"/>
        <w:ind w:left="720"/>
        <w:rPr>
          <w:rFonts w:eastAsia="Times New Roman" w:cs="Times New Roman"/>
        </w:rPr>
      </w:pPr>
      <w:r w:rsidRPr="00DC50FC">
        <w:rPr>
          <w:rFonts w:cs="Times New Roman"/>
        </w:rPr>
        <w:t>This study has been reviewed and approved by</w:t>
      </w:r>
      <w:r w:rsidR="004D7B71" w:rsidRPr="00DC50FC">
        <w:rPr>
          <w:rFonts w:cs="Times New Roman"/>
        </w:rPr>
        <w:t xml:space="preserve"> FDA IRB. </w:t>
      </w:r>
      <w:r w:rsidR="006A5837" w:rsidRPr="00DC50FC">
        <w:rPr>
          <w:rFonts w:eastAsia="Times New Roman" w:cs="Times New Roman"/>
        </w:rPr>
        <w:t xml:space="preserve">The </w:t>
      </w:r>
      <w:r w:rsidR="005B1FE3">
        <w:rPr>
          <w:rFonts w:eastAsia="Times New Roman" w:cs="Times New Roman"/>
        </w:rPr>
        <w:t>IRB'</w:t>
      </w:r>
      <w:r w:rsidR="006A5837" w:rsidRPr="00DC50FC">
        <w:rPr>
          <w:rFonts w:eastAsia="Times New Roman" w:cs="Times New Roman"/>
        </w:rPr>
        <w:t>s primary concern is protecting respondents’ rights, one of which is maintaining the privacy of respondent information to the fullest extent of the law.</w:t>
      </w:r>
    </w:p>
    <w:p w14:paraId="1629708A" w14:textId="7D92551D" w:rsidR="006A5837" w:rsidRPr="00DC50FC" w:rsidRDefault="00632ADF" w:rsidP="00C04567">
      <w:pPr>
        <w:spacing w:after="240"/>
        <w:ind w:left="720"/>
        <w:rPr>
          <w:rFonts w:cs="Times New Roman"/>
        </w:rPr>
      </w:pPr>
      <w:r w:rsidRPr="00DC50FC">
        <w:rPr>
          <w:rFonts w:eastAsia="Times New Roman" w:cs="Times New Roman"/>
        </w:rPr>
        <w:t>The s</w:t>
      </w:r>
      <w:r w:rsidR="00572830" w:rsidRPr="00DC50FC">
        <w:rPr>
          <w:rFonts w:eastAsia="Times New Roman" w:cs="Times New Roman"/>
        </w:rPr>
        <w:t xml:space="preserve">creener will be completed independently online using the participant’s personal electronic device. </w:t>
      </w:r>
      <w:r w:rsidR="003329B0" w:rsidRPr="00DC50FC">
        <w:rPr>
          <w:rFonts w:eastAsia="Times New Roman" w:cs="Times New Roman"/>
        </w:rPr>
        <w:t>A</w:t>
      </w:r>
      <w:r w:rsidR="00572830" w:rsidRPr="00DC50FC">
        <w:rPr>
          <w:rFonts w:eastAsia="Times New Roman" w:cs="Times New Roman"/>
        </w:rPr>
        <w:t>ll potential participants will be required to provide electronic informed assent</w:t>
      </w:r>
      <w:r w:rsidR="00BD4D87" w:rsidRPr="00DC50FC">
        <w:rPr>
          <w:rFonts w:eastAsia="Times New Roman" w:cs="Times New Roman"/>
        </w:rPr>
        <w:t>/consent</w:t>
      </w:r>
      <w:r w:rsidRPr="00DC50FC">
        <w:rPr>
          <w:rFonts w:eastAsia="Times New Roman" w:cs="Times New Roman"/>
        </w:rPr>
        <w:t xml:space="preserve"> before they begin the q</w:t>
      </w:r>
      <w:r w:rsidR="00572830" w:rsidRPr="00DC50FC">
        <w:rPr>
          <w:rFonts w:eastAsia="Times New Roman" w:cs="Times New Roman"/>
        </w:rPr>
        <w:t xml:space="preserve">uestionnaire. </w:t>
      </w:r>
      <w:r w:rsidRPr="00DC50FC">
        <w:rPr>
          <w:rFonts w:cs="Times New Roman"/>
        </w:rPr>
        <w:t>The participant assent/consent f</w:t>
      </w:r>
      <w:r w:rsidR="00F26F36" w:rsidRPr="00DC50FC">
        <w:rPr>
          <w:rFonts w:cs="Times New Roman"/>
        </w:rPr>
        <w:t>orm will inform participants that the in</w:t>
      </w:r>
      <w:r w:rsidRPr="00DC50FC">
        <w:rPr>
          <w:rFonts w:cs="Times New Roman"/>
        </w:rPr>
        <w:t>formation they provided on the screener and q</w:t>
      </w:r>
      <w:r w:rsidR="00F26F36" w:rsidRPr="00DC50FC">
        <w:rPr>
          <w:rFonts w:cs="Times New Roman"/>
        </w:rPr>
        <w:t xml:space="preserve">uestionnaire will only be viewed by the researchers and that their </w:t>
      </w:r>
      <w:r w:rsidR="009D5DCF" w:rsidRPr="00DC50FC">
        <w:rPr>
          <w:rFonts w:cs="Times New Roman"/>
        </w:rPr>
        <w:t xml:space="preserve">responses </w:t>
      </w:r>
      <w:r w:rsidR="00F26F36" w:rsidRPr="00DC50FC">
        <w:rPr>
          <w:rFonts w:cs="Times New Roman"/>
        </w:rPr>
        <w:t xml:space="preserve">will not be connected with any identifiable information they provided. </w:t>
      </w:r>
      <w:r w:rsidR="00572830" w:rsidRPr="00DC50FC">
        <w:rPr>
          <w:rFonts w:eastAsia="Times New Roman" w:cs="Times New Roman"/>
        </w:rPr>
        <w:t>All analyses will be conducted in the aggregate and participant contact information will not be appended to the data file used.</w:t>
      </w:r>
    </w:p>
    <w:p w14:paraId="4E4444E5" w14:textId="77777777" w:rsidR="00F37604" w:rsidRDefault="006A5837" w:rsidP="00C04567">
      <w:pPr>
        <w:spacing w:after="240"/>
        <w:ind w:left="720"/>
        <w:rPr>
          <w:rFonts w:cs="Times New Roman"/>
        </w:rPr>
      </w:pPr>
      <w:r w:rsidRPr="00DC50FC">
        <w:rPr>
          <w:rFonts w:cs="Times New Roman"/>
        </w:rPr>
        <w:t>IP address</w:t>
      </w:r>
      <w:r w:rsidR="00713923" w:rsidRPr="00DC50FC">
        <w:rPr>
          <w:rFonts w:cs="Times New Roman"/>
        </w:rPr>
        <w:t xml:space="preserve">, </w:t>
      </w:r>
      <w:r w:rsidR="009E1A4C">
        <w:rPr>
          <w:rFonts w:cs="Times New Roman"/>
        </w:rPr>
        <w:t xml:space="preserve">zip </w:t>
      </w:r>
      <w:r w:rsidR="009E1A4C" w:rsidRPr="00C04567">
        <w:rPr>
          <w:rFonts w:eastAsia="Times New Roman" w:cs="Times New Roman"/>
        </w:rPr>
        <w:t>codes</w:t>
      </w:r>
      <w:r w:rsidR="009E1A4C">
        <w:rPr>
          <w:rFonts w:cs="Times New Roman"/>
        </w:rPr>
        <w:t xml:space="preserve">, and </w:t>
      </w:r>
      <w:r w:rsidR="00FA0671" w:rsidRPr="00DC50FC">
        <w:rPr>
          <w:rFonts w:cs="Times New Roman"/>
        </w:rPr>
        <w:t>participant</w:t>
      </w:r>
      <w:r w:rsidRPr="00DC50FC">
        <w:rPr>
          <w:rFonts w:cs="Times New Roman"/>
        </w:rPr>
        <w:t xml:space="preserve"> email addres</w:t>
      </w:r>
      <w:r w:rsidR="00AB21E6" w:rsidRPr="00DC50FC">
        <w:rPr>
          <w:rFonts w:cs="Times New Roman"/>
        </w:rPr>
        <w:t xml:space="preserve">s will be collected from </w:t>
      </w:r>
      <w:r w:rsidR="003329B0" w:rsidRPr="00DC50FC">
        <w:rPr>
          <w:rFonts w:cs="Times New Roman"/>
        </w:rPr>
        <w:t>all respondents</w:t>
      </w:r>
      <w:r w:rsidRPr="00DC50FC">
        <w:rPr>
          <w:rFonts w:cs="Times New Roman"/>
        </w:rPr>
        <w:t xml:space="preserve">. </w:t>
      </w:r>
      <w:r w:rsidR="00713923" w:rsidRPr="00DC50FC">
        <w:rPr>
          <w:rFonts w:cs="Times New Roman"/>
        </w:rPr>
        <w:t>IP address will be automatically collected</w:t>
      </w:r>
      <w:r w:rsidR="003329B0" w:rsidRPr="00DC50FC">
        <w:rPr>
          <w:rFonts w:cs="Times New Roman"/>
        </w:rPr>
        <w:t xml:space="preserve">, and will be used to manage potential duplicate entries and confirm study completion from US-based respondents. </w:t>
      </w:r>
      <w:r w:rsidR="009E1A4C" w:rsidRPr="00DC50FC">
        <w:rPr>
          <w:rFonts w:cs="Times New Roman"/>
        </w:rPr>
        <w:t xml:space="preserve">All respondents will also be asked to provide their zip code, which will be used to determine geographic eligibility. </w:t>
      </w:r>
      <w:r w:rsidR="003329B0" w:rsidRPr="00DC50FC">
        <w:rPr>
          <w:rFonts w:cs="Times New Roman"/>
        </w:rPr>
        <w:t>A</w:t>
      </w:r>
      <w:r w:rsidR="00713923" w:rsidRPr="00DC50FC">
        <w:rPr>
          <w:rFonts w:cs="Times New Roman"/>
        </w:rPr>
        <w:t>ll respondents will be asked to provide their email address</w:t>
      </w:r>
      <w:r w:rsidR="003329B0" w:rsidRPr="00DC50FC">
        <w:rPr>
          <w:rFonts w:cs="Times New Roman"/>
        </w:rPr>
        <w:t>, which</w:t>
      </w:r>
      <w:r w:rsidR="00713923" w:rsidRPr="00DC50FC">
        <w:rPr>
          <w:rFonts w:cs="Times New Roman"/>
        </w:rPr>
        <w:t xml:space="preserve"> will be checked against all current respondent data to avoid duplicates and reduce fraudulent activity</w:t>
      </w:r>
      <w:r w:rsidR="004D7B71" w:rsidRPr="00DC50FC">
        <w:rPr>
          <w:rFonts w:cs="Times New Roman"/>
        </w:rPr>
        <w:t>.</w:t>
      </w:r>
    </w:p>
    <w:p w14:paraId="0F8E5C88" w14:textId="77777777" w:rsidR="00F37604" w:rsidRDefault="005B419D" w:rsidP="00C04567">
      <w:pPr>
        <w:spacing w:after="240"/>
        <w:ind w:left="720"/>
        <w:rPr>
          <w:rFonts w:cs="Times New Roman"/>
        </w:rPr>
      </w:pPr>
      <w:r w:rsidRPr="00DC50FC">
        <w:rPr>
          <w:rFonts w:cs="Times New Roman"/>
        </w:rPr>
        <w:t>O</w:t>
      </w:r>
      <w:r w:rsidR="00713923" w:rsidRPr="00DC50FC">
        <w:rPr>
          <w:rFonts w:cs="Times New Roman"/>
        </w:rPr>
        <w:t xml:space="preserve">nly </w:t>
      </w:r>
      <w:r w:rsidRPr="00DC50FC">
        <w:rPr>
          <w:rFonts w:cs="Times New Roman"/>
        </w:rPr>
        <w:t xml:space="preserve">youth </w:t>
      </w:r>
      <w:r w:rsidR="00713923" w:rsidRPr="00DC50FC">
        <w:rPr>
          <w:rFonts w:cs="Times New Roman"/>
        </w:rPr>
        <w:t xml:space="preserve">participants who qualify </w:t>
      </w:r>
      <w:r w:rsidR="00632ADF" w:rsidRPr="00DC50FC">
        <w:rPr>
          <w:rFonts w:cs="Times New Roman"/>
        </w:rPr>
        <w:t>on the s</w:t>
      </w:r>
      <w:r w:rsidR="003329B0" w:rsidRPr="00DC50FC">
        <w:rPr>
          <w:rFonts w:cs="Times New Roman"/>
        </w:rPr>
        <w:t xml:space="preserve">creener </w:t>
      </w:r>
      <w:r w:rsidR="00713923" w:rsidRPr="00DC50FC">
        <w:rPr>
          <w:rFonts w:cs="Times New Roman"/>
        </w:rPr>
        <w:t>will be prompted to provide parent/</w:t>
      </w:r>
      <w:r w:rsidR="00F029F7" w:rsidRPr="00DC50FC">
        <w:rPr>
          <w:rFonts w:cs="Times New Roman"/>
        </w:rPr>
        <w:t xml:space="preserve"> </w:t>
      </w:r>
      <w:r w:rsidR="00713923" w:rsidRPr="00DC50FC">
        <w:rPr>
          <w:rFonts w:cs="Times New Roman"/>
        </w:rPr>
        <w:t>guardian’s email address</w:t>
      </w:r>
      <w:r w:rsidR="00C82ECC">
        <w:rPr>
          <w:rFonts w:cs="Times New Roman"/>
        </w:rPr>
        <w:t>.</w:t>
      </w:r>
      <w:r w:rsidR="00713923" w:rsidRPr="00DC50FC">
        <w:rPr>
          <w:rFonts w:cs="Times New Roman"/>
        </w:rPr>
        <w:t xml:space="preserve"> </w:t>
      </w:r>
      <w:r w:rsidR="00E84E25" w:rsidRPr="00DC50FC">
        <w:rPr>
          <w:rFonts w:cs="Times New Roman"/>
        </w:rPr>
        <w:t xml:space="preserve">Therefore, </w:t>
      </w:r>
      <w:r w:rsidR="003329B0" w:rsidRPr="00DC50FC">
        <w:rPr>
          <w:rFonts w:cs="Times New Roman"/>
        </w:rPr>
        <w:t xml:space="preserve">this additional </w:t>
      </w:r>
      <w:r w:rsidR="00E84E25" w:rsidRPr="00DC50FC">
        <w:rPr>
          <w:rFonts w:cs="Times New Roman"/>
        </w:rPr>
        <w:t xml:space="preserve">contact information will only be collected </w:t>
      </w:r>
      <w:r w:rsidR="00E84E25" w:rsidRPr="00C04567">
        <w:rPr>
          <w:rFonts w:eastAsia="Times New Roman" w:cs="Times New Roman"/>
        </w:rPr>
        <w:t>from</w:t>
      </w:r>
      <w:r w:rsidR="00E84E25" w:rsidRPr="00DC50FC">
        <w:rPr>
          <w:rFonts w:cs="Times New Roman"/>
        </w:rPr>
        <w:t xml:space="preserve"> qualified youth. Parent/</w:t>
      </w:r>
      <w:r w:rsidR="00A31F6D" w:rsidRPr="00DC50FC">
        <w:rPr>
          <w:rFonts w:cs="Times New Roman"/>
        </w:rPr>
        <w:t xml:space="preserve"> </w:t>
      </w:r>
      <w:r w:rsidR="00E84E25" w:rsidRPr="00DC50FC">
        <w:rPr>
          <w:rFonts w:cs="Times New Roman"/>
        </w:rPr>
        <w:t>guardian email will be colle</w:t>
      </w:r>
      <w:r w:rsidR="00FA0671" w:rsidRPr="00DC50FC">
        <w:rPr>
          <w:rFonts w:cs="Times New Roman"/>
        </w:rPr>
        <w:t xml:space="preserve">cted from all qualifying youth </w:t>
      </w:r>
      <w:r w:rsidR="00E84E25" w:rsidRPr="00DC50FC">
        <w:rPr>
          <w:rFonts w:cs="Times New Roman"/>
        </w:rPr>
        <w:t>to facilitate distribution of the parental opt-out form</w:t>
      </w:r>
      <w:r w:rsidR="00C82ECC">
        <w:rPr>
          <w:rFonts w:cs="Times New Roman"/>
        </w:rPr>
        <w:t>.</w:t>
      </w:r>
      <w:r w:rsidR="00713923" w:rsidRPr="00DC50FC">
        <w:rPr>
          <w:rFonts w:cs="Times New Roman"/>
        </w:rPr>
        <w:t xml:space="preserve"> </w:t>
      </w:r>
      <w:r w:rsidR="00537F1C" w:rsidRPr="00DC50FC">
        <w:rPr>
          <w:rFonts w:cs="Times New Roman"/>
        </w:rPr>
        <w:t xml:space="preserve">Researchers will only contact participants via email </w:t>
      </w:r>
      <w:r w:rsidR="003329B0" w:rsidRPr="00DC50FC">
        <w:rPr>
          <w:rFonts w:cs="Times New Roman"/>
        </w:rPr>
        <w:t xml:space="preserve">(if selected) </w:t>
      </w:r>
      <w:r w:rsidR="00537F1C" w:rsidRPr="00DC50FC">
        <w:rPr>
          <w:rFonts w:cs="Times New Roman"/>
        </w:rPr>
        <w:t>to share th</w:t>
      </w:r>
      <w:r w:rsidR="00632ADF" w:rsidRPr="00DC50FC">
        <w:rPr>
          <w:rFonts w:cs="Times New Roman"/>
        </w:rPr>
        <w:t>e link to the q</w:t>
      </w:r>
      <w:r w:rsidR="00AA66A4" w:rsidRPr="00DC50FC">
        <w:rPr>
          <w:rFonts w:cs="Times New Roman"/>
        </w:rPr>
        <w:t>uestionnaire</w:t>
      </w:r>
      <w:r w:rsidR="001C3BDF" w:rsidRPr="00DC50FC">
        <w:rPr>
          <w:rFonts w:cs="Times New Roman"/>
        </w:rPr>
        <w:t xml:space="preserve"> and</w:t>
      </w:r>
      <w:r w:rsidR="00AA66A4" w:rsidRPr="00DC50FC">
        <w:rPr>
          <w:rFonts w:cs="Times New Roman"/>
        </w:rPr>
        <w:t xml:space="preserve"> </w:t>
      </w:r>
      <w:r w:rsidR="001C3BDF" w:rsidRPr="00DC50FC">
        <w:rPr>
          <w:rFonts w:cs="Times New Roman"/>
        </w:rPr>
        <w:t>up to two reminders,</w:t>
      </w:r>
      <w:r w:rsidR="00537F1C" w:rsidRPr="00DC50FC">
        <w:rPr>
          <w:rFonts w:cs="Times New Roman"/>
        </w:rPr>
        <w:t xml:space="preserve"> </w:t>
      </w:r>
      <w:r w:rsidR="00AA66A4" w:rsidRPr="00DC50FC">
        <w:rPr>
          <w:rFonts w:cs="Times New Roman"/>
        </w:rPr>
        <w:t xml:space="preserve">and </w:t>
      </w:r>
      <w:r w:rsidR="001C3BDF" w:rsidRPr="00DC50FC">
        <w:rPr>
          <w:rFonts w:cs="Times New Roman"/>
        </w:rPr>
        <w:t xml:space="preserve">via </w:t>
      </w:r>
      <w:r w:rsidR="00AA66A4" w:rsidRPr="00DC50FC">
        <w:rPr>
          <w:rFonts w:cs="Times New Roman"/>
        </w:rPr>
        <w:t xml:space="preserve">email to deliver the </w:t>
      </w:r>
      <w:r w:rsidR="00724D56" w:rsidRPr="00DC50FC">
        <w:rPr>
          <w:rFonts w:eastAsia="Times New Roman" w:cs="Times New Roman"/>
        </w:rPr>
        <w:t>token</w:t>
      </w:r>
      <w:r w:rsidR="005C2B45" w:rsidRPr="00DC50FC">
        <w:rPr>
          <w:rFonts w:eastAsia="Times New Roman" w:cs="Times New Roman"/>
        </w:rPr>
        <w:t xml:space="preserve"> of appreciation</w:t>
      </w:r>
      <w:r w:rsidR="00AA66A4" w:rsidRPr="00DC50FC">
        <w:rPr>
          <w:rFonts w:cs="Times New Roman"/>
        </w:rPr>
        <w:t xml:space="preserve">. Researchers may also contact participants in the unlikely case that there is a breach of </w:t>
      </w:r>
      <w:r w:rsidR="00B91ADB" w:rsidRPr="00DC50FC">
        <w:rPr>
          <w:rFonts w:cs="Times New Roman"/>
        </w:rPr>
        <w:t>privacy</w:t>
      </w:r>
      <w:r w:rsidR="00AA66A4" w:rsidRPr="00DC50FC">
        <w:rPr>
          <w:rFonts w:cs="Times New Roman"/>
        </w:rPr>
        <w:t>, for example as a result of hacking</w:t>
      </w:r>
      <w:r w:rsidR="00C82ECC">
        <w:rPr>
          <w:rFonts w:cs="Times New Roman"/>
        </w:rPr>
        <w:t>.</w:t>
      </w:r>
    </w:p>
    <w:p w14:paraId="561C15E8" w14:textId="52279619" w:rsidR="00F37604" w:rsidRDefault="00AA66A4" w:rsidP="00C04567">
      <w:pPr>
        <w:spacing w:after="240"/>
        <w:ind w:left="720"/>
        <w:rPr>
          <w:rFonts w:eastAsia="Times New Roman" w:cs="Times New Roman"/>
        </w:rPr>
      </w:pPr>
      <w:r w:rsidRPr="00DC50FC">
        <w:rPr>
          <w:rFonts w:eastAsia="Times New Roman" w:cs="Times New Roman"/>
        </w:rPr>
        <w:t>Afte</w:t>
      </w:r>
      <w:r w:rsidR="00632ADF" w:rsidRPr="00DC50FC">
        <w:rPr>
          <w:rFonts w:eastAsia="Times New Roman" w:cs="Times New Roman"/>
        </w:rPr>
        <w:t>r data collection is complete, screener and q</w:t>
      </w:r>
      <w:r w:rsidRPr="00DC50FC">
        <w:rPr>
          <w:rFonts w:eastAsia="Times New Roman" w:cs="Times New Roman"/>
        </w:rPr>
        <w:t>uestionnaire databases will be merged together for analysis, but all</w:t>
      </w:r>
      <w:r w:rsidR="00F23925" w:rsidRPr="00DC50FC">
        <w:rPr>
          <w:rFonts w:eastAsia="Times New Roman" w:cs="Times New Roman"/>
        </w:rPr>
        <w:t xml:space="preserve"> personally</w:t>
      </w:r>
      <w:r w:rsidRPr="00DC50FC">
        <w:rPr>
          <w:rFonts w:eastAsia="Times New Roman" w:cs="Times New Roman"/>
        </w:rPr>
        <w:t xml:space="preserve"> </w:t>
      </w:r>
      <w:r w:rsidR="00F23925" w:rsidRPr="00DC50FC">
        <w:rPr>
          <w:rFonts w:eastAsia="Times New Roman" w:cs="Times New Roman"/>
        </w:rPr>
        <w:t xml:space="preserve">identifiable </w:t>
      </w:r>
      <w:r w:rsidRPr="00DC50FC">
        <w:rPr>
          <w:rFonts w:eastAsia="Times New Roman" w:cs="Times New Roman"/>
        </w:rPr>
        <w:t>information (i.e.</w:t>
      </w:r>
      <w:r w:rsidR="00106B79">
        <w:rPr>
          <w:rFonts w:eastAsia="Times New Roman" w:cs="Times New Roman"/>
        </w:rPr>
        <w:t>,</w:t>
      </w:r>
      <w:r w:rsidRPr="00DC50FC">
        <w:rPr>
          <w:rFonts w:eastAsia="Times New Roman" w:cs="Times New Roman"/>
        </w:rPr>
        <w:t xml:space="preserve"> email address,</w:t>
      </w:r>
      <w:r w:rsidR="0092112B" w:rsidRPr="00DC50FC">
        <w:rPr>
          <w:rFonts w:eastAsia="Times New Roman" w:cs="Times New Roman"/>
        </w:rPr>
        <w:t xml:space="preserve"> </w:t>
      </w:r>
      <w:r w:rsidR="003E09B5" w:rsidRPr="00DC50FC">
        <w:rPr>
          <w:rFonts w:eastAsia="Times New Roman" w:cs="Times New Roman"/>
        </w:rPr>
        <w:t xml:space="preserve">cell </w:t>
      </w:r>
      <w:r w:rsidR="0092112B" w:rsidRPr="00DC50FC">
        <w:rPr>
          <w:rFonts w:eastAsia="Times New Roman" w:cs="Times New Roman"/>
        </w:rPr>
        <w:t>phone number,</w:t>
      </w:r>
      <w:r w:rsidRPr="00DC50FC">
        <w:rPr>
          <w:rFonts w:eastAsia="Times New Roman" w:cs="Times New Roman"/>
        </w:rPr>
        <w:t xml:space="preserve"> IP address, etc.) will be deleted after final data cleaning is conducted</w:t>
      </w:r>
      <w:r w:rsidR="001D3F25" w:rsidRPr="00DC50FC">
        <w:rPr>
          <w:rFonts w:eastAsia="Times New Roman" w:cs="Times New Roman"/>
        </w:rPr>
        <w:t xml:space="preserve"> and</w:t>
      </w:r>
      <w:r w:rsidRPr="00DC50FC">
        <w:rPr>
          <w:rFonts w:eastAsia="Times New Roman" w:cs="Times New Roman"/>
        </w:rPr>
        <w:t xml:space="preserve"> prior to data analysis. That is, all identifying information </w:t>
      </w:r>
      <w:r w:rsidR="001C3BDF" w:rsidRPr="00DC50FC">
        <w:rPr>
          <w:rFonts w:cs="Times New Roman"/>
        </w:rPr>
        <w:t>will be removed from the database before analysis</w:t>
      </w:r>
      <w:r w:rsidRPr="00DC50FC">
        <w:rPr>
          <w:rFonts w:eastAsia="Times New Roman" w:cs="Times New Roman"/>
        </w:rPr>
        <w:t>.</w:t>
      </w:r>
    </w:p>
    <w:p w14:paraId="1244F892" w14:textId="46AF018B" w:rsidR="00F37604" w:rsidRDefault="000B22EE" w:rsidP="00C04567">
      <w:pPr>
        <w:spacing w:after="240"/>
        <w:ind w:left="720"/>
        <w:rPr>
          <w:rFonts w:cs="Times New Roman"/>
        </w:rPr>
      </w:pPr>
      <w:r w:rsidRPr="00DC50FC">
        <w:rPr>
          <w:rFonts w:eastAsia="Times New Roman" w:cs="Times New Roman"/>
        </w:rPr>
        <w:t xml:space="preserve">The research team will not share personal information regarding participants with any third party unless it is required by law to protect their rights or to comply with judicial proceedings, a court order, or other legal process. All data will remain on a password-protected computer and/or in locked cabinets for a period of three years after the end of the study, and then will be </w:t>
      </w:r>
      <w:r w:rsidR="00106B79">
        <w:rPr>
          <w:rFonts w:eastAsia="Times New Roman" w:cs="Times New Roman"/>
        </w:rPr>
        <w:t xml:space="preserve">securely </w:t>
      </w:r>
      <w:r w:rsidRPr="00DC50FC">
        <w:rPr>
          <w:rFonts w:eastAsia="Times New Roman" w:cs="Times New Roman"/>
        </w:rPr>
        <w:t xml:space="preserve">shredded and/or destroyed. </w:t>
      </w:r>
      <w:r w:rsidRPr="00DC50FC">
        <w:rPr>
          <w:rFonts w:cs="Times New Roman"/>
        </w:rPr>
        <w:t xml:space="preserve">As with any research study, there is a chance that privacy could be compromised. However, great effort is taken to protect participant identity and all responses will be </w:t>
      </w:r>
      <w:r w:rsidR="00B91ADB" w:rsidRPr="00DC50FC">
        <w:rPr>
          <w:rFonts w:cs="Times New Roman"/>
        </w:rPr>
        <w:t>private</w:t>
      </w:r>
      <w:r w:rsidRPr="00DC50FC">
        <w:rPr>
          <w:rFonts w:cs="Times New Roman"/>
        </w:rPr>
        <w:t>.</w:t>
      </w:r>
    </w:p>
    <w:p w14:paraId="7DADA4A1" w14:textId="0E815275" w:rsidR="004B2621" w:rsidRPr="00DC50FC" w:rsidRDefault="004B2621" w:rsidP="009C6AAC">
      <w:pPr>
        <w:spacing w:before="100" w:beforeAutospacing="1" w:after="240"/>
        <w:ind w:left="720"/>
        <w:rPr>
          <w:rFonts w:cs="Times New Roman"/>
          <w:u w:val="single"/>
        </w:rPr>
      </w:pPr>
      <w:r w:rsidRPr="00DC50FC">
        <w:rPr>
          <w:rFonts w:cs="Times New Roman"/>
          <w:u w:val="single"/>
        </w:rPr>
        <w:t>Data Management</w:t>
      </w:r>
    </w:p>
    <w:p w14:paraId="65798384" w14:textId="77777777" w:rsidR="00F37604" w:rsidRDefault="00273351" w:rsidP="00C04567">
      <w:pPr>
        <w:spacing w:after="240"/>
        <w:ind w:left="720"/>
        <w:rPr>
          <w:rFonts w:eastAsia="Times New Roman" w:cs="Times New Roman"/>
        </w:rPr>
      </w:pPr>
      <w:r w:rsidRPr="00DC50FC">
        <w:rPr>
          <w:rFonts w:eastAsia="Times New Roman" w:cs="Times New Roman"/>
        </w:rPr>
        <w:t>All data collection activities will be conducted in full compliance with FDA regulations to maintain the privacy of data obtained from respondents and to protect the rights and welfare of human research subjects as contained in their regulations.</w:t>
      </w:r>
    </w:p>
    <w:p w14:paraId="29C965AA" w14:textId="31A4868F" w:rsidR="005B419D" w:rsidRPr="00C04567" w:rsidRDefault="005B419D" w:rsidP="00C04567">
      <w:pPr>
        <w:spacing w:after="240"/>
        <w:ind w:left="720"/>
        <w:rPr>
          <w:rFonts w:eastAsia="Times New Roman" w:cs="Times New Roman"/>
        </w:rPr>
      </w:pPr>
      <w:r w:rsidRPr="00C04567">
        <w:rPr>
          <w:rFonts w:eastAsia="Times New Roman" w:cs="Times New Roman"/>
        </w:rPr>
        <w:t>Confirmit will be the software used for data collection and storage. Confirmit is a trusted survey tool used by both researchers and marketing companies alike. Confirmit is provided as a web application, accessed using a modern Internet browser where data are stored in a single secure data center. The database servers that store respondent and response data are placed behind two tiers of firewalls, and data can only be accessed through the Confirmit applications. No application users have direct database access</w:t>
      </w:r>
      <w:r w:rsidR="006C1C2B">
        <w:rPr>
          <w:rFonts w:eastAsia="Times New Roman" w:cs="Times New Roman"/>
        </w:rPr>
        <w:t>;</w:t>
      </w:r>
      <w:r w:rsidRPr="00C04567">
        <w:rPr>
          <w:rFonts w:eastAsia="Times New Roman" w:cs="Times New Roman"/>
        </w:rPr>
        <w:t xml:space="preserve"> the servers are only accessible for database administrators. Remote server access is only available to our system administrators through network controls and secure VPN tunnels. If outside the corporate network</w:t>
      </w:r>
      <w:r w:rsidRPr="00DC50FC">
        <w:t xml:space="preserve">, dual factor authentication is required to establish a secure VPN tunnel into the corporate network (in order to access the production VPN through a hop-server), and only computers that are under Confirmit’s control are allowed to connect to the VPN.  Confirmit  surveys do not require any user-identifiable information to be transmitted between page submissions. Surveys use a combination of hidden form fields and system generated identifiers to identify the respondent and the correct state in the interview when moving from page to page. Interview pages include meta code to prevent them from being cached on the client. No information is stored on a respondent’s computer when the browser is closed. To further prevent caching, all surveys are available over HTTPS. Data will be stored on </w:t>
      </w:r>
      <w:r w:rsidRPr="00C04567">
        <w:rPr>
          <w:rFonts w:eastAsia="Times New Roman" w:cs="Times New Roman"/>
        </w:rPr>
        <w:t>dedicated servers with a redundant multi-tier network security infrastructure.</w:t>
      </w:r>
    </w:p>
    <w:p w14:paraId="7ED7587F" w14:textId="77777777" w:rsidR="005B419D" w:rsidRPr="00C04567" w:rsidRDefault="005B419D" w:rsidP="00C04567">
      <w:pPr>
        <w:spacing w:after="240"/>
        <w:ind w:left="720"/>
        <w:rPr>
          <w:rFonts w:eastAsia="Times New Roman" w:cs="Times New Roman"/>
        </w:rPr>
      </w:pPr>
      <w:r w:rsidRPr="00C04567">
        <w:rPr>
          <w:rFonts w:eastAsia="Times New Roman" w:cs="Times New Roman"/>
        </w:rPr>
        <w:t>Confirmit and Market Cube will follow the Standard of Good Practice (SoGP, https://www.securityforum.org/ research/thestandardofgoodpractice2016/) security practices which emphasize security management, safe business application protocol, safe computer installations, network fidelity, awareness of systems development requirements, and safety of the end-user environment. Following these guidelines, the monitoring of data and sensitive information will take place following the SoGP security practices such as limiting access to information and data encryption. Members of the CTP research team will receive de-identified data that will be in an encrypted format</w:t>
      </w:r>
      <w:r w:rsidRPr="00DC50FC">
        <w:t xml:space="preserve"> </w:t>
      </w:r>
      <w:r w:rsidRPr="00C04567">
        <w:rPr>
          <w:rFonts w:eastAsia="Times New Roman" w:cs="Times New Roman"/>
        </w:rPr>
        <w:t>when it is transmitted. This data transfer will occur via an encrypted and secure broadband connection.</w:t>
      </w:r>
    </w:p>
    <w:p w14:paraId="05BAEFD9" w14:textId="0E8F62CF" w:rsidR="004213CB" w:rsidRPr="00DC50FC" w:rsidRDefault="00273351" w:rsidP="009C6AAC">
      <w:pPr>
        <w:pStyle w:val="ListParagraph"/>
        <w:numPr>
          <w:ilvl w:val="0"/>
          <w:numId w:val="6"/>
        </w:numPr>
        <w:spacing w:before="100" w:beforeAutospacing="1" w:after="240"/>
        <w:rPr>
          <w:rFonts w:asciiTheme="minorHAnsi" w:eastAsia="Times New Roman" w:hAnsiTheme="minorHAnsi" w:cs="Times New Roman"/>
          <w:szCs w:val="24"/>
        </w:rPr>
      </w:pPr>
      <w:r w:rsidRPr="00DC50FC">
        <w:rPr>
          <w:rFonts w:asciiTheme="minorHAnsi" w:hAnsiTheme="minorHAnsi" w:cs="Times New Roman"/>
          <w:szCs w:val="24"/>
          <w:u w:val="single"/>
        </w:rPr>
        <w:t>Justification for Sensitive Questions</w:t>
      </w:r>
    </w:p>
    <w:p w14:paraId="7285564E" w14:textId="77777777" w:rsidR="00F37604" w:rsidRDefault="00470921" w:rsidP="00C04567">
      <w:pPr>
        <w:spacing w:after="240"/>
        <w:ind w:left="720"/>
        <w:rPr>
          <w:rFonts w:eastAsia="Times New Roman" w:cs="Times New Roman"/>
        </w:rPr>
      </w:pPr>
      <w:r w:rsidRPr="00DC50FC">
        <w:rPr>
          <w:rFonts w:eastAsia="Times New Roman" w:cs="Times New Roman"/>
        </w:rPr>
        <w:t>Some studies require the inclusion of people who match selected characteristics of the target audience that the FDA is trying to reach. This may require asking questions about age, sex, race/ethnicity, and/or health behaviors on the initial screening questionnaire used for recruiting. Potential participants are informed that this is being done to make sure that the FDA speaks with the kinds of people for whom its messages are intended. Respondents are assured that the information is voluntary and will be treated as private to the extent allowable by law. All information on race/ethnicity will fully comply with the standards of OMB Statistical Policy Directive No. 15, October 1997 (</w:t>
      </w:r>
      <w:hyperlink r:id="rId13" w:history="1">
        <w:r w:rsidRPr="00DC50FC">
          <w:rPr>
            <w:rFonts w:eastAsia="Times New Roman" w:cs="Times New Roman"/>
          </w:rPr>
          <w:t>http://www.whitehouse.gov/omb/fedreg/1997standards.html)</w:t>
        </w:r>
      </w:hyperlink>
      <w:r w:rsidRPr="00DC50FC">
        <w:rPr>
          <w:rFonts w:eastAsia="Times New Roman" w:cs="Times New Roman"/>
        </w:rPr>
        <w:t>.</w:t>
      </w:r>
    </w:p>
    <w:p w14:paraId="3A0DFABC" w14:textId="01B75D5C" w:rsidR="00F147D0" w:rsidRPr="00DC50FC" w:rsidRDefault="005B419D" w:rsidP="00C04567">
      <w:pPr>
        <w:spacing w:after="240"/>
        <w:ind w:left="720"/>
        <w:rPr>
          <w:rFonts w:eastAsia="Times New Roman" w:cs="Times New Roman"/>
        </w:rPr>
      </w:pPr>
      <w:r w:rsidRPr="00DC50FC">
        <w:rPr>
          <w:rFonts w:eastAsia="Times New Roman" w:cs="Times New Roman"/>
        </w:rPr>
        <w:t>In order to identify participants for this study</w:t>
      </w:r>
      <w:r w:rsidR="00A02991" w:rsidRPr="00DC50FC">
        <w:rPr>
          <w:rFonts w:eastAsia="Times New Roman" w:cs="Times New Roman"/>
        </w:rPr>
        <w:t>, researchers need to ask sensitive survey-based questions about race/ethnicity and tobacco use behavior. Raw data that includes both personally identifiable and sensitive information (e.g., contact information</w:t>
      </w:r>
      <w:r w:rsidR="003F27DE" w:rsidRPr="00DC50FC">
        <w:rPr>
          <w:rFonts w:eastAsia="Times New Roman" w:cs="Times New Roman"/>
        </w:rPr>
        <w:t xml:space="preserve"> and tobacco use i</w:t>
      </w:r>
      <w:r w:rsidR="000D56DA" w:rsidRPr="00DC50FC">
        <w:rPr>
          <w:rFonts w:eastAsia="Times New Roman" w:cs="Times New Roman"/>
        </w:rPr>
        <w:t>n</w:t>
      </w:r>
      <w:r w:rsidR="003F27DE" w:rsidRPr="00DC50FC">
        <w:rPr>
          <w:rFonts w:eastAsia="Times New Roman" w:cs="Times New Roman"/>
        </w:rPr>
        <w:t xml:space="preserve"> the</w:t>
      </w:r>
      <w:r w:rsidR="00632ADF" w:rsidRPr="00DC50FC">
        <w:rPr>
          <w:rFonts w:eastAsia="Times New Roman" w:cs="Times New Roman"/>
        </w:rPr>
        <w:t xml:space="preserve"> s</w:t>
      </w:r>
      <w:r w:rsidR="000D56DA" w:rsidRPr="00DC50FC">
        <w:rPr>
          <w:rFonts w:eastAsia="Times New Roman" w:cs="Times New Roman"/>
        </w:rPr>
        <w:t xml:space="preserve">creener </w:t>
      </w:r>
      <w:r w:rsidR="00285DA8" w:rsidRPr="00DC50FC">
        <w:rPr>
          <w:rFonts w:eastAsia="Times New Roman" w:cs="Times New Roman"/>
        </w:rPr>
        <w:t>survey</w:t>
      </w:r>
      <w:r w:rsidR="00A02991" w:rsidRPr="00DC50FC">
        <w:rPr>
          <w:rFonts w:eastAsia="Times New Roman" w:cs="Times New Roman"/>
        </w:rPr>
        <w:t>) will be managed so personally identifiable information is not retained once the data have been extracted and aggregated. Personally identifiable information never becomes part of a system of records containing permanent identifiers that can be used for retrieval.</w:t>
      </w:r>
    </w:p>
    <w:p w14:paraId="6A269FFF" w14:textId="44671A91" w:rsidR="00E07508" w:rsidRPr="00DC50FC" w:rsidRDefault="00F147D0" w:rsidP="00C04567">
      <w:pPr>
        <w:spacing w:after="240"/>
        <w:ind w:left="720"/>
        <w:rPr>
          <w:rFonts w:cs="Times New Roman"/>
        </w:rPr>
      </w:pPr>
      <w:r w:rsidRPr="00C04567">
        <w:rPr>
          <w:rFonts w:eastAsia="Times New Roman" w:cs="Times New Roman"/>
        </w:rPr>
        <w:t>In addition, this study includes the following procedures and methodological characteristics that will minimize potential negative reactions to these types of questions, including the following:</w:t>
      </w:r>
    </w:p>
    <w:p w14:paraId="649FC0B1" w14:textId="77777777" w:rsidR="00C13D74" w:rsidRDefault="00632ADF" w:rsidP="00C13D74">
      <w:pPr>
        <w:numPr>
          <w:ilvl w:val="1"/>
          <w:numId w:val="6"/>
        </w:numPr>
        <w:spacing w:after="240"/>
        <w:ind w:left="1440" w:hanging="360"/>
        <w:contextualSpacing/>
        <w:rPr>
          <w:rFonts w:cs="Times New Roman"/>
        </w:rPr>
      </w:pPr>
      <w:r w:rsidRPr="00C13D74">
        <w:rPr>
          <w:rFonts w:cs="Times New Roman"/>
        </w:rPr>
        <w:t>The screener and q</w:t>
      </w:r>
      <w:r w:rsidR="00E07508" w:rsidRPr="00C13D74">
        <w:rPr>
          <w:rFonts w:cs="Times New Roman"/>
        </w:rPr>
        <w:t>uestionnaire are entirely self-administered and maximize respondent privacy without the need to verbalize responses.</w:t>
      </w:r>
    </w:p>
    <w:p w14:paraId="1FE9E985" w14:textId="4CDA0FDF" w:rsidR="00F37604" w:rsidRPr="00C13D74" w:rsidRDefault="00E07508" w:rsidP="00C13D74">
      <w:pPr>
        <w:numPr>
          <w:ilvl w:val="1"/>
          <w:numId w:val="6"/>
        </w:numPr>
        <w:spacing w:after="240"/>
        <w:ind w:left="1440" w:hanging="360"/>
        <w:contextualSpacing/>
        <w:rPr>
          <w:rFonts w:cs="Times New Roman"/>
        </w:rPr>
      </w:pPr>
      <w:r w:rsidRPr="00C13D74">
        <w:rPr>
          <w:rFonts w:cs="Times New Roman"/>
        </w:rPr>
        <w:t xml:space="preserve">Participants </w:t>
      </w:r>
      <w:r w:rsidR="005B419D" w:rsidRPr="00C13D74">
        <w:rPr>
          <w:rFonts w:cs="Times New Roman"/>
        </w:rPr>
        <w:t>will be provided with contact information for the Principal Investigator of this study and for FDA RIHSC if they have any questions or concerns about this study or about their rights as study participants.</w:t>
      </w:r>
    </w:p>
    <w:p w14:paraId="43706FA9" w14:textId="004CDDE9" w:rsidR="004A4B3A" w:rsidRPr="00DC50FC" w:rsidRDefault="004A4B3A" w:rsidP="009C6AAC">
      <w:pPr>
        <w:pStyle w:val="ListParagraph"/>
        <w:numPr>
          <w:ilvl w:val="0"/>
          <w:numId w:val="6"/>
        </w:numPr>
        <w:spacing w:before="100" w:beforeAutospacing="1" w:after="240"/>
        <w:rPr>
          <w:rFonts w:asciiTheme="minorHAnsi" w:eastAsia="Times New Roman" w:hAnsiTheme="minorHAnsi" w:cs="Times New Roman"/>
          <w:szCs w:val="24"/>
        </w:rPr>
      </w:pPr>
      <w:r w:rsidRPr="00DC50FC">
        <w:rPr>
          <w:rFonts w:asciiTheme="minorHAnsi" w:hAnsiTheme="minorHAnsi" w:cs="Times New Roman"/>
          <w:szCs w:val="24"/>
          <w:u w:val="single"/>
        </w:rPr>
        <w:t>Estimates of Annualized Burden Hours and Costs</w:t>
      </w:r>
    </w:p>
    <w:p w14:paraId="55BFAB1E" w14:textId="77777777" w:rsidR="004A4B3A" w:rsidRPr="00DC50FC" w:rsidRDefault="004A4B3A" w:rsidP="009C6AAC">
      <w:pPr>
        <w:pStyle w:val="ListParagraph"/>
        <w:spacing w:before="100" w:beforeAutospacing="1" w:after="240"/>
        <w:rPr>
          <w:rFonts w:asciiTheme="minorHAnsi" w:eastAsia="Times New Roman" w:hAnsiTheme="minorHAnsi" w:cs="Times New Roman"/>
          <w:szCs w:val="24"/>
        </w:rPr>
      </w:pPr>
    </w:p>
    <w:p w14:paraId="22C1311E" w14:textId="7DB34FE2" w:rsidR="0056506E" w:rsidRPr="00DC50FC" w:rsidRDefault="004A4B3A" w:rsidP="009C6AAC">
      <w:pPr>
        <w:pStyle w:val="ListParagraph"/>
        <w:spacing w:before="100" w:beforeAutospacing="1" w:after="240"/>
        <w:rPr>
          <w:rFonts w:asciiTheme="minorHAnsi" w:hAnsiTheme="minorHAnsi" w:cs="Times New Roman"/>
          <w:szCs w:val="24"/>
          <w:u w:val="single"/>
        </w:rPr>
      </w:pPr>
      <w:r w:rsidRPr="00DC50FC">
        <w:rPr>
          <w:rFonts w:asciiTheme="minorHAnsi" w:hAnsiTheme="minorHAnsi" w:cs="Times New Roman"/>
          <w:szCs w:val="24"/>
          <w:u w:val="single"/>
        </w:rPr>
        <w:t>1</w:t>
      </w:r>
      <w:r w:rsidR="00262CD0" w:rsidRPr="00DC50FC">
        <w:rPr>
          <w:rFonts w:asciiTheme="minorHAnsi" w:hAnsiTheme="minorHAnsi" w:cs="Times New Roman"/>
          <w:szCs w:val="24"/>
          <w:u w:val="single"/>
        </w:rPr>
        <w:t>2</w:t>
      </w:r>
      <w:r w:rsidRPr="00DC50FC">
        <w:rPr>
          <w:rFonts w:asciiTheme="minorHAnsi" w:hAnsiTheme="minorHAnsi" w:cs="Times New Roman"/>
          <w:szCs w:val="24"/>
          <w:u w:val="single"/>
        </w:rPr>
        <w:t>a. Annualized Hour Burden Estimate</w:t>
      </w:r>
    </w:p>
    <w:p w14:paraId="371D5819" w14:textId="36EC3EF1" w:rsidR="00F37604" w:rsidRDefault="0056506E" w:rsidP="00C04567">
      <w:pPr>
        <w:spacing w:after="240"/>
        <w:ind w:left="720"/>
        <w:rPr>
          <w:rFonts w:eastAsia="Times New Roman" w:cs="Times New Roman"/>
        </w:rPr>
      </w:pPr>
      <w:r w:rsidRPr="00DC50FC">
        <w:rPr>
          <w:rFonts w:eastAsia="Times New Roman" w:cs="Times New Roman"/>
        </w:rPr>
        <w:t xml:space="preserve">An estimated one-time reporting burden for this collection </w:t>
      </w:r>
      <w:r w:rsidR="00477DDA" w:rsidRPr="00DC50FC">
        <w:rPr>
          <w:rFonts w:eastAsia="Times New Roman" w:cs="Times New Roman"/>
        </w:rPr>
        <w:t>is</w:t>
      </w:r>
      <w:r w:rsidRPr="00DC50FC">
        <w:rPr>
          <w:rFonts w:eastAsia="Times New Roman" w:cs="Times New Roman"/>
        </w:rPr>
        <w:t xml:space="preserve"> </w:t>
      </w:r>
      <w:r w:rsidR="006670B3" w:rsidRPr="00DC50FC">
        <w:rPr>
          <w:rFonts w:eastAsia="Times New Roman" w:cs="Times New Roman"/>
        </w:rPr>
        <w:t>1,</w:t>
      </w:r>
      <w:r w:rsidR="009529AB">
        <w:rPr>
          <w:rFonts w:eastAsia="Times New Roman" w:cs="Times New Roman"/>
        </w:rPr>
        <w:t>732</w:t>
      </w:r>
      <w:r w:rsidR="00330260" w:rsidRPr="00DC50FC">
        <w:rPr>
          <w:rFonts w:eastAsia="Times New Roman" w:cs="Times New Roman"/>
        </w:rPr>
        <w:t xml:space="preserve"> </w:t>
      </w:r>
      <w:r w:rsidRPr="00DC50FC">
        <w:rPr>
          <w:rFonts w:eastAsia="Times New Roman" w:cs="Times New Roman"/>
        </w:rPr>
        <w:t xml:space="preserve">hours (Exhibit </w:t>
      </w:r>
      <w:r w:rsidR="00962D75" w:rsidRPr="00DC50FC">
        <w:rPr>
          <w:rFonts w:eastAsia="Times New Roman" w:cs="Times New Roman"/>
        </w:rPr>
        <w:t>1</w:t>
      </w:r>
      <w:r w:rsidRPr="00DC50FC">
        <w:rPr>
          <w:rFonts w:eastAsia="Times New Roman" w:cs="Times New Roman"/>
        </w:rPr>
        <w:t>). This includes the time burden associated with the Screener.</w:t>
      </w:r>
    </w:p>
    <w:p w14:paraId="53572ACF" w14:textId="62727366" w:rsidR="00257D24" w:rsidRPr="00DC50FC" w:rsidRDefault="0056506E" w:rsidP="00C04567">
      <w:pPr>
        <w:spacing w:after="240"/>
        <w:ind w:left="720"/>
        <w:rPr>
          <w:rFonts w:eastAsia="Times New Roman" w:cs="Times New Roman"/>
        </w:rPr>
      </w:pPr>
      <w:r w:rsidRPr="00DC50FC">
        <w:rPr>
          <w:rFonts w:eastAsia="Times New Roman" w:cs="Times New Roman"/>
        </w:rPr>
        <w:t xml:space="preserve">To obtain a final sample of </w:t>
      </w:r>
      <w:r w:rsidR="00CF7916">
        <w:rPr>
          <w:rFonts w:eastAsia="Times New Roman" w:cs="Times New Roman"/>
        </w:rPr>
        <w:t>3</w:t>
      </w:r>
      <w:r w:rsidR="00C13D74">
        <w:rPr>
          <w:rFonts w:eastAsia="Times New Roman" w:cs="Times New Roman"/>
        </w:rPr>
        <w:t>,</w:t>
      </w:r>
      <w:r w:rsidR="005B419D" w:rsidRPr="00DC50FC">
        <w:rPr>
          <w:rFonts w:eastAsia="Times New Roman" w:cs="Times New Roman"/>
        </w:rPr>
        <w:t>000 youth</w:t>
      </w:r>
      <w:r w:rsidR="00231647" w:rsidRPr="00DC50FC">
        <w:rPr>
          <w:rFonts w:eastAsia="Times New Roman" w:cs="Times New Roman"/>
        </w:rPr>
        <w:t xml:space="preserve"> </w:t>
      </w:r>
      <w:r w:rsidRPr="00DC50FC">
        <w:rPr>
          <w:rFonts w:eastAsia="Times New Roman" w:cs="Times New Roman"/>
        </w:rPr>
        <w:t xml:space="preserve">enrolled participants, we estimate that we will need to screen </w:t>
      </w:r>
      <w:r w:rsidR="002529B7">
        <w:rPr>
          <w:rFonts w:eastAsia="Times New Roman" w:cs="Times New Roman"/>
        </w:rPr>
        <w:t>up to 4</w:t>
      </w:r>
      <w:r w:rsidR="00C13D74">
        <w:rPr>
          <w:rFonts w:eastAsia="Times New Roman" w:cs="Times New Roman"/>
        </w:rPr>
        <w:t>,</w:t>
      </w:r>
      <w:r w:rsidR="002529B7">
        <w:rPr>
          <w:rFonts w:eastAsia="Times New Roman" w:cs="Times New Roman"/>
        </w:rPr>
        <w:t>5</w:t>
      </w:r>
      <w:r w:rsidR="005B419D" w:rsidRPr="00DC50FC">
        <w:rPr>
          <w:rFonts w:eastAsia="Times New Roman" w:cs="Times New Roman"/>
        </w:rPr>
        <w:t>00</w:t>
      </w:r>
      <w:r w:rsidRPr="00DC50FC">
        <w:rPr>
          <w:rFonts w:eastAsia="Times New Roman" w:cs="Times New Roman"/>
        </w:rPr>
        <w:t xml:space="preserve"> potential </w:t>
      </w:r>
      <w:r w:rsidR="005B419D" w:rsidRPr="00DC50FC">
        <w:rPr>
          <w:rFonts w:eastAsia="Times New Roman" w:cs="Times New Roman"/>
        </w:rPr>
        <w:t xml:space="preserve">youth </w:t>
      </w:r>
      <w:r w:rsidRPr="00DC50FC">
        <w:rPr>
          <w:rFonts w:eastAsia="Times New Roman" w:cs="Times New Roman"/>
        </w:rPr>
        <w:t xml:space="preserve">respondents. </w:t>
      </w:r>
      <w:r w:rsidR="005B419D" w:rsidRPr="00DC50FC">
        <w:rPr>
          <w:rFonts w:eastAsia="Times New Roman" w:cs="Times New Roman"/>
        </w:rPr>
        <w:t>Additionally, to obtain the final sample of 1000 adults enrolled, we estimate that we will need to screen up to</w:t>
      </w:r>
      <w:r w:rsidR="002529B7">
        <w:rPr>
          <w:rFonts w:eastAsia="Times New Roman" w:cs="Times New Roman"/>
        </w:rPr>
        <w:t xml:space="preserve"> 1</w:t>
      </w:r>
      <w:r w:rsidR="00C13D74">
        <w:rPr>
          <w:rFonts w:eastAsia="Times New Roman" w:cs="Times New Roman"/>
        </w:rPr>
        <w:t>,</w:t>
      </w:r>
      <w:r w:rsidR="002529B7">
        <w:rPr>
          <w:rFonts w:eastAsia="Times New Roman" w:cs="Times New Roman"/>
        </w:rPr>
        <w:t>5</w:t>
      </w:r>
      <w:r w:rsidR="005B419D" w:rsidRPr="00DC50FC">
        <w:rPr>
          <w:rFonts w:eastAsia="Times New Roman" w:cs="Times New Roman"/>
        </w:rPr>
        <w:t xml:space="preserve">00 adults. </w:t>
      </w:r>
      <w:r w:rsidR="002529B7">
        <w:rPr>
          <w:rFonts w:eastAsia="Times New Roman" w:cs="Times New Roman"/>
        </w:rPr>
        <w:t>Because we are using a panel provider</w:t>
      </w:r>
      <w:r w:rsidR="006775C1">
        <w:rPr>
          <w:rFonts w:eastAsia="Times New Roman" w:cs="Times New Roman"/>
        </w:rPr>
        <w:t xml:space="preserve"> with a proven track record of being able to recruit participants that fit specifications for inclusion, we anticipa</w:t>
      </w:r>
      <w:r w:rsidR="009E1943">
        <w:rPr>
          <w:rFonts w:eastAsia="Times New Roman" w:cs="Times New Roman"/>
        </w:rPr>
        <w:t>te we will need to recruit 1.5 times</w:t>
      </w:r>
      <w:r w:rsidR="006775C1">
        <w:rPr>
          <w:rFonts w:eastAsia="Times New Roman" w:cs="Times New Roman"/>
        </w:rPr>
        <w:t xml:space="preserve"> our desired sample size for this study</w:t>
      </w:r>
      <w:r w:rsidR="00257D24" w:rsidRPr="00DC50FC">
        <w:rPr>
          <w:rFonts w:eastAsia="Times New Roman" w:cs="Times New Roman"/>
        </w:rPr>
        <w:t>.</w:t>
      </w:r>
    </w:p>
    <w:p w14:paraId="2E94AEB2" w14:textId="3D46E6DA" w:rsidR="00F37604" w:rsidRDefault="00257D24" w:rsidP="00C04567">
      <w:pPr>
        <w:spacing w:after="240"/>
        <w:ind w:left="720"/>
        <w:rPr>
          <w:rFonts w:eastAsia="Times New Roman" w:cs="Times New Roman"/>
        </w:rPr>
      </w:pPr>
      <w:r w:rsidRPr="00DC50FC">
        <w:rPr>
          <w:rFonts w:eastAsia="Times New Roman" w:cs="Times New Roman"/>
        </w:rPr>
        <w:t xml:space="preserve">Based on previous experience, we estimate </w:t>
      </w:r>
      <w:r w:rsidR="00632ADF" w:rsidRPr="00DC50FC">
        <w:rPr>
          <w:rFonts w:eastAsia="Times New Roman" w:cs="Times New Roman"/>
        </w:rPr>
        <w:t>that s</w:t>
      </w:r>
      <w:r w:rsidR="0056506E" w:rsidRPr="00DC50FC">
        <w:rPr>
          <w:rFonts w:eastAsia="Times New Roman" w:cs="Times New Roman"/>
        </w:rPr>
        <w:t xml:space="preserve">creener completion will take </w:t>
      </w:r>
      <w:r w:rsidRPr="00DC50FC">
        <w:rPr>
          <w:rFonts w:eastAsia="Times New Roman" w:cs="Times New Roman"/>
        </w:rPr>
        <w:t>no more than</w:t>
      </w:r>
      <w:r w:rsidR="0056506E" w:rsidRPr="00DC50FC">
        <w:rPr>
          <w:rFonts w:eastAsia="Times New Roman" w:cs="Times New Roman"/>
        </w:rPr>
        <w:t xml:space="preserve"> </w:t>
      </w:r>
      <w:r w:rsidR="002529B7">
        <w:rPr>
          <w:rFonts w:eastAsia="Times New Roman" w:cs="Times New Roman"/>
        </w:rPr>
        <w:t>five</w:t>
      </w:r>
      <w:r w:rsidR="008D743F" w:rsidRPr="00DC50FC">
        <w:rPr>
          <w:rFonts w:eastAsia="Times New Roman" w:cs="Times New Roman"/>
        </w:rPr>
        <w:t xml:space="preserve"> </w:t>
      </w:r>
      <w:r w:rsidR="00632ADF" w:rsidRPr="00DC50FC">
        <w:rPr>
          <w:rFonts w:eastAsia="Times New Roman" w:cs="Times New Roman"/>
        </w:rPr>
        <w:t xml:space="preserve">minutes per participant. </w:t>
      </w:r>
      <w:r w:rsidR="001A1F1A" w:rsidRPr="00DC50FC">
        <w:rPr>
          <w:rFonts w:eastAsia="Times New Roman" w:cs="Times New Roman"/>
        </w:rPr>
        <w:t xml:space="preserve">The parental opt-out process will take </w:t>
      </w:r>
      <w:r w:rsidR="00477DDA" w:rsidRPr="00DC50FC">
        <w:rPr>
          <w:rFonts w:eastAsia="Times New Roman" w:cs="Times New Roman"/>
        </w:rPr>
        <w:t>an estimated</w:t>
      </w:r>
      <w:r w:rsidR="007C717E" w:rsidRPr="00DC50FC">
        <w:rPr>
          <w:rFonts w:eastAsia="Times New Roman" w:cs="Times New Roman"/>
        </w:rPr>
        <w:t xml:space="preserve"> two</w:t>
      </w:r>
      <w:r w:rsidR="004A70EC" w:rsidRPr="00DC50FC">
        <w:rPr>
          <w:rFonts w:eastAsia="Times New Roman" w:cs="Times New Roman"/>
        </w:rPr>
        <w:t xml:space="preserve"> minutes</w:t>
      </w:r>
      <w:r w:rsidR="001A1F1A" w:rsidRPr="00DC50FC">
        <w:rPr>
          <w:rFonts w:eastAsia="Times New Roman" w:cs="Times New Roman"/>
        </w:rPr>
        <w:t xml:space="preserve"> to complete. The yo</w:t>
      </w:r>
      <w:r w:rsidR="007C717E" w:rsidRPr="00DC50FC">
        <w:rPr>
          <w:rFonts w:eastAsia="Times New Roman" w:cs="Times New Roman"/>
        </w:rPr>
        <w:t>uth assent and adult consent</w:t>
      </w:r>
      <w:r w:rsidR="001A1F1A" w:rsidRPr="00DC50FC">
        <w:rPr>
          <w:rFonts w:eastAsia="Times New Roman" w:cs="Times New Roman"/>
        </w:rPr>
        <w:t xml:space="preserve"> </w:t>
      </w:r>
      <w:r w:rsidR="00B66991" w:rsidRPr="00DC50FC">
        <w:rPr>
          <w:rFonts w:eastAsia="Times New Roman" w:cs="Times New Roman"/>
        </w:rPr>
        <w:t>are estimated to take</w:t>
      </w:r>
      <w:r w:rsidR="007C717E" w:rsidRPr="00DC50FC">
        <w:rPr>
          <w:rFonts w:eastAsia="Times New Roman" w:cs="Times New Roman"/>
        </w:rPr>
        <w:t xml:space="preserve"> two</w:t>
      </w:r>
      <w:r w:rsidR="001A1F1A" w:rsidRPr="00DC50FC">
        <w:rPr>
          <w:rFonts w:eastAsia="Times New Roman" w:cs="Times New Roman"/>
        </w:rPr>
        <w:t xml:space="preserve"> minutes to complete. </w:t>
      </w:r>
      <w:r w:rsidRPr="00DC50FC">
        <w:rPr>
          <w:rFonts w:eastAsia="Times New Roman" w:cs="Times New Roman"/>
        </w:rPr>
        <w:t xml:space="preserve">Questionnaire completion will take </w:t>
      </w:r>
      <w:r w:rsidR="00477DDA" w:rsidRPr="00DC50FC">
        <w:rPr>
          <w:rFonts w:eastAsia="Times New Roman" w:cs="Times New Roman"/>
        </w:rPr>
        <w:t>an estimated</w:t>
      </w:r>
      <w:r w:rsidRPr="00DC50FC">
        <w:rPr>
          <w:rFonts w:eastAsia="Times New Roman" w:cs="Times New Roman"/>
        </w:rPr>
        <w:t xml:space="preserve"> </w:t>
      </w:r>
      <w:r w:rsidR="007C717E" w:rsidRPr="00DC50FC">
        <w:rPr>
          <w:rFonts w:eastAsia="Times New Roman" w:cs="Times New Roman"/>
        </w:rPr>
        <w:t>20</w:t>
      </w:r>
      <w:r w:rsidRPr="00DC50FC">
        <w:rPr>
          <w:rFonts w:eastAsia="Times New Roman" w:cs="Times New Roman"/>
        </w:rPr>
        <w:t xml:space="preserve"> minutes for ad-viewing participants and 10 minutes for control participants.</w:t>
      </w:r>
    </w:p>
    <w:p w14:paraId="0415A13A" w14:textId="108DE4F1" w:rsidR="009B5B5A" w:rsidRDefault="00B05F79" w:rsidP="00C04567">
      <w:pPr>
        <w:keepNext/>
        <w:spacing w:after="240"/>
        <w:ind w:left="720"/>
        <w:rPr>
          <w:rFonts w:cs="Times New Roman"/>
          <w:b/>
          <w:sz w:val="22"/>
        </w:rPr>
      </w:pPr>
      <w:r w:rsidRPr="00DC50FC">
        <w:rPr>
          <w:rFonts w:cs="Times New Roman"/>
          <w:b/>
        </w:rPr>
        <w:t>Exhi</w:t>
      </w:r>
      <w:r w:rsidRPr="00DC50FC">
        <w:rPr>
          <w:rFonts w:cs="Times New Roman"/>
          <w:b/>
          <w:sz w:val="22"/>
        </w:rPr>
        <w:t xml:space="preserve">bit </w:t>
      </w:r>
      <w:r w:rsidR="00962D75" w:rsidRPr="00DC50FC">
        <w:rPr>
          <w:rFonts w:cs="Times New Roman"/>
          <w:b/>
          <w:sz w:val="22"/>
        </w:rPr>
        <w:t>1.</w:t>
      </w:r>
      <w:r w:rsidR="009B5B5A" w:rsidRPr="00DC50FC">
        <w:rPr>
          <w:rFonts w:cs="Times New Roman"/>
          <w:b/>
          <w:sz w:val="22"/>
        </w:rPr>
        <w:t xml:space="preserve"> Estimated Annual Reporting Burden</w:t>
      </w:r>
    </w:p>
    <w:tbl>
      <w:tblPr>
        <w:tblW w:w="5179" w:type="pct"/>
        <w:tblLook w:val="04A0" w:firstRow="1" w:lastRow="0" w:firstColumn="1" w:lastColumn="0" w:noHBand="0" w:noVBand="1"/>
      </w:tblPr>
      <w:tblGrid>
        <w:gridCol w:w="1457"/>
        <w:gridCol w:w="1451"/>
        <w:gridCol w:w="1524"/>
        <w:gridCol w:w="1438"/>
        <w:gridCol w:w="1268"/>
        <w:gridCol w:w="1609"/>
        <w:gridCol w:w="1172"/>
      </w:tblGrid>
      <w:tr w:rsidR="002529B7" w:rsidRPr="00AA276C" w14:paraId="55602CBF" w14:textId="77777777" w:rsidTr="00EA14D6">
        <w:trPr>
          <w:trHeight w:val="495"/>
        </w:trPr>
        <w:tc>
          <w:tcPr>
            <w:tcW w:w="734" w:type="pct"/>
            <w:tcBorders>
              <w:top w:val="single" w:sz="8" w:space="0" w:color="auto"/>
              <w:left w:val="single" w:sz="8" w:space="0" w:color="auto"/>
              <w:bottom w:val="single" w:sz="8" w:space="0" w:color="auto"/>
              <w:right w:val="single" w:sz="8" w:space="0" w:color="auto"/>
            </w:tcBorders>
            <w:shd w:val="clear" w:color="auto" w:fill="A6A6A6" w:themeFill="background1" w:themeFillShade="A6"/>
          </w:tcPr>
          <w:p w14:paraId="7A97EB95" w14:textId="77777777" w:rsidR="002529B7" w:rsidRPr="00AA276C" w:rsidRDefault="002529B7" w:rsidP="00EA14D6">
            <w:pPr>
              <w:rPr>
                <w:b/>
              </w:rPr>
            </w:pPr>
            <w:r w:rsidRPr="00AA276C">
              <w:rPr>
                <w:b/>
              </w:rPr>
              <w:t>Type of Respondent</w:t>
            </w:r>
          </w:p>
        </w:tc>
        <w:tc>
          <w:tcPr>
            <w:tcW w:w="731" w:type="pct"/>
            <w:tcBorders>
              <w:top w:val="single" w:sz="8" w:space="0" w:color="auto"/>
              <w:left w:val="nil"/>
              <w:bottom w:val="single" w:sz="8" w:space="0" w:color="auto"/>
              <w:right w:val="single" w:sz="8" w:space="0" w:color="auto"/>
            </w:tcBorders>
            <w:shd w:val="clear" w:color="auto" w:fill="A6A6A6" w:themeFill="background1" w:themeFillShade="A6"/>
          </w:tcPr>
          <w:p w14:paraId="31359CA1" w14:textId="77777777" w:rsidR="002529B7" w:rsidRPr="00AA276C" w:rsidRDefault="002529B7" w:rsidP="00EA14D6">
            <w:pPr>
              <w:rPr>
                <w:b/>
              </w:rPr>
            </w:pPr>
            <w:r w:rsidRPr="00AA276C">
              <w:rPr>
                <w:b/>
              </w:rPr>
              <w:t>Activity</w:t>
            </w:r>
          </w:p>
        </w:tc>
        <w:tc>
          <w:tcPr>
            <w:tcW w:w="768" w:type="pct"/>
            <w:tcBorders>
              <w:top w:val="single" w:sz="8" w:space="0" w:color="auto"/>
              <w:left w:val="nil"/>
              <w:bottom w:val="single" w:sz="8" w:space="0" w:color="auto"/>
              <w:right w:val="single" w:sz="8" w:space="0" w:color="auto"/>
            </w:tcBorders>
            <w:shd w:val="clear" w:color="auto" w:fill="A6A6A6" w:themeFill="background1" w:themeFillShade="A6"/>
          </w:tcPr>
          <w:p w14:paraId="70C69CBC" w14:textId="77777777" w:rsidR="002529B7" w:rsidRPr="00AA276C" w:rsidRDefault="002529B7" w:rsidP="00EA14D6">
            <w:pPr>
              <w:rPr>
                <w:b/>
              </w:rPr>
            </w:pPr>
            <w:r w:rsidRPr="00AA276C">
              <w:rPr>
                <w:b/>
              </w:rPr>
              <w:t>Number of Respondents</w:t>
            </w:r>
          </w:p>
        </w:tc>
        <w:tc>
          <w:tcPr>
            <w:tcW w:w="725" w:type="pct"/>
            <w:tcBorders>
              <w:top w:val="single" w:sz="8" w:space="0" w:color="auto"/>
              <w:left w:val="nil"/>
              <w:bottom w:val="single" w:sz="8" w:space="0" w:color="auto"/>
              <w:right w:val="single" w:sz="8" w:space="0" w:color="auto"/>
            </w:tcBorders>
            <w:shd w:val="clear" w:color="auto" w:fill="A6A6A6" w:themeFill="background1" w:themeFillShade="A6"/>
          </w:tcPr>
          <w:p w14:paraId="0E77C6BF" w14:textId="77777777" w:rsidR="002529B7" w:rsidRPr="00AA276C" w:rsidRDefault="002529B7" w:rsidP="00EA14D6">
            <w:pPr>
              <w:rPr>
                <w:b/>
              </w:rPr>
            </w:pPr>
            <w:r w:rsidRPr="00AA276C">
              <w:rPr>
                <w:b/>
              </w:rPr>
              <w:t>Number of Responses per Respondent</w:t>
            </w:r>
          </w:p>
        </w:tc>
        <w:tc>
          <w:tcPr>
            <w:tcW w:w="639" w:type="pct"/>
            <w:tcBorders>
              <w:top w:val="single" w:sz="8" w:space="0" w:color="auto"/>
              <w:left w:val="nil"/>
              <w:bottom w:val="single" w:sz="8" w:space="0" w:color="auto"/>
              <w:right w:val="single" w:sz="8" w:space="0" w:color="auto"/>
            </w:tcBorders>
            <w:shd w:val="clear" w:color="auto" w:fill="A6A6A6" w:themeFill="background1" w:themeFillShade="A6"/>
          </w:tcPr>
          <w:p w14:paraId="241036D3" w14:textId="77777777" w:rsidR="002529B7" w:rsidRPr="00AA276C" w:rsidRDefault="002529B7" w:rsidP="00EA14D6">
            <w:pPr>
              <w:rPr>
                <w:b/>
              </w:rPr>
            </w:pPr>
            <w:r w:rsidRPr="00AA276C">
              <w:rPr>
                <w:b/>
              </w:rPr>
              <w:t>Total Responses</w:t>
            </w:r>
          </w:p>
        </w:tc>
        <w:tc>
          <w:tcPr>
            <w:tcW w:w="811" w:type="pct"/>
            <w:tcBorders>
              <w:top w:val="single" w:sz="8" w:space="0" w:color="auto"/>
              <w:left w:val="nil"/>
              <w:bottom w:val="single" w:sz="8" w:space="0" w:color="auto"/>
              <w:right w:val="single" w:sz="8" w:space="0" w:color="auto"/>
            </w:tcBorders>
            <w:shd w:val="clear" w:color="auto" w:fill="A6A6A6" w:themeFill="background1" w:themeFillShade="A6"/>
          </w:tcPr>
          <w:p w14:paraId="1D14014A" w14:textId="77777777" w:rsidR="002529B7" w:rsidRPr="00AA276C" w:rsidRDefault="002529B7" w:rsidP="00EA14D6">
            <w:pPr>
              <w:rPr>
                <w:b/>
              </w:rPr>
            </w:pPr>
            <w:r w:rsidRPr="00AA276C">
              <w:rPr>
                <w:b/>
              </w:rPr>
              <w:t>Average Burden per Response (in hours)</w:t>
            </w:r>
          </w:p>
        </w:tc>
        <w:tc>
          <w:tcPr>
            <w:tcW w:w="591" w:type="pct"/>
            <w:tcBorders>
              <w:top w:val="single" w:sz="8" w:space="0" w:color="auto"/>
              <w:left w:val="nil"/>
              <w:bottom w:val="single" w:sz="8" w:space="0" w:color="auto"/>
              <w:right w:val="single" w:sz="8" w:space="0" w:color="auto"/>
            </w:tcBorders>
            <w:shd w:val="clear" w:color="auto" w:fill="A6A6A6" w:themeFill="background1" w:themeFillShade="A6"/>
          </w:tcPr>
          <w:p w14:paraId="2382360C" w14:textId="77777777" w:rsidR="002529B7" w:rsidRPr="00AA276C" w:rsidRDefault="002529B7" w:rsidP="00EA14D6">
            <w:pPr>
              <w:rPr>
                <w:b/>
              </w:rPr>
            </w:pPr>
            <w:r w:rsidRPr="00AA276C">
              <w:rPr>
                <w:b/>
              </w:rPr>
              <w:t>Total Hours</w:t>
            </w:r>
          </w:p>
        </w:tc>
      </w:tr>
      <w:tr w:rsidR="002529B7" w:rsidRPr="00AA276C" w14:paraId="78E79125" w14:textId="77777777" w:rsidTr="00EA14D6">
        <w:trPr>
          <w:trHeight w:val="495"/>
        </w:trPr>
        <w:tc>
          <w:tcPr>
            <w:tcW w:w="734" w:type="pct"/>
            <w:tcBorders>
              <w:top w:val="single" w:sz="8" w:space="0" w:color="auto"/>
              <w:left w:val="single" w:sz="8" w:space="0" w:color="auto"/>
              <w:bottom w:val="single" w:sz="8" w:space="0" w:color="auto"/>
              <w:right w:val="single" w:sz="8" w:space="0" w:color="auto"/>
            </w:tcBorders>
            <w:shd w:val="clear" w:color="auto" w:fill="auto"/>
            <w:hideMark/>
          </w:tcPr>
          <w:p w14:paraId="65A172AD"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Screened Youth</w:t>
            </w:r>
          </w:p>
        </w:tc>
        <w:tc>
          <w:tcPr>
            <w:tcW w:w="731" w:type="pct"/>
            <w:tcBorders>
              <w:top w:val="single" w:sz="8" w:space="0" w:color="auto"/>
              <w:left w:val="nil"/>
              <w:bottom w:val="single" w:sz="8" w:space="0" w:color="auto"/>
              <w:right w:val="single" w:sz="8" w:space="0" w:color="auto"/>
            </w:tcBorders>
            <w:shd w:val="clear" w:color="auto" w:fill="auto"/>
            <w:hideMark/>
          </w:tcPr>
          <w:p w14:paraId="7DB94823"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Screener completion</w:t>
            </w:r>
          </w:p>
        </w:tc>
        <w:tc>
          <w:tcPr>
            <w:tcW w:w="768" w:type="pct"/>
            <w:tcBorders>
              <w:top w:val="single" w:sz="8" w:space="0" w:color="auto"/>
              <w:left w:val="nil"/>
              <w:bottom w:val="single" w:sz="8" w:space="0" w:color="auto"/>
              <w:right w:val="single" w:sz="8" w:space="0" w:color="auto"/>
            </w:tcBorders>
            <w:shd w:val="clear" w:color="auto" w:fill="auto"/>
            <w:hideMark/>
          </w:tcPr>
          <w:p w14:paraId="48115921"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4,500</w:t>
            </w:r>
          </w:p>
        </w:tc>
        <w:tc>
          <w:tcPr>
            <w:tcW w:w="725" w:type="pct"/>
            <w:tcBorders>
              <w:top w:val="single" w:sz="8" w:space="0" w:color="auto"/>
              <w:left w:val="nil"/>
              <w:bottom w:val="single" w:sz="8" w:space="0" w:color="auto"/>
              <w:right w:val="single" w:sz="8" w:space="0" w:color="auto"/>
            </w:tcBorders>
            <w:shd w:val="clear" w:color="auto" w:fill="auto"/>
            <w:hideMark/>
          </w:tcPr>
          <w:p w14:paraId="5C952EEA"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single" w:sz="8" w:space="0" w:color="auto"/>
              <w:left w:val="nil"/>
              <w:bottom w:val="single" w:sz="8" w:space="0" w:color="auto"/>
              <w:right w:val="single" w:sz="8" w:space="0" w:color="auto"/>
            </w:tcBorders>
            <w:shd w:val="clear" w:color="auto" w:fill="auto"/>
            <w:hideMark/>
          </w:tcPr>
          <w:p w14:paraId="62359E5F" w14:textId="7E7C29E8" w:rsidR="002529B7" w:rsidRPr="003A7466" w:rsidRDefault="006775C1"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4</w:t>
            </w:r>
            <w:r w:rsidR="002529B7" w:rsidRPr="003A7466">
              <w:rPr>
                <w:rFonts w:ascii="Times New Roman" w:eastAsia="Times New Roman" w:hAnsi="Times New Roman" w:cs="Times New Roman"/>
                <w:color w:val="000000"/>
                <w:sz w:val="22"/>
                <w:szCs w:val="22"/>
              </w:rPr>
              <w:t>500</w:t>
            </w:r>
          </w:p>
        </w:tc>
        <w:tc>
          <w:tcPr>
            <w:tcW w:w="811" w:type="pct"/>
            <w:tcBorders>
              <w:top w:val="single" w:sz="8" w:space="0" w:color="auto"/>
              <w:left w:val="nil"/>
              <w:bottom w:val="single" w:sz="8" w:space="0" w:color="auto"/>
              <w:right w:val="single" w:sz="8" w:space="0" w:color="auto"/>
            </w:tcBorders>
            <w:shd w:val="clear" w:color="auto" w:fill="auto"/>
            <w:hideMark/>
          </w:tcPr>
          <w:p w14:paraId="6FF8826D"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0.083</w:t>
            </w:r>
          </w:p>
          <w:p w14:paraId="3E099AC6" w14:textId="2BB09319"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min)</w:t>
            </w:r>
          </w:p>
        </w:tc>
        <w:tc>
          <w:tcPr>
            <w:tcW w:w="591" w:type="pct"/>
            <w:tcBorders>
              <w:top w:val="single" w:sz="8" w:space="0" w:color="auto"/>
              <w:left w:val="nil"/>
              <w:bottom w:val="single" w:sz="8" w:space="0" w:color="auto"/>
              <w:right w:val="single" w:sz="8" w:space="0" w:color="auto"/>
            </w:tcBorders>
            <w:shd w:val="clear" w:color="auto" w:fill="auto"/>
            <w:hideMark/>
          </w:tcPr>
          <w:p w14:paraId="118365DD" w14:textId="5F82F422"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37</w:t>
            </w:r>
            <w:r w:rsidR="009529AB">
              <w:rPr>
                <w:rFonts w:ascii="Times New Roman" w:eastAsia="Times New Roman" w:hAnsi="Times New Roman" w:cs="Times New Roman"/>
                <w:color w:val="000000"/>
                <w:sz w:val="22"/>
                <w:szCs w:val="22"/>
              </w:rPr>
              <w:t>4</w:t>
            </w:r>
          </w:p>
        </w:tc>
      </w:tr>
      <w:tr w:rsidR="002529B7" w:rsidRPr="00AA276C" w14:paraId="18057C36" w14:textId="77777777" w:rsidTr="00EA14D6">
        <w:trPr>
          <w:trHeight w:val="555"/>
        </w:trPr>
        <w:tc>
          <w:tcPr>
            <w:tcW w:w="734" w:type="pct"/>
            <w:tcBorders>
              <w:top w:val="nil"/>
              <w:left w:val="single" w:sz="8" w:space="0" w:color="auto"/>
              <w:bottom w:val="single" w:sz="8" w:space="0" w:color="auto"/>
              <w:right w:val="single" w:sz="8" w:space="0" w:color="auto"/>
            </w:tcBorders>
            <w:shd w:val="clear" w:color="auto" w:fill="auto"/>
            <w:hideMark/>
          </w:tcPr>
          <w:p w14:paraId="66B82BAE"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Screened Adults</w:t>
            </w:r>
          </w:p>
        </w:tc>
        <w:tc>
          <w:tcPr>
            <w:tcW w:w="731" w:type="pct"/>
            <w:tcBorders>
              <w:top w:val="nil"/>
              <w:left w:val="nil"/>
              <w:bottom w:val="single" w:sz="8" w:space="0" w:color="auto"/>
              <w:right w:val="single" w:sz="8" w:space="0" w:color="auto"/>
            </w:tcBorders>
            <w:shd w:val="clear" w:color="auto" w:fill="auto"/>
            <w:hideMark/>
          </w:tcPr>
          <w:p w14:paraId="427099FD"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Screener completions</w:t>
            </w:r>
          </w:p>
        </w:tc>
        <w:tc>
          <w:tcPr>
            <w:tcW w:w="768" w:type="pct"/>
            <w:tcBorders>
              <w:top w:val="nil"/>
              <w:left w:val="nil"/>
              <w:bottom w:val="single" w:sz="8" w:space="0" w:color="auto"/>
              <w:right w:val="single" w:sz="8" w:space="0" w:color="auto"/>
            </w:tcBorders>
            <w:shd w:val="clear" w:color="auto" w:fill="auto"/>
            <w:hideMark/>
          </w:tcPr>
          <w:p w14:paraId="74D04856"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1,500</w:t>
            </w:r>
          </w:p>
        </w:tc>
        <w:tc>
          <w:tcPr>
            <w:tcW w:w="725" w:type="pct"/>
            <w:tcBorders>
              <w:top w:val="nil"/>
              <w:left w:val="nil"/>
              <w:bottom w:val="single" w:sz="8" w:space="0" w:color="auto"/>
              <w:right w:val="single" w:sz="8" w:space="0" w:color="auto"/>
            </w:tcBorders>
            <w:shd w:val="clear" w:color="auto" w:fill="auto"/>
            <w:hideMark/>
          </w:tcPr>
          <w:p w14:paraId="75740BBE"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7FF365A4" w14:textId="2241B802" w:rsidR="002529B7" w:rsidRPr="003A7466" w:rsidRDefault="006775C1"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w:t>
            </w:r>
            <w:r w:rsidR="002529B7" w:rsidRPr="003A7466">
              <w:rPr>
                <w:rFonts w:ascii="Times New Roman" w:eastAsia="Times New Roman" w:hAnsi="Times New Roman" w:cs="Times New Roman"/>
                <w:color w:val="000000"/>
                <w:sz w:val="22"/>
                <w:szCs w:val="22"/>
              </w:rPr>
              <w:t>500</w:t>
            </w:r>
          </w:p>
        </w:tc>
        <w:tc>
          <w:tcPr>
            <w:tcW w:w="811" w:type="pct"/>
            <w:tcBorders>
              <w:top w:val="nil"/>
              <w:left w:val="nil"/>
              <w:bottom w:val="single" w:sz="8" w:space="0" w:color="auto"/>
              <w:right w:val="single" w:sz="8" w:space="0" w:color="auto"/>
            </w:tcBorders>
            <w:shd w:val="clear" w:color="auto" w:fill="auto"/>
            <w:hideMark/>
          </w:tcPr>
          <w:p w14:paraId="3007F788"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0.083</w:t>
            </w:r>
          </w:p>
          <w:p w14:paraId="378F3AE4" w14:textId="3CAFE0E4"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 min)</w:t>
            </w:r>
          </w:p>
        </w:tc>
        <w:tc>
          <w:tcPr>
            <w:tcW w:w="591" w:type="pct"/>
            <w:tcBorders>
              <w:top w:val="nil"/>
              <w:left w:val="nil"/>
              <w:bottom w:val="single" w:sz="8" w:space="0" w:color="auto"/>
              <w:right w:val="single" w:sz="8" w:space="0" w:color="auto"/>
            </w:tcBorders>
            <w:shd w:val="clear" w:color="auto" w:fill="auto"/>
            <w:hideMark/>
          </w:tcPr>
          <w:p w14:paraId="0CD30F7A" w14:textId="4CF597D4"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12</w:t>
            </w:r>
            <w:r w:rsidR="009529AB">
              <w:rPr>
                <w:rFonts w:ascii="Times New Roman" w:eastAsia="Times New Roman" w:hAnsi="Times New Roman" w:cs="Times New Roman"/>
                <w:color w:val="000000"/>
                <w:sz w:val="22"/>
                <w:szCs w:val="22"/>
              </w:rPr>
              <w:t>5</w:t>
            </w:r>
          </w:p>
        </w:tc>
      </w:tr>
      <w:tr w:rsidR="002529B7" w:rsidRPr="00AA276C" w14:paraId="677317E6" w14:textId="77777777" w:rsidTr="00EA14D6">
        <w:trPr>
          <w:trHeight w:val="825"/>
        </w:trPr>
        <w:tc>
          <w:tcPr>
            <w:tcW w:w="734" w:type="pct"/>
            <w:tcBorders>
              <w:top w:val="nil"/>
              <w:left w:val="single" w:sz="8" w:space="0" w:color="auto"/>
              <w:bottom w:val="single" w:sz="8" w:space="0" w:color="auto"/>
              <w:right w:val="single" w:sz="8" w:space="0" w:color="auto"/>
            </w:tcBorders>
            <w:shd w:val="clear" w:color="auto" w:fill="auto"/>
            <w:hideMark/>
          </w:tcPr>
          <w:p w14:paraId="257AE2A2"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Parents of Invited Youth</w:t>
            </w:r>
          </w:p>
        </w:tc>
        <w:tc>
          <w:tcPr>
            <w:tcW w:w="731" w:type="pct"/>
            <w:tcBorders>
              <w:top w:val="nil"/>
              <w:left w:val="nil"/>
              <w:bottom w:val="single" w:sz="8" w:space="0" w:color="auto"/>
              <w:right w:val="single" w:sz="8" w:space="0" w:color="auto"/>
            </w:tcBorders>
            <w:shd w:val="clear" w:color="auto" w:fill="auto"/>
            <w:hideMark/>
          </w:tcPr>
          <w:p w14:paraId="76553179"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Parental opt-out process</w:t>
            </w:r>
          </w:p>
        </w:tc>
        <w:tc>
          <w:tcPr>
            <w:tcW w:w="768" w:type="pct"/>
            <w:tcBorders>
              <w:top w:val="nil"/>
              <w:left w:val="nil"/>
              <w:bottom w:val="single" w:sz="8" w:space="0" w:color="auto"/>
              <w:right w:val="single" w:sz="8" w:space="0" w:color="auto"/>
            </w:tcBorders>
            <w:shd w:val="clear" w:color="auto" w:fill="auto"/>
            <w:hideMark/>
          </w:tcPr>
          <w:p w14:paraId="3D57D9E1"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3,000</w:t>
            </w:r>
          </w:p>
        </w:tc>
        <w:tc>
          <w:tcPr>
            <w:tcW w:w="725" w:type="pct"/>
            <w:tcBorders>
              <w:top w:val="nil"/>
              <w:left w:val="nil"/>
              <w:bottom w:val="single" w:sz="8" w:space="0" w:color="auto"/>
              <w:right w:val="single" w:sz="8" w:space="0" w:color="auto"/>
            </w:tcBorders>
            <w:shd w:val="clear" w:color="auto" w:fill="auto"/>
            <w:hideMark/>
          </w:tcPr>
          <w:p w14:paraId="6E4E6E5E"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51ECFFFD"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3000</w:t>
            </w:r>
          </w:p>
        </w:tc>
        <w:tc>
          <w:tcPr>
            <w:tcW w:w="811" w:type="pct"/>
            <w:tcBorders>
              <w:top w:val="nil"/>
              <w:left w:val="nil"/>
              <w:bottom w:val="single" w:sz="8" w:space="0" w:color="auto"/>
              <w:right w:val="single" w:sz="8" w:space="0" w:color="auto"/>
            </w:tcBorders>
            <w:shd w:val="clear" w:color="auto" w:fill="auto"/>
            <w:hideMark/>
          </w:tcPr>
          <w:p w14:paraId="4253656B"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0.033</w:t>
            </w:r>
          </w:p>
          <w:p w14:paraId="0C255FB6" w14:textId="14668481"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min)</w:t>
            </w:r>
          </w:p>
        </w:tc>
        <w:tc>
          <w:tcPr>
            <w:tcW w:w="591" w:type="pct"/>
            <w:tcBorders>
              <w:top w:val="nil"/>
              <w:left w:val="nil"/>
              <w:bottom w:val="single" w:sz="8" w:space="0" w:color="auto"/>
              <w:right w:val="single" w:sz="8" w:space="0" w:color="auto"/>
            </w:tcBorders>
            <w:shd w:val="clear" w:color="auto" w:fill="auto"/>
            <w:hideMark/>
          </w:tcPr>
          <w:p w14:paraId="10D57195"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99</w:t>
            </w:r>
          </w:p>
        </w:tc>
      </w:tr>
      <w:tr w:rsidR="002529B7" w:rsidRPr="00AA276C" w14:paraId="35AAE0E1" w14:textId="77777777" w:rsidTr="00EA14D6">
        <w:trPr>
          <w:trHeight w:val="915"/>
        </w:trPr>
        <w:tc>
          <w:tcPr>
            <w:tcW w:w="734" w:type="pct"/>
            <w:vMerge w:val="restart"/>
            <w:tcBorders>
              <w:top w:val="nil"/>
              <w:left w:val="single" w:sz="8" w:space="0" w:color="auto"/>
              <w:bottom w:val="single" w:sz="8" w:space="0" w:color="000000"/>
              <w:right w:val="single" w:sz="8" w:space="0" w:color="auto"/>
            </w:tcBorders>
            <w:shd w:val="clear" w:color="auto" w:fill="auto"/>
            <w:hideMark/>
          </w:tcPr>
          <w:p w14:paraId="4568CA4A"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Youth Participants</w:t>
            </w:r>
          </w:p>
        </w:tc>
        <w:tc>
          <w:tcPr>
            <w:tcW w:w="731" w:type="pct"/>
            <w:tcBorders>
              <w:top w:val="nil"/>
              <w:left w:val="nil"/>
              <w:bottom w:val="single" w:sz="8" w:space="0" w:color="auto"/>
              <w:right w:val="single" w:sz="8" w:space="0" w:color="auto"/>
            </w:tcBorders>
            <w:shd w:val="clear" w:color="auto" w:fill="auto"/>
            <w:hideMark/>
          </w:tcPr>
          <w:p w14:paraId="60255CC3"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Youth assent</w:t>
            </w:r>
          </w:p>
        </w:tc>
        <w:tc>
          <w:tcPr>
            <w:tcW w:w="768" w:type="pct"/>
            <w:tcBorders>
              <w:top w:val="nil"/>
              <w:left w:val="nil"/>
              <w:bottom w:val="single" w:sz="8" w:space="0" w:color="auto"/>
              <w:right w:val="single" w:sz="8" w:space="0" w:color="auto"/>
            </w:tcBorders>
            <w:shd w:val="clear" w:color="auto" w:fill="auto"/>
            <w:hideMark/>
          </w:tcPr>
          <w:p w14:paraId="1464838D"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3,000</w:t>
            </w:r>
          </w:p>
        </w:tc>
        <w:tc>
          <w:tcPr>
            <w:tcW w:w="725" w:type="pct"/>
            <w:tcBorders>
              <w:top w:val="nil"/>
              <w:left w:val="nil"/>
              <w:bottom w:val="single" w:sz="8" w:space="0" w:color="auto"/>
              <w:right w:val="single" w:sz="8" w:space="0" w:color="auto"/>
            </w:tcBorders>
            <w:shd w:val="clear" w:color="auto" w:fill="auto"/>
            <w:hideMark/>
          </w:tcPr>
          <w:p w14:paraId="6F178279"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73F55C62"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3000</w:t>
            </w:r>
          </w:p>
        </w:tc>
        <w:tc>
          <w:tcPr>
            <w:tcW w:w="811" w:type="pct"/>
            <w:tcBorders>
              <w:top w:val="nil"/>
              <w:left w:val="nil"/>
              <w:bottom w:val="single" w:sz="8" w:space="0" w:color="auto"/>
              <w:right w:val="single" w:sz="8" w:space="0" w:color="auto"/>
            </w:tcBorders>
            <w:shd w:val="clear" w:color="auto" w:fill="auto"/>
            <w:hideMark/>
          </w:tcPr>
          <w:p w14:paraId="3BF5F90B"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0.033</w:t>
            </w:r>
          </w:p>
          <w:p w14:paraId="26E6022E" w14:textId="665FECF7"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min)</w:t>
            </w:r>
          </w:p>
        </w:tc>
        <w:tc>
          <w:tcPr>
            <w:tcW w:w="591" w:type="pct"/>
            <w:tcBorders>
              <w:top w:val="nil"/>
              <w:left w:val="nil"/>
              <w:bottom w:val="single" w:sz="8" w:space="0" w:color="auto"/>
              <w:right w:val="single" w:sz="8" w:space="0" w:color="auto"/>
            </w:tcBorders>
            <w:shd w:val="clear" w:color="auto" w:fill="auto"/>
            <w:hideMark/>
          </w:tcPr>
          <w:p w14:paraId="60EE6BCF"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99</w:t>
            </w:r>
          </w:p>
        </w:tc>
      </w:tr>
      <w:tr w:rsidR="002529B7" w:rsidRPr="00AA276C" w14:paraId="46FC20B4" w14:textId="77777777" w:rsidTr="00EA14D6">
        <w:trPr>
          <w:trHeight w:val="750"/>
        </w:trPr>
        <w:tc>
          <w:tcPr>
            <w:tcW w:w="734" w:type="pct"/>
            <w:vMerge/>
            <w:tcBorders>
              <w:top w:val="nil"/>
              <w:left w:val="single" w:sz="8" w:space="0" w:color="auto"/>
              <w:bottom w:val="single" w:sz="8" w:space="0" w:color="000000"/>
              <w:right w:val="single" w:sz="8" w:space="0" w:color="auto"/>
            </w:tcBorders>
            <w:hideMark/>
          </w:tcPr>
          <w:p w14:paraId="7781FB2A" w14:textId="77777777" w:rsidR="002529B7" w:rsidRPr="003A7466" w:rsidRDefault="002529B7" w:rsidP="00EA14D6">
            <w:pPr>
              <w:jc w:val="center"/>
              <w:rPr>
                <w:rFonts w:ascii="Times New Roman" w:eastAsia="Times New Roman" w:hAnsi="Times New Roman" w:cs="Times New Roman"/>
                <w:color w:val="000000"/>
                <w:sz w:val="22"/>
                <w:szCs w:val="22"/>
              </w:rPr>
            </w:pPr>
          </w:p>
        </w:tc>
        <w:tc>
          <w:tcPr>
            <w:tcW w:w="731" w:type="pct"/>
            <w:tcBorders>
              <w:top w:val="nil"/>
              <w:left w:val="nil"/>
              <w:bottom w:val="single" w:sz="8" w:space="0" w:color="auto"/>
              <w:right w:val="single" w:sz="8" w:space="0" w:color="auto"/>
            </w:tcBorders>
            <w:shd w:val="clear" w:color="auto" w:fill="auto"/>
            <w:hideMark/>
          </w:tcPr>
          <w:p w14:paraId="508D7BE2"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Questionnaire completion (ad-viewing group)</w:t>
            </w:r>
          </w:p>
        </w:tc>
        <w:tc>
          <w:tcPr>
            <w:tcW w:w="768" w:type="pct"/>
            <w:tcBorders>
              <w:top w:val="nil"/>
              <w:left w:val="nil"/>
              <w:bottom w:val="single" w:sz="8" w:space="0" w:color="auto"/>
              <w:right w:val="single" w:sz="8" w:space="0" w:color="auto"/>
            </w:tcBorders>
            <w:shd w:val="clear" w:color="auto" w:fill="auto"/>
            <w:hideMark/>
          </w:tcPr>
          <w:p w14:paraId="5ED67015"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1,500</w:t>
            </w:r>
          </w:p>
        </w:tc>
        <w:tc>
          <w:tcPr>
            <w:tcW w:w="725" w:type="pct"/>
            <w:tcBorders>
              <w:top w:val="nil"/>
              <w:left w:val="nil"/>
              <w:bottom w:val="single" w:sz="8" w:space="0" w:color="auto"/>
              <w:right w:val="single" w:sz="8" w:space="0" w:color="auto"/>
            </w:tcBorders>
            <w:shd w:val="clear" w:color="auto" w:fill="auto"/>
            <w:hideMark/>
          </w:tcPr>
          <w:p w14:paraId="6396AD71"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2688C3C2"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1500</w:t>
            </w:r>
          </w:p>
        </w:tc>
        <w:tc>
          <w:tcPr>
            <w:tcW w:w="811" w:type="pct"/>
            <w:tcBorders>
              <w:top w:val="nil"/>
              <w:left w:val="nil"/>
              <w:bottom w:val="single" w:sz="8" w:space="0" w:color="auto"/>
              <w:right w:val="single" w:sz="8" w:space="0" w:color="auto"/>
            </w:tcBorders>
            <w:shd w:val="clear" w:color="auto" w:fill="auto"/>
            <w:hideMark/>
          </w:tcPr>
          <w:p w14:paraId="0912B4FF"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0.33</w:t>
            </w:r>
            <w:r w:rsidR="009529AB">
              <w:rPr>
                <w:rFonts w:ascii="Times New Roman" w:eastAsia="Times New Roman" w:hAnsi="Times New Roman" w:cs="Times New Roman"/>
                <w:color w:val="000000"/>
                <w:sz w:val="22"/>
                <w:szCs w:val="22"/>
              </w:rPr>
              <w:t>3</w:t>
            </w:r>
          </w:p>
          <w:p w14:paraId="67CABF0B" w14:textId="2DB65861"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 min)</w:t>
            </w:r>
          </w:p>
        </w:tc>
        <w:tc>
          <w:tcPr>
            <w:tcW w:w="591" w:type="pct"/>
            <w:tcBorders>
              <w:top w:val="nil"/>
              <w:left w:val="nil"/>
              <w:bottom w:val="single" w:sz="8" w:space="0" w:color="auto"/>
              <w:right w:val="single" w:sz="8" w:space="0" w:color="auto"/>
            </w:tcBorders>
            <w:shd w:val="clear" w:color="auto" w:fill="auto"/>
            <w:hideMark/>
          </w:tcPr>
          <w:p w14:paraId="680FF378" w14:textId="6846DBF0" w:rsidR="002529B7"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500</w:t>
            </w:r>
          </w:p>
        </w:tc>
      </w:tr>
      <w:tr w:rsidR="002529B7" w:rsidRPr="00AA276C" w14:paraId="0ADC78B6" w14:textId="77777777" w:rsidTr="00EA14D6">
        <w:trPr>
          <w:trHeight w:val="915"/>
        </w:trPr>
        <w:tc>
          <w:tcPr>
            <w:tcW w:w="734" w:type="pct"/>
            <w:vMerge/>
            <w:tcBorders>
              <w:top w:val="nil"/>
              <w:left w:val="single" w:sz="8" w:space="0" w:color="auto"/>
              <w:bottom w:val="single" w:sz="8" w:space="0" w:color="000000"/>
              <w:right w:val="single" w:sz="8" w:space="0" w:color="auto"/>
            </w:tcBorders>
            <w:hideMark/>
          </w:tcPr>
          <w:p w14:paraId="517F78A0" w14:textId="77777777" w:rsidR="002529B7" w:rsidRPr="003A7466" w:rsidRDefault="002529B7" w:rsidP="00EA14D6">
            <w:pPr>
              <w:jc w:val="center"/>
              <w:rPr>
                <w:rFonts w:ascii="Times New Roman" w:eastAsia="Times New Roman" w:hAnsi="Times New Roman" w:cs="Times New Roman"/>
                <w:color w:val="000000"/>
                <w:sz w:val="22"/>
                <w:szCs w:val="22"/>
              </w:rPr>
            </w:pPr>
          </w:p>
        </w:tc>
        <w:tc>
          <w:tcPr>
            <w:tcW w:w="731" w:type="pct"/>
            <w:tcBorders>
              <w:top w:val="nil"/>
              <w:left w:val="nil"/>
              <w:bottom w:val="single" w:sz="8" w:space="0" w:color="auto"/>
              <w:right w:val="single" w:sz="8" w:space="0" w:color="auto"/>
            </w:tcBorders>
            <w:shd w:val="clear" w:color="auto" w:fill="auto"/>
            <w:hideMark/>
          </w:tcPr>
          <w:p w14:paraId="224366CC"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Questionnaire completion (control group)</w:t>
            </w:r>
          </w:p>
        </w:tc>
        <w:tc>
          <w:tcPr>
            <w:tcW w:w="768" w:type="pct"/>
            <w:tcBorders>
              <w:top w:val="nil"/>
              <w:left w:val="nil"/>
              <w:bottom w:val="single" w:sz="8" w:space="0" w:color="auto"/>
              <w:right w:val="single" w:sz="8" w:space="0" w:color="auto"/>
            </w:tcBorders>
            <w:shd w:val="clear" w:color="auto" w:fill="auto"/>
            <w:hideMark/>
          </w:tcPr>
          <w:p w14:paraId="0ECB5D54"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1,500</w:t>
            </w:r>
          </w:p>
        </w:tc>
        <w:tc>
          <w:tcPr>
            <w:tcW w:w="725" w:type="pct"/>
            <w:tcBorders>
              <w:top w:val="nil"/>
              <w:left w:val="nil"/>
              <w:bottom w:val="single" w:sz="8" w:space="0" w:color="auto"/>
              <w:right w:val="single" w:sz="8" w:space="0" w:color="auto"/>
            </w:tcBorders>
            <w:shd w:val="clear" w:color="auto" w:fill="auto"/>
            <w:hideMark/>
          </w:tcPr>
          <w:p w14:paraId="2AC8225A"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5ADAB16F"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1500</w:t>
            </w:r>
          </w:p>
        </w:tc>
        <w:tc>
          <w:tcPr>
            <w:tcW w:w="811" w:type="pct"/>
            <w:tcBorders>
              <w:top w:val="nil"/>
              <w:left w:val="nil"/>
              <w:bottom w:val="single" w:sz="8" w:space="0" w:color="auto"/>
              <w:right w:val="single" w:sz="8" w:space="0" w:color="auto"/>
            </w:tcBorders>
            <w:shd w:val="clear" w:color="auto" w:fill="auto"/>
            <w:hideMark/>
          </w:tcPr>
          <w:p w14:paraId="47694E7D"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0.167</w:t>
            </w:r>
          </w:p>
          <w:p w14:paraId="12D5C7E4" w14:textId="2DF4F5AA"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 min)</w:t>
            </w:r>
          </w:p>
        </w:tc>
        <w:tc>
          <w:tcPr>
            <w:tcW w:w="591" w:type="pct"/>
            <w:tcBorders>
              <w:top w:val="nil"/>
              <w:left w:val="nil"/>
              <w:bottom w:val="single" w:sz="8" w:space="0" w:color="auto"/>
              <w:right w:val="single" w:sz="8" w:space="0" w:color="auto"/>
            </w:tcBorders>
            <w:shd w:val="clear" w:color="auto" w:fill="auto"/>
            <w:hideMark/>
          </w:tcPr>
          <w:p w14:paraId="2E624421" w14:textId="10792E6E"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25</w:t>
            </w:r>
            <w:r w:rsidR="009529AB">
              <w:rPr>
                <w:rFonts w:ascii="Times New Roman" w:eastAsia="Times New Roman" w:hAnsi="Times New Roman" w:cs="Times New Roman"/>
                <w:color w:val="000000"/>
                <w:sz w:val="22"/>
                <w:szCs w:val="22"/>
              </w:rPr>
              <w:t>1</w:t>
            </w:r>
          </w:p>
        </w:tc>
      </w:tr>
      <w:tr w:rsidR="002529B7" w:rsidRPr="00AA276C" w14:paraId="60CCC1F5" w14:textId="77777777" w:rsidTr="00EA14D6">
        <w:trPr>
          <w:trHeight w:val="315"/>
        </w:trPr>
        <w:tc>
          <w:tcPr>
            <w:tcW w:w="734" w:type="pct"/>
            <w:vMerge w:val="restart"/>
            <w:tcBorders>
              <w:top w:val="nil"/>
              <w:left w:val="single" w:sz="8" w:space="0" w:color="auto"/>
              <w:bottom w:val="single" w:sz="8" w:space="0" w:color="000000"/>
              <w:right w:val="single" w:sz="8" w:space="0" w:color="auto"/>
            </w:tcBorders>
            <w:shd w:val="clear" w:color="auto" w:fill="auto"/>
            <w:hideMark/>
          </w:tcPr>
          <w:p w14:paraId="470FA5F9"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Adult Participants</w:t>
            </w:r>
          </w:p>
        </w:tc>
        <w:tc>
          <w:tcPr>
            <w:tcW w:w="731" w:type="pct"/>
            <w:tcBorders>
              <w:top w:val="nil"/>
              <w:left w:val="nil"/>
              <w:bottom w:val="single" w:sz="8" w:space="0" w:color="auto"/>
              <w:right w:val="single" w:sz="8" w:space="0" w:color="auto"/>
            </w:tcBorders>
            <w:shd w:val="clear" w:color="auto" w:fill="auto"/>
            <w:hideMark/>
          </w:tcPr>
          <w:p w14:paraId="3E5F22B7"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Adult consent</w:t>
            </w:r>
          </w:p>
        </w:tc>
        <w:tc>
          <w:tcPr>
            <w:tcW w:w="768" w:type="pct"/>
            <w:tcBorders>
              <w:top w:val="nil"/>
              <w:left w:val="nil"/>
              <w:bottom w:val="single" w:sz="8" w:space="0" w:color="auto"/>
              <w:right w:val="single" w:sz="8" w:space="0" w:color="auto"/>
            </w:tcBorders>
            <w:shd w:val="clear" w:color="auto" w:fill="auto"/>
            <w:hideMark/>
          </w:tcPr>
          <w:p w14:paraId="62C3977A"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1000</w:t>
            </w:r>
          </w:p>
        </w:tc>
        <w:tc>
          <w:tcPr>
            <w:tcW w:w="725" w:type="pct"/>
            <w:tcBorders>
              <w:top w:val="nil"/>
              <w:left w:val="nil"/>
              <w:bottom w:val="single" w:sz="8" w:space="0" w:color="auto"/>
              <w:right w:val="single" w:sz="8" w:space="0" w:color="auto"/>
            </w:tcBorders>
            <w:shd w:val="clear" w:color="auto" w:fill="auto"/>
            <w:hideMark/>
          </w:tcPr>
          <w:p w14:paraId="04970ABA"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31832829"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1000</w:t>
            </w:r>
          </w:p>
        </w:tc>
        <w:tc>
          <w:tcPr>
            <w:tcW w:w="811" w:type="pct"/>
            <w:tcBorders>
              <w:top w:val="nil"/>
              <w:left w:val="nil"/>
              <w:bottom w:val="single" w:sz="8" w:space="0" w:color="auto"/>
              <w:right w:val="single" w:sz="8" w:space="0" w:color="auto"/>
            </w:tcBorders>
            <w:shd w:val="clear" w:color="auto" w:fill="auto"/>
            <w:hideMark/>
          </w:tcPr>
          <w:p w14:paraId="298155F2"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0.033</w:t>
            </w:r>
          </w:p>
          <w:p w14:paraId="0FA87547" w14:textId="61CB00ED"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 min)</w:t>
            </w:r>
          </w:p>
        </w:tc>
        <w:tc>
          <w:tcPr>
            <w:tcW w:w="591" w:type="pct"/>
            <w:tcBorders>
              <w:top w:val="nil"/>
              <w:left w:val="nil"/>
              <w:bottom w:val="single" w:sz="8" w:space="0" w:color="auto"/>
              <w:right w:val="single" w:sz="8" w:space="0" w:color="auto"/>
            </w:tcBorders>
            <w:shd w:val="clear" w:color="auto" w:fill="auto"/>
            <w:hideMark/>
          </w:tcPr>
          <w:p w14:paraId="4CA7EA1A"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33</w:t>
            </w:r>
          </w:p>
        </w:tc>
      </w:tr>
      <w:tr w:rsidR="002529B7" w:rsidRPr="00AA276C" w14:paraId="768AFF83" w14:textId="77777777" w:rsidTr="00EA14D6">
        <w:trPr>
          <w:trHeight w:val="315"/>
        </w:trPr>
        <w:tc>
          <w:tcPr>
            <w:tcW w:w="734" w:type="pct"/>
            <w:vMerge/>
            <w:tcBorders>
              <w:top w:val="nil"/>
              <w:left w:val="single" w:sz="8" w:space="0" w:color="auto"/>
              <w:bottom w:val="single" w:sz="8" w:space="0" w:color="000000"/>
              <w:right w:val="single" w:sz="8" w:space="0" w:color="auto"/>
            </w:tcBorders>
            <w:hideMark/>
          </w:tcPr>
          <w:p w14:paraId="2A39BE07" w14:textId="77777777" w:rsidR="002529B7" w:rsidRPr="003A7466" w:rsidRDefault="002529B7" w:rsidP="00EA14D6">
            <w:pPr>
              <w:jc w:val="center"/>
              <w:rPr>
                <w:rFonts w:ascii="Times New Roman" w:eastAsia="Times New Roman" w:hAnsi="Times New Roman" w:cs="Times New Roman"/>
                <w:color w:val="000000"/>
                <w:sz w:val="22"/>
                <w:szCs w:val="22"/>
              </w:rPr>
            </w:pPr>
          </w:p>
        </w:tc>
        <w:tc>
          <w:tcPr>
            <w:tcW w:w="731" w:type="pct"/>
            <w:tcBorders>
              <w:top w:val="nil"/>
              <w:left w:val="nil"/>
              <w:bottom w:val="single" w:sz="8" w:space="0" w:color="auto"/>
              <w:right w:val="single" w:sz="8" w:space="0" w:color="auto"/>
            </w:tcBorders>
            <w:shd w:val="clear" w:color="auto" w:fill="auto"/>
            <w:hideMark/>
          </w:tcPr>
          <w:p w14:paraId="043BED36"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 xml:space="preserve">Questionnaire completion </w:t>
            </w:r>
            <w:r w:rsidRPr="003A7466">
              <w:rPr>
                <w:rFonts w:ascii="Times New Roman" w:eastAsia="Times New Roman" w:hAnsi="Times New Roman" w:cs="Times New Roman"/>
                <w:color w:val="000000"/>
                <w:sz w:val="22"/>
                <w:szCs w:val="22"/>
              </w:rPr>
              <w:br/>
              <w:t>(ad-viewing)</w:t>
            </w:r>
          </w:p>
        </w:tc>
        <w:tc>
          <w:tcPr>
            <w:tcW w:w="768" w:type="pct"/>
            <w:tcBorders>
              <w:top w:val="nil"/>
              <w:left w:val="nil"/>
              <w:bottom w:val="single" w:sz="8" w:space="0" w:color="auto"/>
              <w:right w:val="single" w:sz="8" w:space="0" w:color="auto"/>
            </w:tcBorders>
            <w:shd w:val="clear" w:color="auto" w:fill="auto"/>
            <w:hideMark/>
          </w:tcPr>
          <w:p w14:paraId="0A07DBDB"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500</w:t>
            </w:r>
          </w:p>
        </w:tc>
        <w:tc>
          <w:tcPr>
            <w:tcW w:w="725" w:type="pct"/>
            <w:tcBorders>
              <w:top w:val="nil"/>
              <w:left w:val="nil"/>
              <w:bottom w:val="single" w:sz="8" w:space="0" w:color="auto"/>
              <w:right w:val="single" w:sz="8" w:space="0" w:color="auto"/>
            </w:tcBorders>
            <w:shd w:val="clear" w:color="auto" w:fill="auto"/>
            <w:hideMark/>
          </w:tcPr>
          <w:p w14:paraId="6A8A0C9D"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4D12DBBF"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500</w:t>
            </w:r>
          </w:p>
        </w:tc>
        <w:tc>
          <w:tcPr>
            <w:tcW w:w="811" w:type="pct"/>
            <w:tcBorders>
              <w:top w:val="nil"/>
              <w:left w:val="nil"/>
              <w:bottom w:val="single" w:sz="8" w:space="0" w:color="auto"/>
              <w:right w:val="single" w:sz="8" w:space="0" w:color="auto"/>
            </w:tcBorders>
            <w:shd w:val="clear" w:color="auto" w:fill="auto"/>
            <w:hideMark/>
          </w:tcPr>
          <w:p w14:paraId="43EF6009"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0.33</w:t>
            </w:r>
            <w:r w:rsidR="009529AB">
              <w:rPr>
                <w:rFonts w:ascii="Times New Roman" w:eastAsia="Times New Roman" w:hAnsi="Times New Roman" w:cs="Times New Roman"/>
                <w:color w:val="000000"/>
                <w:sz w:val="22"/>
                <w:szCs w:val="22"/>
              </w:rPr>
              <w:t>3</w:t>
            </w:r>
          </w:p>
          <w:p w14:paraId="6784F9C3" w14:textId="51440E3D"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(20 min)</w:t>
            </w:r>
          </w:p>
        </w:tc>
        <w:tc>
          <w:tcPr>
            <w:tcW w:w="591" w:type="pct"/>
            <w:tcBorders>
              <w:top w:val="nil"/>
              <w:left w:val="nil"/>
              <w:bottom w:val="single" w:sz="8" w:space="0" w:color="auto"/>
              <w:right w:val="single" w:sz="8" w:space="0" w:color="auto"/>
            </w:tcBorders>
            <w:shd w:val="clear" w:color="auto" w:fill="auto"/>
            <w:hideMark/>
          </w:tcPr>
          <w:p w14:paraId="736EA3B3" w14:textId="5BDAB256"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16</w:t>
            </w:r>
            <w:r w:rsidR="009529AB">
              <w:rPr>
                <w:rFonts w:ascii="Times New Roman" w:eastAsia="Times New Roman" w:hAnsi="Times New Roman" w:cs="Times New Roman"/>
                <w:color w:val="000000"/>
                <w:sz w:val="22"/>
                <w:szCs w:val="22"/>
              </w:rPr>
              <w:t>7</w:t>
            </w:r>
          </w:p>
        </w:tc>
      </w:tr>
      <w:tr w:rsidR="002529B7" w:rsidRPr="00AA276C" w14:paraId="60F945C3" w14:textId="77777777" w:rsidTr="00EA14D6">
        <w:trPr>
          <w:trHeight w:val="555"/>
        </w:trPr>
        <w:tc>
          <w:tcPr>
            <w:tcW w:w="734" w:type="pct"/>
            <w:vMerge/>
            <w:tcBorders>
              <w:top w:val="nil"/>
              <w:left w:val="single" w:sz="8" w:space="0" w:color="auto"/>
              <w:bottom w:val="single" w:sz="8" w:space="0" w:color="000000"/>
              <w:right w:val="single" w:sz="8" w:space="0" w:color="auto"/>
            </w:tcBorders>
            <w:hideMark/>
          </w:tcPr>
          <w:p w14:paraId="4D793D99" w14:textId="77777777" w:rsidR="002529B7" w:rsidRPr="003A7466" w:rsidRDefault="002529B7" w:rsidP="00EA14D6">
            <w:pPr>
              <w:jc w:val="center"/>
              <w:rPr>
                <w:rFonts w:ascii="Times New Roman" w:eastAsia="Times New Roman" w:hAnsi="Times New Roman" w:cs="Times New Roman"/>
                <w:color w:val="000000"/>
                <w:sz w:val="22"/>
                <w:szCs w:val="22"/>
              </w:rPr>
            </w:pPr>
          </w:p>
        </w:tc>
        <w:tc>
          <w:tcPr>
            <w:tcW w:w="731" w:type="pct"/>
            <w:tcBorders>
              <w:top w:val="nil"/>
              <w:left w:val="nil"/>
              <w:bottom w:val="single" w:sz="8" w:space="0" w:color="auto"/>
              <w:right w:val="single" w:sz="8" w:space="0" w:color="auto"/>
            </w:tcBorders>
            <w:shd w:val="clear" w:color="auto" w:fill="auto"/>
            <w:hideMark/>
          </w:tcPr>
          <w:p w14:paraId="3F3CFDE9"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Questionnaire (control)</w:t>
            </w:r>
          </w:p>
        </w:tc>
        <w:tc>
          <w:tcPr>
            <w:tcW w:w="768" w:type="pct"/>
            <w:tcBorders>
              <w:top w:val="nil"/>
              <w:left w:val="nil"/>
              <w:bottom w:val="single" w:sz="8" w:space="0" w:color="auto"/>
              <w:right w:val="single" w:sz="8" w:space="0" w:color="auto"/>
            </w:tcBorders>
            <w:shd w:val="clear" w:color="auto" w:fill="auto"/>
            <w:hideMark/>
          </w:tcPr>
          <w:p w14:paraId="21E599A1"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500</w:t>
            </w:r>
          </w:p>
        </w:tc>
        <w:tc>
          <w:tcPr>
            <w:tcW w:w="725" w:type="pct"/>
            <w:tcBorders>
              <w:top w:val="nil"/>
              <w:left w:val="nil"/>
              <w:bottom w:val="single" w:sz="8" w:space="0" w:color="auto"/>
              <w:right w:val="single" w:sz="8" w:space="0" w:color="auto"/>
            </w:tcBorders>
            <w:shd w:val="clear" w:color="auto" w:fill="auto"/>
            <w:hideMark/>
          </w:tcPr>
          <w:p w14:paraId="004381FF"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1</w:t>
            </w:r>
          </w:p>
        </w:tc>
        <w:tc>
          <w:tcPr>
            <w:tcW w:w="639" w:type="pct"/>
            <w:tcBorders>
              <w:top w:val="nil"/>
              <w:left w:val="nil"/>
              <w:bottom w:val="single" w:sz="8" w:space="0" w:color="auto"/>
              <w:right w:val="single" w:sz="8" w:space="0" w:color="auto"/>
            </w:tcBorders>
            <w:shd w:val="clear" w:color="auto" w:fill="auto"/>
            <w:hideMark/>
          </w:tcPr>
          <w:p w14:paraId="38DEB235" w14:textId="77777777"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500</w:t>
            </w:r>
          </w:p>
        </w:tc>
        <w:tc>
          <w:tcPr>
            <w:tcW w:w="811" w:type="pct"/>
            <w:tcBorders>
              <w:top w:val="nil"/>
              <w:left w:val="nil"/>
              <w:bottom w:val="single" w:sz="8" w:space="0" w:color="auto"/>
              <w:right w:val="single" w:sz="8" w:space="0" w:color="auto"/>
            </w:tcBorders>
            <w:shd w:val="clear" w:color="auto" w:fill="auto"/>
            <w:hideMark/>
          </w:tcPr>
          <w:p w14:paraId="3AE31340" w14:textId="77777777" w:rsidR="002529B7"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0.167</w:t>
            </w:r>
          </w:p>
          <w:p w14:paraId="5267794A" w14:textId="346656F7" w:rsidR="009529AB" w:rsidRPr="003A7466" w:rsidRDefault="009529AB" w:rsidP="00EA14D6">
            <w:pPr>
              <w:jc w:val="center"/>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2"/>
                <w:szCs w:val="22"/>
              </w:rPr>
              <w:t>(10 min)</w:t>
            </w:r>
          </w:p>
        </w:tc>
        <w:tc>
          <w:tcPr>
            <w:tcW w:w="591" w:type="pct"/>
            <w:tcBorders>
              <w:top w:val="nil"/>
              <w:left w:val="nil"/>
              <w:bottom w:val="single" w:sz="8" w:space="0" w:color="auto"/>
              <w:right w:val="single" w:sz="8" w:space="0" w:color="auto"/>
            </w:tcBorders>
            <w:shd w:val="clear" w:color="auto" w:fill="auto"/>
            <w:hideMark/>
          </w:tcPr>
          <w:p w14:paraId="66A4F288" w14:textId="22F3F4CF" w:rsidR="002529B7" w:rsidRPr="003A7466" w:rsidRDefault="002529B7" w:rsidP="00EA14D6">
            <w:pPr>
              <w:jc w:val="center"/>
              <w:rPr>
                <w:rFonts w:ascii="Times New Roman" w:eastAsia="Times New Roman" w:hAnsi="Times New Roman" w:cs="Times New Roman"/>
                <w:color w:val="000000"/>
                <w:sz w:val="22"/>
                <w:szCs w:val="22"/>
              </w:rPr>
            </w:pPr>
            <w:r w:rsidRPr="003A7466">
              <w:rPr>
                <w:rFonts w:ascii="Times New Roman" w:eastAsia="Times New Roman" w:hAnsi="Times New Roman" w:cs="Times New Roman"/>
                <w:color w:val="000000"/>
                <w:sz w:val="22"/>
                <w:szCs w:val="22"/>
              </w:rPr>
              <w:t>8</w:t>
            </w:r>
            <w:r w:rsidR="009529AB">
              <w:rPr>
                <w:rFonts w:ascii="Times New Roman" w:eastAsia="Times New Roman" w:hAnsi="Times New Roman" w:cs="Times New Roman"/>
                <w:color w:val="000000"/>
                <w:sz w:val="22"/>
                <w:szCs w:val="22"/>
              </w:rPr>
              <w:t>4</w:t>
            </w:r>
          </w:p>
        </w:tc>
      </w:tr>
      <w:tr w:rsidR="002529B7" w:rsidRPr="00AA276C" w14:paraId="038CED4F" w14:textId="77777777" w:rsidTr="00EA14D6">
        <w:trPr>
          <w:trHeight w:val="315"/>
        </w:trPr>
        <w:tc>
          <w:tcPr>
            <w:tcW w:w="734" w:type="pct"/>
            <w:tcBorders>
              <w:top w:val="nil"/>
              <w:left w:val="single" w:sz="8" w:space="0" w:color="auto"/>
              <w:bottom w:val="single" w:sz="8" w:space="0" w:color="auto"/>
              <w:right w:val="single" w:sz="8" w:space="0" w:color="auto"/>
            </w:tcBorders>
            <w:shd w:val="clear" w:color="auto" w:fill="auto"/>
            <w:hideMark/>
          </w:tcPr>
          <w:p w14:paraId="55F63B6E" w14:textId="77777777" w:rsidR="002529B7" w:rsidRPr="003A7466" w:rsidRDefault="002529B7" w:rsidP="00EA14D6">
            <w:pPr>
              <w:jc w:val="center"/>
              <w:rPr>
                <w:rFonts w:ascii="Times New Roman" w:eastAsia="Times New Roman" w:hAnsi="Times New Roman" w:cs="Times New Roman"/>
                <w:b/>
                <w:bCs/>
                <w:color w:val="000000"/>
                <w:sz w:val="22"/>
                <w:szCs w:val="22"/>
              </w:rPr>
            </w:pPr>
            <w:r w:rsidRPr="003A7466">
              <w:rPr>
                <w:rFonts w:ascii="Times New Roman" w:eastAsia="Times New Roman" w:hAnsi="Times New Roman" w:cs="Times New Roman"/>
                <w:b/>
                <w:bCs/>
                <w:color w:val="000000"/>
                <w:sz w:val="22"/>
                <w:szCs w:val="22"/>
              </w:rPr>
              <w:t>Total Annualized Hours</w:t>
            </w:r>
          </w:p>
        </w:tc>
        <w:tc>
          <w:tcPr>
            <w:tcW w:w="731" w:type="pct"/>
            <w:tcBorders>
              <w:top w:val="nil"/>
              <w:left w:val="nil"/>
              <w:bottom w:val="single" w:sz="8" w:space="0" w:color="auto"/>
              <w:right w:val="single" w:sz="8" w:space="0" w:color="auto"/>
            </w:tcBorders>
            <w:shd w:val="clear" w:color="auto" w:fill="auto"/>
            <w:hideMark/>
          </w:tcPr>
          <w:p w14:paraId="6252D2E2" w14:textId="77777777" w:rsidR="002529B7" w:rsidRPr="003A7466" w:rsidRDefault="002529B7" w:rsidP="00EA14D6">
            <w:pPr>
              <w:ind w:firstLineChars="200" w:firstLine="440"/>
              <w:jc w:val="center"/>
              <w:rPr>
                <w:rFonts w:ascii="Times New Roman" w:eastAsia="Times New Roman" w:hAnsi="Times New Roman" w:cs="Times New Roman"/>
                <w:color w:val="000000"/>
                <w:sz w:val="22"/>
                <w:szCs w:val="22"/>
              </w:rPr>
            </w:pPr>
          </w:p>
        </w:tc>
        <w:tc>
          <w:tcPr>
            <w:tcW w:w="768" w:type="pct"/>
            <w:tcBorders>
              <w:top w:val="nil"/>
              <w:left w:val="nil"/>
              <w:bottom w:val="single" w:sz="8" w:space="0" w:color="auto"/>
              <w:right w:val="single" w:sz="8" w:space="0" w:color="auto"/>
            </w:tcBorders>
            <w:shd w:val="clear" w:color="auto" w:fill="auto"/>
            <w:hideMark/>
          </w:tcPr>
          <w:p w14:paraId="1E7125D5" w14:textId="77777777" w:rsidR="002529B7" w:rsidRPr="003A7466" w:rsidRDefault="002529B7" w:rsidP="00EA14D6">
            <w:pPr>
              <w:jc w:val="center"/>
              <w:rPr>
                <w:rFonts w:ascii="Times New Roman" w:eastAsia="Times New Roman" w:hAnsi="Times New Roman" w:cs="Times New Roman"/>
                <w:b/>
                <w:bCs/>
                <w:color w:val="000000"/>
                <w:sz w:val="22"/>
                <w:szCs w:val="22"/>
              </w:rPr>
            </w:pPr>
          </w:p>
        </w:tc>
        <w:tc>
          <w:tcPr>
            <w:tcW w:w="725" w:type="pct"/>
            <w:tcBorders>
              <w:top w:val="nil"/>
              <w:left w:val="nil"/>
              <w:bottom w:val="single" w:sz="8" w:space="0" w:color="auto"/>
              <w:right w:val="single" w:sz="8" w:space="0" w:color="auto"/>
            </w:tcBorders>
            <w:shd w:val="clear" w:color="auto" w:fill="auto"/>
            <w:hideMark/>
          </w:tcPr>
          <w:p w14:paraId="75C52E46" w14:textId="77777777" w:rsidR="002529B7" w:rsidRPr="003A7466" w:rsidRDefault="002529B7" w:rsidP="00EA14D6">
            <w:pPr>
              <w:jc w:val="center"/>
              <w:rPr>
                <w:rFonts w:ascii="Times New Roman" w:eastAsia="Times New Roman" w:hAnsi="Times New Roman" w:cs="Times New Roman"/>
                <w:b/>
                <w:bCs/>
                <w:color w:val="000000"/>
                <w:sz w:val="22"/>
                <w:szCs w:val="22"/>
              </w:rPr>
            </w:pPr>
          </w:p>
        </w:tc>
        <w:tc>
          <w:tcPr>
            <w:tcW w:w="639" w:type="pct"/>
            <w:tcBorders>
              <w:top w:val="nil"/>
              <w:left w:val="nil"/>
              <w:bottom w:val="single" w:sz="8" w:space="0" w:color="auto"/>
              <w:right w:val="single" w:sz="8" w:space="0" w:color="auto"/>
            </w:tcBorders>
            <w:shd w:val="clear" w:color="auto" w:fill="auto"/>
            <w:hideMark/>
          </w:tcPr>
          <w:p w14:paraId="288D21BA" w14:textId="77777777" w:rsidR="002529B7" w:rsidRPr="003A7466" w:rsidRDefault="002529B7" w:rsidP="00EA14D6">
            <w:pPr>
              <w:jc w:val="center"/>
              <w:rPr>
                <w:rFonts w:ascii="Times New Roman" w:eastAsia="Times New Roman" w:hAnsi="Times New Roman" w:cs="Times New Roman"/>
                <w:b/>
                <w:bCs/>
                <w:color w:val="000000"/>
                <w:sz w:val="22"/>
                <w:szCs w:val="22"/>
              </w:rPr>
            </w:pPr>
          </w:p>
        </w:tc>
        <w:tc>
          <w:tcPr>
            <w:tcW w:w="811" w:type="pct"/>
            <w:tcBorders>
              <w:top w:val="nil"/>
              <w:left w:val="nil"/>
              <w:bottom w:val="single" w:sz="8" w:space="0" w:color="auto"/>
              <w:right w:val="single" w:sz="8" w:space="0" w:color="auto"/>
            </w:tcBorders>
            <w:shd w:val="clear" w:color="auto" w:fill="auto"/>
            <w:hideMark/>
          </w:tcPr>
          <w:p w14:paraId="49539E6F" w14:textId="77777777" w:rsidR="002529B7" w:rsidRPr="003A7466" w:rsidRDefault="002529B7" w:rsidP="00EA14D6">
            <w:pPr>
              <w:jc w:val="center"/>
              <w:rPr>
                <w:rFonts w:ascii="Times New Roman" w:eastAsia="Times New Roman" w:hAnsi="Times New Roman" w:cs="Times New Roman"/>
                <w:b/>
                <w:bCs/>
                <w:color w:val="000000"/>
                <w:sz w:val="22"/>
                <w:szCs w:val="22"/>
              </w:rPr>
            </w:pPr>
          </w:p>
        </w:tc>
        <w:tc>
          <w:tcPr>
            <w:tcW w:w="591" w:type="pct"/>
            <w:tcBorders>
              <w:top w:val="nil"/>
              <w:left w:val="nil"/>
              <w:bottom w:val="single" w:sz="8" w:space="0" w:color="auto"/>
              <w:right w:val="single" w:sz="8" w:space="0" w:color="auto"/>
            </w:tcBorders>
            <w:shd w:val="clear" w:color="auto" w:fill="auto"/>
            <w:hideMark/>
          </w:tcPr>
          <w:p w14:paraId="27F1D534" w14:textId="10195E73" w:rsidR="002529B7" w:rsidRPr="003A7466" w:rsidRDefault="002529B7" w:rsidP="00EA14D6">
            <w:pPr>
              <w:jc w:val="center"/>
              <w:rPr>
                <w:rFonts w:ascii="Times New Roman" w:eastAsia="Times New Roman" w:hAnsi="Times New Roman" w:cs="Times New Roman"/>
                <w:b/>
                <w:bCs/>
                <w:color w:val="000000"/>
                <w:sz w:val="22"/>
                <w:szCs w:val="22"/>
              </w:rPr>
            </w:pPr>
            <w:r w:rsidRPr="003A7466">
              <w:rPr>
                <w:rFonts w:ascii="Times New Roman" w:eastAsia="Times New Roman" w:hAnsi="Times New Roman" w:cs="Times New Roman"/>
                <w:b/>
                <w:bCs/>
                <w:color w:val="000000"/>
                <w:sz w:val="22"/>
                <w:szCs w:val="22"/>
              </w:rPr>
              <w:t>1,7</w:t>
            </w:r>
            <w:r w:rsidR="009529AB">
              <w:rPr>
                <w:rFonts w:ascii="Times New Roman" w:eastAsia="Times New Roman" w:hAnsi="Times New Roman" w:cs="Times New Roman"/>
                <w:b/>
                <w:bCs/>
                <w:color w:val="000000"/>
                <w:sz w:val="22"/>
                <w:szCs w:val="22"/>
              </w:rPr>
              <w:t>32</w:t>
            </w:r>
          </w:p>
        </w:tc>
      </w:tr>
    </w:tbl>
    <w:p w14:paraId="10B8C3CA" w14:textId="77777777" w:rsidR="009B5B5A" w:rsidRPr="00DC50FC" w:rsidRDefault="009B5B5A" w:rsidP="009C6AAC">
      <w:pPr>
        <w:spacing w:after="240"/>
        <w:rPr>
          <w:rFonts w:cs="Times New Roman"/>
          <w:u w:val="single"/>
        </w:rPr>
      </w:pPr>
    </w:p>
    <w:p w14:paraId="1B3BE3DE" w14:textId="77777777" w:rsidR="009B5B5A" w:rsidRPr="00DC50FC" w:rsidRDefault="009B5B5A" w:rsidP="009C6AAC">
      <w:pPr>
        <w:spacing w:after="240"/>
        <w:ind w:left="720"/>
        <w:rPr>
          <w:rFonts w:cs="Times New Roman"/>
          <w:u w:val="single"/>
        </w:rPr>
      </w:pPr>
      <w:r w:rsidRPr="00DC50FC">
        <w:rPr>
          <w:rFonts w:cs="Times New Roman"/>
          <w:u w:val="single"/>
        </w:rPr>
        <w:t>12b. Annualized Cost Burden Estimate</w:t>
      </w:r>
    </w:p>
    <w:p w14:paraId="7B14A643" w14:textId="77777777" w:rsidR="00F37604" w:rsidRDefault="009B5B5A" w:rsidP="00C04567">
      <w:pPr>
        <w:spacing w:after="240"/>
        <w:ind w:left="720"/>
        <w:rPr>
          <w:rFonts w:eastAsia="Times New Roman" w:cs="Times New Roman"/>
        </w:rPr>
      </w:pPr>
      <w:r w:rsidRPr="00C04567">
        <w:rPr>
          <w:rFonts w:eastAsia="Times New Roman" w:cs="Times New Roman"/>
        </w:rPr>
        <w:t>Respondents participate on a voluntary basis and, therefore, are subject to no direct costs other than time to participate. There are also no start-up or maintenance costs. Rescue has conducted many studies of similar length and content among youth.</w:t>
      </w:r>
    </w:p>
    <w:p w14:paraId="600B24D4" w14:textId="056AA436" w:rsidR="009B5B5A" w:rsidRPr="00C04567" w:rsidRDefault="009B5B5A" w:rsidP="00C04567">
      <w:pPr>
        <w:spacing w:after="240"/>
        <w:ind w:left="720"/>
        <w:rPr>
          <w:rFonts w:eastAsia="Times New Roman" w:cs="Times New Roman"/>
        </w:rPr>
      </w:pPr>
      <w:r w:rsidRPr="00C04567">
        <w:rPr>
          <w:rFonts w:eastAsia="Times New Roman" w:cs="Times New Roman"/>
        </w:rPr>
        <w:t>To calculate this cost, an hourly wage of $7.25 was used for youth and $</w:t>
      </w:r>
      <w:r w:rsidR="00C41FB2" w:rsidRPr="00C04567">
        <w:rPr>
          <w:rFonts w:eastAsia="Times New Roman" w:cs="Times New Roman"/>
        </w:rPr>
        <w:t>23.86</w:t>
      </w:r>
      <w:r w:rsidRPr="00C04567">
        <w:rPr>
          <w:rFonts w:eastAsia="Times New Roman" w:cs="Times New Roman"/>
        </w:rPr>
        <w:t xml:space="preserve"> for parents. These prices represent the federal minimum wage and average hourly wages for US</w:t>
      </w:r>
      <w:r w:rsidR="00987753" w:rsidRPr="00C04567">
        <w:rPr>
          <w:rFonts w:eastAsia="Times New Roman" w:cs="Times New Roman"/>
        </w:rPr>
        <w:t xml:space="preserve"> youth and</w:t>
      </w:r>
      <w:r w:rsidRPr="00C04567">
        <w:rPr>
          <w:rFonts w:eastAsia="Times New Roman" w:cs="Times New Roman"/>
        </w:rPr>
        <w:t xml:space="preserve"> adults, respectively, according to the U.S. Department of Labor (DOL) Bureau of Labor Statistics. There are no direct costs to respondents associated with participation in this study. Thus, assuming an average hourly wage of $7.25 for youth and $</w:t>
      </w:r>
      <w:r w:rsidR="00390462" w:rsidRPr="00C04567">
        <w:rPr>
          <w:rFonts w:eastAsia="Times New Roman" w:cs="Times New Roman"/>
        </w:rPr>
        <w:t>23.86</w:t>
      </w:r>
      <w:r w:rsidRPr="00C04567">
        <w:rPr>
          <w:rFonts w:eastAsia="Times New Roman" w:cs="Times New Roman"/>
        </w:rPr>
        <w:t xml:space="preserve"> for parents, the estimated cost to participants will be $</w:t>
      </w:r>
      <w:r w:rsidR="001E7EEB">
        <w:rPr>
          <w:rFonts w:eastAsia="Times New Roman" w:cs="Times New Roman"/>
        </w:rPr>
        <w:t>20,</w:t>
      </w:r>
      <w:r w:rsidR="00D43401">
        <w:rPr>
          <w:rFonts w:eastAsia="Times New Roman" w:cs="Times New Roman"/>
        </w:rPr>
        <w:t>994.88</w:t>
      </w:r>
      <w:r w:rsidRPr="00C04567">
        <w:rPr>
          <w:rFonts w:eastAsia="Times New Roman" w:cs="Times New Roman"/>
        </w:rPr>
        <w:t xml:space="preserve">. The estimated value of respondents’ time for participating is summarized in Exhibit </w:t>
      </w:r>
      <w:r w:rsidR="00962D75" w:rsidRPr="00C04567">
        <w:rPr>
          <w:rFonts w:eastAsia="Times New Roman" w:cs="Times New Roman"/>
        </w:rPr>
        <w:t>2</w:t>
      </w:r>
      <w:r w:rsidRPr="00C04567">
        <w:rPr>
          <w:rFonts w:eastAsia="Times New Roman" w:cs="Times New Roman"/>
        </w:rPr>
        <w:t>.</w:t>
      </w:r>
    </w:p>
    <w:p w14:paraId="2690BBB3" w14:textId="537E7C95" w:rsidR="009B5B5A" w:rsidRPr="00DC50FC" w:rsidRDefault="009B5B5A" w:rsidP="009E75BD">
      <w:pPr>
        <w:keepNext/>
        <w:keepLines/>
        <w:spacing w:before="240" w:after="240"/>
        <w:ind w:left="720"/>
        <w:rPr>
          <w:rFonts w:cs="Times New Roman"/>
          <w:b/>
        </w:rPr>
      </w:pPr>
      <w:r w:rsidRPr="00DC50FC">
        <w:rPr>
          <w:rFonts w:cs="Times New Roman"/>
          <w:b/>
        </w:rPr>
        <w:t xml:space="preserve">Exhibit </w:t>
      </w:r>
      <w:r w:rsidR="00962D75" w:rsidRPr="00DC50FC">
        <w:rPr>
          <w:rFonts w:cs="Times New Roman"/>
          <w:b/>
        </w:rPr>
        <w:t>2</w:t>
      </w:r>
      <w:r w:rsidRPr="00DC50FC">
        <w:rPr>
          <w:rFonts w:cs="Times New Roman"/>
          <w:b/>
        </w:rPr>
        <w:t>. Estimated Annual Cost</w:t>
      </w:r>
    </w:p>
    <w:tbl>
      <w:tblPr>
        <w:tblStyle w:val="TableGrid"/>
        <w:tblW w:w="4668" w:type="pct"/>
        <w:tblInd w:w="715" w:type="dxa"/>
        <w:tblLook w:val="00A0" w:firstRow="1" w:lastRow="0" w:firstColumn="1" w:lastColumn="0" w:noHBand="0" w:noVBand="0"/>
      </w:tblPr>
      <w:tblGrid>
        <w:gridCol w:w="1833"/>
        <w:gridCol w:w="2360"/>
        <w:gridCol w:w="1663"/>
        <w:gridCol w:w="1219"/>
        <w:gridCol w:w="1865"/>
      </w:tblGrid>
      <w:tr w:rsidR="00B175B8" w:rsidRPr="00DC50FC" w14:paraId="092AD5A5" w14:textId="77777777" w:rsidTr="006670B3">
        <w:tc>
          <w:tcPr>
            <w:tcW w:w="1025" w:type="pct"/>
            <w:shd w:val="clear" w:color="auto" w:fill="BFBFBF" w:themeFill="background1" w:themeFillShade="BF"/>
          </w:tcPr>
          <w:p w14:paraId="197D7DF9" w14:textId="77777777" w:rsidR="009B5B5A" w:rsidRPr="00707369" w:rsidRDefault="009B5B5A" w:rsidP="000C5CD3">
            <w:pPr>
              <w:rPr>
                <w:rFonts w:asciiTheme="minorHAnsi" w:hAnsiTheme="minorHAnsi"/>
                <w:sz w:val="22"/>
                <w:szCs w:val="22"/>
              </w:rPr>
            </w:pPr>
            <w:r w:rsidRPr="00707369">
              <w:rPr>
                <w:rFonts w:asciiTheme="minorHAnsi" w:hAnsiTheme="minorHAnsi"/>
                <w:b/>
                <w:sz w:val="22"/>
                <w:szCs w:val="22"/>
              </w:rPr>
              <w:t>Type of Respondent</w:t>
            </w:r>
          </w:p>
        </w:tc>
        <w:tc>
          <w:tcPr>
            <w:tcW w:w="1320" w:type="pct"/>
            <w:shd w:val="clear" w:color="auto" w:fill="BFBFBF" w:themeFill="background1" w:themeFillShade="BF"/>
          </w:tcPr>
          <w:p w14:paraId="7E5678EB" w14:textId="77777777" w:rsidR="009B5B5A" w:rsidRPr="00707369" w:rsidRDefault="009B5B5A" w:rsidP="000C5CD3">
            <w:pPr>
              <w:keepNext/>
              <w:spacing w:before="60" w:after="60"/>
              <w:rPr>
                <w:rFonts w:asciiTheme="minorHAnsi" w:hAnsiTheme="minorHAnsi"/>
                <w:b/>
                <w:sz w:val="22"/>
                <w:szCs w:val="22"/>
              </w:rPr>
            </w:pPr>
            <w:r w:rsidRPr="00707369">
              <w:rPr>
                <w:rFonts w:asciiTheme="minorHAnsi" w:hAnsiTheme="minorHAnsi"/>
                <w:b/>
                <w:sz w:val="22"/>
                <w:szCs w:val="22"/>
              </w:rPr>
              <w:t>Activity</w:t>
            </w:r>
          </w:p>
        </w:tc>
        <w:tc>
          <w:tcPr>
            <w:tcW w:w="930" w:type="pct"/>
            <w:shd w:val="clear" w:color="auto" w:fill="BFBFBF" w:themeFill="background1" w:themeFillShade="BF"/>
          </w:tcPr>
          <w:p w14:paraId="5669C9CE" w14:textId="77777777" w:rsidR="009B5B5A" w:rsidRPr="00707369" w:rsidRDefault="009B5B5A" w:rsidP="000C5CD3">
            <w:pPr>
              <w:keepNext/>
              <w:spacing w:before="60" w:after="60"/>
              <w:rPr>
                <w:rFonts w:asciiTheme="minorHAnsi" w:hAnsiTheme="minorHAnsi"/>
                <w:b/>
                <w:sz w:val="22"/>
                <w:szCs w:val="22"/>
              </w:rPr>
            </w:pPr>
            <w:r w:rsidRPr="00707369">
              <w:rPr>
                <w:rFonts w:asciiTheme="minorHAnsi" w:hAnsiTheme="minorHAnsi"/>
                <w:b/>
                <w:sz w:val="22"/>
                <w:szCs w:val="22"/>
              </w:rPr>
              <w:t>Annual Burden Hours</w:t>
            </w:r>
          </w:p>
        </w:tc>
        <w:tc>
          <w:tcPr>
            <w:tcW w:w="682" w:type="pct"/>
            <w:shd w:val="clear" w:color="auto" w:fill="BFBFBF" w:themeFill="background1" w:themeFillShade="BF"/>
          </w:tcPr>
          <w:p w14:paraId="336FB62F" w14:textId="77777777" w:rsidR="009B5B5A" w:rsidRPr="00707369" w:rsidRDefault="009B5B5A" w:rsidP="000C5CD3">
            <w:pPr>
              <w:keepNext/>
              <w:spacing w:before="60" w:after="60"/>
              <w:rPr>
                <w:rFonts w:asciiTheme="minorHAnsi" w:hAnsiTheme="minorHAnsi"/>
                <w:b/>
                <w:sz w:val="22"/>
                <w:szCs w:val="22"/>
              </w:rPr>
            </w:pPr>
            <w:r w:rsidRPr="00707369">
              <w:rPr>
                <w:rFonts w:asciiTheme="minorHAnsi" w:hAnsiTheme="minorHAnsi"/>
                <w:b/>
                <w:sz w:val="22"/>
                <w:szCs w:val="22"/>
              </w:rPr>
              <w:t>Hourly Wage Rate</w:t>
            </w:r>
          </w:p>
        </w:tc>
        <w:tc>
          <w:tcPr>
            <w:tcW w:w="1043" w:type="pct"/>
            <w:shd w:val="clear" w:color="auto" w:fill="BFBFBF" w:themeFill="background1" w:themeFillShade="BF"/>
          </w:tcPr>
          <w:p w14:paraId="5FACF473" w14:textId="77777777" w:rsidR="009B5B5A" w:rsidRPr="00707369" w:rsidRDefault="009B5B5A" w:rsidP="000C5CD3">
            <w:pPr>
              <w:keepNext/>
              <w:spacing w:before="60" w:after="60"/>
              <w:rPr>
                <w:rFonts w:asciiTheme="minorHAnsi" w:hAnsiTheme="minorHAnsi"/>
                <w:b/>
                <w:sz w:val="22"/>
                <w:szCs w:val="22"/>
              </w:rPr>
            </w:pPr>
            <w:r w:rsidRPr="00707369">
              <w:rPr>
                <w:rFonts w:asciiTheme="minorHAnsi" w:hAnsiTheme="minorHAnsi"/>
                <w:b/>
                <w:sz w:val="22"/>
                <w:szCs w:val="22"/>
              </w:rPr>
              <w:t>Total Cost</w:t>
            </w:r>
          </w:p>
        </w:tc>
      </w:tr>
      <w:tr w:rsidR="009529AB" w:rsidRPr="00DC50FC" w14:paraId="6F364271" w14:textId="77777777" w:rsidTr="001D2F4D">
        <w:tc>
          <w:tcPr>
            <w:tcW w:w="1025" w:type="pct"/>
          </w:tcPr>
          <w:p w14:paraId="4B52C3B4" w14:textId="1C7B31CF" w:rsidR="009529AB" w:rsidRPr="00707369" w:rsidRDefault="009529AB" w:rsidP="001D2F4D">
            <w:pPr>
              <w:spacing w:before="60" w:after="60"/>
              <w:rPr>
                <w:rFonts w:asciiTheme="minorHAnsi" w:hAnsiTheme="minorHAnsi"/>
                <w:sz w:val="22"/>
                <w:szCs w:val="22"/>
              </w:rPr>
            </w:pPr>
            <w:r w:rsidRPr="00707369">
              <w:rPr>
                <w:rFonts w:asciiTheme="minorHAnsi" w:hAnsiTheme="minorHAnsi"/>
                <w:sz w:val="22"/>
                <w:szCs w:val="22"/>
              </w:rPr>
              <w:t>Screened Youth</w:t>
            </w:r>
          </w:p>
        </w:tc>
        <w:tc>
          <w:tcPr>
            <w:tcW w:w="1320" w:type="pct"/>
          </w:tcPr>
          <w:p w14:paraId="412AA309" w14:textId="77777777" w:rsidR="009529AB" w:rsidRPr="00707369" w:rsidRDefault="009529AB" w:rsidP="001D2F4D">
            <w:pPr>
              <w:spacing w:before="60" w:after="60"/>
              <w:rPr>
                <w:rFonts w:asciiTheme="minorHAnsi" w:hAnsiTheme="minorHAnsi"/>
                <w:sz w:val="22"/>
                <w:szCs w:val="22"/>
              </w:rPr>
            </w:pPr>
            <w:r w:rsidRPr="00707369">
              <w:rPr>
                <w:rFonts w:asciiTheme="minorHAnsi" w:hAnsiTheme="minorHAnsi"/>
                <w:sz w:val="22"/>
                <w:szCs w:val="22"/>
              </w:rPr>
              <w:t>Screener completion</w:t>
            </w:r>
          </w:p>
        </w:tc>
        <w:tc>
          <w:tcPr>
            <w:tcW w:w="930" w:type="pct"/>
          </w:tcPr>
          <w:p w14:paraId="1BBD7786" w14:textId="5892C0C1" w:rsidR="009529AB" w:rsidRPr="00707369" w:rsidRDefault="009529AB" w:rsidP="001D2F4D">
            <w:pPr>
              <w:autoSpaceDE w:val="0"/>
              <w:autoSpaceDN w:val="0"/>
              <w:adjustRightInd w:val="0"/>
              <w:spacing w:before="200" w:after="80"/>
              <w:ind w:left="547" w:hanging="547"/>
              <w:jc w:val="center"/>
              <w:outlineLvl w:val="3"/>
              <w:rPr>
                <w:rFonts w:asciiTheme="minorHAnsi" w:hAnsiTheme="minorHAnsi"/>
                <w:sz w:val="22"/>
                <w:szCs w:val="22"/>
              </w:rPr>
            </w:pPr>
            <w:r w:rsidRPr="003A7466">
              <w:rPr>
                <w:color w:val="000000"/>
                <w:sz w:val="22"/>
                <w:szCs w:val="22"/>
              </w:rPr>
              <w:t>37</w:t>
            </w:r>
            <w:r>
              <w:rPr>
                <w:color w:val="000000"/>
                <w:sz w:val="22"/>
                <w:szCs w:val="22"/>
              </w:rPr>
              <w:t>4</w:t>
            </w:r>
          </w:p>
        </w:tc>
        <w:tc>
          <w:tcPr>
            <w:tcW w:w="682" w:type="pct"/>
          </w:tcPr>
          <w:p w14:paraId="4E9F0EB2" w14:textId="77476869"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$7.25</w:t>
            </w:r>
          </w:p>
        </w:tc>
        <w:tc>
          <w:tcPr>
            <w:tcW w:w="1043" w:type="pct"/>
          </w:tcPr>
          <w:p w14:paraId="47039349" w14:textId="47B1FE92" w:rsidR="009529AB" w:rsidRPr="00707369" w:rsidRDefault="009529AB" w:rsidP="001D2F4D">
            <w:pPr>
              <w:autoSpaceDE w:val="0"/>
              <w:autoSpaceDN w:val="0"/>
              <w:adjustRightInd w:val="0"/>
              <w:jc w:val="center"/>
              <w:rPr>
                <w:rFonts w:asciiTheme="minorHAnsi" w:hAnsiTheme="minorHAnsi"/>
                <w:sz w:val="22"/>
                <w:szCs w:val="22"/>
              </w:rPr>
            </w:pPr>
            <w:r>
              <w:rPr>
                <w:rFonts w:asciiTheme="minorHAnsi" w:hAnsiTheme="minorHAnsi"/>
                <w:sz w:val="22"/>
                <w:szCs w:val="22"/>
              </w:rPr>
              <w:t>$2,711.5</w:t>
            </w:r>
          </w:p>
        </w:tc>
      </w:tr>
      <w:tr w:rsidR="009529AB" w:rsidRPr="00DC50FC" w14:paraId="31C597B0" w14:textId="77777777" w:rsidTr="001D2F4D">
        <w:tc>
          <w:tcPr>
            <w:tcW w:w="1025" w:type="pct"/>
          </w:tcPr>
          <w:p w14:paraId="090FD7B0" w14:textId="5DE53945" w:rsidR="009529AB" w:rsidRPr="00707369" w:rsidRDefault="001D2F4D" w:rsidP="001D2F4D">
            <w:pPr>
              <w:spacing w:before="60" w:after="60"/>
              <w:rPr>
                <w:rFonts w:asciiTheme="minorHAnsi" w:hAnsiTheme="minorHAnsi"/>
                <w:sz w:val="22"/>
                <w:szCs w:val="22"/>
              </w:rPr>
            </w:pPr>
            <w:r>
              <w:rPr>
                <w:rFonts w:asciiTheme="minorHAnsi" w:hAnsiTheme="minorHAnsi"/>
                <w:sz w:val="22"/>
                <w:szCs w:val="22"/>
              </w:rPr>
              <w:t>Screened Adults</w:t>
            </w:r>
          </w:p>
        </w:tc>
        <w:tc>
          <w:tcPr>
            <w:tcW w:w="1320" w:type="pct"/>
          </w:tcPr>
          <w:p w14:paraId="3FD22426" w14:textId="3DD2F3C5" w:rsidR="009529AB" w:rsidRPr="00707369" w:rsidRDefault="001D2F4D" w:rsidP="001D2F4D">
            <w:pPr>
              <w:spacing w:before="60" w:after="60"/>
              <w:rPr>
                <w:rFonts w:asciiTheme="minorHAnsi" w:hAnsiTheme="minorHAnsi"/>
                <w:sz w:val="22"/>
                <w:szCs w:val="22"/>
              </w:rPr>
            </w:pPr>
            <w:r>
              <w:rPr>
                <w:rFonts w:asciiTheme="minorHAnsi" w:hAnsiTheme="minorHAnsi"/>
                <w:sz w:val="22"/>
                <w:szCs w:val="22"/>
              </w:rPr>
              <w:t>Screener Completions</w:t>
            </w:r>
          </w:p>
        </w:tc>
        <w:tc>
          <w:tcPr>
            <w:tcW w:w="930" w:type="pct"/>
          </w:tcPr>
          <w:p w14:paraId="7BC19BE5" w14:textId="51F33806" w:rsidR="009529AB" w:rsidRPr="00707369" w:rsidRDefault="009529AB" w:rsidP="001D2F4D">
            <w:pPr>
              <w:autoSpaceDE w:val="0"/>
              <w:autoSpaceDN w:val="0"/>
              <w:adjustRightInd w:val="0"/>
              <w:spacing w:before="200" w:after="80"/>
              <w:ind w:left="547" w:hanging="547"/>
              <w:jc w:val="center"/>
              <w:outlineLvl w:val="3"/>
              <w:rPr>
                <w:rFonts w:asciiTheme="minorHAnsi" w:hAnsiTheme="minorHAnsi"/>
                <w:sz w:val="22"/>
                <w:szCs w:val="22"/>
              </w:rPr>
            </w:pPr>
            <w:r w:rsidRPr="003A7466">
              <w:rPr>
                <w:color w:val="000000"/>
                <w:sz w:val="22"/>
                <w:szCs w:val="22"/>
              </w:rPr>
              <w:t>12</w:t>
            </w:r>
            <w:r>
              <w:rPr>
                <w:color w:val="000000"/>
                <w:sz w:val="22"/>
                <w:szCs w:val="22"/>
              </w:rPr>
              <w:t>5</w:t>
            </w:r>
          </w:p>
        </w:tc>
        <w:tc>
          <w:tcPr>
            <w:tcW w:w="682" w:type="pct"/>
          </w:tcPr>
          <w:p w14:paraId="4D869514" w14:textId="4E1100B4"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$23.86</w:t>
            </w:r>
          </w:p>
        </w:tc>
        <w:tc>
          <w:tcPr>
            <w:tcW w:w="1043" w:type="pct"/>
          </w:tcPr>
          <w:p w14:paraId="3F1207E4" w14:textId="3CE82AF0" w:rsidR="009529AB" w:rsidRPr="00707369" w:rsidRDefault="009529AB" w:rsidP="001D2F4D">
            <w:pPr>
              <w:autoSpaceDE w:val="0"/>
              <w:autoSpaceDN w:val="0"/>
              <w:adjustRightInd w:val="0"/>
              <w:jc w:val="center"/>
              <w:rPr>
                <w:rFonts w:asciiTheme="minorHAnsi" w:hAnsiTheme="minorHAnsi"/>
                <w:sz w:val="22"/>
                <w:szCs w:val="22"/>
              </w:rPr>
            </w:pPr>
            <w:r>
              <w:rPr>
                <w:rFonts w:asciiTheme="minorHAnsi" w:hAnsiTheme="minorHAnsi"/>
                <w:sz w:val="22"/>
                <w:szCs w:val="22"/>
              </w:rPr>
              <w:t>$2,982.5</w:t>
            </w:r>
          </w:p>
        </w:tc>
      </w:tr>
      <w:tr w:rsidR="009529AB" w:rsidRPr="00DC50FC" w14:paraId="32E9535B" w14:textId="77777777" w:rsidTr="001D2F4D">
        <w:tc>
          <w:tcPr>
            <w:tcW w:w="1025" w:type="pct"/>
          </w:tcPr>
          <w:p w14:paraId="0F9FCA9C" w14:textId="15BBDC13" w:rsidR="009529AB" w:rsidRPr="00707369" w:rsidRDefault="009529AB" w:rsidP="001D2F4D">
            <w:pPr>
              <w:spacing w:before="60" w:after="60"/>
              <w:rPr>
                <w:rFonts w:asciiTheme="minorHAnsi" w:hAnsiTheme="minorHAnsi"/>
                <w:sz w:val="22"/>
                <w:szCs w:val="22"/>
              </w:rPr>
            </w:pPr>
            <w:r w:rsidRPr="00707369">
              <w:rPr>
                <w:rFonts w:asciiTheme="minorHAnsi" w:hAnsiTheme="minorHAnsi"/>
                <w:sz w:val="22"/>
                <w:szCs w:val="22"/>
              </w:rPr>
              <w:t>Parents of Invited Youth</w:t>
            </w:r>
          </w:p>
        </w:tc>
        <w:tc>
          <w:tcPr>
            <w:tcW w:w="1320" w:type="pct"/>
          </w:tcPr>
          <w:p w14:paraId="002C8955" w14:textId="76D2B978" w:rsidR="009529AB" w:rsidRPr="00707369" w:rsidRDefault="009529AB" w:rsidP="001D2F4D">
            <w:pPr>
              <w:spacing w:before="60" w:after="60"/>
              <w:rPr>
                <w:rFonts w:asciiTheme="minorHAnsi" w:hAnsiTheme="minorHAnsi"/>
                <w:sz w:val="22"/>
                <w:szCs w:val="22"/>
              </w:rPr>
            </w:pPr>
            <w:r w:rsidRPr="00707369">
              <w:rPr>
                <w:rFonts w:asciiTheme="minorHAnsi" w:hAnsiTheme="minorHAnsi"/>
                <w:sz w:val="22"/>
                <w:szCs w:val="22"/>
              </w:rPr>
              <w:t>Parental opt-out process</w:t>
            </w:r>
          </w:p>
        </w:tc>
        <w:tc>
          <w:tcPr>
            <w:tcW w:w="930" w:type="pct"/>
          </w:tcPr>
          <w:p w14:paraId="479D405E" w14:textId="2BB59427" w:rsidR="009529AB" w:rsidRPr="00707369" w:rsidRDefault="009529AB" w:rsidP="001D2F4D">
            <w:pPr>
              <w:autoSpaceDE w:val="0"/>
              <w:autoSpaceDN w:val="0"/>
              <w:adjustRightInd w:val="0"/>
              <w:spacing w:before="200" w:after="80"/>
              <w:ind w:left="547" w:hanging="547"/>
              <w:jc w:val="center"/>
              <w:outlineLvl w:val="3"/>
              <w:rPr>
                <w:rFonts w:asciiTheme="minorHAnsi" w:hAnsiTheme="minorHAnsi"/>
                <w:sz w:val="22"/>
                <w:szCs w:val="22"/>
              </w:rPr>
            </w:pPr>
            <w:r w:rsidRPr="003A7466">
              <w:rPr>
                <w:color w:val="000000"/>
                <w:sz w:val="22"/>
                <w:szCs w:val="22"/>
              </w:rPr>
              <w:t>99</w:t>
            </w:r>
          </w:p>
        </w:tc>
        <w:tc>
          <w:tcPr>
            <w:tcW w:w="682" w:type="pct"/>
          </w:tcPr>
          <w:p w14:paraId="76BB42B8" w14:textId="3E75C8ED"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$23.86</w:t>
            </w:r>
          </w:p>
        </w:tc>
        <w:tc>
          <w:tcPr>
            <w:tcW w:w="1043" w:type="pct"/>
          </w:tcPr>
          <w:p w14:paraId="08FB7CA4" w14:textId="31C4107B" w:rsidR="009529AB" w:rsidRPr="00707369" w:rsidRDefault="009529AB" w:rsidP="001D2F4D">
            <w:pPr>
              <w:autoSpaceDE w:val="0"/>
              <w:autoSpaceDN w:val="0"/>
              <w:adjustRightInd w:val="0"/>
              <w:jc w:val="center"/>
              <w:rPr>
                <w:rFonts w:asciiTheme="minorHAnsi" w:hAnsiTheme="minorHAnsi"/>
                <w:sz w:val="22"/>
                <w:szCs w:val="22"/>
              </w:rPr>
            </w:pPr>
            <w:r>
              <w:rPr>
                <w:rFonts w:asciiTheme="minorHAnsi" w:hAnsiTheme="minorHAnsi"/>
                <w:sz w:val="22"/>
                <w:szCs w:val="22"/>
              </w:rPr>
              <w:t>$2,362.14</w:t>
            </w:r>
          </w:p>
        </w:tc>
      </w:tr>
      <w:tr w:rsidR="009529AB" w:rsidRPr="00DC50FC" w14:paraId="72B0853A" w14:textId="77777777" w:rsidTr="001D2F4D">
        <w:tc>
          <w:tcPr>
            <w:tcW w:w="1025" w:type="pct"/>
            <w:vMerge w:val="restart"/>
          </w:tcPr>
          <w:p w14:paraId="3C2F913E" w14:textId="0458F6F6" w:rsidR="009529AB" w:rsidRPr="00707369" w:rsidRDefault="009529AB" w:rsidP="001D2F4D">
            <w:pPr>
              <w:spacing w:before="60" w:after="60"/>
              <w:rPr>
                <w:rFonts w:asciiTheme="minorHAnsi" w:hAnsiTheme="minorHAnsi"/>
                <w:sz w:val="22"/>
                <w:szCs w:val="22"/>
              </w:rPr>
            </w:pPr>
            <w:r w:rsidRPr="00707369">
              <w:rPr>
                <w:rFonts w:asciiTheme="minorHAnsi" w:hAnsiTheme="minorHAnsi"/>
                <w:sz w:val="22"/>
                <w:szCs w:val="22"/>
              </w:rPr>
              <w:t>Youth Participants</w:t>
            </w:r>
          </w:p>
        </w:tc>
        <w:tc>
          <w:tcPr>
            <w:tcW w:w="1320" w:type="pct"/>
          </w:tcPr>
          <w:p w14:paraId="07E3C06F" w14:textId="4C1FE23C" w:rsidR="009529AB" w:rsidRPr="00707369" w:rsidRDefault="009529AB" w:rsidP="001D2F4D">
            <w:pPr>
              <w:keepNext/>
              <w:spacing w:before="60" w:after="60"/>
              <w:rPr>
                <w:rFonts w:asciiTheme="minorHAnsi" w:hAnsiTheme="minorHAnsi"/>
                <w:sz w:val="22"/>
                <w:szCs w:val="22"/>
              </w:rPr>
            </w:pPr>
            <w:r w:rsidRPr="00707369">
              <w:rPr>
                <w:rFonts w:asciiTheme="minorHAnsi" w:hAnsiTheme="minorHAnsi"/>
                <w:sz w:val="22"/>
                <w:szCs w:val="22"/>
              </w:rPr>
              <w:t>Youth assent</w:t>
            </w:r>
          </w:p>
        </w:tc>
        <w:tc>
          <w:tcPr>
            <w:tcW w:w="930" w:type="pct"/>
          </w:tcPr>
          <w:p w14:paraId="475A0BAF" w14:textId="7EE02D05" w:rsidR="009529AB" w:rsidRPr="00707369" w:rsidRDefault="009529AB" w:rsidP="001D2F4D">
            <w:pPr>
              <w:autoSpaceDE w:val="0"/>
              <w:autoSpaceDN w:val="0"/>
              <w:adjustRightInd w:val="0"/>
              <w:jc w:val="center"/>
              <w:rPr>
                <w:rFonts w:asciiTheme="minorHAnsi" w:hAnsiTheme="minorHAnsi"/>
                <w:sz w:val="22"/>
                <w:szCs w:val="22"/>
              </w:rPr>
            </w:pPr>
            <w:r w:rsidRPr="003A7466">
              <w:rPr>
                <w:color w:val="000000"/>
                <w:sz w:val="22"/>
                <w:szCs w:val="22"/>
              </w:rPr>
              <w:t>99</w:t>
            </w:r>
          </w:p>
        </w:tc>
        <w:tc>
          <w:tcPr>
            <w:tcW w:w="682" w:type="pct"/>
          </w:tcPr>
          <w:p w14:paraId="647F1C9A" w14:textId="05CADBDC"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$7.25</w:t>
            </w:r>
          </w:p>
        </w:tc>
        <w:tc>
          <w:tcPr>
            <w:tcW w:w="1043" w:type="pct"/>
          </w:tcPr>
          <w:p w14:paraId="7B792C97" w14:textId="49B9099D" w:rsidR="009529AB" w:rsidRPr="00707369" w:rsidRDefault="009529AB" w:rsidP="001D2F4D">
            <w:pPr>
              <w:autoSpaceDE w:val="0"/>
              <w:autoSpaceDN w:val="0"/>
              <w:adjustRightInd w:val="0"/>
              <w:jc w:val="center"/>
              <w:rPr>
                <w:rFonts w:asciiTheme="minorHAnsi" w:hAnsiTheme="minorHAnsi"/>
                <w:sz w:val="22"/>
                <w:szCs w:val="22"/>
              </w:rPr>
            </w:pPr>
            <w:r>
              <w:rPr>
                <w:rFonts w:asciiTheme="minorHAnsi" w:hAnsiTheme="minorHAnsi"/>
                <w:sz w:val="22"/>
                <w:szCs w:val="22"/>
              </w:rPr>
              <w:t>$717.75</w:t>
            </w:r>
          </w:p>
        </w:tc>
      </w:tr>
      <w:tr w:rsidR="009529AB" w:rsidRPr="00DC50FC" w14:paraId="5A064812" w14:textId="77777777" w:rsidTr="001D2F4D">
        <w:tc>
          <w:tcPr>
            <w:tcW w:w="1025" w:type="pct"/>
            <w:vMerge/>
          </w:tcPr>
          <w:p w14:paraId="78F40352" w14:textId="77777777" w:rsidR="009529AB" w:rsidRPr="00707369" w:rsidRDefault="009529AB" w:rsidP="001D2F4D">
            <w:pPr>
              <w:spacing w:before="60" w:after="60"/>
              <w:rPr>
                <w:rFonts w:asciiTheme="minorHAnsi" w:hAnsiTheme="minorHAnsi"/>
                <w:sz w:val="22"/>
                <w:szCs w:val="22"/>
              </w:rPr>
            </w:pPr>
          </w:p>
        </w:tc>
        <w:tc>
          <w:tcPr>
            <w:tcW w:w="1320" w:type="pct"/>
          </w:tcPr>
          <w:p w14:paraId="4430475E" w14:textId="77777777" w:rsidR="009529AB" w:rsidRPr="00707369" w:rsidDel="00841491" w:rsidRDefault="009529AB" w:rsidP="001D2F4D">
            <w:pPr>
              <w:keepNext/>
              <w:spacing w:before="60" w:after="60"/>
              <w:rPr>
                <w:rFonts w:asciiTheme="minorHAnsi" w:hAnsiTheme="minorHAnsi"/>
                <w:sz w:val="22"/>
                <w:szCs w:val="22"/>
              </w:rPr>
            </w:pPr>
            <w:r w:rsidRPr="00707369">
              <w:rPr>
                <w:rFonts w:asciiTheme="minorHAnsi" w:hAnsiTheme="minorHAnsi"/>
                <w:sz w:val="22"/>
                <w:szCs w:val="22"/>
              </w:rPr>
              <w:t>Questionnaire completion (ad-viewing group)</w:t>
            </w:r>
          </w:p>
        </w:tc>
        <w:tc>
          <w:tcPr>
            <w:tcW w:w="930" w:type="pct"/>
          </w:tcPr>
          <w:p w14:paraId="0B2EAE41" w14:textId="2DF64D7A" w:rsidR="009529AB" w:rsidRPr="00707369" w:rsidRDefault="009529AB" w:rsidP="001D2F4D">
            <w:pPr>
              <w:autoSpaceDE w:val="0"/>
              <w:autoSpaceDN w:val="0"/>
              <w:adjustRightInd w:val="0"/>
              <w:jc w:val="center"/>
              <w:rPr>
                <w:rFonts w:asciiTheme="minorHAnsi" w:hAnsiTheme="minorHAnsi"/>
                <w:sz w:val="22"/>
                <w:szCs w:val="22"/>
              </w:rPr>
            </w:pPr>
            <w:r>
              <w:rPr>
                <w:color w:val="000000"/>
                <w:sz w:val="22"/>
                <w:szCs w:val="22"/>
              </w:rPr>
              <w:t>500</w:t>
            </w:r>
          </w:p>
        </w:tc>
        <w:tc>
          <w:tcPr>
            <w:tcW w:w="682" w:type="pct"/>
          </w:tcPr>
          <w:p w14:paraId="18DFA392" w14:textId="07AFABA7"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$7.25</w:t>
            </w:r>
          </w:p>
        </w:tc>
        <w:tc>
          <w:tcPr>
            <w:tcW w:w="1043" w:type="pct"/>
          </w:tcPr>
          <w:p w14:paraId="5692D51B" w14:textId="37772766" w:rsidR="009529AB" w:rsidRPr="00707369" w:rsidRDefault="001E7EEB" w:rsidP="001D2F4D">
            <w:pPr>
              <w:autoSpaceDE w:val="0"/>
              <w:autoSpaceDN w:val="0"/>
              <w:adjustRightInd w:val="0"/>
              <w:jc w:val="center"/>
              <w:rPr>
                <w:rFonts w:asciiTheme="minorHAnsi" w:hAnsiTheme="minorHAnsi"/>
                <w:sz w:val="22"/>
                <w:szCs w:val="22"/>
              </w:rPr>
            </w:pPr>
            <w:r>
              <w:rPr>
                <w:rFonts w:asciiTheme="minorHAnsi" w:hAnsiTheme="minorHAnsi"/>
                <w:sz w:val="22"/>
                <w:szCs w:val="22"/>
              </w:rPr>
              <w:t>$3,625</w:t>
            </w:r>
          </w:p>
        </w:tc>
      </w:tr>
      <w:tr w:rsidR="009529AB" w:rsidRPr="00DC50FC" w14:paraId="2BB5A647" w14:textId="77777777" w:rsidTr="001D2F4D">
        <w:tc>
          <w:tcPr>
            <w:tcW w:w="1025" w:type="pct"/>
            <w:vMerge/>
          </w:tcPr>
          <w:p w14:paraId="0984AC5C" w14:textId="77777777" w:rsidR="009529AB" w:rsidRPr="00707369" w:rsidRDefault="009529AB" w:rsidP="001D2F4D">
            <w:pPr>
              <w:spacing w:before="60" w:after="60"/>
              <w:rPr>
                <w:rFonts w:asciiTheme="minorHAnsi" w:hAnsiTheme="minorHAnsi"/>
                <w:sz w:val="22"/>
                <w:szCs w:val="22"/>
              </w:rPr>
            </w:pPr>
          </w:p>
        </w:tc>
        <w:tc>
          <w:tcPr>
            <w:tcW w:w="1320" w:type="pct"/>
          </w:tcPr>
          <w:p w14:paraId="41D4ED49" w14:textId="72B8C76F" w:rsidR="009529AB" w:rsidRPr="00707369" w:rsidRDefault="009529AB" w:rsidP="001D2F4D">
            <w:pPr>
              <w:keepNext/>
              <w:spacing w:before="60" w:after="60"/>
              <w:rPr>
                <w:rFonts w:asciiTheme="minorHAnsi" w:hAnsiTheme="minorHAnsi"/>
                <w:sz w:val="22"/>
                <w:szCs w:val="22"/>
              </w:rPr>
            </w:pPr>
            <w:r w:rsidRPr="00707369">
              <w:rPr>
                <w:rFonts w:asciiTheme="minorHAnsi" w:hAnsiTheme="minorHAnsi"/>
                <w:sz w:val="22"/>
                <w:szCs w:val="22"/>
              </w:rPr>
              <w:t>Questionnaire completion (control group)</w:t>
            </w:r>
          </w:p>
        </w:tc>
        <w:tc>
          <w:tcPr>
            <w:tcW w:w="930" w:type="pct"/>
          </w:tcPr>
          <w:p w14:paraId="209FD546" w14:textId="70D2B1CB" w:rsidR="009529AB" w:rsidRPr="00707369" w:rsidRDefault="009529AB" w:rsidP="001D2F4D">
            <w:pPr>
              <w:autoSpaceDE w:val="0"/>
              <w:autoSpaceDN w:val="0"/>
              <w:adjustRightInd w:val="0"/>
              <w:jc w:val="center"/>
              <w:rPr>
                <w:rFonts w:asciiTheme="minorHAnsi" w:hAnsiTheme="minorHAnsi"/>
                <w:sz w:val="22"/>
                <w:szCs w:val="22"/>
              </w:rPr>
            </w:pPr>
            <w:r w:rsidRPr="003A7466">
              <w:rPr>
                <w:color w:val="000000"/>
                <w:sz w:val="22"/>
                <w:szCs w:val="22"/>
              </w:rPr>
              <w:t>25</w:t>
            </w:r>
            <w:r>
              <w:rPr>
                <w:color w:val="000000"/>
                <w:sz w:val="22"/>
                <w:szCs w:val="22"/>
              </w:rPr>
              <w:t>1</w:t>
            </w:r>
          </w:p>
        </w:tc>
        <w:tc>
          <w:tcPr>
            <w:tcW w:w="682" w:type="pct"/>
          </w:tcPr>
          <w:p w14:paraId="2EC5AA69" w14:textId="72A77A33"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$7.25</w:t>
            </w:r>
          </w:p>
        </w:tc>
        <w:tc>
          <w:tcPr>
            <w:tcW w:w="1043" w:type="pct"/>
          </w:tcPr>
          <w:p w14:paraId="702738A9" w14:textId="5FF388DD" w:rsidR="009529AB" w:rsidRPr="00707369" w:rsidRDefault="001E7EEB" w:rsidP="001D2F4D">
            <w:pPr>
              <w:autoSpaceDE w:val="0"/>
              <w:autoSpaceDN w:val="0"/>
              <w:adjustRightInd w:val="0"/>
              <w:jc w:val="center"/>
              <w:rPr>
                <w:rFonts w:asciiTheme="minorHAnsi" w:hAnsiTheme="minorHAnsi"/>
                <w:sz w:val="22"/>
                <w:szCs w:val="22"/>
              </w:rPr>
            </w:pPr>
            <w:r>
              <w:rPr>
                <w:rFonts w:asciiTheme="minorHAnsi" w:hAnsiTheme="minorHAnsi"/>
                <w:sz w:val="22"/>
                <w:szCs w:val="22"/>
              </w:rPr>
              <w:t>$181</w:t>
            </w:r>
            <w:r w:rsidR="00D43401">
              <w:rPr>
                <w:rFonts w:asciiTheme="minorHAnsi" w:hAnsiTheme="minorHAnsi"/>
                <w:sz w:val="22"/>
                <w:szCs w:val="22"/>
              </w:rPr>
              <w:t>9</w:t>
            </w:r>
            <w:r>
              <w:rPr>
                <w:rFonts w:asciiTheme="minorHAnsi" w:hAnsiTheme="minorHAnsi"/>
                <w:sz w:val="22"/>
                <w:szCs w:val="22"/>
              </w:rPr>
              <w:t>.</w:t>
            </w:r>
            <w:r w:rsidR="00D43401">
              <w:rPr>
                <w:rFonts w:asciiTheme="minorHAnsi" w:hAnsiTheme="minorHAnsi"/>
                <w:sz w:val="22"/>
                <w:szCs w:val="22"/>
              </w:rPr>
              <w:t>75</w:t>
            </w:r>
          </w:p>
        </w:tc>
      </w:tr>
      <w:tr w:rsidR="009529AB" w:rsidRPr="00DC50FC" w14:paraId="077F3CD8" w14:textId="77777777" w:rsidTr="001D2F4D">
        <w:tc>
          <w:tcPr>
            <w:tcW w:w="1025" w:type="pct"/>
            <w:vMerge w:val="restart"/>
          </w:tcPr>
          <w:p w14:paraId="7E880234" w14:textId="6D32D492" w:rsidR="009529AB" w:rsidRPr="00707369" w:rsidRDefault="009529AB" w:rsidP="001D2F4D">
            <w:pPr>
              <w:spacing w:before="60" w:after="60"/>
              <w:rPr>
                <w:rFonts w:asciiTheme="minorHAnsi" w:hAnsiTheme="minorHAnsi"/>
                <w:sz w:val="22"/>
                <w:szCs w:val="22"/>
              </w:rPr>
            </w:pPr>
            <w:r w:rsidRPr="00707369">
              <w:rPr>
                <w:rFonts w:asciiTheme="minorHAnsi" w:hAnsiTheme="minorHAnsi"/>
                <w:sz w:val="22"/>
                <w:szCs w:val="22"/>
              </w:rPr>
              <w:t>Adult Participants</w:t>
            </w:r>
          </w:p>
        </w:tc>
        <w:tc>
          <w:tcPr>
            <w:tcW w:w="1320" w:type="pct"/>
          </w:tcPr>
          <w:p w14:paraId="42C97356" w14:textId="5781661A" w:rsidR="009529AB" w:rsidRPr="00707369" w:rsidRDefault="009529AB" w:rsidP="001D2F4D">
            <w:pPr>
              <w:keepNext/>
              <w:spacing w:before="60" w:after="60"/>
              <w:rPr>
                <w:rFonts w:asciiTheme="minorHAnsi" w:hAnsiTheme="minorHAnsi"/>
                <w:sz w:val="22"/>
                <w:szCs w:val="22"/>
              </w:rPr>
            </w:pPr>
            <w:r w:rsidRPr="00707369">
              <w:rPr>
                <w:rFonts w:asciiTheme="minorHAnsi" w:hAnsiTheme="minorHAnsi"/>
                <w:color w:val="000000"/>
                <w:sz w:val="22"/>
                <w:szCs w:val="22"/>
              </w:rPr>
              <w:t>Adult consent</w:t>
            </w:r>
          </w:p>
        </w:tc>
        <w:tc>
          <w:tcPr>
            <w:tcW w:w="930" w:type="pct"/>
          </w:tcPr>
          <w:p w14:paraId="455A7A0A" w14:textId="1B60A622" w:rsidR="009529AB" w:rsidRPr="00707369" w:rsidRDefault="009529AB" w:rsidP="001D2F4D">
            <w:pPr>
              <w:autoSpaceDE w:val="0"/>
              <w:autoSpaceDN w:val="0"/>
              <w:adjustRightInd w:val="0"/>
              <w:jc w:val="center"/>
              <w:rPr>
                <w:rFonts w:asciiTheme="minorHAnsi" w:hAnsiTheme="minorHAnsi"/>
                <w:sz w:val="22"/>
                <w:szCs w:val="22"/>
              </w:rPr>
            </w:pPr>
            <w:r w:rsidRPr="003A7466">
              <w:rPr>
                <w:color w:val="000000"/>
                <w:sz w:val="22"/>
                <w:szCs w:val="22"/>
              </w:rPr>
              <w:t>33</w:t>
            </w:r>
          </w:p>
        </w:tc>
        <w:tc>
          <w:tcPr>
            <w:tcW w:w="682" w:type="pct"/>
          </w:tcPr>
          <w:p w14:paraId="3B08BCA2" w14:textId="5AAD970D"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$23.86</w:t>
            </w:r>
          </w:p>
        </w:tc>
        <w:tc>
          <w:tcPr>
            <w:tcW w:w="1043" w:type="pct"/>
          </w:tcPr>
          <w:p w14:paraId="59395503" w14:textId="4013CD1F" w:rsidR="009529AB" w:rsidRPr="00707369" w:rsidRDefault="001E7EEB" w:rsidP="001D2F4D">
            <w:pPr>
              <w:autoSpaceDE w:val="0"/>
              <w:autoSpaceDN w:val="0"/>
              <w:adjustRightInd w:val="0"/>
              <w:jc w:val="center"/>
              <w:rPr>
                <w:rFonts w:asciiTheme="minorHAnsi" w:hAnsiTheme="minorHAnsi"/>
                <w:sz w:val="22"/>
                <w:szCs w:val="22"/>
              </w:rPr>
            </w:pPr>
            <w:r>
              <w:rPr>
                <w:rFonts w:asciiTheme="minorHAnsi" w:hAnsiTheme="minorHAnsi"/>
                <w:sz w:val="22"/>
                <w:szCs w:val="22"/>
              </w:rPr>
              <w:t>$787.38</w:t>
            </w:r>
          </w:p>
        </w:tc>
      </w:tr>
      <w:tr w:rsidR="009529AB" w:rsidRPr="00DC50FC" w14:paraId="1BE9C558" w14:textId="77777777" w:rsidTr="001D2F4D">
        <w:tc>
          <w:tcPr>
            <w:tcW w:w="1025" w:type="pct"/>
            <w:vMerge/>
          </w:tcPr>
          <w:p w14:paraId="49FD1561" w14:textId="77777777" w:rsidR="009529AB" w:rsidRPr="00707369" w:rsidRDefault="009529AB" w:rsidP="001D2F4D">
            <w:pPr>
              <w:spacing w:before="60" w:after="60"/>
              <w:rPr>
                <w:rFonts w:asciiTheme="minorHAnsi" w:hAnsiTheme="minorHAnsi"/>
                <w:sz w:val="22"/>
                <w:szCs w:val="22"/>
              </w:rPr>
            </w:pPr>
          </w:p>
        </w:tc>
        <w:tc>
          <w:tcPr>
            <w:tcW w:w="1320" w:type="pct"/>
          </w:tcPr>
          <w:p w14:paraId="0D2A0CA0" w14:textId="1A36E989" w:rsidR="009529AB" w:rsidRPr="00707369" w:rsidRDefault="009529AB" w:rsidP="001D2F4D">
            <w:pPr>
              <w:keepNext/>
              <w:spacing w:before="60" w:after="60"/>
              <w:rPr>
                <w:rFonts w:asciiTheme="minorHAnsi" w:hAnsiTheme="minorHAnsi"/>
                <w:sz w:val="22"/>
                <w:szCs w:val="22"/>
              </w:rPr>
            </w:pPr>
            <w:r w:rsidRPr="00707369">
              <w:rPr>
                <w:rFonts w:asciiTheme="minorHAnsi" w:hAnsiTheme="minorHAnsi"/>
                <w:color w:val="000000"/>
                <w:sz w:val="22"/>
                <w:szCs w:val="22"/>
              </w:rPr>
              <w:t xml:space="preserve">Questionnaire completion </w:t>
            </w:r>
            <w:r w:rsidRPr="00707369">
              <w:rPr>
                <w:rFonts w:asciiTheme="minorHAnsi" w:hAnsiTheme="minorHAnsi"/>
                <w:color w:val="000000"/>
                <w:sz w:val="22"/>
                <w:szCs w:val="22"/>
              </w:rPr>
              <w:br/>
              <w:t>(ad-viewing)</w:t>
            </w:r>
          </w:p>
        </w:tc>
        <w:tc>
          <w:tcPr>
            <w:tcW w:w="930" w:type="pct"/>
          </w:tcPr>
          <w:p w14:paraId="21330D33" w14:textId="49693DD9" w:rsidR="009529AB" w:rsidRPr="00707369" w:rsidRDefault="009529AB" w:rsidP="001D2F4D">
            <w:pPr>
              <w:autoSpaceDE w:val="0"/>
              <w:autoSpaceDN w:val="0"/>
              <w:adjustRightInd w:val="0"/>
              <w:jc w:val="center"/>
              <w:rPr>
                <w:rFonts w:asciiTheme="minorHAnsi" w:hAnsiTheme="minorHAnsi"/>
                <w:sz w:val="22"/>
                <w:szCs w:val="22"/>
              </w:rPr>
            </w:pPr>
            <w:r w:rsidRPr="003A7466">
              <w:rPr>
                <w:color w:val="000000"/>
                <w:sz w:val="22"/>
                <w:szCs w:val="22"/>
              </w:rPr>
              <w:t>16</w:t>
            </w:r>
            <w:r>
              <w:rPr>
                <w:color w:val="000000"/>
                <w:sz w:val="22"/>
                <w:szCs w:val="22"/>
              </w:rPr>
              <w:t>7</w:t>
            </w:r>
          </w:p>
        </w:tc>
        <w:tc>
          <w:tcPr>
            <w:tcW w:w="682" w:type="pct"/>
          </w:tcPr>
          <w:p w14:paraId="3E8E2469" w14:textId="3CE32BB3"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$23.86</w:t>
            </w:r>
          </w:p>
        </w:tc>
        <w:tc>
          <w:tcPr>
            <w:tcW w:w="1043" w:type="pct"/>
          </w:tcPr>
          <w:p w14:paraId="6E17A38A" w14:textId="52B0EE36" w:rsidR="009529AB" w:rsidRPr="00707369" w:rsidRDefault="001E7EEB" w:rsidP="001D2F4D">
            <w:pPr>
              <w:autoSpaceDE w:val="0"/>
              <w:autoSpaceDN w:val="0"/>
              <w:adjustRightInd w:val="0"/>
              <w:jc w:val="center"/>
              <w:rPr>
                <w:rFonts w:asciiTheme="minorHAnsi" w:hAnsiTheme="minorHAnsi"/>
                <w:sz w:val="22"/>
                <w:szCs w:val="22"/>
              </w:rPr>
            </w:pPr>
            <w:r>
              <w:rPr>
                <w:rFonts w:asciiTheme="minorHAnsi" w:hAnsiTheme="minorHAnsi"/>
                <w:sz w:val="22"/>
                <w:szCs w:val="22"/>
              </w:rPr>
              <w:t>$3,984.62</w:t>
            </w:r>
          </w:p>
        </w:tc>
      </w:tr>
      <w:tr w:rsidR="009529AB" w:rsidRPr="00DC50FC" w14:paraId="096A8718" w14:textId="77777777" w:rsidTr="001D2F4D">
        <w:tc>
          <w:tcPr>
            <w:tcW w:w="1025" w:type="pct"/>
            <w:vMerge/>
          </w:tcPr>
          <w:p w14:paraId="6E574339" w14:textId="77777777" w:rsidR="009529AB" w:rsidRPr="00707369" w:rsidRDefault="009529AB" w:rsidP="001D2F4D">
            <w:pPr>
              <w:spacing w:before="60" w:after="60"/>
              <w:rPr>
                <w:rFonts w:asciiTheme="minorHAnsi" w:hAnsiTheme="minorHAnsi"/>
                <w:sz w:val="22"/>
                <w:szCs w:val="22"/>
              </w:rPr>
            </w:pPr>
          </w:p>
        </w:tc>
        <w:tc>
          <w:tcPr>
            <w:tcW w:w="1320" w:type="pct"/>
          </w:tcPr>
          <w:p w14:paraId="24BACFA1" w14:textId="47A9EA6F" w:rsidR="009529AB" w:rsidRPr="00707369" w:rsidRDefault="009529AB" w:rsidP="001D2F4D">
            <w:pPr>
              <w:keepNext/>
              <w:spacing w:before="60" w:after="60"/>
              <w:rPr>
                <w:rFonts w:asciiTheme="minorHAnsi" w:hAnsiTheme="minorHAnsi"/>
                <w:sz w:val="22"/>
                <w:szCs w:val="22"/>
              </w:rPr>
            </w:pPr>
            <w:r w:rsidRPr="00707369">
              <w:rPr>
                <w:rFonts w:asciiTheme="minorHAnsi" w:hAnsiTheme="minorHAnsi"/>
                <w:color w:val="000000"/>
                <w:sz w:val="22"/>
                <w:szCs w:val="22"/>
              </w:rPr>
              <w:t>Questionnaire (control)</w:t>
            </w:r>
          </w:p>
        </w:tc>
        <w:tc>
          <w:tcPr>
            <w:tcW w:w="930" w:type="pct"/>
          </w:tcPr>
          <w:p w14:paraId="2DBC18F3" w14:textId="1216E271" w:rsidR="009529AB" w:rsidRPr="00707369" w:rsidRDefault="009529AB" w:rsidP="001D2F4D">
            <w:pPr>
              <w:autoSpaceDE w:val="0"/>
              <w:autoSpaceDN w:val="0"/>
              <w:adjustRightInd w:val="0"/>
              <w:jc w:val="center"/>
              <w:rPr>
                <w:rFonts w:asciiTheme="minorHAnsi" w:hAnsiTheme="minorHAnsi"/>
                <w:sz w:val="22"/>
                <w:szCs w:val="22"/>
              </w:rPr>
            </w:pPr>
            <w:r w:rsidRPr="003A7466">
              <w:rPr>
                <w:color w:val="000000"/>
                <w:sz w:val="22"/>
                <w:szCs w:val="22"/>
              </w:rPr>
              <w:t>8</w:t>
            </w:r>
            <w:r>
              <w:rPr>
                <w:color w:val="000000"/>
                <w:sz w:val="22"/>
                <w:szCs w:val="22"/>
              </w:rPr>
              <w:t>4</w:t>
            </w:r>
          </w:p>
        </w:tc>
        <w:tc>
          <w:tcPr>
            <w:tcW w:w="682" w:type="pct"/>
          </w:tcPr>
          <w:p w14:paraId="2415E45E" w14:textId="343C48F3" w:rsidR="009529AB" w:rsidRPr="00707369" w:rsidRDefault="009529AB" w:rsidP="001D2F4D">
            <w:pPr>
              <w:autoSpaceDE w:val="0"/>
              <w:autoSpaceDN w:val="0"/>
              <w:adjustRightInd w:val="0"/>
              <w:jc w:val="center"/>
              <w:rPr>
                <w:rFonts w:asciiTheme="minorHAnsi" w:hAnsiTheme="minorHAnsi"/>
                <w:sz w:val="22"/>
                <w:szCs w:val="22"/>
              </w:rPr>
            </w:pPr>
            <w:r w:rsidRPr="00707369">
              <w:rPr>
                <w:rFonts w:asciiTheme="minorHAnsi" w:hAnsiTheme="minorHAnsi"/>
                <w:color w:val="000000"/>
                <w:sz w:val="22"/>
                <w:szCs w:val="22"/>
              </w:rPr>
              <w:t>$23.86</w:t>
            </w:r>
          </w:p>
        </w:tc>
        <w:tc>
          <w:tcPr>
            <w:tcW w:w="1043" w:type="pct"/>
          </w:tcPr>
          <w:p w14:paraId="76E6A590" w14:textId="68AF6030" w:rsidR="009529AB" w:rsidRPr="00707369" w:rsidRDefault="001E7EEB" w:rsidP="001D2F4D">
            <w:pPr>
              <w:autoSpaceDE w:val="0"/>
              <w:autoSpaceDN w:val="0"/>
              <w:adjustRightInd w:val="0"/>
              <w:jc w:val="center"/>
              <w:rPr>
                <w:rFonts w:asciiTheme="minorHAnsi" w:hAnsiTheme="minorHAnsi"/>
                <w:sz w:val="22"/>
                <w:szCs w:val="22"/>
              </w:rPr>
            </w:pPr>
            <w:r>
              <w:rPr>
                <w:rFonts w:asciiTheme="minorHAnsi" w:hAnsiTheme="minorHAnsi"/>
                <w:sz w:val="22"/>
                <w:szCs w:val="22"/>
              </w:rPr>
              <w:t>$2,004.24</w:t>
            </w:r>
          </w:p>
        </w:tc>
      </w:tr>
      <w:tr w:rsidR="009529AB" w:rsidRPr="00DC50FC" w14:paraId="2E9F1164" w14:textId="77777777" w:rsidTr="001D2F4D">
        <w:tc>
          <w:tcPr>
            <w:tcW w:w="1025" w:type="pct"/>
          </w:tcPr>
          <w:p w14:paraId="3E07BD85" w14:textId="77777777" w:rsidR="009529AB" w:rsidRPr="00707369" w:rsidRDefault="009529AB" w:rsidP="001D2F4D">
            <w:pPr>
              <w:spacing w:before="60" w:after="60"/>
              <w:rPr>
                <w:rFonts w:asciiTheme="minorHAnsi" w:hAnsiTheme="minorHAnsi"/>
                <w:b/>
                <w:sz w:val="22"/>
                <w:szCs w:val="22"/>
              </w:rPr>
            </w:pPr>
            <w:r w:rsidRPr="00707369">
              <w:rPr>
                <w:rFonts w:asciiTheme="minorHAnsi" w:hAnsiTheme="minorHAnsi"/>
                <w:b/>
                <w:sz w:val="22"/>
                <w:szCs w:val="22"/>
              </w:rPr>
              <w:t>Total</w:t>
            </w:r>
          </w:p>
        </w:tc>
        <w:tc>
          <w:tcPr>
            <w:tcW w:w="1320" w:type="pct"/>
          </w:tcPr>
          <w:p w14:paraId="49FE6F22" w14:textId="77777777" w:rsidR="009529AB" w:rsidRPr="00707369" w:rsidRDefault="009529AB" w:rsidP="001D2F4D">
            <w:pPr>
              <w:keepNext/>
              <w:spacing w:before="60" w:after="60" w:line="480" w:lineRule="auto"/>
              <w:ind w:left="360"/>
              <w:rPr>
                <w:rFonts w:asciiTheme="minorHAnsi" w:hAnsiTheme="minorHAnsi"/>
                <w:b/>
                <w:sz w:val="22"/>
                <w:szCs w:val="22"/>
              </w:rPr>
            </w:pPr>
          </w:p>
        </w:tc>
        <w:tc>
          <w:tcPr>
            <w:tcW w:w="930" w:type="pct"/>
          </w:tcPr>
          <w:p w14:paraId="40FA40B2" w14:textId="78078679" w:rsidR="009529AB" w:rsidRPr="00707369" w:rsidRDefault="009529AB" w:rsidP="001D2F4D">
            <w:pPr>
              <w:autoSpaceDE w:val="0"/>
              <w:autoSpaceDN w:val="0"/>
              <w:adjustRightInd w:val="0"/>
              <w:jc w:val="center"/>
              <w:rPr>
                <w:rFonts w:asciiTheme="minorHAnsi" w:hAnsiTheme="minorHAnsi"/>
                <w:b/>
                <w:sz w:val="22"/>
                <w:szCs w:val="22"/>
              </w:rPr>
            </w:pPr>
          </w:p>
        </w:tc>
        <w:tc>
          <w:tcPr>
            <w:tcW w:w="682" w:type="pct"/>
          </w:tcPr>
          <w:p w14:paraId="5B90C23B" w14:textId="77777777" w:rsidR="009529AB" w:rsidRPr="00707369" w:rsidRDefault="009529AB" w:rsidP="001D2F4D">
            <w:pPr>
              <w:autoSpaceDE w:val="0"/>
              <w:autoSpaceDN w:val="0"/>
              <w:adjustRightInd w:val="0"/>
              <w:spacing w:after="120" w:line="480" w:lineRule="auto"/>
              <w:ind w:left="360"/>
              <w:jc w:val="center"/>
              <w:rPr>
                <w:rFonts w:asciiTheme="minorHAnsi" w:hAnsiTheme="minorHAnsi"/>
                <w:b/>
                <w:sz w:val="22"/>
                <w:szCs w:val="22"/>
              </w:rPr>
            </w:pPr>
          </w:p>
        </w:tc>
        <w:tc>
          <w:tcPr>
            <w:tcW w:w="1043" w:type="pct"/>
          </w:tcPr>
          <w:p w14:paraId="5B783BE8" w14:textId="7D2C0B34" w:rsidR="009529AB" w:rsidRPr="00707369" w:rsidRDefault="00D43401" w:rsidP="001D2F4D">
            <w:pPr>
              <w:autoSpaceDE w:val="0"/>
              <w:autoSpaceDN w:val="0"/>
              <w:adjustRightInd w:val="0"/>
              <w:jc w:val="center"/>
              <w:rPr>
                <w:rFonts w:asciiTheme="minorHAnsi" w:hAnsiTheme="minorHAnsi"/>
                <w:b/>
                <w:sz w:val="22"/>
                <w:szCs w:val="22"/>
              </w:rPr>
            </w:pPr>
            <w:r>
              <w:rPr>
                <w:b/>
                <w:bCs/>
                <w:color w:val="000000"/>
                <w:sz w:val="22"/>
                <w:szCs w:val="22"/>
              </w:rPr>
              <w:fldChar w:fldCharType="begin"/>
            </w:r>
            <w:r>
              <w:rPr>
                <w:rFonts w:asciiTheme="minorHAnsi" w:hAnsiTheme="minorHAnsi"/>
                <w:b/>
                <w:bCs/>
                <w:color w:val="000000"/>
                <w:sz w:val="22"/>
                <w:szCs w:val="22"/>
              </w:rPr>
              <w:instrText xml:space="preserve"> =SUM(ABOVE) </w:instrText>
            </w:r>
            <w:r>
              <w:rPr>
                <w:b/>
                <w:bCs/>
                <w:color w:val="000000"/>
                <w:sz w:val="22"/>
                <w:szCs w:val="22"/>
              </w:rPr>
              <w:fldChar w:fldCharType="separate"/>
            </w:r>
            <w:r>
              <w:rPr>
                <w:rFonts w:asciiTheme="minorHAnsi" w:hAnsiTheme="minorHAnsi"/>
                <w:b/>
                <w:bCs/>
                <w:noProof/>
                <w:color w:val="000000"/>
                <w:sz w:val="22"/>
                <w:szCs w:val="22"/>
              </w:rPr>
              <w:t>$20,994.88</w:t>
            </w:r>
            <w:r>
              <w:rPr>
                <w:b/>
                <w:bCs/>
                <w:color w:val="000000"/>
                <w:sz w:val="22"/>
                <w:szCs w:val="22"/>
              </w:rPr>
              <w:fldChar w:fldCharType="end"/>
            </w:r>
          </w:p>
        </w:tc>
      </w:tr>
    </w:tbl>
    <w:p w14:paraId="503450FB" w14:textId="77777777" w:rsidR="009B5B5A" w:rsidRPr="00DC50FC" w:rsidRDefault="009B5B5A" w:rsidP="009C6AAC">
      <w:pPr>
        <w:spacing w:before="100" w:beforeAutospacing="1" w:after="240"/>
        <w:ind w:left="360"/>
        <w:rPr>
          <w:rFonts w:cs="Times New Roman"/>
          <w:u w:val="single"/>
        </w:rPr>
      </w:pPr>
      <w:r w:rsidRPr="00DC50FC">
        <w:rPr>
          <w:rFonts w:cs="Times New Roman"/>
          <w:u w:val="single"/>
        </w:rPr>
        <w:t>13. Estimates of Other Total Annual Costs to Respondents and/or Recordkeepers/Capital Costs</w:t>
      </w:r>
    </w:p>
    <w:p w14:paraId="021390C4" w14:textId="77777777" w:rsidR="009B5B5A" w:rsidRPr="00C04567" w:rsidRDefault="009B5B5A" w:rsidP="009C6AAC">
      <w:pPr>
        <w:spacing w:after="240"/>
        <w:ind w:left="720"/>
        <w:rPr>
          <w:rFonts w:eastAsia="Times New Roman" w:cs="Times New Roman"/>
        </w:rPr>
      </w:pPr>
      <w:r w:rsidRPr="00C04567">
        <w:rPr>
          <w:rFonts w:eastAsia="Times New Roman" w:cs="Times New Roman"/>
        </w:rPr>
        <w:t>There are no capital, start-up, operating, or maintenance costs associated with this information collection.</w:t>
      </w:r>
    </w:p>
    <w:p w14:paraId="43A5720A" w14:textId="77777777" w:rsidR="009B5B5A" w:rsidRPr="00DC50FC" w:rsidRDefault="009B5B5A" w:rsidP="009C6AAC">
      <w:pPr>
        <w:spacing w:before="100" w:beforeAutospacing="1" w:after="240"/>
        <w:ind w:left="360"/>
        <w:rPr>
          <w:rFonts w:cs="Times New Roman"/>
          <w:u w:val="single"/>
        </w:rPr>
      </w:pPr>
      <w:r w:rsidRPr="00DC50FC">
        <w:rPr>
          <w:rFonts w:cs="Times New Roman"/>
          <w:u w:val="single"/>
        </w:rPr>
        <w:t>14. Annualized Cost to the Federal Government</w:t>
      </w:r>
    </w:p>
    <w:p w14:paraId="3D14C460" w14:textId="2158FF3E" w:rsidR="009B5B5A" w:rsidRPr="00C04567" w:rsidRDefault="009B5B5A" w:rsidP="009C6AAC">
      <w:pPr>
        <w:spacing w:after="240"/>
        <w:ind w:left="720"/>
        <w:rPr>
          <w:rFonts w:eastAsia="Times New Roman" w:cs="Times New Roman"/>
        </w:rPr>
      </w:pPr>
      <w:r w:rsidRPr="00C04567">
        <w:rPr>
          <w:rFonts w:eastAsia="Times New Roman" w:cs="Times New Roman"/>
        </w:rPr>
        <w:t>This information collection is funded through a contract with Rescue. The total estimated costs attributable to this data collecti</w:t>
      </w:r>
      <w:r w:rsidR="00E63AE6" w:rsidRPr="00C04567">
        <w:rPr>
          <w:rFonts w:eastAsia="Times New Roman" w:cs="Times New Roman"/>
        </w:rPr>
        <w:t>on are $</w:t>
      </w:r>
      <w:r w:rsidR="00E22715" w:rsidRPr="00C04567">
        <w:rPr>
          <w:rFonts w:eastAsia="Times New Roman" w:cs="Times New Roman"/>
        </w:rPr>
        <w:t>89</w:t>
      </w:r>
      <w:r w:rsidR="00BB6E28" w:rsidRPr="00C04567">
        <w:rPr>
          <w:rFonts w:eastAsia="Times New Roman" w:cs="Times New Roman"/>
        </w:rPr>
        <w:t xml:space="preserve">9,219.40 </w:t>
      </w:r>
      <w:r w:rsidRPr="00C04567">
        <w:rPr>
          <w:rFonts w:eastAsia="Times New Roman" w:cs="Times New Roman"/>
        </w:rPr>
        <w:t>(Exhibit</w:t>
      </w:r>
      <w:r w:rsidR="00D11F21" w:rsidRPr="00C04567">
        <w:rPr>
          <w:rFonts w:eastAsia="Times New Roman" w:cs="Times New Roman"/>
        </w:rPr>
        <w:t xml:space="preserve"> </w:t>
      </w:r>
      <w:r w:rsidR="00962D75" w:rsidRPr="00C04567">
        <w:rPr>
          <w:rFonts w:eastAsia="Times New Roman" w:cs="Times New Roman"/>
        </w:rPr>
        <w:t>3</w:t>
      </w:r>
      <w:r w:rsidRPr="00C04567">
        <w:rPr>
          <w:rFonts w:eastAsia="Times New Roman" w:cs="Times New Roman"/>
        </w:rPr>
        <w:t xml:space="preserve">). There are additional contract-funded activities occurring before and after this data collection that include project planning and data analysis. Other activities outside this data collection include coordination with FDA, data collection plan development, instrument development, reporting, IRB, and progress reporting and project management. This information collection will occur in </w:t>
      </w:r>
      <w:r w:rsidR="004E3A9A" w:rsidRPr="00C04567">
        <w:rPr>
          <w:rFonts w:eastAsia="Times New Roman" w:cs="Times New Roman"/>
        </w:rPr>
        <w:t>2018</w:t>
      </w:r>
      <w:r w:rsidRPr="00C04567">
        <w:rPr>
          <w:rFonts w:eastAsia="Times New Roman" w:cs="Times New Roman"/>
        </w:rPr>
        <w:t>.</w:t>
      </w:r>
    </w:p>
    <w:p w14:paraId="60BE6014" w14:textId="11EED34F" w:rsidR="009B5B5A" w:rsidRPr="00DC50FC" w:rsidRDefault="009B5B5A" w:rsidP="00F029F7">
      <w:pPr>
        <w:ind w:left="720"/>
        <w:rPr>
          <w:rFonts w:cs="Times New Roman"/>
          <w:b/>
        </w:rPr>
      </w:pPr>
      <w:r w:rsidRPr="00DC50FC">
        <w:rPr>
          <w:rFonts w:cs="Times New Roman"/>
          <w:b/>
        </w:rPr>
        <w:t>E</w:t>
      </w:r>
      <w:r w:rsidR="00D11F21" w:rsidRPr="00DC50FC">
        <w:rPr>
          <w:rFonts w:cs="Times New Roman"/>
          <w:b/>
        </w:rPr>
        <w:t xml:space="preserve">xhibit </w:t>
      </w:r>
      <w:r w:rsidR="00962D75" w:rsidRPr="00DC50FC">
        <w:rPr>
          <w:rFonts w:cs="Times New Roman"/>
          <w:b/>
        </w:rPr>
        <w:t>3</w:t>
      </w:r>
      <w:r w:rsidRPr="00DC50FC">
        <w:rPr>
          <w:rFonts w:cs="Times New Roman"/>
          <w:b/>
        </w:rPr>
        <w:t>. Itemized Cost to the Federal Government</w:t>
      </w:r>
    </w:p>
    <w:tbl>
      <w:tblPr>
        <w:tblStyle w:val="TableGrid"/>
        <w:tblW w:w="4619" w:type="pct"/>
        <w:tblInd w:w="715" w:type="dxa"/>
        <w:tblCellMar>
          <w:left w:w="115" w:type="dxa"/>
          <w:right w:w="115" w:type="dxa"/>
        </w:tblCellMar>
        <w:tblLook w:val="04A0" w:firstRow="1" w:lastRow="0" w:firstColumn="1" w:lastColumn="0" w:noHBand="0" w:noVBand="1"/>
      </w:tblPr>
      <w:tblGrid>
        <w:gridCol w:w="2031"/>
        <w:gridCol w:w="2108"/>
        <w:gridCol w:w="2691"/>
        <w:gridCol w:w="2029"/>
      </w:tblGrid>
      <w:tr w:rsidR="008D743F" w:rsidRPr="00DC50FC" w14:paraId="169A055D" w14:textId="77777777" w:rsidTr="00F029F7">
        <w:trPr>
          <w:trHeight w:val="107"/>
        </w:trPr>
        <w:tc>
          <w:tcPr>
            <w:tcW w:w="1146" w:type="pct"/>
            <w:shd w:val="clear" w:color="auto" w:fill="BFBFBF" w:themeFill="background1" w:themeFillShade="BF"/>
            <w:hideMark/>
          </w:tcPr>
          <w:p w14:paraId="0278CADE" w14:textId="77777777" w:rsidR="009B5B5A" w:rsidRPr="00DC50FC" w:rsidRDefault="009B5B5A" w:rsidP="000C5CD3">
            <w:pPr>
              <w:pStyle w:val="FigureTitle"/>
              <w:spacing w:before="0" w:after="120"/>
              <w:ind w:hanging="24"/>
              <w:outlineLvl w:val="3"/>
              <w:rPr>
                <w:rFonts w:asciiTheme="minorHAnsi" w:hAnsiTheme="minorHAnsi"/>
                <w:sz w:val="24"/>
                <w:szCs w:val="24"/>
              </w:rPr>
            </w:pPr>
            <w:r w:rsidRPr="00DC50FC">
              <w:rPr>
                <w:rFonts w:asciiTheme="minorHAnsi" w:hAnsiTheme="minorHAnsi"/>
                <w:sz w:val="24"/>
                <w:szCs w:val="24"/>
              </w:rPr>
              <w:t>Government Personnel</w:t>
            </w:r>
          </w:p>
        </w:tc>
        <w:tc>
          <w:tcPr>
            <w:tcW w:w="1190" w:type="pct"/>
            <w:shd w:val="clear" w:color="auto" w:fill="BFBFBF" w:themeFill="background1" w:themeFillShade="BF"/>
            <w:hideMark/>
          </w:tcPr>
          <w:p w14:paraId="6F0B53D4" w14:textId="77777777" w:rsidR="009B5B5A" w:rsidRPr="00DC50FC" w:rsidRDefault="009B5B5A" w:rsidP="000C5CD3">
            <w:pPr>
              <w:pStyle w:val="FigureTitle"/>
              <w:spacing w:before="0" w:after="120"/>
              <w:ind w:left="45" w:hanging="52"/>
              <w:outlineLvl w:val="3"/>
              <w:rPr>
                <w:rFonts w:asciiTheme="minorHAnsi" w:hAnsiTheme="minorHAnsi"/>
                <w:sz w:val="24"/>
                <w:szCs w:val="24"/>
              </w:rPr>
            </w:pPr>
            <w:r w:rsidRPr="00DC50FC">
              <w:rPr>
                <w:rFonts w:asciiTheme="minorHAnsi" w:hAnsiTheme="minorHAnsi"/>
                <w:sz w:val="24"/>
                <w:szCs w:val="24"/>
              </w:rPr>
              <w:t>Time Commitment</w:t>
            </w:r>
          </w:p>
        </w:tc>
        <w:tc>
          <w:tcPr>
            <w:tcW w:w="1519" w:type="pct"/>
            <w:shd w:val="clear" w:color="auto" w:fill="BFBFBF" w:themeFill="background1" w:themeFillShade="BF"/>
            <w:hideMark/>
          </w:tcPr>
          <w:p w14:paraId="209BDA2A" w14:textId="77777777" w:rsidR="009B5B5A" w:rsidRPr="00DC50FC" w:rsidRDefault="009B5B5A" w:rsidP="000C5CD3">
            <w:pPr>
              <w:pStyle w:val="FigureTitle"/>
              <w:spacing w:before="0" w:after="120"/>
              <w:ind w:hanging="13"/>
              <w:outlineLvl w:val="3"/>
              <w:rPr>
                <w:rFonts w:asciiTheme="minorHAnsi" w:hAnsiTheme="minorHAnsi"/>
                <w:sz w:val="24"/>
                <w:szCs w:val="24"/>
              </w:rPr>
            </w:pPr>
            <w:r w:rsidRPr="00DC50FC">
              <w:rPr>
                <w:rFonts w:asciiTheme="minorHAnsi" w:hAnsiTheme="minorHAnsi"/>
                <w:sz w:val="24"/>
                <w:szCs w:val="24"/>
              </w:rPr>
              <w:t>Average Annual Salary</w:t>
            </w:r>
          </w:p>
        </w:tc>
        <w:tc>
          <w:tcPr>
            <w:tcW w:w="1145" w:type="pct"/>
            <w:shd w:val="clear" w:color="auto" w:fill="BFBFBF" w:themeFill="background1" w:themeFillShade="BF"/>
            <w:hideMark/>
          </w:tcPr>
          <w:p w14:paraId="160D4844" w14:textId="77777777" w:rsidR="009B5B5A" w:rsidRPr="00DC50FC" w:rsidRDefault="009B5B5A" w:rsidP="000C5CD3">
            <w:pPr>
              <w:pStyle w:val="FigureTitle"/>
              <w:spacing w:before="0" w:after="120"/>
              <w:ind w:hanging="9"/>
              <w:outlineLvl w:val="3"/>
              <w:rPr>
                <w:rFonts w:asciiTheme="minorHAnsi" w:hAnsiTheme="minorHAnsi"/>
                <w:sz w:val="24"/>
                <w:szCs w:val="24"/>
              </w:rPr>
            </w:pPr>
            <w:r w:rsidRPr="00DC50FC">
              <w:rPr>
                <w:rFonts w:asciiTheme="minorHAnsi" w:hAnsiTheme="minorHAnsi"/>
                <w:sz w:val="24"/>
                <w:szCs w:val="24"/>
              </w:rPr>
              <w:t>Total</w:t>
            </w:r>
          </w:p>
        </w:tc>
      </w:tr>
      <w:tr w:rsidR="008D743F" w:rsidRPr="00DC50FC" w14:paraId="23D53B1B" w14:textId="77777777" w:rsidTr="00F029F7">
        <w:trPr>
          <w:trHeight w:val="288"/>
        </w:trPr>
        <w:tc>
          <w:tcPr>
            <w:tcW w:w="1146" w:type="pct"/>
            <w:hideMark/>
          </w:tcPr>
          <w:p w14:paraId="2DCC7E27" w14:textId="77777777" w:rsidR="009B5B5A" w:rsidRPr="00DC50FC" w:rsidRDefault="009B5B5A" w:rsidP="009C6AAC">
            <w:pPr>
              <w:pStyle w:val="FigureTitle"/>
              <w:spacing w:before="0" w:after="60"/>
              <w:jc w:val="center"/>
              <w:rPr>
                <w:rFonts w:asciiTheme="minorHAnsi" w:hAnsiTheme="minorHAnsi"/>
                <w:b w:val="0"/>
                <w:sz w:val="24"/>
                <w:szCs w:val="24"/>
              </w:rPr>
            </w:pPr>
            <w:r w:rsidRPr="00DC50FC">
              <w:rPr>
                <w:rFonts w:asciiTheme="minorHAnsi" w:hAnsiTheme="minorHAnsi"/>
                <w:b w:val="0"/>
                <w:bCs/>
                <w:szCs w:val="24"/>
              </w:rPr>
              <w:t>GS-13</w:t>
            </w:r>
          </w:p>
        </w:tc>
        <w:tc>
          <w:tcPr>
            <w:tcW w:w="1190" w:type="pct"/>
            <w:hideMark/>
          </w:tcPr>
          <w:p w14:paraId="19106EF2" w14:textId="77777777" w:rsidR="009B5B5A" w:rsidRPr="00DC50FC" w:rsidRDefault="009B5B5A" w:rsidP="009C6AAC">
            <w:pPr>
              <w:pStyle w:val="FigureTitle"/>
              <w:spacing w:before="0" w:after="60"/>
              <w:jc w:val="center"/>
              <w:rPr>
                <w:rFonts w:asciiTheme="minorHAnsi" w:hAnsiTheme="minorHAnsi"/>
                <w:b w:val="0"/>
                <w:sz w:val="24"/>
                <w:szCs w:val="24"/>
              </w:rPr>
            </w:pPr>
            <w:r w:rsidRPr="00DC50FC">
              <w:rPr>
                <w:rFonts w:asciiTheme="minorHAnsi" w:hAnsiTheme="minorHAnsi"/>
                <w:b w:val="0"/>
                <w:bCs/>
                <w:szCs w:val="24"/>
              </w:rPr>
              <w:t>5%</w:t>
            </w:r>
          </w:p>
        </w:tc>
        <w:tc>
          <w:tcPr>
            <w:tcW w:w="1519" w:type="pct"/>
            <w:hideMark/>
          </w:tcPr>
          <w:p w14:paraId="267CE60C" w14:textId="63059F5B" w:rsidR="009B5B5A" w:rsidRPr="00DC50FC" w:rsidRDefault="009B5B5A" w:rsidP="00BB6E28">
            <w:pPr>
              <w:pStyle w:val="FigureTitle"/>
              <w:spacing w:before="0" w:after="60"/>
              <w:jc w:val="right"/>
              <w:rPr>
                <w:rFonts w:asciiTheme="minorHAnsi" w:hAnsiTheme="minorHAnsi"/>
                <w:b w:val="0"/>
                <w:sz w:val="24"/>
                <w:szCs w:val="24"/>
              </w:rPr>
            </w:pPr>
            <w:r w:rsidRPr="00DC50FC">
              <w:rPr>
                <w:rFonts w:asciiTheme="minorHAnsi" w:hAnsiTheme="minorHAnsi"/>
                <w:b w:val="0"/>
                <w:bCs/>
                <w:szCs w:val="24"/>
              </w:rPr>
              <w:t xml:space="preserve">$ </w:t>
            </w:r>
            <w:r w:rsidR="00BB6E28" w:rsidRPr="00DC50FC">
              <w:rPr>
                <w:rFonts w:asciiTheme="minorHAnsi" w:hAnsiTheme="minorHAnsi"/>
                <w:b w:val="0"/>
                <w:bCs/>
                <w:szCs w:val="24"/>
              </w:rPr>
              <w:t>94,796</w:t>
            </w:r>
          </w:p>
        </w:tc>
        <w:tc>
          <w:tcPr>
            <w:tcW w:w="1145" w:type="pct"/>
            <w:hideMark/>
          </w:tcPr>
          <w:p w14:paraId="209233AD" w14:textId="1874F850" w:rsidR="009B5B5A" w:rsidRPr="00DC50FC" w:rsidRDefault="00BB6E28" w:rsidP="009C6AAC">
            <w:pPr>
              <w:pStyle w:val="FigureTitle"/>
              <w:spacing w:before="0" w:after="60"/>
              <w:jc w:val="right"/>
              <w:rPr>
                <w:rFonts w:asciiTheme="minorHAnsi" w:hAnsiTheme="minorHAnsi"/>
                <w:b w:val="0"/>
                <w:sz w:val="24"/>
                <w:szCs w:val="24"/>
              </w:rPr>
            </w:pPr>
            <w:r w:rsidRPr="00DC50FC">
              <w:rPr>
                <w:rFonts w:asciiTheme="minorHAnsi" w:hAnsiTheme="minorHAnsi"/>
                <w:b w:val="0"/>
                <w:bCs/>
                <w:szCs w:val="24"/>
              </w:rPr>
              <w:t>4,739.80</w:t>
            </w:r>
          </w:p>
        </w:tc>
      </w:tr>
      <w:tr w:rsidR="00BB6E28" w:rsidRPr="00DC50FC" w14:paraId="09715026" w14:textId="77777777" w:rsidTr="00F029F7">
        <w:trPr>
          <w:trHeight w:val="288"/>
        </w:trPr>
        <w:tc>
          <w:tcPr>
            <w:tcW w:w="1146" w:type="pct"/>
            <w:hideMark/>
          </w:tcPr>
          <w:p w14:paraId="46494AAF" w14:textId="77777777" w:rsidR="00BB6E28" w:rsidRPr="00DC50FC" w:rsidRDefault="00BB6E28" w:rsidP="009C6AAC">
            <w:pPr>
              <w:pStyle w:val="FigureTitle"/>
              <w:spacing w:before="0" w:after="60"/>
              <w:jc w:val="center"/>
              <w:rPr>
                <w:rFonts w:asciiTheme="minorHAnsi" w:hAnsiTheme="minorHAnsi"/>
                <w:b w:val="0"/>
                <w:sz w:val="24"/>
                <w:szCs w:val="24"/>
              </w:rPr>
            </w:pPr>
            <w:r w:rsidRPr="00DC50FC">
              <w:rPr>
                <w:rFonts w:asciiTheme="minorHAnsi" w:hAnsiTheme="minorHAnsi"/>
                <w:b w:val="0"/>
                <w:bCs/>
                <w:szCs w:val="24"/>
              </w:rPr>
              <w:t>GS-13</w:t>
            </w:r>
          </w:p>
        </w:tc>
        <w:tc>
          <w:tcPr>
            <w:tcW w:w="1190" w:type="pct"/>
            <w:hideMark/>
          </w:tcPr>
          <w:p w14:paraId="04C2E72E" w14:textId="77777777" w:rsidR="00BB6E28" w:rsidRPr="00DC50FC" w:rsidRDefault="00BB6E28" w:rsidP="009C6AAC">
            <w:pPr>
              <w:pStyle w:val="FigureTitle"/>
              <w:spacing w:before="0" w:after="60"/>
              <w:jc w:val="center"/>
              <w:rPr>
                <w:rFonts w:asciiTheme="minorHAnsi" w:hAnsiTheme="minorHAnsi"/>
                <w:b w:val="0"/>
                <w:sz w:val="24"/>
                <w:szCs w:val="24"/>
              </w:rPr>
            </w:pPr>
            <w:r w:rsidRPr="00DC50FC">
              <w:rPr>
                <w:rFonts w:asciiTheme="minorHAnsi" w:hAnsiTheme="minorHAnsi"/>
                <w:b w:val="0"/>
                <w:bCs/>
                <w:szCs w:val="24"/>
              </w:rPr>
              <w:t>10%</w:t>
            </w:r>
          </w:p>
        </w:tc>
        <w:tc>
          <w:tcPr>
            <w:tcW w:w="1519" w:type="pct"/>
            <w:hideMark/>
          </w:tcPr>
          <w:p w14:paraId="442B8DC0" w14:textId="5531705D" w:rsidR="00BB6E28" w:rsidRPr="00DC50FC" w:rsidRDefault="00BB6E28" w:rsidP="009C6AAC">
            <w:pPr>
              <w:pStyle w:val="FigureTitle"/>
              <w:spacing w:before="0" w:after="60"/>
              <w:jc w:val="right"/>
              <w:rPr>
                <w:rFonts w:asciiTheme="minorHAnsi" w:hAnsiTheme="minorHAnsi"/>
                <w:b w:val="0"/>
                <w:sz w:val="24"/>
                <w:szCs w:val="24"/>
              </w:rPr>
            </w:pPr>
            <w:r w:rsidRPr="00DC50FC">
              <w:rPr>
                <w:rFonts w:asciiTheme="minorHAnsi" w:hAnsiTheme="minorHAnsi"/>
                <w:b w:val="0"/>
                <w:bCs/>
                <w:szCs w:val="24"/>
              </w:rPr>
              <w:t>$ 94,796</w:t>
            </w:r>
          </w:p>
        </w:tc>
        <w:tc>
          <w:tcPr>
            <w:tcW w:w="1145" w:type="pct"/>
            <w:hideMark/>
          </w:tcPr>
          <w:p w14:paraId="55E9E7E0" w14:textId="073A8E40" w:rsidR="00BB6E28" w:rsidRPr="00DC50FC" w:rsidRDefault="00BB6E28" w:rsidP="009C6AAC">
            <w:pPr>
              <w:pStyle w:val="FigureTitle"/>
              <w:spacing w:before="0" w:after="60"/>
              <w:jc w:val="right"/>
              <w:rPr>
                <w:rFonts w:asciiTheme="minorHAnsi" w:hAnsiTheme="minorHAnsi"/>
                <w:b w:val="0"/>
                <w:sz w:val="24"/>
                <w:szCs w:val="24"/>
              </w:rPr>
            </w:pPr>
            <w:r w:rsidRPr="00DC50FC">
              <w:rPr>
                <w:rFonts w:asciiTheme="minorHAnsi" w:hAnsiTheme="minorHAnsi"/>
                <w:b w:val="0"/>
                <w:bCs/>
                <w:szCs w:val="24"/>
              </w:rPr>
              <w:t>9,479.60</w:t>
            </w:r>
          </w:p>
        </w:tc>
      </w:tr>
      <w:tr w:rsidR="008D743F" w:rsidRPr="00DC50FC" w14:paraId="69BFC354" w14:textId="77777777" w:rsidTr="00F029F7">
        <w:trPr>
          <w:trHeight w:val="288"/>
        </w:trPr>
        <w:tc>
          <w:tcPr>
            <w:tcW w:w="1146" w:type="pct"/>
          </w:tcPr>
          <w:p w14:paraId="4939C0FF" w14:textId="77777777" w:rsidR="009B5B5A" w:rsidRPr="00DC50FC" w:rsidRDefault="009B5B5A" w:rsidP="009C6AAC">
            <w:pPr>
              <w:pStyle w:val="FigureTitle"/>
              <w:spacing w:before="0" w:after="60"/>
              <w:ind w:left="360"/>
              <w:rPr>
                <w:rFonts w:asciiTheme="minorHAnsi" w:hAnsiTheme="minorHAnsi"/>
                <w:b w:val="0"/>
                <w:sz w:val="24"/>
                <w:szCs w:val="24"/>
              </w:rPr>
            </w:pPr>
          </w:p>
        </w:tc>
        <w:tc>
          <w:tcPr>
            <w:tcW w:w="1190" w:type="pct"/>
          </w:tcPr>
          <w:p w14:paraId="47ADD26C" w14:textId="77777777" w:rsidR="009B5B5A" w:rsidRPr="00DC50FC" w:rsidRDefault="009B5B5A" w:rsidP="009C6AAC">
            <w:pPr>
              <w:pStyle w:val="FigureTitle"/>
              <w:spacing w:before="0" w:after="60"/>
              <w:ind w:left="360"/>
              <w:rPr>
                <w:rFonts w:asciiTheme="minorHAnsi" w:hAnsiTheme="minorHAnsi"/>
                <w:b w:val="0"/>
                <w:sz w:val="24"/>
                <w:szCs w:val="24"/>
              </w:rPr>
            </w:pPr>
          </w:p>
        </w:tc>
        <w:tc>
          <w:tcPr>
            <w:tcW w:w="1519" w:type="pct"/>
            <w:hideMark/>
          </w:tcPr>
          <w:p w14:paraId="726E66A0" w14:textId="77777777" w:rsidR="009B5B5A" w:rsidRPr="00DC50FC" w:rsidRDefault="009B5B5A" w:rsidP="009C6AAC">
            <w:pPr>
              <w:pStyle w:val="FigureTitle"/>
              <w:spacing w:before="0" w:after="60"/>
              <w:jc w:val="right"/>
              <w:rPr>
                <w:rFonts w:asciiTheme="minorHAnsi" w:hAnsiTheme="minorHAnsi"/>
                <w:sz w:val="24"/>
                <w:szCs w:val="24"/>
              </w:rPr>
            </w:pPr>
            <w:r w:rsidRPr="00DC50FC">
              <w:rPr>
                <w:rFonts w:asciiTheme="minorHAnsi" w:hAnsiTheme="minorHAnsi"/>
                <w:szCs w:val="24"/>
              </w:rPr>
              <w:t>Total Salary Costs</w:t>
            </w:r>
          </w:p>
        </w:tc>
        <w:tc>
          <w:tcPr>
            <w:tcW w:w="1145" w:type="pct"/>
            <w:hideMark/>
          </w:tcPr>
          <w:p w14:paraId="10640FD3" w14:textId="204EC2F2" w:rsidR="009B5B5A" w:rsidRPr="00DC50FC" w:rsidRDefault="009B5B5A" w:rsidP="00BB6E28">
            <w:pPr>
              <w:pStyle w:val="FigureTitle"/>
              <w:spacing w:before="0" w:after="60"/>
              <w:jc w:val="right"/>
              <w:rPr>
                <w:rFonts w:asciiTheme="minorHAnsi" w:hAnsiTheme="minorHAnsi"/>
                <w:b w:val="0"/>
                <w:sz w:val="24"/>
                <w:szCs w:val="24"/>
              </w:rPr>
            </w:pPr>
            <w:r w:rsidRPr="00DC50FC">
              <w:rPr>
                <w:rFonts w:asciiTheme="minorHAnsi" w:hAnsiTheme="minorHAnsi"/>
                <w:b w:val="0"/>
                <w:bCs/>
                <w:szCs w:val="24"/>
              </w:rPr>
              <w:t>$1</w:t>
            </w:r>
            <w:r w:rsidR="00BB6E28" w:rsidRPr="00DC50FC">
              <w:rPr>
                <w:rFonts w:asciiTheme="minorHAnsi" w:hAnsiTheme="minorHAnsi"/>
                <w:b w:val="0"/>
                <w:bCs/>
                <w:szCs w:val="24"/>
              </w:rPr>
              <w:t>4,219.40</w:t>
            </w:r>
          </w:p>
        </w:tc>
      </w:tr>
      <w:tr w:rsidR="008D743F" w:rsidRPr="00DC50FC" w14:paraId="6FF95873" w14:textId="77777777" w:rsidTr="00F029F7">
        <w:trPr>
          <w:trHeight w:val="288"/>
        </w:trPr>
        <w:tc>
          <w:tcPr>
            <w:tcW w:w="3855" w:type="pct"/>
            <w:gridSpan w:val="3"/>
            <w:hideMark/>
          </w:tcPr>
          <w:p w14:paraId="7CB557C3" w14:textId="77777777" w:rsidR="009B5B5A" w:rsidRPr="00DC50FC" w:rsidRDefault="009B5B5A" w:rsidP="009C6AAC">
            <w:pPr>
              <w:pStyle w:val="FigureTitle"/>
              <w:spacing w:before="0" w:after="60"/>
              <w:jc w:val="right"/>
              <w:rPr>
                <w:rFonts w:asciiTheme="minorHAnsi" w:hAnsiTheme="minorHAnsi"/>
                <w:sz w:val="24"/>
                <w:szCs w:val="24"/>
              </w:rPr>
            </w:pPr>
            <w:r w:rsidRPr="00DC50FC">
              <w:rPr>
                <w:rFonts w:asciiTheme="minorHAnsi" w:hAnsiTheme="minorHAnsi"/>
                <w:sz w:val="24"/>
                <w:szCs w:val="24"/>
              </w:rPr>
              <w:t>Contract Cost</w:t>
            </w:r>
          </w:p>
        </w:tc>
        <w:tc>
          <w:tcPr>
            <w:tcW w:w="1145" w:type="pct"/>
          </w:tcPr>
          <w:p w14:paraId="53F4C368" w14:textId="122D3320" w:rsidR="009B5B5A" w:rsidRPr="00DC50FC" w:rsidRDefault="009B5B5A" w:rsidP="009C6AAC">
            <w:pPr>
              <w:pStyle w:val="FigureTitle"/>
              <w:spacing w:before="0" w:after="60"/>
              <w:jc w:val="right"/>
              <w:rPr>
                <w:rFonts w:asciiTheme="minorHAnsi" w:hAnsiTheme="minorHAnsi"/>
                <w:b w:val="0"/>
                <w:sz w:val="24"/>
                <w:szCs w:val="24"/>
              </w:rPr>
            </w:pPr>
            <w:r w:rsidRPr="00DC50FC">
              <w:rPr>
                <w:rFonts w:asciiTheme="minorHAnsi" w:hAnsiTheme="minorHAnsi"/>
                <w:b w:val="0"/>
                <w:szCs w:val="24"/>
              </w:rPr>
              <w:t>$</w:t>
            </w:r>
            <w:r w:rsidR="00E22715" w:rsidRPr="00DC50FC">
              <w:rPr>
                <w:rFonts w:asciiTheme="minorHAnsi" w:hAnsiTheme="minorHAnsi"/>
                <w:b w:val="0"/>
                <w:szCs w:val="24"/>
              </w:rPr>
              <w:t>885,000.00</w:t>
            </w:r>
          </w:p>
        </w:tc>
      </w:tr>
      <w:tr w:rsidR="008D743F" w:rsidRPr="00DC50FC" w14:paraId="7F3764F6" w14:textId="77777777" w:rsidTr="00F029F7">
        <w:trPr>
          <w:trHeight w:val="288"/>
        </w:trPr>
        <w:tc>
          <w:tcPr>
            <w:tcW w:w="3855" w:type="pct"/>
            <w:gridSpan w:val="3"/>
            <w:hideMark/>
          </w:tcPr>
          <w:p w14:paraId="4BC334A7" w14:textId="77777777" w:rsidR="009B5B5A" w:rsidRPr="00DC50FC" w:rsidRDefault="009B5B5A" w:rsidP="009C6AAC">
            <w:pPr>
              <w:pStyle w:val="FigureTitle"/>
              <w:spacing w:before="0" w:after="60"/>
              <w:jc w:val="right"/>
              <w:rPr>
                <w:rFonts w:asciiTheme="minorHAnsi" w:hAnsiTheme="minorHAnsi"/>
                <w:sz w:val="24"/>
                <w:szCs w:val="24"/>
              </w:rPr>
            </w:pPr>
            <w:r w:rsidRPr="00DC50FC">
              <w:rPr>
                <w:rFonts w:asciiTheme="minorHAnsi" w:hAnsiTheme="minorHAnsi"/>
                <w:sz w:val="24"/>
                <w:szCs w:val="24"/>
              </w:rPr>
              <w:t>Total</w:t>
            </w:r>
          </w:p>
        </w:tc>
        <w:tc>
          <w:tcPr>
            <w:tcW w:w="1145" w:type="pct"/>
            <w:hideMark/>
          </w:tcPr>
          <w:p w14:paraId="1AC7D4B2" w14:textId="5968C920" w:rsidR="009B5B5A" w:rsidRPr="00DC50FC" w:rsidRDefault="009B5B5A" w:rsidP="00E22715">
            <w:pPr>
              <w:pStyle w:val="FigureTitle"/>
              <w:spacing w:before="0" w:after="60"/>
              <w:jc w:val="right"/>
              <w:rPr>
                <w:rFonts w:asciiTheme="minorHAnsi" w:hAnsiTheme="minorHAnsi"/>
                <w:sz w:val="24"/>
                <w:szCs w:val="24"/>
              </w:rPr>
            </w:pPr>
            <w:r w:rsidRPr="00DC50FC">
              <w:rPr>
                <w:rFonts w:asciiTheme="minorHAnsi" w:hAnsiTheme="minorHAnsi"/>
                <w:szCs w:val="24"/>
              </w:rPr>
              <w:t>$</w:t>
            </w:r>
            <w:r w:rsidR="00BB6E28" w:rsidRPr="00DC50FC">
              <w:rPr>
                <w:rFonts w:asciiTheme="minorHAnsi" w:hAnsiTheme="minorHAnsi"/>
                <w:szCs w:val="24"/>
              </w:rPr>
              <w:t>899,219.40</w:t>
            </w:r>
          </w:p>
        </w:tc>
      </w:tr>
    </w:tbl>
    <w:p w14:paraId="2264C24B" w14:textId="77777777" w:rsidR="00C82D5C" w:rsidRPr="00DC50FC" w:rsidRDefault="00C82D5C" w:rsidP="009C6AAC">
      <w:pPr>
        <w:spacing w:before="100" w:beforeAutospacing="1" w:after="240"/>
        <w:ind w:left="360"/>
        <w:rPr>
          <w:rFonts w:cs="Times New Roman"/>
          <w:u w:val="single"/>
        </w:rPr>
      </w:pPr>
      <w:r w:rsidRPr="00DC50FC">
        <w:rPr>
          <w:rFonts w:eastAsia="Times New Roman" w:cs="Times New Roman"/>
        </w:rPr>
        <w:t xml:space="preserve">15. </w:t>
      </w:r>
      <w:r w:rsidRPr="00DC50FC">
        <w:rPr>
          <w:rFonts w:cs="Times New Roman"/>
          <w:u w:val="single"/>
        </w:rPr>
        <w:t>Explanation for Program Changes or Adjustments</w:t>
      </w:r>
    </w:p>
    <w:p w14:paraId="0E7E8C4C" w14:textId="58C5F57A" w:rsidR="00C82D5C" w:rsidRPr="00DC50FC" w:rsidRDefault="00C82D5C" w:rsidP="009E75BD">
      <w:pPr>
        <w:pStyle w:val="BodyTextIndent"/>
        <w:spacing w:after="240"/>
        <w:ind w:left="720"/>
        <w:rPr>
          <w:rFonts w:asciiTheme="minorHAnsi" w:hAnsiTheme="minorHAnsi"/>
        </w:rPr>
      </w:pPr>
      <w:r w:rsidRPr="00DC50FC">
        <w:rPr>
          <w:rFonts w:asciiTheme="minorHAnsi" w:hAnsiTheme="minorHAnsi"/>
        </w:rPr>
        <w:t xml:space="preserve">This is a new </w:t>
      </w:r>
      <w:r w:rsidR="001B64F3" w:rsidRPr="00DC50FC">
        <w:rPr>
          <w:rFonts w:asciiTheme="minorHAnsi" w:hAnsiTheme="minorHAnsi"/>
        </w:rPr>
        <w:t xml:space="preserve">individual generic </w:t>
      </w:r>
      <w:r w:rsidRPr="00DC50FC">
        <w:rPr>
          <w:rFonts w:asciiTheme="minorHAnsi" w:hAnsiTheme="minorHAnsi"/>
        </w:rPr>
        <w:t>data collection.</w:t>
      </w:r>
    </w:p>
    <w:p w14:paraId="4793B471" w14:textId="4759FAA4" w:rsidR="00C82D5C" w:rsidRPr="00DC50FC" w:rsidRDefault="00C82D5C" w:rsidP="009C6AAC">
      <w:pPr>
        <w:pStyle w:val="BodyTextIndent"/>
        <w:spacing w:after="240"/>
        <w:rPr>
          <w:rFonts w:asciiTheme="minorHAnsi" w:hAnsiTheme="minorHAnsi"/>
        </w:rPr>
      </w:pPr>
      <w:r w:rsidRPr="00DC50FC">
        <w:rPr>
          <w:rFonts w:asciiTheme="minorHAnsi" w:hAnsiTheme="minorHAnsi"/>
        </w:rPr>
        <w:t xml:space="preserve">16. </w:t>
      </w:r>
      <w:r w:rsidRPr="00DC50FC">
        <w:rPr>
          <w:rFonts w:asciiTheme="minorHAnsi" w:hAnsiTheme="minorHAnsi"/>
          <w:u w:val="single"/>
        </w:rPr>
        <w:t>Plans for Tabulation and Publication and Project Time Schedule</w:t>
      </w:r>
    </w:p>
    <w:p w14:paraId="58516183" w14:textId="0F8F5E79" w:rsidR="00873D51" w:rsidRPr="00C04567" w:rsidRDefault="00873D51" w:rsidP="00C04567">
      <w:pPr>
        <w:spacing w:after="240"/>
        <w:ind w:left="720"/>
        <w:rPr>
          <w:rFonts w:eastAsia="Times New Roman" w:cs="Times New Roman"/>
        </w:rPr>
      </w:pPr>
      <w:r w:rsidRPr="00C04567">
        <w:rPr>
          <w:rFonts w:eastAsia="Times New Roman" w:cs="Times New Roman"/>
        </w:rPr>
        <w:t>The analysis will examine perceived effectiveness scores by ad, and knowledge, attitudes, and beliefs about tobacco use. Perceived effectiveness scores will be analyzed for all viewers of each a</w:t>
      </w:r>
      <w:r w:rsidR="00F47E76" w:rsidRPr="00C04567">
        <w:rPr>
          <w:rFonts w:eastAsia="Times New Roman" w:cs="Times New Roman"/>
        </w:rPr>
        <w:t>d, and may also be analyzed by</w:t>
      </w:r>
      <w:r w:rsidRPr="00C04567">
        <w:rPr>
          <w:rFonts w:eastAsia="Times New Roman" w:cs="Times New Roman"/>
        </w:rPr>
        <w:t xml:space="preserve"> demographic characteristics (i.e.</w:t>
      </w:r>
      <w:r w:rsidR="000420A0">
        <w:rPr>
          <w:rFonts w:eastAsia="Times New Roman" w:cs="Times New Roman"/>
        </w:rPr>
        <w:t>,</w:t>
      </w:r>
      <w:r w:rsidRPr="00C04567">
        <w:rPr>
          <w:rFonts w:eastAsia="Times New Roman" w:cs="Times New Roman"/>
        </w:rPr>
        <w:t xml:space="preserve"> gender, race/ethnicity). Responses to the knowledge, attitude, and belief questions will be compared between ad-viewing and control participants to identify any statistically significant differences. Findings from these analyses will be used to optimize video ads fo</w:t>
      </w:r>
      <w:r w:rsidR="004C0E0D" w:rsidRPr="00C04567">
        <w:rPr>
          <w:rFonts w:eastAsia="Times New Roman" w:cs="Times New Roman"/>
        </w:rPr>
        <w:t xml:space="preserve">r FDA’s </w:t>
      </w:r>
      <w:r w:rsidR="00F7365B" w:rsidRPr="00F7365B">
        <w:rPr>
          <w:rFonts w:eastAsia="Times New Roman" w:cs="Times New Roman"/>
          <w:i/>
        </w:rPr>
        <w:t>The Real Cost</w:t>
      </w:r>
      <w:r w:rsidR="00F47E76" w:rsidRPr="00C04567">
        <w:rPr>
          <w:rFonts w:eastAsia="Times New Roman" w:cs="Times New Roman"/>
        </w:rPr>
        <w:t xml:space="preserve"> </w:t>
      </w:r>
      <w:r w:rsidR="00141386" w:rsidRPr="00C04567">
        <w:rPr>
          <w:rFonts w:eastAsia="Times New Roman" w:cs="Times New Roman"/>
        </w:rPr>
        <w:t>c</w:t>
      </w:r>
      <w:r w:rsidR="00F47E76" w:rsidRPr="00C04567">
        <w:rPr>
          <w:rFonts w:eastAsia="Times New Roman" w:cs="Times New Roman"/>
        </w:rPr>
        <w:t>ampaign</w:t>
      </w:r>
      <w:r w:rsidRPr="00C04567">
        <w:rPr>
          <w:rFonts w:eastAsia="Times New Roman" w:cs="Times New Roman"/>
        </w:rPr>
        <w:t>.</w:t>
      </w:r>
    </w:p>
    <w:p w14:paraId="7AAB823B" w14:textId="20B019E1" w:rsidR="00F47E76" w:rsidRPr="00DC50FC" w:rsidRDefault="00F47E76" w:rsidP="009C6AAC">
      <w:pPr>
        <w:spacing w:before="100" w:beforeAutospacing="1" w:after="240"/>
        <w:ind w:left="720"/>
        <w:rPr>
          <w:rFonts w:cs="Times New Roman"/>
          <w:u w:val="single"/>
        </w:rPr>
      </w:pPr>
      <w:r w:rsidRPr="00DC50FC">
        <w:rPr>
          <w:rFonts w:cs="Times New Roman"/>
          <w:u w:val="single"/>
        </w:rPr>
        <w:t>Reporting</w:t>
      </w:r>
    </w:p>
    <w:p w14:paraId="2D4CCE9F" w14:textId="79517ED3" w:rsidR="00F47E76" w:rsidRPr="00DC50FC" w:rsidRDefault="00F47E76" w:rsidP="00C04567">
      <w:pPr>
        <w:spacing w:after="240"/>
        <w:ind w:left="720"/>
        <w:rPr>
          <w:rFonts w:cs="Times New Roman"/>
        </w:rPr>
      </w:pPr>
      <w:r w:rsidRPr="00DC50FC">
        <w:rPr>
          <w:rFonts w:cs="Times New Roman"/>
        </w:rPr>
        <w:t>The reporting and dissemination mechanism will consist of one primary component: summary statistics (in the form of PowerPoint presentations and other b</w:t>
      </w:r>
      <w:r w:rsidR="001E2B60" w:rsidRPr="00DC50FC">
        <w:rPr>
          <w:rFonts w:cs="Times New Roman"/>
        </w:rPr>
        <w:t xml:space="preserve">riefings) on </w:t>
      </w:r>
      <w:r w:rsidR="008D743F" w:rsidRPr="00DC50FC">
        <w:rPr>
          <w:rFonts w:cs="Times New Roman"/>
        </w:rPr>
        <w:t>participant</w:t>
      </w:r>
      <w:r w:rsidR="001E2B60" w:rsidRPr="00DC50FC">
        <w:rPr>
          <w:rFonts w:cs="Times New Roman"/>
        </w:rPr>
        <w:t xml:space="preserve"> reactions to </w:t>
      </w:r>
      <w:r w:rsidRPr="00DC50FC">
        <w:rPr>
          <w:rFonts w:cs="Times New Roman"/>
        </w:rPr>
        <w:t>video ads and potential unintended consequences. The key events and reports to be prepared are listed in Exhibit </w:t>
      </w:r>
      <w:r w:rsidR="00962D75" w:rsidRPr="00DC50FC">
        <w:rPr>
          <w:rFonts w:cs="Times New Roman"/>
        </w:rPr>
        <w:t>4</w:t>
      </w:r>
      <w:r w:rsidRPr="00DC50FC">
        <w:rPr>
          <w:rFonts w:cs="Times New Roman"/>
        </w:rPr>
        <w:t>.</w:t>
      </w:r>
    </w:p>
    <w:p w14:paraId="79C92B3A" w14:textId="555729A2" w:rsidR="00F47E76" w:rsidRPr="00DC50FC" w:rsidRDefault="00F47E76" w:rsidP="009C6AAC">
      <w:pPr>
        <w:spacing w:before="100" w:beforeAutospacing="1" w:after="240"/>
        <w:ind w:left="720"/>
        <w:rPr>
          <w:rFonts w:cs="Times New Roman"/>
        </w:rPr>
      </w:pPr>
      <w:bookmarkStart w:id="3" w:name="_Ref216592722"/>
      <w:bookmarkStart w:id="4" w:name="_Toc66689102"/>
      <w:bookmarkStart w:id="5" w:name="_Toc140476560"/>
      <w:bookmarkStart w:id="6" w:name="_Toc216595340"/>
      <w:bookmarkStart w:id="7" w:name="_Toc361824172"/>
      <w:r w:rsidRPr="00DC50FC">
        <w:rPr>
          <w:rFonts w:cs="Times New Roman"/>
          <w:b/>
        </w:rPr>
        <w:t xml:space="preserve">Exhibit </w:t>
      </w:r>
      <w:bookmarkEnd w:id="3"/>
      <w:r w:rsidR="00962D75" w:rsidRPr="00DC50FC">
        <w:rPr>
          <w:rFonts w:cs="Times New Roman"/>
          <w:b/>
        </w:rPr>
        <w:t>4</w:t>
      </w:r>
      <w:r w:rsidRPr="00DC50FC">
        <w:rPr>
          <w:rFonts w:cs="Times New Roman"/>
          <w:b/>
        </w:rPr>
        <w:t>.</w:t>
      </w:r>
      <w:bookmarkEnd w:id="4"/>
      <w:bookmarkEnd w:id="5"/>
      <w:bookmarkEnd w:id="6"/>
      <w:r w:rsidRPr="00DC50FC">
        <w:rPr>
          <w:rFonts w:cs="Times New Roman"/>
          <w:b/>
        </w:rPr>
        <w:t xml:space="preserve"> Project Schedule</w:t>
      </w:r>
      <w:bookmarkEnd w:id="7"/>
    </w:p>
    <w:tbl>
      <w:tblPr>
        <w:tblStyle w:val="TableGrid"/>
        <w:tblW w:w="7905" w:type="dxa"/>
        <w:tblInd w:w="715" w:type="dxa"/>
        <w:tblLayout w:type="fixed"/>
        <w:tblLook w:val="01E0" w:firstRow="1" w:lastRow="1" w:firstColumn="1" w:lastColumn="1" w:noHBand="0" w:noVBand="0"/>
      </w:tblPr>
      <w:tblGrid>
        <w:gridCol w:w="2970"/>
        <w:gridCol w:w="4935"/>
      </w:tblGrid>
      <w:tr w:rsidR="008D743F" w:rsidRPr="00DC50FC" w14:paraId="0BE1D752" w14:textId="77777777" w:rsidTr="008D743F">
        <w:tc>
          <w:tcPr>
            <w:tcW w:w="2970" w:type="dxa"/>
            <w:shd w:val="clear" w:color="auto" w:fill="BFBFBF" w:themeFill="background1" w:themeFillShade="BF"/>
          </w:tcPr>
          <w:p w14:paraId="358C3680" w14:textId="77777777" w:rsidR="00F47E76" w:rsidRPr="00DC50FC" w:rsidRDefault="00F47E76" w:rsidP="000C5CD3">
            <w:pPr>
              <w:rPr>
                <w:rFonts w:asciiTheme="minorHAnsi" w:hAnsiTheme="minorHAnsi"/>
                <w:b/>
                <w:sz w:val="24"/>
                <w:szCs w:val="24"/>
              </w:rPr>
            </w:pPr>
            <w:r w:rsidRPr="00DC50FC">
              <w:rPr>
                <w:rFonts w:asciiTheme="minorHAnsi" w:hAnsiTheme="minorHAnsi"/>
                <w:b/>
                <w:sz w:val="24"/>
                <w:szCs w:val="24"/>
              </w:rPr>
              <w:t>Project Activity</w:t>
            </w:r>
          </w:p>
        </w:tc>
        <w:tc>
          <w:tcPr>
            <w:tcW w:w="4935" w:type="dxa"/>
            <w:shd w:val="clear" w:color="auto" w:fill="BFBFBF" w:themeFill="background1" w:themeFillShade="BF"/>
          </w:tcPr>
          <w:p w14:paraId="5F138BAA" w14:textId="77777777" w:rsidR="00F47E76" w:rsidRPr="00DC50FC" w:rsidRDefault="00F47E76" w:rsidP="000C5CD3">
            <w:pPr>
              <w:rPr>
                <w:rFonts w:asciiTheme="minorHAnsi" w:hAnsiTheme="minorHAnsi"/>
                <w:b/>
                <w:sz w:val="24"/>
                <w:szCs w:val="24"/>
              </w:rPr>
            </w:pPr>
            <w:r w:rsidRPr="00DC50FC">
              <w:rPr>
                <w:rFonts w:asciiTheme="minorHAnsi" w:hAnsiTheme="minorHAnsi"/>
                <w:b/>
                <w:sz w:val="24"/>
                <w:szCs w:val="24"/>
              </w:rPr>
              <w:t>Date</w:t>
            </w:r>
          </w:p>
        </w:tc>
      </w:tr>
      <w:tr w:rsidR="00F47E76" w:rsidRPr="00DC50FC" w14:paraId="0E009D5E" w14:textId="77777777" w:rsidTr="002F1E96">
        <w:tc>
          <w:tcPr>
            <w:tcW w:w="2970" w:type="dxa"/>
          </w:tcPr>
          <w:p w14:paraId="720E211B" w14:textId="77777777" w:rsidR="00F47E76" w:rsidRPr="00DC50FC" w:rsidRDefault="00F47E76" w:rsidP="000C5CD3">
            <w:pPr>
              <w:rPr>
                <w:rFonts w:asciiTheme="minorHAnsi" w:hAnsiTheme="minorHAnsi"/>
                <w:sz w:val="24"/>
                <w:szCs w:val="24"/>
              </w:rPr>
            </w:pPr>
            <w:r w:rsidRPr="00DC50FC">
              <w:rPr>
                <w:rFonts w:asciiTheme="minorHAnsi" w:hAnsiTheme="minorHAnsi"/>
                <w:sz w:val="24"/>
                <w:szCs w:val="24"/>
              </w:rPr>
              <w:t>Survey</w:t>
            </w:r>
          </w:p>
        </w:tc>
        <w:tc>
          <w:tcPr>
            <w:tcW w:w="4935" w:type="dxa"/>
          </w:tcPr>
          <w:p w14:paraId="2318EB1E" w14:textId="3EA35C47" w:rsidR="00F47E76" w:rsidRPr="00DC50FC" w:rsidRDefault="006775C1" w:rsidP="009E7C1C">
            <w:pPr>
              <w:rPr>
                <w:rFonts w:asciiTheme="minorHAnsi" w:hAnsiTheme="minorHAnsi"/>
                <w:sz w:val="24"/>
                <w:szCs w:val="24"/>
              </w:rPr>
            </w:pPr>
            <w:r>
              <w:rPr>
                <w:rFonts w:asciiTheme="minorHAnsi" w:hAnsiTheme="minorHAnsi"/>
                <w:sz w:val="24"/>
                <w:szCs w:val="24"/>
              </w:rPr>
              <w:t>June</w:t>
            </w:r>
            <w:r w:rsidR="009E7C1C" w:rsidRPr="00DC50FC">
              <w:rPr>
                <w:rFonts w:asciiTheme="minorHAnsi" w:hAnsiTheme="minorHAnsi"/>
                <w:sz w:val="24"/>
                <w:szCs w:val="24"/>
              </w:rPr>
              <w:t xml:space="preserve"> </w:t>
            </w:r>
            <w:r w:rsidR="001B01AA" w:rsidRPr="00DC50FC">
              <w:rPr>
                <w:rFonts w:asciiTheme="minorHAnsi" w:hAnsiTheme="minorHAnsi"/>
                <w:sz w:val="24"/>
                <w:szCs w:val="24"/>
              </w:rPr>
              <w:t>2018</w:t>
            </w:r>
            <w:r w:rsidR="00F47E76" w:rsidRPr="00DC50FC">
              <w:rPr>
                <w:rFonts w:asciiTheme="minorHAnsi" w:hAnsiTheme="minorHAnsi"/>
                <w:sz w:val="24"/>
                <w:szCs w:val="24"/>
              </w:rPr>
              <w:t xml:space="preserve"> </w:t>
            </w:r>
            <w:r>
              <w:rPr>
                <w:rFonts w:asciiTheme="minorHAnsi" w:hAnsiTheme="minorHAnsi"/>
                <w:sz w:val="24"/>
                <w:szCs w:val="24"/>
              </w:rPr>
              <w:t>to August</w:t>
            </w:r>
            <w:r w:rsidR="006E0330" w:rsidRPr="00DC50FC">
              <w:rPr>
                <w:rFonts w:asciiTheme="minorHAnsi" w:hAnsiTheme="minorHAnsi"/>
                <w:sz w:val="24"/>
                <w:szCs w:val="24"/>
              </w:rPr>
              <w:t xml:space="preserve"> 2018 </w:t>
            </w:r>
            <w:r w:rsidR="00F47E76" w:rsidRPr="00DC50FC">
              <w:rPr>
                <w:rFonts w:asciiTheme="minorHAnsi" w:hAnsiTheme="minorHAnsi"/>
                <w:sz w:val="24"/>
                <w:szCs w:val="24"/>
              </w:rPr>
              <w:t>(Approximate)</w:t>
            </w:r>
          </w:p>
        </w:tc>
      </w:tr>
      <w:tr w:rsidR="00F47E76" w:rsidRPr="00DC50FC" w14:paraId="6F9532EA" w14:textId="77777777" w:rsidTr="002F1E96">
        <w:tc>
          <w:tcPr>
            <w:tcW w:w="2970" w:type="dxa"/>
          </w:tcPr>
          <w:p w14:paraId="48A1CCDB" w14:textId="77777777" w:rsidR="00F47E76" w:rsidRPr="00DC50FC" w:rsidRDefault="00F47E76" w:rsidP="000C5CD3">
            <w:pPr>
              <w:rPr>
                <w:rFonts w:asciiTheme="minorHAnsi" w:hAnsiTheme="minorHAnsi"/>
                <w:sz w:val="24"/>
                <w:szCs w:val="24"/>
              </w:rPr>
            </w:pPr>
            <w:r w:rsidRPr="00DC50FC">
              <w:rPr>
                <w:rFonts w:asciiTheme="minorHAnsi" w:hAnsiTheme="minorHAnsi"/>
                <w:sz w:val="24"/>
                <w:szCs w:val="24"/>
              </w:rPr>
              <w:t>Data analysis</w:t>
            </w:r>
          </w:p>
        </w:tc>
        <w:tc>
          <w:tcPr>
            <w:tcW w:w="4935" w:type="dxa"/>
          </w:tcPr>
          <w:p w14:paraId="023CBFC2" w14:textId="21C667FF" w:rsidR="00F47E76" w:rsidRPr="00DC50FC" w:rsidRDefault="006775C1" w:rsidP="006E0330">
            <w:pPr>
              <w:rPr>
                <w:rFonts w:asciiTheme="minorHAnsi" w:hAnsiTheme="minorHAnsi"/>
                <w:sz w:val="24"/>
                <w:szCs w:val="24"/>
              </w:rPr>
            </w:pPr>
            <w:r>
              <w:rPr>
                <w:rFonts w:asciiTheme="minorHAnsi" w:hAnsiTheme="minorHAnsi"/>
                <w:sz w:val="24"/>
                <w:szCs w:val="24"/>
              </w:rPr>
              <w:t>September</w:t>
            </w:r>
            <w:r w:rsidR="00F26D73" w:rsidRPr="00DC50FC">
              <w:rPr>
                <w:rFonts w:asciiTheme="minorHAnsi" w:hAnsiTheme="minorHAnsi"/>
                <w:sz w:val="24"/>
                <w:szCs w:val="24"/>
              </w:rPr>
              <w:t xml:space="preserve"> </w:t>
            </w:r>
            <w:r w:rsidR="00314390" w:rsidRPr="00DC50FC">
              <w:rPr>
                <w:rFonts w:asciiTheme="minorHAnsi" w:hAnsiTheme="minorHAnsi"/>
                <w:sz w:val="24"/>
                <w:szCs w:val="24"/>
              </w:rPr>
              <w:t xml:space="preserve">2018 to </w:t>
            </w:r>
            <w:r>
              <w:rPr>
                <w:rFonts w:asciiTheme="minorHAnsi" w:hAnsiTheme="minorHAnsi"/>
                <w:sz w:val="24"/>
                <w:szCs w:val="24"/>
              </w:rPr>
              <w:t>January</w:t>
            </w:r>
            <w:r w:rsidR="006E0330" w:rsidRPr="00DC50FC">
              <w:rPr>
                <w:rFonts w:asciiTheme="minorHAnsi" w:hAnsiTheme="minorHAnsi"/>
                <w:sz w:val="24"/>
                <w:szCs w:val="24"/>
              </w:rPr>
              <w:t xml:space="preserve"> </w:t>
            </w:r>
            <w:r>
              <w:rPr>
                <w:rFonts w:asciiTheme="minorHAnsi" w:hAnsiTheme="minorHAnsi"/>
                <w:sz w:val="24"/>
                <w:szCs w:val="24"/>
              </w:rPr>
              <w:t>2019</w:t>
            </w:r>
            <w:r w:rsidR="00314390" w:rsidRPr="00DC50FC">
              <w:rPr>
                <w:rFonts w:asciiTheme="minorHAnsi" w:hAnsiTheme="minorHAnsi"/>
                <w:sz w:val="24"/>
                <w:szCs w:val="24"/>
              </w:rPr>
              <w:t xml:space="preserve"> </w:t>
            </w:r>
            <w:r w:rsidR="00F47E76" w:rsidRPr="00DC50FC">
              <w:rPr>
                <w:rFonts w:asciiTheme="minorHAnsi" w:hAnsiTheme="minorHAnsi"/>
                <w:sz w:val="24"/>
                <w:szCs w:val="24"/>
              </w:rPr>
              <w:t>(Approximate)</w:t>
            </w:r>
          </w:p>
        </w:tc>
      </w:tr>
      <w:tr w:rsidR="00F47E76" w:rsidRPr="00DC50FC" w14:paraId="7749CBA1" w14:textId="77777777" w:rsidTr="002F1E96">
        <w:tc>
          <w:tcPr>
            <w:tcW w:w="2970" w:type="dxa"/>
          </w:tcPr>
          <w:p w14:paraId="49CF391D" w14:textId="77777777" w:rsidR="00F47E76" w:rsidRPr="00DC50FC" w:rsidRDefault="00F47E76" w:rsidP="000C5CD3">
            <w:pPr>
              <w:rPr>
                <w:rFonts w:asciiTheme="minorHAnsi" w:hAnsiTheme="minorHAnsi"/>
                <w:sz w:val="24"/>
                <w:szCs w:val="24"/>
              </w:rPr>
            </w:pPr>
            <w:r w:rsidRPr="00DC50FC">
              <w:rPr>
                <w:rFonts w:asciiTheme="minorHAnsi" w:hAnsiTheme="minorHAnsi"/>
                <w:sz w:val="24"/>
                <w:szCs w:val="24"/>
              </w:rPr>
              <w:t>Presentation of findings</w:t>
            </w:r>
          </w:p>
        </w:tc>
        <w:tc>
          <w:tcPr>
            <w:tcW w:w="4935" w:type="dxa"/>
          </w:tcPr>
          <w:p w14:paraId="2DCEF2EA" w14:textId="331CF750" w:rsidR="00F47E76" w:rsidRPr="00DC50FC" w:rsidRDefault="006775C1" w:rsidP="000C5CD3">
            <w:pPr>
              <w:rPr>
                <w:rFonts w:asciiTheme="minorHAnsi" w:hAnsiTheme="minorHAnsi"/>
                <w:sz w:val="24"/>
                <w:szCs w:val="24"/>
              </w:rPr>
            </w:pPr>
            <w:r>
              <w:rPr>
                <w:rFonts w:asciiTheme="minorHAnsi" w:hAnsiTheme="minorHAnsi"/>
                <w:sz w:val="24"/>
                <w:szCs w:val="24"/>
              </w:rPr>
              <w:t>February</w:t>
            </w:r>
            <w:r w:rsidR="006E0330" w:rsidRPr="00DC50FC">
              <w:rPr>
                <w:rFonts w:asciiTheme="minorHAnsi" w:hAnsiTheme="minorHAnsi"/>
                <w:sz w:val="24"/>
                <w:szCs w:val="24"/>
              </w:rPr>
              <w:t xml:space="preserve"> </w:t>
            </w:r>
            <w:r>
              <w:rPr>
                <w:rFonts w:asciiTheme="minorHAnsi" w:hAnsiTheme="minorHAnsi"/>
                <w:sz w:val="24"/>
                <w:szCs w:val="24"/>
              </w:rPr>
              <w:t>2019 to March 2019</w:t>
            </w:r>
            <w:r w:rsidR="00F47E76" w:rsidRPr="00DC50FC">
              <w:rPr>
                <w:rFonts w:asciiTheme="minorHAnsi" w:hAnsiTheme="minorHAnsi"/>
                <w:sz w:val="24"/>
                <w:szCs w:val="24"/>
              </w:rPr>
              <w:t xml:space="preserve"> (Approximate)</w:t>
            </w:r>
          </w:p>
        </w:tc>
      </w:tr>
    </w:tbl>
    <w:p w14:paraId="71B7E7B5" w14:textId="77777777" w:rsidR="00BE5651" w:rsidRPr="00DC50FC" w:rsidRDefault="00BE5651" w:rsidP="000C5CD3">
      <w:pPr>
        <w:spacing w:before="100" w:beforeAutospacing="1" w:after="100" w:afterAutospacing="1"/>
        <w:ind w:firstLine="360"/>
        <w:rPr>
          <w:rFonts w:cs="Times New Roman"/>
          <w:u w:val="single"/>
        </w:rPr>
      </w:pPr>
      <w:r w:rsidRPr="00DC50FC">
        <w:rPr>
          <w:rFonts w:eastAsia="Times New Roman" w:cs="Times New Roman"/>
        </w:rPr>
        <w:t xml:space="preserve">17. </w:t>
      </w:r>
      <w:r w:rsidRPr="00DC50FC">
        <w:rPr>
          <w:rFonts w:cs="Times New Roman"/>
          <w:u w:val="single"/>
        </w:rPr>
        <w:t>Reason(s) Display of OMB Expiration Date is Inappropriate</w:t>
      </w:r>
    </w:p>
    <w:p w14:paraId="5B19BDD7" w14:textId="77777777" w:rsidR="00BE5651" w:rsidRPr="00DC50FC" w:rsidRDefault="00BE5651" w:rsidP="00C04567">
      <w:pPr>
        <w:spacing w:after="240"/>
        <w:ind w:left="720"/>
        <w:rPr>
          <w:rFonts w:cs="Times New Roman"/>
        </w:rPr>
      </w:pPr>
      <w:r w:rsidRPr="00DC50FC">
        <w:rPr>
          <w:rFonts w:cs="Times New Roman"/>
        </w:rPr>
        <w:t xml:space="preserve">Not </w:t>
      </w:r>
      <w:r w:rsidRPr="00C04567">
        <w:rPr>
          <w:rFonts w:eastAsia="Times New Roman" w:cs="Times New Roman"/>
        </w:rPr>
        <w:t>applicable</w:t>
      </w:r>
      <w:r w:rsidRPr="00DC50FC">
        <w:rPr>
          <w:rFonts w:cs="Times New Roman"/>
        </w:rPr>
        <w:t>. All data collection instruments will display the expiration date for OMB approval of the information collection.</w:t>
      </w:r>
    </w:p>
    <w:p w14:paraId="513EE9DC" w14:textId="5EF65DB4" w:rsidR="00BE5651" w:rsidRPr="00DC50FC" w:rsidRDefault="00BE5651" w:rsidP="000C5CD3">
      <w:pPr>
        <w:spacing w:before="100" w:beforeAutospacing="1" w:after="100" w:afterAutospacing="1"/>
        <w:ind w:left="360"/>
        <w:rPr>
          <w:rFonts w:cs="Times New Roman"/>
        </w:rPr>
      </w:pPr>
      <w:r w:rsidRPr="00DC50FC">
        <w:rPr>
          <w:rFonts w:cs="Times New Roman"/>
        </w:rPr>
        <w:t xml:space="preserve">18. </w:t>
      </w:r>
      <w:r w:rsidRPr="00DC50FC">
        <w:rPr>
          <w:rFonts w:cs="Times New Roman"/>
          <w:u w:val="single"/>
        </w:rPr>
        <w:t>Exceptions to Certification for Paperwork Reduction Act Submissions</w:t>
      </w:r>
    </w:p>
    <w:p w14:paraId="458003AC" w14:textId="77F5A2F3" w:rsidR="00C07CE6" w:rsidRPr="00C04567" w:rsidRDefault="00BE5651" w:rsidP="00C04567">
      <w:pPr>
        <w:spacing w:after="240"/>
        <w:ind w:left="720"/>
        <w:rPr>
          <w:rFonts w:eastAsia="Times New Roman" w:cs="Times New Roman"/>
        </w:rPr>
      </w:pPr>
      <w:r w:rsidRPr="00C04567">
        <w:rPr>
          <w:rFonts w:eastAsia="Times New Roman" w:cs="Times New Roman"/>
        </w:rPr>
        <w:t>Not applicable. There are no exceptions to the certification statement.</w:t>
      </w:r>
      <w:r w:rsidR="00C07CE6" w:rsidRPr="00C04567">
        <w:rPr>
          <w:rFonts w:eastAsia="Times New Roman" w:cs="Times New Roman"/>
        </w:rPr>
        <w:br w:type="page"/>
      </w:r>
    </w:p>
    <w:p w14:paraId="393264ED" w14:textId="61683C32" w:rsidR="00BE5651" w:rsidRPr="00DC50FC" w:rsidRDefault="00C07CE6" w:rsidP="009C6AAC">
      <w:pPr>
        <w:spacing w:before="100" w:beforeAutospacing="1" w:after="240"/>
        <w:rPr>
          <w:rFonts w:cs="Times New Roman"/>
          <w:b/>
        </w:rPr>
      </w:pPr>
      <w:r w:rsidRPr="00DC50FC">
        <w:rPr>
          <w:rFonts w:cs="Times New Roman"/>
          <w:b/>
        </w:rPr>
        <w:t>References</w:t>
      </w:r>
    </w:p>
    <w:p w14:paraId="45C4FE31" w14:textId="77777777" w:rsidR="00740E83" w:rsidRPr="00DC50FC" w:rsidRDefault="00740E83"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 xml:space="preserve">Abreu, D. A., &amp; Winters, F. (1999). Using monetary incentives to reduce attrition in the survey of income and program participation. In: U.S. Census Bureau. </w:t>
      </w:r>
      <w:r w:rsidRPr="00DC50FC">
        <w:rPr>
          <w:rFonts w:eastAsia="Times New Roman" w:cs="Times New Roman"/>
          <w:i/>
          <w:iCs/>
          <w:color w:val="000000" w:themeColor="text1"/>
          <w:shd w:val="clear" w:color="auto" w:fill="FFFFFF"/>
        </w:rPr>
        <w:t>Proceedings of the Survey Research Methods</w:t>
      </w:r>
      <w:r w:rsidRPr="00DC50FC">
        <w:rPr>
          <w:rFonts w:eastAsia="Times New Roman" w:cs="Times New Roman"/>
          <w:iCs/>
          <w:color w:val="000000" w:themeColor="text1"/>
          <w:shd w:val="clear" w:color="auto" w:fill="FFFFFF"/>
        </w:rPr>
        <w:t>,</w:t>
      </w:r>
      <w:r w:rsidRPr="00DC50FC" w:rsidDel="00906383">
        <w:rPr>
          <w:rFonts w:eastAsia="Times New Roman" w:cs="Times New Roman"/>
          <w:iCs/>
          <w:color w:val="000000" w:themeColor="text1"/>
          <w:shd w:val="clear" w:color="auto" w:fill="FFFFFF"/>
        </w:rPr>
        <w:t xml:space="preserve"> </w:t>
      </w:r>
      <w:r w:rsidRPr="00DC50FC">
        <w:rPr>
          <w:rFonts w:eastAsia="Times New Roman" w:cs="Times New Roman"/>
          <w:color w:val="000000" w:themeColor="text1"/>
          <w:shd w:val="clear" w:color="auto" w:fill="FFFFFF"/>
        </w:rPr>
        <w:t>533-538.</w:t>
      </w:r>
    </w:p>
    <w:p w14:paraId="3FE194DD" w14:textId="7293B6DD" w:rsidR="00B83DB4" w:rsidRPr="00DC50FC" w:rsidRDefault="00B83DB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 xml:space="preserve">Booker, C.L., Harding, S., Benzeval, M. (2011). A systematic review of the effect of retention methods in population-based cohort studies. </w:t>
      </w:r>
      <w:r w:rsidRPr="00DC50FC">
        <w:rPr>
          <w:rFonts w:eastAsia="Times New Roman" w:cs="Times New Roman"/>
          <w:i/>
          <w:color w:val="000000" w:themeColor="text1"/>
          <w:shd w:val="clear" w:color="auto" w:fill="FFFFFF"/>
        </w:rPr>
        <w:t>BMC Public Health, 11</w:t>
      </w:r>
      <w:r w:rsidRPr="00DC50FC">
        <w:rPr>
          <w:rFonts w:eastAsia="Times New Roman" w:cs="Times New Roman"/>
          <w:color w:val="000000" w:themeColor="text1"/>
          <w:shd w:val="clear" w:color="auto" w:fill="FFFFFF"/>
        </w:rPr>
        <w:t>, 249.</w:t>
      </w:r>
    </w:p>
    <w:p w14:paraId="528A8F54" w14:textId="72C2FBA6" w:rsidR="00B83DB4" w:rsidRPr="00DC50FC" w:rsidRDefault="00B83DB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 xml:space="preserve">Caldwell, P.H., Hamilton, S., Tan, A., &amp; Craig, J.C. (2010). Strategies for increasing recruitment to randomised controlled trials: Systematic review. </w:t>
      </w:r>
      <w:r w:rsidRPr="00DC50FC">
        <w:rPr>
          <w:rFonts w:eastAsia="Times New Roman" w:cs="Times New Roman"/>
          <w:i/>
          <w:color w:val="000000" w:themeColor="text1"/>
          <w:shd w:val="clear" w:color="auto" w:fill="FFFFFF"/>
        </w:rPr>
        <w:t>PLoS Medicine, 7</w:t>
      </w:r>
      <w:r w:rsidRPr="00DC50FC">
        <w:rPr>
          <w:rFonts w:eastAsia="Times New Roman" w:cs="Times New Roman"/>
          <w:color w:val="000000" w:themeColor="text1"/>
          <w:shd w:val="clear" w:color="auto" w:fill="FFFFFF"/>
        </w:rPr>
        <w:t>(11), e1000368.</w:t>
      </w:r>
    </w:p>
    <w:p w14:paraId="0AE22D0C" w14:textId="6732D44C" w:rsidR="00BF0CD4" w:rsidRPr="00DC50FC" w:rsidRDefault="00BF0CD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Castiglioni, L., Pforr, K., Krieger, U.</w:t>
      </w:r>
      <w:r w:rsidR="00740E83" w:rsidRPr="00DC50FC">
        <w:rPr>
          <w:rFonts w:eastAsia="Times New Roman" w:cs="Times New Roman"/>
          <w:color w:val="000000" w:themeColor="text1"/>
          <w:shd w:val="clear" w:color="auto" w:fill="FFFFFF"/>
        </w:rPr>
        <w:t xml:space="preserve"> (2008). </w:t>
      </w:r>
      <w:r w:rsidRPr="00DC50FC">
        <w:rPr>
          <w:rFonts w:eastAsia="Times New Roman" w:cs="Times New Roman"/>
          <w:color w:val="000000" w:themeColor="text1"/>
          <w:shd w:val="clear" w:color="auto" w:fill="FFFFFF"/>
        </w:rPr>
        <w:t>The effect of incentives on response rates and panel attrition: Results of a controlled experiment.</w:t>
      </w:r>
      <w:r w:rsidRPr="00DC50FC" w:rsidDel="00D42CBC">
        <w:rPr>
          <w:rFonts w:eastAsia="Times New Roman" w:cs="Times New Roman"/>
          <w:color w:val="000000" w:themeColor="text1"/>
          <w:shd w:val="clear" w:color="auto" w:fill="FFFFFF"/>
        </w:rPr>
        <w:t xml:space="preserve"> </w:t>
      </w:r>
      <w:r w:rsidRPr="00DC50FC">
        <w:rPr>
          <w:rFonts w:eastAsia="Times New Roman" w:cs="Times New Roman"/>
          <w:i/>
          <w:iCs/>
          <w:color w:val="000000" w:themeColor="text1"/>
          <w:shd w:val="clear" w:color="auto" w:fill="FFFFFF"/>
        </w:rPr>
        <w:t>Surv</w:t>
      </w:r>
      <w:r w:rsidR="00740E83" w:rsidRPr="00DC50FC">
        <w:rPr>
          <w:rFonts w:eastAsia="Times New Roman" w:cs="Times New Roman"/>
          <w:i/>
          <w:iCs/>
          <w:color w:val="000000" w:themeColor="text1"/>
          <w:shd w:val="clear" w:color="auto" w:fill="FFFFFF"/>
        </w:rPr>
        <w:t>ey</w:t>
      </w:r>
      <w:r w:rsidRPr="00DC50FC">
        <w:rPr>
          <w:rFonts w:eastAsia="Times New Roman" w:cs="Times New Roman"/>
          <w:i/>
          <w:iCs/>
          <w:color w:val="000000" w:themeColor="text1"/>
          <w:shd w:val="clear" w:color="auto" w:fill="FFFFFF"/>
        </w:rPr>
        <w:t xml:space="preserve"> Res</w:t>
      </w:r>
      <w:r w:rsidR="00740E83" w:rsidRPr="00DC50FC">
        <w:rPr>
          <w:rFonts w:eastAsia="Times New Roman" w:cs="Times New Roman"/>
          <w:i/>
          <w:iCs/>
          <w:color w:val="000000" w:themeColor="text1"/>
          <w:shd w:val="clear" w:color="auto" w:fill="FFFFFF"/>
        </w:rPr>
        <w:t xml:space="preserve">earch Methods, </w:t>
      </w:r>
      <w:r w:rsidRPr="00DC50FC">
        <w:rPr>
          <w:rFonts w:eastAsia="Times New Roman" w:cs="Times New Roman"/>
          <w:i/>
          <w:color w:val="000000" w:themeColor="text1"/>
          <w:shd w:val="clear" w:color="auto" w:fill="FFFFFF"/>
        </w:rPr>
        <w:t>2</w:t>
      </w:r>
      <w:r w:rsidR="00740E83" w:rsidRPr="00DC50FC">
        <w:rPr>
          <w:rFonts w:eastAsia="Times New Roman" w:cs="Times New Roman"/>
          <w:color w:val="000000" w:themeColor="text1"/>
          <w:shd w:val="clear" w:color="auto" w:fill="FFFFFF"/>
        </w:rPr>
        <w:t xml:space="preserve">(3), </w:t>
      </w:r>
      <w:r w:rsidRPr="00DC50FC">
        <w:rPr>
          <w:rFonts w:eastAsia="Times New Roman" w:cs="Times New Roman"/>
          <w:color w:val="000000" w:themeColor="text1"/>
          <w:shd w:val="clear" w:color="auto" w:fill="FFFFFF"/>
        </w:rPr>
        <w:t>151-158.</w:t>
      </w:r>
    </w:p>
    <w:p w14:paraId="21E6D88A" w14:textId="77777777" w:rsidR="00BF0CD4" w:rsidRPr="00DC50FC" w:rsidRDefault="00BF0CD4" w:rsidP="009C6AAC">
      <w:pPr>
        <w:spacing w:after="240"/>
        <w:rPr>
          <w:rFonts w:eastAsia="Times New Roman" w:cs="Times New Roman"/>
          <w:color w:val="000000" w:themeColor="text1"/>
          <w:lang w:bidi="en-US"/>
        </w:rPr>
      </w:pPr>
      <w:r w:rsidRPr="00DC50FC">
        <w:rPr>
          <w:rFonts w:eastAsia="Times New Roman" w:cs="Times New Roman"/>
          <w:color w:val="000000" w:themeColor="text1"/>
          <w:lang w:bidi="en-US"/>
        </w:rPr>
        <w:t xml:space="preserve">Centers for Disease Control (CDC). (2010). Tobacco Use Among Middle and High School Students-United States, 2000-2009. </w:t>
      </w:r>
      <w:r w:rsidRPr="00DC50FC">
        <w:rPr>
          <w:rFonts w:eastAsia="Times New Roman" w:cs="Times New Roman"/>
          <w:i/>
          <w:color w:val="000000" w:themeColor="text1"/>
          <w:lang w:bidi="en-US"/>
        </w:rPr>
        <w:t>Morbidity and Mortality Weekly Report, 59</w:t>
      </w:r>
      <w:r w:rsidRPr="00DC50FC">
        <w:rPr>
          <w:rFonts w:eastAsia="Times New Roman" w:cs="Times New Roman"/>
          <w:color w:val="000000" w:themeColor="text1"/>
          <w:lang w:bidi="en-US"/>
        </w:rPr>
        <w:t>(33), 1063-1068.</w:t>
      </w:r>
    </w:p>
    <w:p w14:paraId="5DF0BE24" w14:textId="5460A3C0" w:rsidR="00982ACA" w:rsidRPr="00DC50FC" w:rsidRDefault="00982ACA" w:rsidP="00083088">
      <w:pPr>
        <w:widowControl w:val="0"/>
        <w:autoSpaceDE w:val="0"/>
        <w:autoSpaceDN w:val="0"/>
        <w:adjustRightInd w:val="0"/>
        <w:spacing w:after="240"/>
        <w:rPr>
          <w:rFonts w:eastAsia="Times New Roman" w:cs="Times New Roman"/>
          <w:color w:val="000000" w:themeColor="text1"/>
        </w:rPr>
      </w:pPr>
      <w:r w:rsidRPr="00DC50FC">
        <w:rPr>
          <w:rFonts w:eastAsia="Times New Roman" w:cs="Times New Roman"/>
          <w:color w:val="000000" w:themeColor="text1"/>
        </w:rPr>
        <w:t>Giuliano, A.R., Mokuau, N., Hughes, C., Tortolero-Luna, G., Risendal, B., Ho, R.C.S.,</w:t>
      </w:r>
      <w:r w:rsidR="00701D8A" w:rsidRPr="00DC50FC">
        <w:rPr>
          <w:rFonts w:eastAsia="Times New Roman" w:cs="Times New Roman"/>
          <w:color w:val="000000" w:themeColor="text1"/>
        </w:rPr>
        <w:t xml:space="preserve"> … McCaskill-Stevens, W.J. (2000). Participation of miniorities in cancer research. </w:t>
      </w:r>
      <w:r w:rsidR="00701D8A" w:rsidRPr="00DC50FC">
        <w:rPr>
          <w:rFonts w:eastAsia="Times New Roman" w:cs="Times New Roman"/>
          <w:i/>
          <w:color w:val="000000" w:themeColor="text1"/>
        </w:rPr>
        <w:t>Annals of Epidemiology, 10</w:t>
      </w:r>
      <w:r w:rsidR="00701D8A" w:rsidRPr="00DC50FC">
        <w:rPr>
          <w:rFonts w:eastAsia="Times New Roman" w:cs="Times New Roman"/>
          <w:color w:val="000000" w:themeColor="text1"/>
        </w:rPr>
        <w:t>(8 Suppl 1), S22-S34.</w:t>
      </w:r>
    </w:p>
    <w:p w14:paraId="5C2E5B04" w14:textId="76CC6BA5" w:rsidR="00F26D73" w:rsidRPr="00DC50FC" w:rsidRDefault="00F26D73" w:rsidP="00083088">
      <w:pPr>
        <w:widowControl w:val="0"/>
        <w:autoSpaceDE w:val="0"/>
        <w:autoSpaceDN w:val="0"/>
        <w:adjustRightInd w:val="0"/>
        <w:spacing w:after="240"/>
        <w:rPr>
          <w:rFonts w:eastAsia="Times New Roman" w:cs="Times New Roman"/>
          <w:color w:val="000000" w:themeColor="text1"/>
        </w:rPr>
      </w:pPr>
      <w:r w:rsidRPr="00DC50FC">
        <w:rPr>
          <w:rFonts w:eastAsia="Times New Roman" w:cs="Times New Roman"/>
          <w:color w:val="000000" w:themeColor="text1"/>
        </w:rPr>
        <w:t xml:space="preserve">Hooven, C., Walsh, E., Willgerodt, M., &amp; Salazar, A. (2011). Increasing participation in prevention research: Strategies for youth, parents, and schools. </w:t>
      </w:r>
      <w:r w:rsidRPr="00DC50FC">
        <w:rPr>
          <w:rFonts w:eastAsia="Times New Roman" w:cs="Times New Roman"/>
          <w:i/>
          <w:color w:val="000000" w:themeColor="text1"/>
        </w:rPr>
        <w:t>Journal of Child and Adolescent Psychiatric Nursing, 24</w:t>
      </w:r>
      <w:r w:rsidRPr="00DC50FC">
        <w:rPr>
          <w:rFonts w:eastAsia="Times New Roman" w:cs="Times New Roman"/>
          <w:color w:val="000000" w:themeColor="text1"/>
        </w:rPr>
        <w:t>(3), 137-149.</w:t>
      </w:r>
    </w:p>
    <w:p w14:paraId="1EBB2356" w14:textId="32D48682" w:rsidR="00BF0CD4" w:rsidRPr="00DC50FC" w:rsidRDefault="00BF0CD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 xml:space="preserve">Jäckle, A., &amp; Lynn, P. </w:t>
      </w:r>
      <w:r w:rsidR="00740E83" w:rsidRPr="00DC50FC">
        <w:rPr>
          <w:rFonts w:eastAsia="Times New Roman" w:cs="Times New Roman"/>
          <w:color w:val="000000" w:themeColor="text1"/>
          <w:shd w:val="clear" w:color="auto" w:fill="FFFFFF"/>
        </w:rPr>
        <w:t xml:space="preserve">(2008). </w:t>
      </w:r>
      <w:r w:rsidRPr="00DC50FC">
        <w:rPr>
          <w:rFonts w:eastAsia="Times New Roman" w:cs="Times New Roman"/>
          <w:color w:val="000000" w:themeColor="text1"/>
          <w:shd w:val="clear" w:color="auto" w:fill="FFFFFF"/>
        </w:rPr>
        <w:t>Offre de primes d’encouragement aux répondants dans une enquête par panel multimodes: effets cumulatifs sur la non-réponse et le biais. </w:t>
      </w:r>
      <w:r w:rsidRPr="00DC50FC">
        <w:rPr>
          <w:rFonts w:eastAsia="Times New Roman" w:cs="Times New Roman"/>
          <w:i/>
          <w:iCs/>
          <w:color w:val="000000" w:themeColor="text1"/>
          <w:shd w:val="clear" w:color="auto" w:fill="FFFFFF"/>
        </w:rPr>
        <w:t>Techniques d’enquête</w:t>
      </w:r>
      <w:r w:rsidR="00740E83" w:rsidRPr="00DC50FC">
        <w:rPr>
          <w:rFonts w:eastAsia="Times New Roman" w:cs="Times New Roman"/>
          <w:color w:val="000000" w:themeColor="text1"/>
          <w:shd w:val="clear" w:color="auto" w:fill="FFFFFF"/>
        </w:rPr>
        <w:t xml:space="preserve">, </w:t>
      </w:r>
      <w:r w:rsidRPr="00DC50FC">
        <w:rPr>
          <w:rFonts w:eastAsia="Times New Roman" w:cs="Times New Roman"/>
          <w:i/>
          <w:iCs/>
          <w:color w:val="000000" w:themeColor="text1"/>
          <w:shd w:val="clear" w:color="auto" w:fill="FFFFFF"/>
        </w:rPr>
        <w:t>34</w:t>
      </w:r>
      <w:r w:rsidR="00740E83" w:rsidRPr="00DC50FC">
        <w:rPr>
          <w:rFonts w:eastAsia="Times New Roman" w:cs="Times New Roman"/>
          <w:color w:val="000000" w:themeColor="text1"/>
          <w:shd w:val="clear" w:color="auto" w:fill="FFFFFF"/>
        </w:rPr>
        <w:t>(1),</w:t>
      </w:r>
      <w:r w:rsidRPr="00DC50FC">
        <w:rPr>
          <w:rFonts w:eastAsia="Times New Roman" w:cs="Times New Roman"/>
          <w:color w:val="000000" w:themeColor="text1"/>
          <w:shd w:val="clear" w:color="auto" w:fill="FFFFFF"/>
        </w:rPr>
        <w:t xml:space="preserve"> 115-130.</w:t>
      </w:r>
    </w:p>
    <w:p w14:paraId="4948D8B6" w14:textId="6869F3C4" w:rsidR="001744B7" w:rsidRPr="00DC50FC" w:rsidRDefault="001744B7" w:rsidP="00083088">
      <w:pPr>
        <w:widowControl w:val="0"/>
        <w:autoSpaceDE w:val="0"/>
        <w:autoSpaceDN w:val="0"/>
        <w:adjustRightInd w:val="0"/>
        <w:spacing w:after="240"/>
        <w:rPr>
          <w:rFonts w:eastAsia="Times New Roman" w:cs="Times New Roman"/>
          <w:color w:val="000000" w:themeColor="text1"/>
        </w:rPr>
      </w:pPr>
      <w:r w:rsidRPr="00DC50FC">
        <w:rPr>
          <w:rFonts w:eastAsia="Times New Roman" w:cs="Times New Roman"/>
          <w:color w:val="000000" w:themeColor="text1"/>
        </w:rPr>
        <w:t xml:space="preserve">Jamal, A., Gentzke, A., Hu, S.S., Cullen, K.A., Apelberg, B.J., Homa, D.M., &amp; King, B.A. (2017). Tobacco Use Among Middle and High School Students – United States, 2011-2016. </w:t>
      </w:r>
      <w:r w:rsidRPr="00DC50FC">
        <w:rPr>
          <w:rFonts w:eastAsia="Times New Roman" w:cs="Times New Roman"/>
          <w:i/>
          <w:color w:val="000000" w:themeColor="text1"/>
        </w:rPr>
        <w:t>Morbidity and Mortality Weekly Report, 66</w:t>
      </w:r>
      <w:r w:rsidRPr="00DC50FC">
        <w:rPr>
          <w:rFonts w:eastAsia="Times New Roman" w:cs="Times New Roman"/>
          <w:color w:val="000000" w:themeColor="text1"/>
        </w:rPr>
        <w:t>(23), 597-603.</w:t>
      </w:r>
    </w:p>
    <w:p w14:paraId="2818AFA0" w14:textId="033B6B77" w:rsidR="00A15A39" w:rsidRPr="00DC50FC" w:rsidRDefault="00A15A39" w:rsidP="00083088">
      <w:pPr>
        <w:widowControl w:val="0"/>
        <w:autoSpaceDE w:val="0"/>
        <w:autoSpaceDN w:val="0"/>
        <w:adjustRightInd w:val="0"/>
        <w:spacing w:after="240"/>
        <w:rPr>
          <w:rFonts w:cs="Times New Roman"/>
        </w:rPr>
      </w:pPr>
      <w:r w:rsidRPr="00DC50FC">
        <w:rPr>
          <w:rFonts w:cs="Times New Roman"/>
        </w:rPr>
        <w:t>Jordan, J.W., Stalgaitis, C.A., Charles, J., Madden, P.A., Radhakrishnan, A.G., &amp; Saggese, D. (201</w:t>
      </w:r>
      <w:r w:rsidR="00F32573" w:rsidRPr="00DC50FC">
        <w:rPr>
          <w:rFonts w:cs="Times New Roman"/>
        </w:rPr>
        <w:t>8</w:t>
      </w:r>
      <w:r w:rsidRPr="00DC50FC">
        <w:rPr>
          <w:rFonts w:cs="Times New Roman"/>
        </w:rPr>
        <w:t>). Peer crowd</w:t>
      </w:r>
      <w:r w:rsidR="00504B03" w:rsidRPr="00DC50FC">
        <w:rPr>
          <w:rFonts w:cs="Times New Roman"/>
        </w:rPr>
        <w:t>s</w:t>
      </w:r>
      <w:r w:rsidRPr="00DC50FC">
        <w:rPr>
          <w:rFonts w:cs="Times New Roman"/>
        </w:rPr>
        <w:t xml:space="preserve"> and adolescent health behaviors: Results from a statewide representative study. </w:t>
      </w:r>
      <w:r w:rsidR="00F32573" w:rsidRPr="00DC50FC">
        <w:rPr>
          <w:rFonts w:cs="Times New Roman"/>
          <w:i/>
        </w:rPr>
        <w:t xml:space="preserve">Health Education &amp; Behavior. </w:t>
      </w:r>
      <w:r w:rsidR="00F32573" w:rsidRPr="00DC50FC">
        <w:rPr>
          <w:rFonts w:cs="Times New Roman"/>
        </w:rPr>
        <w:t>Advance online publication. doi: https://doi.org/10.1177/1090198118759148</w:t>
      </w:r>
      <w:r w:rsidR="00F32573" w:rsidRPr="00DC50FC">
        <w:rPr>
          <w:rFonts w:cs="Times New Roman"/>
          <w:i/>
        </w:rPr>
        <w:t xml:space="preserve"> </w:t>
      </w:r>
      <w:r w:rsidRPr="00DC50FC">
        <w:rPr>
          <w:rFonts w:cs="Times New Roman"/>
        </w:rPr>
        <w:t>.</w:t>
      </w:r>
    </w:p>
    <w:p w14:paraId="0C4766F9" w14:textId="77777777" w:rsidR="00BF0CD4" w:rsidRPr="00DC50FC" w:rsidRDefault="00BF0CD4" w:rsidP="00083088">
      <w:pPr>
        <w:widowControl w:val="0"/>
        <w:autoSpaceDE w:val="0"/>
        <w:autoSpaceDN w:val="0"/>
        <w:adjustRightInd w:val="0"/>
        <w:spacing w:after="240"/>
        <w:rPr>
          <w:rFonts w:eastAsia="Times New Roman" w:cs="Times New Roman"/>
          <w:color w:val="000000" w:themeColor="text1"/>
        </w:rPr>
      </w:pPr>
      <w:r w:rsidRPr="00DC50FC">
        <w:rPr>
          <w:rFonts w:eastAsia="Times New Roman" w:cs="Times New Roman"/>
          <w:color w:val="000000" w:themeColor="text1"/>
        </w:rPr>
        <w:t xml:space="preserve">Lee, Y. O., Jordan, J. W., Djakaria, M., &amp; Ling, P. M. (2014). Using peer crowds to segment Black youth for smoking intervention. </w:t>
      </w:r>
      <w:r w:rsidRPr="00DC50FC">
        <w:rPr>
          <w:rFonts w:eastAsia="Times New Roman" w:cs="Times New Roman"/>
          <w:i/>
          <w:iCs/>
          <w:color w:val="000000" w:themeColor="text1"/>
        </w:rPr>
        <w:t>Health Promotion Practice</w:t>
      </w:r>
      <w:r w:rsidRPr="00DC50FC">
        <w:rPr>
          <w:rFonts w:eastAsia="Times New Roman" w:cs="Times New Roman"/>
          <w:i/>
          <w:color w:val="000000" w:themeColor="text1"/>
        </w:rPr>
        <w:t>, 15</w:t>
      </w:r>
      <w:r w:rsidRPr="00DC50FC">
        <w:rPr>
          <w:rFonts w:eastAsia="Times New Roman" w:cs="Times New Roman"/>
          <w:color w:val="000000" w:themeColor="text1"/>
        </w:rPr>
        <w:t>(4), 530-537.</w:t>
      </w:r>
    </w:p>
    <w:p w14:paraId="05437A10" w14:textId="5AC6D0EB" w:rsidR="000B6659" w:rsidRPr="00DC50FC" w:rsidRDefault="000B6659" w:rsidP="00083088">
      <w:pPr>
        <w:widowControl w:val="0"/>
        <w:autoSpaceDE w:val="0"/>
        <w:autoSpaceDN w:val="0"/>
        <w:adjustRightInd w:val="0"/>
        <w:spacing w:after="240"/>
        <w:rPr>
          <w:rFonts w:cs="Times New Roman"/>
          <w:color w:val="000000" w:themeColor="text1"/>
        </w:rPr>
      </w:pPr>
      <w:r w:rsidRPr="00DC50FC">
        <w:rPr>
          <w:rFonts w:cs="Times New Roman"/>
          <w:color w:val="000000" w:themeColor="text1"/>
        </w:rPr>
        <w:t xml:space="preserve">Martinson, B.C., Lazovich, D., Lando, H.A., Perry, C.L., McGovern, P.G., &amp; Boyle, R.G. (2000). Effectiveness of monetary incentives for recruiting adolescents to an intervention trial to reduce smoking. </w:t>
      </w:r>
      <w:r w:rsidRPr="00DC50FC">
        <w:rPr>
          <w:rFonts w:cs="Times New Roman"/>
          <w:i/>
          <w:color w:val="000000" w:themeColor="text1"/>
        </w:rPr>
        <w:t>Preventive Medicine, 31</w:t>
      </w:r>
      <w:r w:rsidRPr="00DC50FC">
        <w:rPr>
          <w:rFonts w:cs="Times New Roman"/>
          <w:color w:val="000000" w:themeColor="text1"/>
        </w:rPr>
        <w:t>(6), 706-713.</w:t>
      </w:r>
    </w:p>
    <w:p w14:paraId="093416DD" w14:textId="18587B86" w:rsidR="00701D8A" w:rsidRPr="00DC50FC" w:rsidRDefault="00701D8A" w:rsidP="00083088">
      <w:pPr>
        <w:widowControl w:val="0"/>
        <w:autoSpaceDE w:val="0"/>
        <w:autoSpaceDN w:val="0"/>
        <w:adjustRightInd w:val="0"/>
        <w:spacing w:after="240"/>
        <w:rPr>
          <w:rFonts w:cs="Times New Roman"/>
          <w:color w:val="000000" w:themeColor="text1"/>
        </w:rPr>
      </w:pPr>
      <w:r w:rsidRPr="00DC50FC">
        <w:rPr>
          <w:rFonts w:cs="Times New Roman"/>
          <w:color w:val="000000" w:themeColor="text1"/>
        </w:rPr>
        <w:t xml:space="preserve">Murthy, V.H., Krumholz, H.M., &amp; Gross, C.P. (2004). Participation in cancer clinical trials: Race-, sex-, and age-based disparities. </w:t>
      </w:r>
      <w:r w:rsidRPr="00DC50FC">
        <w:rPr>
          <w:rFonts w:cs="Times New Roman"/>
          <w:i/>
          <w:color w:val="000000" w:themeColor="text1"/>
        </w:rPr>
        <w:t>Journal of the American Medical Association, 291</w:t>
      </w:r>
      <w:r w:rsidRPr="00DC50FC">
        <w:rPr>
          <w:rFonts w:cs="Times New Roman"/>
          <w:color w:val="000000" w:themeColor="text1"/>
        </w:rPr>
        <w:t>(22), 2720-2726.</w:t>
      </w:r>
    </w:p>
    <w:p w14:paraId="6826E0B1" w14:textId="0B846B25" w:rsidR="00B83DB4" w:rsidRPr="00DC50FC" w:rsidRDefault="00B83DB4" w:rsidP="00083088">
      <w:pPr>
        <w:widowControl w:val="0"/>
        <w:autoSpaceDE w:val="0"/>
        <w:autoSpaceDN w:val="0"/>
        <w:adjustRightInd w:val="0"/>
        <w:spacing w:after="240"/>
        <w:rPr>
          <w:rFonts w:cs="Times New Roman"/>
          <w:color w:val="000000" w:themeColor="text1"/>
        </w:rPr>
      </w:pPr>
      <w:r w:rsidRPr="00DC50FC">
        <w:rPr>
          <w:rFonts w:cs="Times New Roman"/>
          <w:color w:val="000000" w:themeColor="text1"/>
        </w:rPr>
        <w:t xml:space="preserve">Patel, M.X., Doku, V., Tennakoon, L. (2003). Challenges in recruitment of research participants. </w:t>
      </w:r>
      <w:r w:rsidRPr="00DC50FC">
        <w:rPr>
          <w:rFonts w:cs="Times New Roman"/>
          <w:i/>
          <w:color w:val="000000" w:themeColor="text1"/>
        </w:rPr>
        <w:t>Advances in Psychiatric Treathment, 9</w:t>
      </w:r>
      <w:r w:rsidRPr="00DC50FC">
        <w:rPr>
          <w:rFonts w:cs="Times New Roman"/>
          <w:color w:val="000000" w:themeColor="text1"/>
        </w:rPr>
        <w:t>(3), 229-238.</w:t>
      </w:r>
    </w:p>
    <w:p w14:paraId="5D0A9DFC" w14:textId="652E68CE" w:rsidR="00B83DB4" w:rsidRPr="00DC50FC" w:rsidRDefault="00B83DB4" w:rsidP="00083088">
      <w:pPr>
        <w:widowControl w:val="0"/>
        <w:autoSpaceDE w:val="0"/>
        <w:autoSpaceDN w:val="0"/>
        <w:adjustRightInd w:val="0"/>
        <w:spacing w:after="240"/>
        <w:rPr>
          <w:rFonts w:cs="Times New Roman"/>
          <w:color w:val="000000" w:themeColor="text1"/>
        </w:rPr>
      </w:pPr>
      <w:r w:rsidRPr="00DC50FC">
        <w:rPr>
          <w:rFonts w:cs="Times New Roman"/>
          <w:color w:val="000000" w:themeColor="text1"/>
        </w:rPr>
        <w:t xml:space="preserve">Post, A., Gilljam, H., Bremberg, S., &amp; Galanti, M.R. (2012). Psychosocial determinants of attrition in a longitudinal study of tobacco use in youth. </w:t>
      </w:r>
      <w:r w:rsidRPr="00DC50FC">
        <w:rPr>
          <w:rFonts w:cs="Times New Roman"/>
          <w:i/>
          <w:color w:val="000000" w:themeColor="text1"/>
        </w:rPr>
        <w:t>Scientific World Journal, 2012</w:t>
      </w:r>
      <w:r w:rsidRPr="00DC50FC">
        <w:rPr>
          <w:rFonts w:cs="Times New Roman"/>
          <w:color w:val="000000" w:themeColor="text1"/>
        </w:rPr>
        <w:t>, 654030.</w:t>
      </w:r>
    </w:p>
    <w:p w14:paraId="758CA9C0" w14:textId="0082E93D" w:rsidR="00B83DB4" w:rsidRPr="00DC50FC" w:rsidRDefault="00B83DB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 xml:space="preserve">Siddiqui, O., Flay, B.R., &amp; Hu, F.B. (1996). Factors affecting attrition in a longitudinal smoking prevention study. </w:t>
      </w:r>
      <w:r w:rsidRPr="00DC50FC">
        <w:rPr>
          <w:rFonts w:eastAsia="Times New Roman" w:cs="Times New Roman"/>
          <w:i/>
          <w:color w:val="000000" w:themeColor="text1"/>
          <w:shd w:val="clear" w:color="auto" w:fill="FFFFFF"/>
        </w:rPr>
        <w:t>Preventive Medicine, 25</w:t>
      </w:r>
      <w:r w:rsidRPr="00DC50FC">
        <w:rPr>
          <w:rFonts w:eastAsia="Times New Roman" w:cs="Times New Roman"/>
          <w:color w:val="000000" w:themeColor="text1"/>
          <w:shd w:val="clear" w:color="auto" w:fill="FFFFFF"/>
        </w:rPr>
        <w:t>(5), 554-560.</w:t>
      </w:r>
    </w:p>
    <w:p w14:paraId="2A4611EF" w14:textId="1E737CB7" w:rsidR="00BF0CD4" w:rsidRPr="00DC50FC" w:rsidRDefault="00BF0CD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Singer, E.</w:t>
      </w:r>
      <w:r w:rsidR="00740E83" w:rsidRPr="00DC50FC">
        <w:rPr>
          <w:rFonts w:eastAsia="Times New Roman" w:cs="Times New Roman"/>
          <w:color w:val="000000" w:themeColor="text1"/>
          <w:shd w:val="clear" w:color="auto" w:fill="FFFFFF"/>
        </w:rPr>
        <w:t xml:space="preserve"> (2002).</w:t>
      </w:r>
      <w:r w:rsidRPr="00DC50FC">
        <w:rPr>
          <w:rFonts w:eastAsia="Times New Roman" w:cs="Times New Roman"/>
          <w:color w:val="000000" w:themeColor="text1"/>
          <w:shd w:val="clear" w:color="auto" w:fill="FFFFFF"/>
        </w:rPr>
        <w:t xml:space="preserve"> The use of incentives to reduce nonresponse in household surveys. In: Wiley, ed. </w:t>
      </w:r>
      <w:r w:rsidRPr="00DC50FC">
        <w:rPr>
          <w:rFonts w:eastAsia="Times New Roman" w:cs="Times New Roman"/>
          <w:i/>
          <w:iCs/>
          <w:color w:val="000000" w:themeColor="text1"/>
          <w:shd w:val="clear" w:color="auto" w:fill="FFFFFF"/>
        </w:rPr>
        <w:t>Survey nonresponse</w:t>
      </w:r>
      <w:r w:rsidR="00740E83" w:rsidRPr="00DC50FC">
        <w:rPr>
          <w:rFonts w:eastAsia="Times New Roman" w:cs="Times New Roman"/>
          <w:color w:val="000000" w:themeColor="text1"/>
          <w:shd w:val="clear" w:color="auto" w:fill="FFFFFF"/>
        </w:rPr>
        <w:t>,</w:t>
      </w:r>
      <w:r w:rsidRPr="00DC50FC">
        <w:rPr>
          <w:rFonts w:eastAsia="Times New Roman" w:cs="Times New Roman"/>
          <w:color w:val="000000" w:themeColor="text1"/>
          <w:shd w:val="clear" w:color="auto" w:fill="FFFFFF"/>
        </w:rPr>
        <w:t> </w:t>
      </w:r>
      <w:r w:rsidRPr="00DC50FC">
        <w:rPr>
          <w:rFonts w:eastAsia="Times New Roman" w:cs="Times New Roman"/>
          <w:i/>
          <w:iCs/>
          <w:color w:val="000000" w:themeColor="text1"/>
          <w:shd w:val="clear" w:color="auto" w:fill="FFFFFF"/>
        </w:rPr>
        <w:t>51</w:t>
      </w:r>
      <w:r w:rsidR="00740E83" w:rsidRPr="00DC50FC">
        <w:rPr>
          <w:rFonts w:eastAsia="Times New Roman" w:cs="Times New Roman"/>
          <w:color w:val="000000" w:themeColor="text1"/>
          <w:shd w:val="clear" w:color="auto" w:fill="FFFFFF"/>
        </w:rPr>
        <w:t xml:space="preserve">, </w:t>
      </w:r>
      <w:r w:rsidRPr="00DC50FC">
        <w:rPr>
          <w:rFonts w:eastAsia="Times New Roman" w:cs="Times New Roman"/>
          <w:color w:val="000000" w:themeColor="text1"/>
          <w:shd w:val="clear" w:color="auto" w:fill="FFFFFF"/>
        </w:rPr>
        <w:t>163-177.</w:t>
      </w:r>
    </w:p>
    <w:p w14:paraId="1F5C0F0D" w14:textId="65DACA58" w:rsidR="00BF0CD4" w:rsidRPr="00DC50FC" w:rsidRDefault="00BF0CD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Shettle, C., &amp; Mooney, G.</w:t>
      </w:r>
      <w:r w:rsidR="00740E83" w:rsidRPr="00DC50FC">
        <w:rPr>
          <w:rFonts w:eastAsia="Times New Roman" w:cs="Times New Roman"/>
          <w:color w:val="000000" w:themeColor="text1"/>
          <w:shd w:val="clear" w:color="auto" w:fill="FFFFFF"/>
        </w:rPr>
        <w:t xml:space="preserve"> (1999).</w:t>
      </w:r>
      <w:r w:rsidRPr="00DC50FC">
        <w:rPr>
          <w:rFonts w:eastAsia="Times New Roman" w:cs="Times New Roman"/>
          <w:color w:val="000000" w:themeColor="text1"/>
          <w:shd w:val="clear" w:color="auto" w:fill="FFFFFF"/>
        </w:rPr>
        <w:t xml:space="preserve"> Monetary incentives in US government surveys. </w:t>
      </w:r>
      <w:r w:rsidRPr="00DC50FC">
        <w:rPr>
          <w:rFonts w:eastAsia="Times New Roman" w:cs="Times New Roman"/>
          <w:i/>
          <w:iCs/>
          <w:color w:val="000000" w:themeColor="text1"/>
          <w:shd w:val="clear" w:color="auto" w:fill="FFFFFF"/>
        </w:rPr>
        <w:t>J</w:t>
      </w:r>
      <w:r w:rsidR="00740E83" w:rsidRPr="00DC50FC">
        <w:rPr>
          <w:rFonts w:eastAsia="Times New Roman" w:cs="Times New Roman"/>
          <w:i/>
          <w:iCs/>
          <w:color w:val="000000" w:themeColor="text1"/>
          <w:shd w:val="clear" w:color="auto" w:fill="FFFFFF"/>
        </w:rPr>
        <w:t>ournal of</w:t>
      </w:r>
      <w:r w:rsidRPr="00DC50FC">
        <w:rPr>
          <w:rFonts w:eastAsia="Times New Roman" w:cs="Times New Roman"/>
          <w:i/>
          <w:iCs/>
          <w:color w:val="000000" w:themeColor="text1"/>
          <w:shd w:val="clear" w:color="auto" w:fill="FFFFFF"/>
        </w:rPr>
        <w:t xml:space="preserve"> Off</w:t>
      </w:r>
      <w:r w:rsidR="00740E83" w:rsidRPr="00DC50FC">
        <w:rPr>
          <w:rFonts w:eastAsia="Times New Roman" w:cs="Times New Roman"/>
          <w:i/>
          <w:iCs/>
          <w:color w:val="000000" w:themeColor="text1"/>
          <w:shd w:val="clear" w:color="auto" w:fill="FFFFFF"/>
        </w:rPr>
        <w:t>icial</w:t>
      </w:r>
      <w:r w:rsidRPr="00DC50FC">
        <w:rPr>
          <w:rFonts w:eastAsia="Times New Roman" w:cs="Times New Roman"/>
          <w:i/>
          <w:iCs/>
          <w:color w:val="000000" w:themeColor="text1"/>
          <w:shd w:val="clear" w:color="auto" w:fill="FFFFFF"/>
        </w:rPr>
        <w:t xml:space="preserve"> Stat</w:t>
      </w:r>
      <w:r w:rsidR="00740E83" w:rsidRPr="00DC50FC">
        <w:rPr>
          <w:rFonts w:eastAsia="Times New Roman" w:cs="Times New Roman"/>
          <w:i/>
          <w:iCs/>
          <w:color w:val="000000" w:themeColor="text1"/>
          <w:shd w:val="clear" w:color="auto" w:fill="FFFFFF"/>
        </w:rPr>
        <w:t xml:space="preserve">istics, </w:t>
      </w:r>
      <w:r w:rsidRPr="00DC50FC">
        <w:rPr>
          <w:rFonts w:eastAsia="Times New Roman" w:cs="Times New Roman"/>
          <w:i/>
          <w:iCs/>
          <w:color w:val="000000" w:themeColor="text1"/>
          <w:shd w:val="clear" w:color="auto" w:fill="FFFFFF"/>
        </w:rPr>
        <w:t>15</w:t>
      </w:r>
      <w:r w:rsidR="00740E83" w:rsidRPr="00DC50FC">
        <w:rPr>
          <w:rFonts w:eastAsia="Times New Roman" w:cs="Times New Roman"/>
          <w:color w:val="000000" w:themeColor="text1"/>
          <w:shd w:val="clear" w:color="auto" w:fill="FFFFFF"/>
        </w:rPr>
        <w:t>(2),</w:t>
      </w:r>
      <w:r w:rsidRPr="00DC50FC">
        <w:rPr>
          <w:rFonts w:eastAsia="Times New Roman" w:cs="Times New Roman"/>
          <w:color w:val="000000" w:themeColor="text1"/>
          <w:shd w:val="clear" w:color="auto" w:fill="FFFFFF"/>
        </w:rPr>
        <w:t xml:space="preserve"> 231.</w:t>
      </w:r>
    </w:p>
    <w:p w14:paraId="2C1BA7AF" w14:textId="77777777" w:rsidR="00BF0CD4" w:rsidRPr="00DC50FC" w:rsidRDefault="00BF0CD4" w:rsidP="009C6AAC">
      <w:pPr>
        <w:spacing w:after="240"/>
        <w:rPr>
          <w:rFonts w:eastAsia="Times New Roman" w:cs="Times New Roman"/>
          <w:color w:val="000000" w:themeColor="text1"/>
          <w:shd w:val="clear" w:color="auto" w:fill="FFFFFF"/>
        </w:rPr>
      </w:pPr>
      <w:r w:rsidRPr="00DC50FC">
        <w:rPr>
          <w:rFonts w:eastAsia="Times New Roman" w:cs="Times New Roman"/>
          <w:color w:val="000000" w:themeColor="text1"/>
          <w:shd w:val="clear" w:color="auto" w:fill="FFFFFF"/>
        </w:rPr>
        <w:t xml:space="preserve">U.S. Department of Health and Human Services (USDHHS). (2014). </w:t>
      </w:r>
      <w:r w:rsidRPr="00DC50FC">
        <w:rPr>
          <w:rFonts w:eastAsia="Times New Roman" w:cs="Times New Roman"/>
          <w:i/>
          <w:iCs/>
          <w:color w:val="000000" w:themeColor="text1"/>
          <w:shd w:val="clear" w:color="auto" w:fill="FFFFFF"/>
        </w:rPr>
        <w:t>The Health Consequences of Smoking—50 Years of Progress: A Report of the Surgeon General</w:t>
      </w:r>
      <w:r w:rsidRPr="00DC50FC">
        <w:rPr>
          <w:rFonts w:eastAsia="Times New Roman" w:cs="Times New Roman"/>
          <w:color w:val="000000" w:themeColor="text1"/>
          <w:shd w:val="clear" w:color="auto" w:fill="FFFFFF"/>
        </w:rPr>
        <w:t>. Atlanta, GA: U.S. Department of Health and Human Services, Centers for Disease Control and Prevention, National Center for Chronic Disease Prevention and Health Promotion, Office on Smoking and Health.</w:t>
      </w:r>
    </w:p>
    <w:p w14:paraId="1ACD79F5" w14:textId="77777777" w:rsidR="00BF0CD4" w:rsidRPr="00DC50FC" w:rsidRDefault="00BF0CD4" w:rsidP="00083088">
      <w:pPr>
        <w:spacing w:after="240"/>
        <w:rPr>
          <w:rFonts w:eastAsia="Times New Roman" w:cs="Times New Roman"/>
          <w:color w:val="000000" w:themeColor="text1"/>
        </w:rPr>
      </w:pPr>
      <w:r w:rsidRPr="00DC50FC">
        <w:rPr>
          <w:rFonts w:eastAsia="Times New Roman" w:cs="Times New Roman"/>
          <w:color w:val="000000" w:themeColor="text1"/>
        </w:rPr>
        <w:t xml:space="preserve">Van der Rijt, G. A., d’Haenens, L. S., &amp; van Straten, P. (2002). Smoking and other substance use as distinct features of teenage subcultures. </w:t>
      </w:r>
      <w:r w:rsidRPr="00DC50FC">
        <w:rPr>
          <w:rFonts w:eastAsia="Times New Roman" w:cs="Times New Roman"/>
          <w:i/>
          <w:color w:val="000000" w:themeColor="text1"/>
        </w:rPr>
        <w:t>Journal of Adolescent Health, 31</w:t>
      </w:r>
      <w:r w:rsidRPr="00DC50FC">
        <w:rPr>
          <w:rFonts w:eastAsia="Times New Roman" w:cs="Times New Roman"/>
          <w:color w:val="000000" w:themeColor="text1"/>
        </w:rPr>
        <w:t>(5), 433-435.</w:t>
      </w:r>
    </w:p>
    <w:p w14:paraId="17658409" w14:textId="157C33D8" w:rsidR="00701D8A" w:rsidRPr="00DC50FC" w:rsidRDefault="00701D8A" w:rsidP="00083088">
      <w:pPr>
        <w:spacing w:after="240"/>
        <w:rPr>
          <w:rFonts w:cs="Times New Roman"/>
          <w:color w:val="000000" w:themeColor="text1"/>
        </w:rPr>
      </w:pPr>
      <w:r w:rsidRPr="00DC50FC">
        <w:rPr>
          <w:rFonts w:cs="Times New Roman"/>
          <w:color w:val="000000" w:themeColor="text1"/>
        </w:rPr>
        <w:t xml:space="preserve">Walter, J.K., Burke, J.F., &amp; Davis, M.M. (2013). Research participation by low-income and racial/ethnic minority groups: How payment may change the balance. </w:t>
      </w:r>
      <w:r w:rsidRPr="00DC50FC">
        <w:rPr>
          <w:rFonts w:cs="Times New Roman"/>
          <w:i/>
          <w:color w:val="000000" w:themeColor="text1"/>
        </w:rPr>
        <w:t>Clinical and Translational Science, 6</w:t>
      </w:r>
      <w:r w:rsidRPr="00DC50FC">
        <w:rPr>
          <w:rFonts w:cs="Times New Roman"/>
          <w:color w:val="000000" w:themeColor="text1"/>
        </w:rPr>
        <w:t>, 363-371.</w:t>
      </w:r>
    </w:p>
    <w:p w14:paraId="51C83737" w14:textId="52554DCF" w:rsidR="00F26D73" w:rsidRPr="00DC50FC" w:rsidRDefault="00F26D73" w:rsidP="00083088">
      <w:pPr>
        <w:spacing w:after="240"/>
        <w:rPr>
          <w:rFonts w:cs="Times New Roman"/>
          <w:color w:val="000000" w:themeColor="text1"/>
        </w:rPr>
      </w:pPr>
      <w:r w:rsidRPr="00DC50FC">
        <w:rPr>
          <w:rFonts w:cs="Times New Roman"/>
          <w:color w:val="000000" w:themeColor="text1"/>
        </w:rPr>
        <w:t xml:space="preserve">Zand, D., Thomson, N.R., Budan, M., Braun, J.A., Holterman-Hommes, P., &amp; Hunter, P.L. (2006). Predictors of retention in </w:t>
      </w:r>
      <w:r w:rsidR="000B6659" w:rsidRPr="00DC50FC">
        <w:rPr>
          <w:rFonts w:cs="Times New Roman"/>
          <w:color w:val="000000" w:themeColor="text1"/>
        </w:rPr>
        <w:t xml:space="preserve">an </w:t>
      </w:r>
      <w:r w:rsidRPr="00DC50FC">
        <w:rPr>
          <w:rFonts w:cs="Times New Roman"/>
          <w:color w:val="000000" w:themeColor="text1"/>
        </w:rPr>
        <w:t>alcohol, tobacco, and other</w:t>
      </w:r>
      <w:r w:rsidR="000B6659" w:rsidRPr="00DC50FC">
        <w:rPr>
          <w:rFonts w:cs="Times New Roman"/>
          <w:color w:val="000000" w:themeColor="text1"/>
        </w:rPr>
        <w:t xml:space="preserve"> drug prevention study. </w:t>
      </w:r>
      <w:r w:rsidR="000B6659" w:rsidRPr="00DC50FC">
        <w:rPr>
          <w:rFonts w:cs="Times New Roman"/>
          <w:i/>
          <w:color w:val="000000" w:themeColor="text1"/>
        </w:rPr>
        <w:t>Evaluation Review, 30</w:t>
      </w:r>
      <w:r w:rsidR="000B6659" w:rsidRPr="00DC50FC">
        <w:rPr>
          <w:rFonts w:cs="Times New Roman"/>
          <w:color w:val="000000" w:themeColor="text1"/>
        </w:rPr>
        <w:t>(2), 209-222.</w:t>
      </w:r>
    </w:p>
    <w:sectPr w:rsidR="00F26D73" w:rsidRPr="00DC50FC" w:rsidSect="003551C5">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0E646E" w14:textId="77777777" w:rsidR="00D06B25" w:rsidRDefault="00D06B25" w:rsidP="00476B0B">
      <w:r>
        <w:separator/>
      </w:r>
    </w:p>
    <w:p w14:paraId="0A07577A" w14:textId="77777777" w:rsidR="00D06B25" w:rsidRDefault="00D06B25"/>
  </w:endnote>
  <w:endnote w:type="continuationSeparator" w:id="0">
    <w:p w14:paraId="6C61685C" w14:textId="77777777" w:rsidR="00D06B25" w:rsidRDefault="00D06B25" w:rsidP="00476B0B">
      <w:r>
        <w:continuationSeparator/>
      </w:r>
    </w:p>
    <w:p w14:paraId="7929C458" w14:textId="77777777" w:rsidR="00D06B25" w:rsidRDefault="00D06B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BBA13F" w14:textId="77777777" w:rsidR="00D06B25" w:rsidRDefault="00D06B25" w:rsidP="009C6AAC">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0AE6535" w14:textId="77777777" w:rsidR="00D06B25" w:rsidRDefault="00D06B25">
    <w:pPr>
      <w:pStyle w:val="Footer"/>
    </w:pPr>
  </w:p>
  <w:p w14:paraId="669FE052" w14:textId="77777777" w:rsidR="00D06B25" w:rsidRDefault="00D06B2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5CAB9" w14:textId="2E19AE1D" w:rsidR="00D06B25" w:rsidRPr="009C6AAC" w:rsidRDefault="00D06B25" w:rsidP="009C6AAC">
    <w:pPr>
      <w:pStyle w:val="Footer"/>
      <w:framePr w:wrap="none" w:vAnchor="text" w:hAnchor="margin" w:xAlign="center" w:y="1"/>
      <w:rPr>
        <w:rStyle w:val="PageNumber"/>
        <w:rFonts w:ascii="Times New Roman" w:hAnsi="Times New Roman" w:cs="Times New Roman"/>
      </w:rPr>
    </w:pPr>
    <w:r w:rsidRPr="009C6AAC">
      <w:rPr>
        <w:rStyle w:val="PageNumber"/>
        <w:rFonts w:ascii="Times New Roman" w:hAnsi="Times New Roman" w:cs="Times New Roman"/>
      </w:rPr>
      <w:fldChar w:fldCharType="begin"/>
    </w:r>
    <w:r w:rsidRPr="009C6AAC">
      <w:rPr>
        <w:rStyle w:val="PageNumber"/>
        <w:rFonts w:ascii="Times New Roman" w:hAnsi="Times New Roman" w:cs="Times New Roman"/>
      </w:rPr>
      <w:instrText xml:space="preserve">PAGE  </w:instrText>
    </w:r>
    <w:r w:rsidRPr="009C6AAC">
      <w:rPr>
        <w:rStyle w:val="PageNumber"/>
        <w:rFonts w:ascii="Times New Roman" w:hAnsi="Times New Roman" w:cs="Times New Roman"/>
      </w:rPr>
      <w:fldChar w:fldCharType="separate"/>
    </w:r>
    <w:r w:rsidR="00306B72">
      <w:rPr>
        <w:rStyle w:val="PageNumber"/>
        <w:rFonts w:ascii="Times New Roman" w:hAnsi="Times New Roman" w:cs="Times New Roman"/>
        <w:noProof/>
      </w:rPr>
      <w:t>2</w:t>
    </w:r>
    <w:r w:rsidRPr="009C6AAC">
      <w:rPr>
        <w:rStyle w:val="PageNumber"/>
        <w:rFonts w:ascii="Times New Roman" w:hAnsi="Times New Roman" w:cs="Times New Roman"/>
      </w:rPr>
      <w:fldChar w:fldCharType="end"/>
    </w:r>
  </w:p>
  <w:p w14:paraId="0F1B756A" w14:textId="77777777" w:rsidR="00D06B25" w:rsidRPr="009C6AAC" w:rsidRDefault="00D06B25">
    <w:pPr>
      <w:pStyle w:val="Footer"/>
      <w:rPr>
        <w:rFonts w:ascii="Times New Roman" w:hAnsi="Times New Roman" w:cs="Times New Roman"/>
      </w:rPr>
    </w:pPr>
  </w:p>
  <w:p w14:paraId="0CD1B917" w14:textId="77777777" w:rsidR="00D06B25" w:rsidRDefault="00D06B2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749250" w14:textId="37114B57" w:rsidR="00D06B25" w:rsidRPr="009C6AAC" w:rsidRDefault="00D06B25">
    <w:pPr>
      <w:pStyle w:val="Footer"/>
      <w:tabs>
        <w:tab w:val="clear" w:pos="4680"/>
        <w:tab w:val="clear" w:pos="9360"/>
      </w:tabs>
      <w:jc w:val="center"/>
      <w:rPr>
        <w:rFonts w:ascii="Times New Roman" w:hAnsi="Times New Roman" w:cs="Times New Roman"/>
        <w:caps/>
        <w:noProof/>
        <w:color w:val="000000" w:themeColor="text1"/>
      </w:rPr>
    </w:pPr>
    <w:r w:rsidRPr="009C6AAC">
      <w:rPr>
        <w:rFonts w:ascii="Times New Roman" w:hAnsi="Times New Roman" w:cs="Times New Roman"/>
        <w:caps/>
        <w:color w:val="000000" w:themeColor="text1"/>
      </w:rPr>
      <w:fldChar w:fldCharType="begin"/>
    </w:r>
    <w:r w:rsidRPr="009C6AAC">
      <w:rPr>
        <w:rFonts w:ascii="Times New Roman" w:hAnsi="Times New Roman" w:cs="Times New Roman"/>
        <w:caps/>
        <w:color w:val="000000" w:themeColor="text1"/>
      </w:rPr>
      <w:instrText xml:space="preserve"> PAGE   \* MERGEFORMAT </w:instrText>
    </w:r>
    <w:r w:rsidRPr="009C6AAC">
      <w:rPr>
        <w:rFonts w:ascii="Times New Roman" w:hAnsi="Times New Roman" w:cs="Times New Roman"/>
        <w:caps/>
        <w:color w:val="000000" w:themeColor="text1"/>
      </w:rPr>
      <w:fldChar w:fldCharType="separate"/>
    </w:r>
    <w:r w:rsidR="00306B72">
      <w:rPr>
        <w:rFonts w:ascii="Times New Roman" w:hAnsi="Times New Roman" w:cs="Times New Roman"/>
        <w:caps/>
        <w:noProof/>
        <w:color w:val="000000" w:themeColor="text1"/>
      </w:rPr>
      <w:t>1</w:t>
    </w:r>
    <w:r w:rsidRPr="009C6AAC">
      <w:rPr>
        <w:rFonts w:ascii="Times New Roman" w:hAnsi="Times New Roman" w:cs="Times New Roman"/>
        <w:caps/>
        <w:noProof/>
        <w:color w:val="000000" w:themeColor="text1"/>
      </w:rPr>
      <w:fldChar w:fldCharType="end"/>
    </w:r>
  </w:p>
  <w:p w14:paraId="69DC9608" w14:textId="77777777" w:rsidR="00D06B25" w:rsidRDefault="00D06B25">
    <w:pPr>
      <w:pStyle w:val="Footer"/>
    </w:pPr>
  </w:p>
  <w:p w14:paraId="10513EC4" w14:textId="77777777" w:rsidR="00D06B25" w:rsidRDefault="00D06B2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AAA4336" w14:textId="77777777" w:rsidR="00D06B25" w:rsidRDefault="00D06B25" w:rsidP="00476B0B">
      <w:r>
        <w:separator/>
      </w:r>
    </w:p>
    <w:p w14:paraId="3C93B6F1" w14:textId="77777777" w:rsidR="00D06B25" w:rsidRDefault="00D06B25"/>
  </w:footnote>
  <w:footnote w:type="continuationSeparator" w:id="0">
    <w:p w14:paraId="16EBAFA5" w14:textId="77777777" w:rsidR="00D06B25" w:rsidRDefault="00D06B25" w:rsidP="00476B0B">
      <w:r>
        <w:continuationSeparator/>
      </w:r>
    </w:p>
    <w:p w14:paraId="5DB92AF4" w14:textId="77777777" w:rsidR="00D06B25" w:rsidRDefault="00D06B2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19BAD6" w14:textId="1221C4E1" w:rsidR="00D06B25" w:rsidRPr="002F1E96" w:rsidRDefault="00D06B25" w:rsidP="002F1E96">
    <w:pPr>
      <w:pStyle w:val="Header"/>
      <w:jc w:val="center"/>
      <w:rPr>
        <w:rFonts w:ascii="Times New Roman" w:hAnsi="Times New Roman" w:cs="Times New Roman"/>
        <w:b/>
        <w:color w:val="808080" w:themeColor="background1" w:themeShade="80"/>
      </w:rPr>
    </w:pPr>
    <w:r w:rsidRPr="005F52E3">
      <w:rPr>
        <w:rFonts w:ascii="Times New Roman" w:hAnsi="Times New Roman" w:cs="Times New Roman"/>
        <w:b/>
        <w:color w:val="808080" w:themeColor="background1" w:themeShade="80"/>
      </w:rPr>
      <w:t>SUPPORTING STATEMENT: PART A</w:t>
    </w:r>
  </w:p>
  <w:p w14:paraId="2AB2A6FE" w14:textId="77777777" w:rsidR="00D06B25" w:rsidRDefault="00D06B2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66167E"/>
    <w:multiLevelType w:val="hybridMultilevel"/>
    <w:tmpl w:val="22C40F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1D70C62"/>
    <w:multiLevelType w:val="multilevel"/>
    <w:tmpl w:val="8A08D972"/>
    <w:lvl w:ilvl="0">
      <w:start w:val="1"/>
      <w:numFmt w:val="decimal"/>
      <w:lvlText w:val="%1."/>
      <w:lvlJc w:val="left"/>
      <w:pPr>
        <w:ind w:left="72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99F7D2F"/>
    <w:multiLevelType w:val="hybridMultilevel"/>
    <w:tmpl w:val="7180B2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4D6C80"/>
    <w:multiLevelType w:val="hybridMultilevel"/>
    <w:tmpl w:val="82F6A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AF3879"/>
    <w:multiLevelType w:val="hybridMultilevel"/>
    <w:tmpl w:val="D578002E"/>
    <w:lvl w:ilvl="0" w:tplc="50B6D354">
      <w:start w:val="1"/>
      <w:numFmt w:val="bullet"/>
      <w:lvlText w:val=""/>
      <w:lvlJc w:val="left"/>
      <w:pPr>
        <w:ind w:left="360" w:hanging="360"/>
      </w:pPr>
      <w:rPr>
        <w:rFonts w:ascii="Symbol" w:hAnsi="Symbol" w:hint="default"/>
        <w:sz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399D09AB"/>
    <w:multiLevelType w:val="multilevel"/>
    <w:tmpl w:val="8A08D972"/>
    <w:lvl w:ilvl="0">
      <w:start w:val="1"/>
      <w:numFmt w:val="decimal"/>
      <w:lvlText w:val="%1."/>
      <w:lvlJc w:val="left"/>
      <w:pPr>
        <w:ind w:left="810" w:hanging="360"/>
      </w:pPr>
    </w:lvl>
    <w:lvl w:ilvl="1">
      <w:numFmt w:val="bullet"/>
      <w:lvlText w:val="•"/>
      <w:lvlJc w:val="left"/>
      <w:pPr>
        <w:ind w:left="2160" w:hanging="1080"/>
      </w:pPr>
      <w:rPr>
        <w:rFonts w:ascii="Times New Roman" w:eastAsia="Times New Roman" w:hAnsi="Times New Roman" w:cs="Times New Roman"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1743241"/>
    <w:multiLevelType w:val="hybridMultilevel"/>
    <w:tmpl w:val="28BAD23E"/>
    <w:lvl w:ilvl="0" w:tplc="8CC6025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D702900"/>
    <w:multiLevelType w:val="hybridMultilevel"/>
    <w:tmpl w:val="1C820B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3431F63"/>
    <w:multiLevelType w:val="hybridMultilevel"/>
    <w:tmpl w:val="8AB6E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7"/>
  </w:num>
  <w:num w:numId="4">
    <w:abstractNumId w:val="8"/>
  </w:num>
  <w:num w:numId="5">
    <w:abstractNumId w:val="3"/>
  </w:num>
  <w:num w:numId="6">
    <w:abstractNumId w:val="5"/>
  </w:num>
  <w:num w:numId="7">
    <w:abstractNumId w:val="0"/>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doNotTrackFormatting/>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8AE"/>
    <w:rsid w:val="000079B0"/>
    <w:rsid w:val="00011DD3"/>
    <w:rsid w:val="00012627"/>
    <w:rsid w:val="00023915"/>
    <w:rsid w:val="00024D98"/>
    <w:rsid w:val="00033A69"/>
    <w:rsid w:val="000420A0"/>
    <w:rsid w:val="000465AB"/>
    <w:rsid w:val="00050F65"/>
    <w:rsid w:val="00051FD8"/>
    <w:rsid w:val="00052415"/>
    <w:rsid w:val="00052B80"/>
    <w:rsid w:val="00055FF7"/>
    <w:rsid w:val="00060783"/>
    <w:rsid w:val="00073644"/>
    <w:rsid w:val="00076C7F"/>
    <w:rsid w:val="00083088"/>
    <w:rsid w:val="000928AE"/>
    <w:rsid w:val="00093634"/>
    <w:rsid w:val="000B0C03"/>
    <w:rsid w:val="000B22EE"/>
    <w:rsid w:val="000B52FA"/>
    <w:rsid w:val="000B6659"/>
    <w:rsid w:val="000C1F27"/>
    <w:rsid w:val="000C21FB"/>
    <w:rsid w:val="000C2CC2"/>
    <w:rsid w:val="000C3C69"/>
    <w:rsid w:val="000C4E7F"/>
    <w:rsid w:val="000C5CD3"/>
    <w:rsid w:val="000D08A0"/>
    <w:rsid w:val="000D4DC6"/>
    <w:rsid w:val="000D56DA"/>
    <w:rsid w:val="000D64D4"/>
    <w:rsid w:val="000E2F14"/>
    <w:rsid w:val="000E52AD"/>
    <w:rsid w:val="000F0D74"/>
    <w:rsid w:val="000F18CF"/>
    <w:rsid w:val="000F1B31"/>
    <w:rsid w:val="00101ED4"/>
    <w:rsid w:val="00106B79"/>
    <w:rsid w:val="00107F73"/>
    <w:rsid w:val="0012279F"/>
    <w:rsid w:val="00124223"/>
    <w:rsid w:val="00124FE4"/>
    <w:rsid w:val="00127AB5"/>
    <w:rsid w:val="00135481"/>
    <w:rsid w:val="00141386"/>
    <w:rsid w:val="001426A3"/>
    <w:rsid w:val="001446C2"/>
    <w:rsid w:val="001543EF"/>
    <w:rsid w:val="00154689"/>
    <w:rsid w:val="0015481A"/>
    <w:rsid w:val="00154C12"/>
    <w:rsid w:val="00154D57"/>
    <w:rsid w:val="001559F1"/>
    <w:rsid w:val="00157A94"/>
    <w:rsid w:val="00167CCB"/>
    <w:rsid w:val="001744B7"/>
    <w:rsid w:val="00174E04"/>
    <w:rsid w:val="0017712D"/>
    <w:rsid w:val="001838D8"/>
    <w:rsid w:val="0018523B"/>
    <w:rsid w:val="001A0F96"/>
    <w:rsid w:val="001A1F1A"/>
    <w:rsid w:val="001A293C"/>
    <w:rsid w:val="001A3402"/>
    <w:rsid w:val="001A3D57"/>
    <w:rsid w:val="001A6BF7"/>
    <w:rsid w:val="001A7750"/>
    <w:rsid w:val="001B01AA"/>
    <w:rsid w:val="001B4C28"/>
    <w:rsid w:val="001B53C4"/>
    <w:rsid w:val="001B64F3"/>
    <w:rsid w:val="001B6839"/>
    <w:rsid w:val="001C2431"/>
    <w:rsid w:val="001C3BDF"/>
    <w:rsid w:val="001C45B9"/>
    <w:rsid w:val="001C6994"/>
    <w:rsid w:val="001D2F4D"/>
    <w:rsid w:val="001D3F25"/>
    <w:rsid w:val="001E2B60"/>
    <w:rsid w:val="001E7EEB"/>
    <w:rsid w:val="001F250F"/>
    <w:rsid w:val="001F2943"/>
    <w:rsid w:val="001F54D7"/>
    <w:rsid w:val="00200D51"/>
    <w:rsid w:val="0020147F"/>
    <w:rsid w:val="0020580F"/>
    <w:rsid w:val="002061B4"/>
    <w:rsid w:val="00220260"/>
    <w:rsid w:val="0023124A"/>
    <w:rsid w:val="00231647"/>
    <w:rsid w:val="002324AB"/>
    <w:rsid w:val="00233559"/>
    <w:rsid w:val="00234AD5"/>
    <w:rsid w:val="00241A56"/>
    <w:rsid w:val="002478F7"/>
    <w:rsid w:val="00250617"/>
    <w:rsid w:val="002529B7"/>
    <w:rsid w:val="00257D24"/>
    <w:rsid w:val="00262CD0"/>
    <w:rsid w:val="00264665"/>
    <w:rsid w:val="00265325"/>
    <w:rsid w:val="00270DAC"/>
    <w:rsid w:val="00271746"/>
    <w:rsid w:val="00273351"/>
    <w:rsid w:val="00285B00"/>
    <w:rsid w:val="00285DA8"/>
    <w:rsid w:val="00286FD1"/>
    <w:rsid w:val="002B2A81"/>
    <w:rsid w:val="002B4B43"/>
    <w:rsid w:val="002C415A"/>
    <w:rsid w:val="002C50D4"/>
    <w:rsid w:val="002E1828"/>
    <w:rsid w:val="002E2B25"/>
    <w:rsid w:val="002E7453"/>
    <w:rsid w:val="002F1E96"/>
    <w:rsid w:val="002F2C04"/>
    <w:rsid w:val="002F611C"/>
    <w:rsid w:val="002F6B82"/>
    <w:rsid w:val="0030045D"/>
    <w:rsid w:val="00303CD6"/>
    <w:rsid w:val="00306495"/>
    <w:rsid w:val="00306B72"/>
    <w:rsid w:val="003122F3"/>
    <w:rsid w:val="00312D69"/>
    <w:rsid w:val="00314390"/>
    <w:rsid w:val="003150BC"/>
    <w:rsid w:val="00316BEC"/>
    <w:rsid w:val="0031786D"/>
    <w:rsid w:val="00327637"/>
    <w:rsid w:val="00330260"/>
    <w:rsid w:val="003311E3"/>
    <w:rsid w:val="003329B0"/>
    <w:rsid w:val="00335AB9"/>
    <w:rsid w:val="00340E8A"/>
    <w:rsid w:val="003418DA"/>
    <w:rsid w:val="00343FCA"/>
    <w:rsid w:val="00347053"/>
    <w:rsid w:val="0035072B"/>
    <w:rsid w:val="003508A0"/>
    <w:rsid w:val="00352D84"/>
    <w:rsid w:val="00353EBF"/>
    <w:rsid w:val="003551C5"/>
    <w:rsid w:val="00356826"/>
    <w:rsid w:val="00367E26"/>
    <w:rsid w:val="00371C89"/>
    <w:rsid w:val="0037511E"/>
    <w:rsid w:val="00387BB5"/>
    <w:rsid w:val="00390462"/>
    <w:rsid w:val="00397A3F"/>
    <w:rsid w:val="003A2F96"/>
    <w:rsid w:val="003A387E"/>
    <w:rsid w:val="003A7795"/>
    <w:rsid w:val="003B510E"/>
    <w:rsid w:val="003B57DE"/>
    <w:rsid w:val="003B7DA1"/>
    <w:rsid w:val="003C11F7"/>
    <w:rsid w:val="003C2832"/>
    <w:rsid w:val="003C2D47"/>
    <w:rsid w:val="003C3236"/>
    <w:rsid w:val="003C37FE"/>
    <w:rsid w:val="003C5103"/>
    <w:rsid w:val="003D14EA"/>
    <w:rsid w:val="003D3C3D"/>
    <w:rsid w:val="003D5431"/>
    <w:rsid w:val="003E09B5"/>
    <w:rsid w:val="003E1CD5"/>
    <w:rsid w:val="003F27DE"/>
    <w:rsid w:val="003F4239"/>
    <w:rsid w:val="003F642C"/>
    <w:rsid w:val="00401392"/>
    <w:rsid w:val="004018EB"/>
    <w:rsid w:val="0041184B"/>
    <w:rsid w:val="00411CC1"/>
    <w:rsid w:val="004213CB"/>
    <w:rsid w:val="00431315"/>
    <w:rsid w:val="00437758"/>
    <w:rsid w:val="00437AE3"/>
    <w:rsid w:val="00442BE8"/>
    <w:rsid w:val="00445CAC"/>
    <w:rsid w:val="0045543B"/>
    <w:rsid w:val="0046356B"/>
    <w:rsid w:val="00470921"/>
    <w:rsid w:val="004759BA"/>
    <w:rsid w:val="00476B0B"/>
    <w:rsid w:val="00477DDA"/>
    <w:rsid w:val="00486F14"/>
    <w:rsid w:val="0048711A"/>
    <w:rsid w:val="00492DC9"/>
    <w:rsid w:val="00496682"/>
    <w:rsid w:val="004A064C"/>
    <w:rsid w:val="004A3BA2"/>
    <w:rsid w:val="004A4B3A"/>
    <w:rsid w:val="004A70EC"/>
    <w:rsid w:val="004B2621"/>
    <w:rsid w:val="004C0E0D"/>
    <w:rsid w:val="004C3B6E"/>
    <w:rsid w:val="004C78F0"/>
    <w:rsid w:val="004D2517"/>
    <w:rsid w:val="004D288F"/>
    <w:rsid w:val="004D7895"/>
    <w:rsid w:val="004D7B71"/>
    <w:rsid w:val="004E0D9B"/>
    <w:rsid w:val="004E3A70"/>
    <w:rsid w:val="004E3A9A"/>
    <w:rsid w:val="004E4369"/>
    <w:rsid w:val="004E6B20"/>
    <w:rsid w:val="004F2641"/>
    <w:rsid w:val="005041DA"/>
    <w:rsid w:val="00504B03"/>
    <w:rsid w:val="00504F93"/>
    <w:rsid w:val="00504FDF"/>
    <w:rsid w:val="00505BCE"/>
    <w:rsid w:val="0051705B"/>
    <w:rsid w:val="005265C9"/>
    <w:rsid w:val="00537F1C"/>
    <w:rsid w:val="005435DB"/>
    <w:rsid w:val="00544D3E"/>
    <w:rsid w:val="00550DFC"/>
    <w:rsid w:val="00552C90"/>
    <w:rsid w:val="00552E27"/>
    <w:rsid w:val="0055534B"/>
    <w:rsid w:val="00561F65"/>
    <w:rsid w:val="0056506E"/>
    <w:rsid w:val="00572830"/>
    <w:rsid w:val="00586892"/>
    <w:rsid w:val="005877E8"/>
    <w:rsid w:val="005917E1"/>
    <w:rsid w:val="005A137B"/>
    <w:rsid w:val="005A5DDB"/>
    <w:rsid w:val="005B1FE3"/>
    <w:rsid w:val="005B23C7"/>
    <w:rsid w:val="005B419D"/>
    <w:rsid w:val="005B4290"/>
    <w:rsid w:val="005B62A8"/>
    <w:rsid w:val="005B77A0"/>
    <w:rsid w:val="005C2B45"/>
    <w:rsid w:val="005C5B20"/>
    <w:rsid w:val="005D2BBC"/>
    <w:rsid w:val="005D405F"/>
    <w:rsid w:val="005D717A"/>
    <w:rsid w:val="005E37C8"/>
    <w:rsid w:val="005E4E8F"/>
    <w:rsid w:val="005E6C52"/>
    <w:rsid w:val="005E7607"/>
    <w:rsid w:val="005F65AB"/>
    <w:rsid w:val="00622BCF"/>
    <w:rsid w:val="00631079"/>
    <w:rsid w:val="00632ADF"/>
    <w:rsid w:val="00633049"/>
    <w:rsid w:val="006344D8"/>
    <w:rsid w:val="00636E15"/>
    <w:rsid w:val="00640299"/>
    <w:rsid w:val="00645358"/>
    <w:rsid w:val="006523DB"/>
    <w:rsid w:val="00655C1D"/>
    <w:rsid w:val="00657379"/>
    <w:rsid w:val="006630A4"/>
    <w:rsid w:val="0066352C"/>
    <w:rsid w:val="0066476C"/>
    <w:rsid w:val="006648E2"/>
    <w:rsid w:val="006670B3"/>
    <w:rsid w:val="0067552E"/>
    <w:rsid w:val="0067558E"/>
    <w:rsid w:val="006775C1"/>
    <w:rsid w:val="006A2059"/>
    <w:rsid w:val="006A5837"/>
    <w:rsid w:val="006C1C2B"/>
    <w:rsid w:val="006D3A5F"/>
    <w:rsid w:val="006E0330"/>
    <w:rsid w:val="006E3D95"/>
    <w:rsid w:val="006E3F94"/>
    <w:rsid w:val="006F181D"/>
    <w:rsid w:val="006F41F0"/>
    <w:rsid w:val="006F6904"/>
    <w:rsid w:val="00701D8A"/>
    <w:rsid w:val="00705F0A"/>
    <w:rsid w:val="007067AB"/>
    <w:rsid w:val="00707369"/>
    <w:rsid w:val="0071221A"/>
    <w:rsid w:val="00713923"/>
    <w:rsid w:val="00720190"/>
    <w:rsid w:val="00720DCD"/>
    <w:rsid w:val="0072348C"/>
    <w:rsid w:val="00724D56"/>
    <w:rsid w:val="0073001A"/>
    <w:rsid w:val="0073326D"/>
    <w:rsid w:val="007363C9"/>
    <w:rsid w:val="00740E83"/>
    <w:rsid w:val="00744DD6"/>
    <w:rsid w:val="00752573"/>
    <w:rsid w:val="00756CBF"/>
    <w:rsid w:val="00756E10"/>
    <w:rsid w:val="00757214"/>
    <w:rsid w:val="00762C2A"/>
    <w:rsid w:val="00773413"/>
    <w:rsid w:val="00774C76"/>
    <w:rsid w:val="00777BF8"/>
    <w:rsid w:val="00784CC7"/>
    <w:rsid w:val="0078537A"/>
    <w:rsid w:val="0079195C"/>
    <w:rsid w:val="0079425B"/>
    <w:rsid w:val="00794941"/>
    <w:rsid w:val="007965F6"/>
    <w:rsid w:val="007A0285"/>
    <w:rsid w:val="007B0D78"/>
    <w:rsid w:val="007B50D1"/>
    <w:rsid w:val="007B50F5"/>
    <w:rsid w:val="007C1ED3"/>
    <w:rsid w:val="007C405F"/>
    <w:rsid w:val="007C717E"/>
    <w:rsid w:val="007D36A4"/>
    <w:rsid w:val="007D5B4D"/>
    <w:rsid w:val="007D769D"/>
    <w:rsid w:val="007E31CE"/>
    <w:rsid w:val="007E3BC1"/>
    <w:rsid w:val="007E5161"/>
    <w:rsid w:val="007F1F45"/>
    <w:rsid w:val="007F4C7A"/>
    <w:rsid w:val="00816C34"/>
    <w:rsid w:val="00817478"/>
    <w:rsid w:val="008179D7"/>
    <w:rsid w:val="00826FF9"/>
    <w:rsid w:val="008272C0"/>
    <w:rsid w:val="0083101B"/>
    <w:rsid w:val="008400C0"/>
    <w:rsid w:val="00842763"/>
    <w:rsid w:val="00854D08"/>
    <w:rsid w:val="00856530"/>
    <w:rsid w:val="008648B6"/>
    <w:rsid w:val="0087008A"/>
    <w:rsid w:val="00873D51"/>
    <w:rsid w:val="008770AF"/>
    <w:rsid w:val="0087758B"/>
    <w:rsid w:val="00882F17"/>
    <w:rsid w:val="00892F51"/>
    <w:rsid w:val="008A51E9"/>
    <w:rsid w:val="008A7737"/>
    <w:rsid w:val="008B07EF"/>
    <w:rsid w:val="008B1D2F"/>
    <w:rsid w:val="008D165B"/>
    <w:rsid w:val="008D400A"/>
    <w:rsid w:val="008D4906"/>
    <w:rsid w:val="008D5DCE"/>
    <w:rsid w:val="008D6DEF"/>
    <w:rsid w:val="008D743F"/>
    <w:rsid w:val="008E4EEC"/>
    <w:rsid w:val="008F2D6E"/>
    <w:rsid w:val="008F5DD6"/>
    <w:rsid w:val="00901173"/>
    <w:rsid w:val="009049D4"/>
    <w:rsid w:val="00907586"/>
    <w:rsid w:val="0091413E"/>
    <w:rsid w:val="0092112B"/>
    <w:rsid w:val="00922D37"/>
    <w:rsid w:val="00923AD5"/>
    <w:rsid w:val="00934E96"/>
    <w:rsid w:val="00936102"/>
    <w:rsid w:val="009364A4"/>
    <w:rsid w:val="00940FAC"/>
    <w:rsid w:val="009529AB"/>
    <w:rsid w:val="00953E6E"/>
    <w:rsid w:val="00955915"/>
    <w:rsid w:val="00956E69"/>
    <w:rsid w:val="00962D75"/>
    <w:rsid w:val="00963E62"/>
    <w:rsid w:val="00965AE2"/>
    <w:rsid w:val="009720E2"/>
    <w:rsid w:val="0097429F"/>
    <w:rsid w:val="00974FE5"/>
    <w:rsid w:val="00977A62"/>
    <w:rsid w:val="00982ACA"/>
    <w:rsid w:val="00987753"/>
    <w:rsid w:val="00990C6B"/>
    <w:rsid w:val="009A060F"/>
    <w:rsid w:val="009A7CF4"/>
    <w:rsid w:val="009B2FEB"/>
    <w:rsid w:val="009B46CC"/>
    <w:rsid w:val="009B5B5A"/>
    <w:rsid w:val="009C0979"/>
    <w:rsid w:val="009C6AAC"/>
    <w:rsid w:val="009C7022"/>
    <w:rsid w:val="009D0098"/>
    <w:rsid w:val="009D0FEE"/>
    <w:rsid w:val="009D3967"/>
    <w:rsid w:val="009D5070"/>
    <w:rsid w:val="009D5DCF"/>
    <w:rsid w:val="009D5F97"/>
    <w:rsid w:val="009E0A14"/>
    <w:rsid w:val="009E1943"/>
    <w:rsid w:val="009E1A4C"/>
    <w:rsid w:val="009E75BD"/>
    <w:rsid w:val="009E7C1C"/>
    <w:rsid w:val="009F1152"/>
    <w:rsid w:val="009F1FDA"/>
    <w:rsid w:val="00A02991"/>
    <w:rsid w:val="00A117A5"/>
    <w:rsid w:val="00A14533"/>
    <w:rsid w:val="00A15A39"/>
    <w:rsid w:val="00A2081B"/>
    <w:rsid w:val="00A2337F"/>
    <w:rsid w:val="00A31F6D"/>
    <w:rsid w:val="00A32348"/>
    <w:rsid w:val="00A37E19"/>
    <w:rsid w:val="00A41140"/>
    <w:rsid w:val="00A41AD6"/>
    <w:rsid w:val="00A44A80"/>
    <w:rsid w:val="00A51D3A"/>
    <w:rsid w:val="00A53AA2"/>
    <w:rsid w:val="00A5450F"/>
    <w:rsid w:val="00A57B10"/>
    <w:rsid w:val="00A660D3"/>
    <w:rsid w:val="00A67A16"/>
    <w:rsid w:val="00A75FF8"/>
    <w:rsid w:val="00A847B2"/>
    <w:rsid w:val="00A93778"/>
    <w:rsid w:val="00A946D1"/>
    <w:rsid w:val="00AA2A92"/>
    <w:rsid w:val="00AA66A4"/>
    <w:rsid w:val="00AB0ADA"/>
    <w:rsid w:val="00AB21E6"/>
    <w:rsid w:val="00AC2144"/>
    <w:rsid w:val="00AC36F5"/>
    <w:rsid w:val="00AC373E"/>
    <w:rsid w:val="00AC4AFF"/>
    <w:rsid w:val="00AC79CB"/>
    <w:rsid w:val="00AD110E"/>
    <w:rsid w:val="00AD2978"/>
    <w:rsid w:val="00AD4C5C"/>
    <w:rsid w:val="00AD4D20"/>
    <w:rsid w:val="00AD7FB2"/>
    <w:rsid w:val="00AE3789"/>
    <w:rsid w:val="00AF43E9"/>
    <w:rsid w:val="00AF5CF0"/>
    <w:rsid w:val="00AF66CC"/>
    <w:rsid w:val="00B007C1"/>
    <w:rsid w:val="00B02589"/>
    <w:rsid w:val="00B04E7D"/>
    <w:rsid w:val="00B05F79"/>
    <w:rsid w:val="00B15682"/>
    <w:rsid w:val="00B175B8"/>
    <w:rsid w:val="00B26E31"/>
    <w:rsid w:val="00B31993"/>
    <w:rsid w:val="00B32FC1"/>
    <w:rsid w:val="00B35F51"/>
    <w:rsid w:val="00B444F6"/>
    <w:rsid w:val="00B467CE"/>
    <w:rsid w:val="00B50FE4"/>
    <w:rsid w:val="00B53C9A"/>
    <w:rsid w:val="00B60BEC"/>
    <w:rsid w:val="00B60FEF"/>
    <w:rsid w:val="00B64A5D"/>
    <w:rsid w:val="00B6512C"/>
    <w:rsid w:val="00B65767"/>
    <w:rsid w:val="00B66991"/>
    <w:rsid w:val="00B71932"/>
    <w:rsid w:val="00B72462"/>
    <w:rsid w:val="00B73D5E"/>
    <w:rsid w:val="00B81496"/>
    <w:rsid w:val="00B83DB4"/>
    <w:rsid w:val="00B84544"/>
    <w:rsid w:val="00B864AF"/>
    <w:rsid w:val="00B91ADB"/>
    <w:rsid w:val="00B96C08"/>
    <w:rsid w:val="00BA0C35"/>
    <w:rsid w:val="00BA6873"/>
    <w:rsid w:val="00BA7A31"/>
    <w:rsid w:val="00BB44C4"/>
    <w:rsid w:val="00BB5854"/>
    <w:rsid w:val="00BB6E28"/>
    <w:rsid w:val="00BB754D"/>
    <w:rsid w:val="00BC0B9A"/>
    <w:rsid w:val="00BD3BB7"/>
    <w:rsid w:val="00BD4D87"/>
    <w:rsid w:val="00BD5741"/>
    <w:rsid w:val="00BD64BF"/>
    <w:rsid w:val="00BE1A7C"/>
    <w:rsid w:val="00BE5079"/>
    <w:rsid w:val="00BE5651"/>
    <w:rsid w:val="00BE7380"/>
    <w:rsid w:val="00BE789F"/>
    <w:rsid w:val="00BF0A1F"/>
    <w:rsid w:val="00BF0CD4"/>
    <w:rsid w:val="00C00DBB"/>
    <w:rsid w:val="00C02D25"/>
    <w:rsid w:val="00C04136"/>
    <w:rsid w:val="00C04567"/>
    <w:rsid w:val="00C04866"/>
    <w:rsid w:val="00C059B3"/>
    <w:rsid w:val="00C07CE6"/>
    <w:rsid w:val="00C13D74"/>
    <w:rsid w:val="00C1519B"/>
    <w:rsid w:val="00C15E44"/>
    <w:rsid w:val="00C16F90"/>
    <w:rsid w:val="00C2259D"/>
    <w:rsid w:val="00C301C3"/>
    <w:rsid w:val="00C4132D"/>
    <w:rsid w:val="00C41FB2"/>
    <w:rsid w:val="00C45351"/>
    <w:rsid w:val="00C45B7D"/>
    <w:rsid w:val="00C5018E"/>
    <w:rsid w:val="00C514DB"/>
    <w:rsid w:val="00C51757"/>
    <w:rsid w:val="00C53348"/>
    <w:rsid w:val="00C55E4A"/>
    <w:rsid w:val="00C57785"/>
    <w:rsid w:val="00C61ED6"/>
    <w:rsid w:val="00C6212D"/>
    <w:rsid w:val="00C62CCB"/>
    <w:rsid w:val="00C82D5C"/>
    <w:rsid w:val="00C82ECC"/>
    <w:rsid w:val="00C833F6"/>
    <w:rsid w:val="00C87327"/>
    <w:rsid w:val="00C8775A"/>
    <w:rsid w:val="00C93B15"/>
    <w:rsid w:val="00CA18F8"/>
    <w:rsid w:val="00CA2C37"/>
    <w:rsid w:val="00CD2291"/>
    <w:rsid w:val="00CD340A"/>
    <w:rsid w:val="00CD7961"/>
    <w:rsid w:val="00CE1208"/>
    <w:rsid w:val="00CE2559"/>
    <w:rsid w:val="00CE3A45"/>
    <w:rsid w:val="00CE7B18"/>
    <w:rsid w:val="00CF085B"/>
    <w:rsid w:val="00CF7916"/>
    <w:rsid w:val="00D06B25"/>
    <w:rsid w:val="00D11F21"/>
    <w:rsid w:val="00D12C91"/>
    <w:rsid w:val="00D213B8"/>
    <w:rsid w:val="00D21661"/>
    <w:rsid w:val="00D22C11"/>
    <w:rsid w:val="00D23174"/>
    <w:rsid w:val="00D24F74"/>
    <w:rsid w:val="00D261EA"/>
    <w:rsid w:val="00D31952"/>
    <w:rsid w:val="00D36432"/>
    <w:rsid w:val="00D36A74"/>
    <w:rsid w:val="00D36E01"/>
    <w:rsid w:val="00D41476"/>
    <w:rsid w:val="00D43401"/>
    <w:rsid w:val="00D43532"/>
    <w:rsid w:val="00D43C7C"/>
    <w:rsid w:val="00D4468C"/>
    <w:rsid w:val="00D446E3"/>
    <w:rsid w:val="00D719C7"/>
    <w:rsid w:val="00D720D4"/>
    <w:rsid w:val="00D81365"/>
    <w:rsid w:val="00D85E64"/>
    <w:rsid w:val="00D9423D"/>
    <w:rsid w:val="00D966FE"/>
    <w:rsid w:val="00DA11D0"/>
    <w:rsid w:val="00DA1A69"/>
    <w:rsid w:val="00DA58D0"/>
    <w:rsid w:val="00DA7604"/>
    <w:rsid w:val="00DC1E38"/>
    <w:rsid w:val="00DC45EA"/>
    <w:rsid w:val="00DC4E9B"/>
    <w:rsid w:val="00DC50FC"/>
    <w:rsid w:val="00DD7D19"/>
    <w:rsid w:val="00DE016B"/>
    <w:rsid w:val="00DE2BDE"/>
    <w:rsid w:val="00DE6683"/>
    <w:rsid w:val="00DF4896"/>
    <w:rsid w:val="00E0463F"/>
    <w:rsid w:val="00E06BEB"/>
    <w:rsid w:val="00E07508"/>
    <w:rsid w:val="00E077FD"/>
    <w:rsid w:val="00E161B3"/>
    <w:rsid w:val="00E16A3B"/>
    <w:rsid w:val="00E17483"/>
    <w:rsid w:val="00E175C8"/>
    <w:rsid w:val="00E22715"/>
    <w:rsid w:val="00E3135F"/>
    <w:rsid w:val="00E32BBA"/>
    <w:rsid w:val="00E368FE"/>
    <w:rsid w:val="00E377A9"/>
    <w:rsid w:val="00E37E4D"/>
    <w:rsid w:val="00E41F35"/>
    <w:rsid w:val="00E426BE"/>
    <w:rsid w:val="00E6181B"/>
    <w:rsid w:val="00E638BA"/>
    <w:rsid w:val="00E63A1D"/>
    <w:rsid w:val="00E63AE6"/>
    <w:rsid w:val="00E65699"/>
    <w:rsid w:val="00E66BD8"/>
    <w:rsid w:val="00E83AA9"/>
    <w:rsid w:val="00E84E25"/>
    <w:rsid w:val="00E85687"/>
    <w:rsid w:val="00E85F17"/>
    <w:rsid w:val="00E876B7"/>
    <w:rsid w:val="00E91A78"/>
    <w:rsid w:val="00E91EF3"/>
    <w:rsid w:val="00E95C2A"/>
    <w:rsid w:val="00EA6237"/>
    <w:rsid w:val="00EB16D9"/>
    <w:rsid w:val="00EB3270"/>
    <w:rsid w:val="00EB51AB"/>
    <w:rsid w:val="00EB742C"/>
    <w:rsid w:val="00EC4D46"/>
    <w:rsid w:val="00ED15F4"/>
    <w:rsid w:val="00ED5251"/>
    <w:rsid w:val="00ED7908"/>
    <w:rsid w:val="00EF5715"/>
    <w:rsid w:val="00EF5744"/>
    <w:rsid w:val="00EF7CB5"/>
    <w:rsid w:val="00F01359"/>
    <w:rsid w:val="00F029F7"/>
    <w:rsid w:val="00F072BD"/>
    <w:rsid w:val="00F11A74"/>
    <w:rsid w:val="00F147D0"/>
    <w:rsid w:val="00F20527"/>
    <w:rsid w:val="00F23925"/>
    <w:rsid w:val="00F23EA5"/>
    <w:rsid w:val="00F25650"/>
    <w:rsid w:val="00F26D73"/>
    <w:rsid w:val="00F26F36"/>
    <w:rsid w:val="00F271BA"/>
    <w:rsid w:val="00F32248"/>
    <w:rsid w:val="00F32573"/>
    <w:rsid w:val="00F3489D"/>
    <w:rsid w:val="00F37604"/>
    <w:rsid w:val="00F40F48"/>
    <w:rsid w:val="00F4248C"/>
    <w:rsid w:val="00F42667"/>
    <w:rsid w:val="00F43199"/>
    <w:rsid w:val="00F443CA"/>
    <w:rsid w:val="00F47E76"/>
    <w:rsid w:val="00F47F7F"/>
    <w:rsid w:val="00F512DD"/>
    <w:rsid w:val="00F52B32"/>
    <w:rsid w:val="00F55D68"/>
    <w:rsid w:val="00F6224D"/>
    <w:rsid w:val="00F63285"/>
    <w:rsid w:val="00F65790"/>
    <w:rsid w:val="00F7365B"/>
    <w:rsid w:val="00F81EA1"/>
    <w:rsid w:val="00F86449"/>
    <w:rsid w:val="00F87217"/>
    <w:rsid w:val="00F90177"/>
    <w:rsid w:val="00F9213E"/>
    <w:rsid w:val="00F946F3"/>
    <w:rsid w:val="00F967AF"/>
    <w:rsid w:val="00F97C7F"/>
    <w:rsid w:val="00F97D8F"/>
    <w:rsid w:val="00FA0671"/>
    <w:rsid w:val="00FA4871"/>
    <w:rsid w:val="00FB3EDC"/>
    <w:rsid w:val="00FB77A6"/>
    <w:rsid w:val="00FC004F"/>
    <w:rsid w:val="00FC589F"/>
    <w:rsid w:val="00FC733D"/>
    <w:rsid w:val="00FD40CE"/>
    <w:rsid w:val="00FE1965"/>
    <w:rsid w:val="00FE1AE4"/>
    <w:rsid w:val="00FF0C62"/>
    <w:rsid w:val="00FF40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A9B6A"/>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B25"/>
  </w:style>
  <w:style w:type="paragraph" w:styleId="Heading1">
    <w:name w:val="heading 1"/>
    <w:basedOn w:val="Normal"/>
    <w:next w:val="Normal"/>
    <w:link w:val="Heading1Char"/>
    <w:qFormat/>
    <w:rsid w:val="00A117A5"/>
    <w:pPr>
      <w:widowControl w:val="0"/>
      <w:autoSpaceDE w:val="0"/>
      <w:autoSpaceDN w:val="0"/>
      <w:adjustRightInd w:val="0"/>
      <w:spacing w:after="240"/>
      <w:jc w:val="both"/>
      <w:outlineLvl w:val="0"/>
    </w:pPr>
    <w:rPr>
      <w:rFonts w:ascii="Arial" w:eastAsia="Times New Roman"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8A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8AE"/>
    <w:pPr>
      <w:ind w:left="720"/>
      <w:contextualSpacing/>
    </w:pPr>
    <w:rPr>
      <w:rFonts w:ascii="Times New Roman" w:eastAsia="Calibri" w:hAnsi="Times New Roman" w:cs="Arial"/>
      <w:szCs w:val="22"/>
    </w:rPr>
  </w:style>
  <w:style w:type="character" w:styleId="CommentReference">
    <w:name w:val="annotation reference"/>
    <w:basedOn w:val="DefaultParagraphFont"/>
    <w:uiPriority w:val="99"/>
    <w:unhideWhenUsed/>
    <w:rsid w:val="00AD4C5C"/>
    <w:rPr>
      <w:sz w:val="18"/>
      <w:szCs w:val="18"/>
    </w:rPr>
  </w:style>
  <w:style w:type="paragraph" w:styleId="CommentText">
    <w:name w:val="annotation text"/>
    <w:basedOn w:val="Normal"/>
    <w:link w:val="CommentTextChar"/>
    <w:uiPriority w:val="99"/>
    <w:unhideWhenUsed/>
    <w:rsid w:val="00AD4C5C"/>
  </w:style>
  <w:style w:type="character" w:customStyle="1" w:styleId="CommentTextChar">
    <w:name w:val="Comment Text Char"/>
    <w:basedOn w:val="DefaultParagraphFont"/>
    <w:link w:val="CommentText"/>
    <w:uiPriority w:val="99"/>
    <w:rsid w:val="00AD4C5C"/>
  </w:style>
  <w:style w:type="paragraph" w:styleId="CommentSubject">
    <w:name w:val="annotation subject"/>
    <w:basedOn w:val="CommentText"/>
    <w:next w:val="CommentText"/>
    <w:link w:val="CommentSubjectChar"/>
    <w:uiPriority w:val="99"/>
    <w:semiHidden/>
    <w:unhideWhenUsed/>
    <w:rsid w:val="00AD4C5C"/>
    <w:rPr>
      <w:b/>
      <w:bCs/>
      <w:sz w:val="20"/>
      <w:szCs w:val="20"/>
    </w:rPr>
  </w:style>
  <w:style w:type="character" w:customStyle="1" w:styleId="CommentSubjectChar">
    <w:name w:val="Comment Subject Char"/>
    <w:basedOn w:val="CommentTextChar"/>
    <w:link w:val="CommentSubject"/>
    <w:uiPriority w:val="99"/>
    <w:semiHidden/>
    <w:rsid w:val="00AD4C5C"/>
    <w:rPr>
      <w:b/>
      <w:bCs/>
      <w:sz w:val="20"/>
      <w:szCs w:val="20"/>
    </w:rPr>
  </w:style>
  <w:style w:type="paragraph" w:styleId="BalloonText">
    <w:name w:val="Balloon Text"/>
    <w:basedOn w:val="Normal"/>
    <w:link w:val="BalloonTextChar"/>
    <w:uiPriority w:val="99"/>
    <w:semiHidden/>
    <w:unhideWhenUsed/>
    <w:rsid w:val="00AD4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C5C"/>
    <w:rPr>
      <w:rFonts w:ascii="Times New Roman" w:hAnsi="Times New Roman" w:cs="Times New Roman"/>
      <w:sz w:val="18"/>
      <w:szCs w:val="18"/>
    </w:rPr>
  </w:style>
  <w:style w:type="character" w:styleId="Hyperlink">
    <w:name w:val="Hyperlink"/>
    <w:basedOn w:val="DefaultParagraphFont"/>
    <w:uiPriority w:val="99"/>
    <w:unhideWhenUsed/>
    <w:rsid w:val="00B73D5E"/>
    <w:rPr>
      <w:color w:val="0563C1" w:themeColor="hyperlink"/>
      <w:u w:val="single"/>
    </w:rPr>
  </w:style>
  <w:style w:type="paragraph" w:customStyle="1" w:styleId="FigureTitle">
    <w:name w:val="Figure Title"/>
    <w:basedOn w:val="Normal"/>
    <w:uiPriority w:val="99"/>
    <w:rsid w:val="006A5837"/>
    <w:pPr>
      <w:keepNext/>
      <w:keepLines/>
      <w:spacing w:before="240" w:after="240"/>
    </w:pPr>
    <w:rPr>
      <w:rFonts w:ascii="Times New Roman" w:eastAsia="Times New Roman" w:hAnsi="Times New Roman" w:cs="Times New Roman"/>
      <w:b/>
      <w:szCs w:val="20"/>
    </w:rPr>
  </w:style>
  <w:style w:type="paragraph" w:styleId="BodyText2">
    <w:name w:val="Body Text 2"/>
    <w:basedOn w:val="Normal"/>
    <w:link w:val="BodyText2Char"/>
    <w:rsid w:val="009B5B5A"/>
    <w:rPr>
      <w:rFonts w:ascii="Times New Roman" w:eastAsia="Times New Roman" w:hAnsi="Times New Roman" w:cs="Times New Roman"/>
      <w:szCs w:val="20"/>
    </w:rPr>
  </w:style>
  <w:style w:type="character" w:customStyle="1" w:styleId="BodyText2Char">
    <w:name w:val="Body Text 2 Char"/>
    <w:basedOn w:val="DefaultParagraphFont"/>
    <w:link w:val="BodyText2"/>
    <w:rsid w:val="009B5B5A"/>
    <w:rPr>
      <w:rFonts w:ascii="Times New Roman" w:eastAsia="Times New Roman" w:hAnsi="Times New Roman" w:cs="Times New Roman"/>
      <w:szCs w:val="20"/>
    </w:rPr>
  </w:style>
  <w:style w:type="paragraph" w:styleId="BodyTextIndent">
    <w:name w:val="Body Text Indent"/>
    <w:basedOn w:val="Normal"/>
    <w:link w:val="BodyTextIndentChar"/>
    <w:rsid w:val="00C82D5C"/>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82D5C"/>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873D51"/>
  </w:style>
  <w:style w:type="paragraph" w:customStyle="1" w:styleId="BodyText1">
    <w:name w:val="Body Text1"/>
    <w:aliases w:val="bt,body tx,indent,flush,body text"/>
    <w:basedOn w:val="Normal"/>
    <w:link w:val="bodytextChar"/>
    <w:rsid w:val="00873D51"/>
    <w:pPr>
      <w:spacing w:after="120" w:line="360" w:lineRule="auto"/>
      <w:ind w:firstLine="720"/>
    </w:pPr>
  </w:style>
  <w:style w:type="paragraph" w:styleId="Header">
    <w:name w:val="header"/>
    <w:basedOn w:val="Normal"/>
    <w:link w:val="HeaderChar"/>
    <w:uiPriority w:val="99"/>
    <w:unhideWhenUsed/>
    <w:rsid w:val="00476B0B"/>
    <w:pPr>
      <w:tabs>
        <w:tab w:val="center" w:pos="4680"/>
        <w:tab w:val="right" w:pos="9360"/>
      </w:tabs>
    </w:pPr>
  </w:style>
  <w:style w:type="character" w:customStyle="1" w:styleId="HeaderChar">
    <w:name w:val="Header Char"/>
    <w:basedOn w:val="DefaultParagraphFont"/>
    <w:link w:val="Header"/>
    <w:uiPriority w:val="99"/>
    <w:rsid w:val="00476B0B"/>
  </w:style>
  <w:style w:type="paragraph" w:styleId="Footer">
    <w:name w:val="footer"/>
    <w:basedOn w:val="Normal"/>
    <w:link w:val="FooterChar"/>
    <w:uiPriority w:val="99"/>
    <w:unhideWhenUsed/>
    <w:rsid w:val="00476B0B"/>
    <w:pPr>
      <w:tabs>
        <w:tab w:val="center" w:pos="4680"/>
        <w:tab w:val="right" w:pos="9360"/>
      </w:tabs>
    </w:pPr>
  </w:style>
  <w:style w:type="character" w:customStyle="1" w:styleId="FooterChar">
    <w:name w:val="Footer Char"/>
    <w:basedOn w:val="DefaultParagraphFont"/>
    <w:link w:val="Footer"/>
    <w:uiPriority w:val="99"/>
    <w:rsid w:val="00476B0B"/>
  </w:style>
  <w:style w:type="paragraph" w:customStyle="1" w:styleId="Default">
    <w:name w:val="Default"/>
    <w:rsid w:val="00956E69"/>
    <w:pPr>
      <w:autoSpaceDE w:val="0"/>
      <w:autoSpaceDN w:val="0"/>
      <w:adjustRightInd w:val="0"/>
    </w:pPr>
    <w:rPr>
      <w:rFonts w:ascii="Calibri" w:hAnsi="Calibri" w:cs="Calibri"/>
      <w:color w:val="000000"/>
    </w:rPr>
  </w:style>
  <w:style w:type="paragraph" w:styleId="Revision">
    <w:name w:val="Revision"/>
    <w:hidden/>
    <w:uiPriority w:val="99"/>
    <w:semiHidden/>
    <w:rsid w:val="00B467CE"/>
  </w:style>
  <w:style w:type="character" w:styleId="PageNumber">
    <w:name w:val="page number"/>
    <w:basedOn w:val="DefaultParagraphFont"/>
    <w:uiPriority w:val="99"/>
    <w:semiHidden/>
    <w:unhideWhenUsed/>
    <w:rsid w:val="001446C2"/>
  </w:style>
  <w:style w:type="character" w:styleId="FollowedHyperlink">
    <w:name w:val="FollowedHyperlink"/>
    <w:basedOn w:val="DefaultParagraphFont"/>
    <w:uiPriority w:val="99"/>
    <w:semiHidden/>
    <w:unhideWhenUsed/>
    <w:rsid w:val="00437758"/>
    <w:rPr>
      <w:color w:val="954F72" w:themeColor="followedHyperlink"/>
      <w:u w:val="single"/>
    </w:rPr>
  </w:style>
  <w:style w:type="paragraph" w:styleId="DocumentMap">
    <w:name w:val="Document Map"/>
    <w:basedOn w:val="Normal"/>
    <w:link w:val="DocumentMapChar"/>
    <w:uiPriority w:val="99"/>
    <w:semiHidden/>
    <w:unhideWhenUsed/>
    <w:rsid w:val="00FD40CE"/>
    <w:rPr>
      <w:rFonts w:ascii="Times New Roman" w:hAnsi="Times New Roman" w:cs="Times New Roman"/>
    </w:rPr>
  </w:style>
  <w:style w:type="character" w:customStyle="1" w:styleId="DocumentMapChar">
    <w:name w:val="Document Map Char"/>
    <w:basedOn w:val="DefaultParagraphFont"/>
    <w:link w:val="DocumentMap"/>
    <w:uiPriority w:val="99"/>
    <w:semiHidden/>
    <w:rsid w:val="00FD40CE"/>
    <w:rPr>
      <w:rFonts w:ascii="Times New Roman" w:hAnsi="Times New Roman" w:cs="Times New Roman"/>
    </w:rPr>
  </w:style>
  <w:style w:type="character" w:customStyle="1" w:styleId="Heading1Char">
    <w:name w:val="Heading 1 Char"/>
    <w:basedOn w:val="DefaultParagraphFont"/>
    <w:link w:val="Heading1"/>
    <w:rsid w:val="00A117A5"/>
    <w:rPr>
      <w:rFonts w:ascii="Arial" w:eastAsia="Times New Roman" w:hAnsi="Arial" w:cs="Arial"/>
      <w:b/>
      <w:sz w:val="22"/>
      <w:szCs w:val="22"/>
    </w:rPr>
  </w:style>
  <w:style w:type="paragraph" w:styleId="NoSpacing">
    <w:name w:val="No Spacing"/>
    <w:uiPriority w:val="1"/>
    <w:qFormat/>
    <w:rsid w:val="000B52FA"/>
  </w:style>
  <w:style w:type="character" w:customStyle="1" w:styleId="lrzxr">
    <w:name w:val="lrzxr"/>
    <w:basedOn w:val="DefaultParagraphFont"/>
    <w:rsid w:val="009011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6B25"/>
  </w:style>
  <w:style w:type="paragraph" w:styleId="Heading1">
    <w:name w:val="heading 1"/>
    <w:basedOn w:val="Normal"/>
    <w:next w:val="Normal"/>
    <w:link w:val="Heading1Char"/>
    <w:qFormat/>
    <w:rsid w:val="00A117A5"/>
    <w:pPr>
      <w:widowControl w:val="0"/>
      <w:autoSpaceDE w:val="0"/>
      <w:autoSpaceDN w:val="0"/>
      <w:adjustRightInd w:val="0"/>
      <w:spacing w:after="240"/>
      <w:jc w:val="both"/>
      <w:outlineLvl w:val="0"/>
    </w:pPr>
    <w:rPr>
      <w:rFonts w:ascii="Arial" w:eastAsia="Times New Roman" w:hAnsi="Arial" w:cs="Arial"/>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928AE"/>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928AE"/>
    <w:pPr>
      <w:ind w:left="720"/>
      <w:contextualSpacing/>
    </w:pPr>
    <w:rPr>
      <w:rFonts w:ascii="Times New Roman" w:eastAsia="Calibri" w:hAnsi="Times New Roman" w:cs="Arial"/>
      <w:szCs w:val="22"/>
    </w:rPr>
  </w:style>
  <w:style w:type="character" w:styleId="CommentReference">
    <w:name w:val="annotation reference"/>
    <w:basedOn w:val="DefaultParagraphFont"/>
    <w:uiPriority w:val="99"/>
    <w:unhideWhenUsed/>
    <w:rsid w:val="00AD4C5C"/>
    <w:rPr>
      <w:sz w:val="18"/>
      <w:szCs w:val="18"/>
    </w:rPr>
  </w:style>
  <w:style w:type="paragraph" w:styleId="CommentText">
    <w:name w:val="annotation text"/>
    <w:basedOn w:val="Normal"/>
    <w:link w:val="CommentTextChar"/>
    <w:uiPriority w:val="99"/>
    <w:unhideWhenUsed/>
    <w:rsid w:val="00AD4C5C"/>
  </w:style>
  <w:style w:type="character" w:customStyle="1" w:styleId="CommentTextChar">
    <w:name w:val="Comment Text Char"/>
    <w:basedOn w:val="DefaultParagraphFont"/>
    <w:link w:val="CommentText"/>
    <w:uiPriority w:val="99"/>
    <w:rsid w:val="00AD4C5C"/>
  </w:style>
  <w:style w:type="paragraph" w:styleId="CommentSubject">
    <w:name w:val="annotation subject"/>
    <w:basedOn w:val="CommentText"/>
    <w:next w:val="CommentText"/>
    <w:link w:val="CommentSubjectChar"/>
    <w:uiPriority w:val="99"/>
    <w:semiHidden/>
    <w:unhideWhenUsed/>
    <w:rsid w:val="00AD4C5C"/>
    <w:rPr>
      <w:b/>
      <w:bCs/>
      <w:sz w:val="20"/>
      <w:szCs w:val="20"/>
    </w:rPr>
  </w:style>
  <w:style w:type="character" w:customStyle="1" w:styleId="CommentSubjectChar">
    <w:name w:val="Comment Subject Char"/>
    <w:basedOn w:val="CommentTextChar"/>
    <w:link w:val="CommentSubject"/>
    <w:uiPriority w:val="99"/>
    <w:semiHidden/>
    <w:rsid w:val="00AD4C5C"/>
    <w:rPr>
      <w:b/>
      <w:bCs/>
      <w:sz w:val="20"/>
      <w:szCs w:val="20"/>
    </w:rPr>
  </w:style>
  <w:style w:type="paragraph" w:styleId="BalloonText">
    <w:name w:val="Balloon Text"/>
    <w:basedOn w:val="Normal"/>
    <w:link w:val="BalloonTextChar"/>
    <w:uiPriority w:val="99"/>
    <w:semiHidden/>
    <w:unhideWhenUsed/>
    <w:rsid w:val="00AD4C5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AD4C5C"/>
    <w:rPr>
      <w:rFonts w:ascii="Times New Roman" w:hAnsi="Times New Roman" w:cs="Times New Roman"/>
      <w:sz w:val="18"/>
      <w:szCs w:val="18"/>
    </w:rPr>
  </w:style>
  <w:style w:type="character" w:styleId="Hyperlink">
    <w:name w:val="Hyperlink"/>
    <w:basedOn w:val="DefaultParagraphFont"/>
    <w:uiPriority w:val="99"/>
    <w:unhideWhenUsed/>
    <w:rsid w:val="00B73D5E"/>
    <w:rPr>
      <w:color w:val="0563C1" w:themeColor="hyperlink"/>
      <w:u w:val="single"/>
    </w:rPr>
  </w:style>
  <w:style w:type="paragraph" w:customStyle="1" w:styleId="FigureTitle">
    <w:name w:val="Figure Title"/>
    <w:basedOn w:val="Normal"/>
    <w:uiPriority w:val="99"/>
    <w:rsid w:val="006A5837"/>
    <w:pPr>
      <w:keepNext/>
      <w:keepLines/>
      <w:spacing w:before="240" w:after="240"/>
    </w:pPr>
    <w:rPr>
      <w:rFonts w:ascii="Times New Roman" w:eastAsia="Times New Roman" w:hAnsi="Times New Roman" w:cs="Times New Roman"/>
      <w:b/>
      <w:szCs w:val="20"/>
    </w:rPr>
  </w:style>
  <w:style w:type="paragraph" w:styleId="BodyText2">
    <w:name w:val="Body Text 2"/>
    <w:basedOn w:val="Normal"/>
    <w:link w:val="BodyText2Char"/>
    <w:rsid w:val="009B5B5A"/>
    <w:rPr>
      <w:rFonts w:ascii="Times New Roman" w:eastAsia="Times New Roman" w:hAnsi="Times New Roman" w:cs="Times New Roman"/>
      <w:szCs w:val="20"/>
    </w:rPr>
  </w:style>
  <w:style w:type="character" w:customStyle="1" w:styleId="BodyText2Char">
    <w:name w:val="Body Text 2 Char"/>
    <w:basedOn w:val="DefaultParagraphFont"/>
    <w:link w:val="BodyText2"/>
    <w:rsid w:val="009B5B5A"/>
    <w:rPr>
      <w:rFonts w:ascii="Times New Roman" w:eastAsia="Times New Roman" w:hAnsi="Times New Roman" w:cs="Times New Roman"/>
      <w:szCs w:val="20"/>
    </w:rPr>
  </w:style>
  <w:style w:type="paragraph" w:styleId="BodyTextIndent">
    <w:name w:val="Body Text Indent"/>
    <w:basedOn w:val="Normal"/>
    <w:link w:val="BodyTextIndentChar"/>
    <w:rsid w:val="00C82D5C"/>
    <w:pPr>
      <w:spacing w:after="120"/>
      <w:ind w:left="360"/>
    </w:pPr>
    <w:rPr>
      <w:rFonts w:ascii="Times New Roman" w:eastAsia="Times New Roman" w:hAnsi="Times New Roman" w:cs="Times New Roman"/>
    </w:rPr>
  </w:style>
  <w:style w:type="character" w:customStyle="1" w:styleId="BodyTextIndentChar">
    <w:name w:val="Body Text Indent Char"/>
    <w:basedOn w:val="DefaultParagraphFont"/>
    <w:link w:val="BodyTextIndent"/>
    <w:rsid w:val="00C82D5C"/>
    <w:rPr>
      <w:rFonts w:ascii="Times New Roman" w:eastAsia="Times New Roman" w:hAnsi="Times New Roman" w:cs="Times New Roman"/>
    </w:rPr>
  </w:style>
  <w:style w:type="character" w:customStyle="1" w:styleId="bodytextChar">
    <w:name w:val="body text Char"/>
    <w:aliases w:val="bt Char,body tx Char,indent Char1,flush Char Char,indent Char,flush Char"/>
    <w:link w:val="BodyText1"/>
    <w:locked/>
    <w:rsid w:val="00873D51"/>
  </w:style>
  <w:style w:type="paragraph" w:customStyle="1" w:styleId="BodyText1">
    <w:name w:val="Body Text1"/>
    <w:aliases w:val="bt,body tx,indent,flush,body text"/>
    <w:basedOn w:val="Normal"/>
    <w:link w:val="bodytextChar"/>
    <w:rsid w:val="00873D51"/>
    <w:pPr>
      <w:spacing w:after="120" w:line="360" w:lineRule="auto"/>
      <w:ind w:firstLine="720"/>
    </w:pPr>
  </w:style>
  <w:style w:type="paragraph" w:styleId="Header">
    <w:name w:val="header"/>
    <w:basedOn w:val="Normal"/>
    <w:link w:val="HeaderChar"/>
    <w:uiPriority w:val="99"/>
    <w:unhideWhenUsed/>
    <w:rsid w:val="00476B0B"/>
    <w:pPr>
      <w:tabs>
        <w:tab w:val="center" w:pos="4680"/>
        <w:tab w:val="right" w:pos="9360"/>
      </w:tabs>
    </w:pPr>
  </w:style>
  <w:style w:type="character" w:customStyle="1" w:styleId="HeaderChar">
    <w:name w:val="Header Char"/>
    <w:basedOn w:val="DefaultParagraphFont"/>
    <w:link w:val="Header"/>
    <w:uiPriority w:val="99"/>
    <w:rsid w:val="00476B0B"/>
  </w:style>
  <w:style w:type="paragraph" w:styleId="Footer">
    <w:name w:val="footer"/>
    <w:basedOn w:val="Normal"/>
    <w:link w:val="FooterChar"/>
    <w:uiPriority w:val="99"/>
    <w:unhideWhenUsed/>
    <w:rsid w:val="00476B0B"/>
    <w:pPr>
      <w:tabs>
        <w:tab w:val="center" w:pos="4680"/>
        <w:tab w:val="right" w:pos="9360"/>
      </w:tabs>
    </w:pPr>
  </w:style>
  <w:style w:type="character" w:customStyle="1" w:styleId="FooterChar">
    <w:name w:val="Footer Char"/>
    <w:basedOn w:val="DefaultParagraphFont"/>
    <w:link w:val="Footer"/>
    <w:uiPriority w:val="99"/>
    <w:rsid w:val="00476B0B"/>
  </w:style>
  <w:style w:type="paragraph" w:customStyle="1" w:styleId="Default">
    <w:name w:val="Default"/>
    <w:rsid w:val="00956E69"/>
    <w:pPr>
      <w:autoSpaceDE w:val="0"/>
      <w:autoSpaceDN w:val="0"/>
      <w:adjustRightInd w:val="0"/>
    </w:pPr>
    <w:rPr>
      <w:rFonts w:ascii="Calibri" w:hAnsi="Calibri" w:cs="Calibri"/>
      <w:color w:val="000000"/>
    </w:rPr>
  </w:style>
  <w:style w:type="paragraph" w:styleId="Revision">
    <w:name w:val="Revision"/>
    <w:hidden/>
    <w:uiPriority w:val="99"/>
    <w:semiHidden/>
    <w:rsid w:val="00B467CE"/>
  </w:style>
  <w:style w:type="character" w:styleId="PageNumber">
    <w:name w:val="page number"/>
    <w:basedOn w:val="DefaultParagraphFont"/>
    <w:uiPriority w:val="99"/>
    <w:semiHidden/>
    <w:unhideWhenUsed/>
    <w:rsid w:val="001446C2"/>
  </w:style>
  <w:style w:type="character" w:styleId="FollowedHyperlink">
    <w:name w:val="FollowedHyperlink"/>
    <w:basedOn w:val="DefaultParagraphFont"/>
    <w:uiPriority w:val="99"/>
    <w:semiHidden/>
    <w:unhideWhenUsed/>
    <w:rsid w:val="00437758"/>
    <w:rPr>
      <w:color w:val="954F72" w:themeColor="followedHyperlink"/>
      <w:u w:val="single"/>
    </w:rPr>
  </w:style>
  <w:style w:type="paragraph" w:styleId="DocumentMap">
    <w:name w:val="Document Map"/>
    <w:basedOn w:val="Normal"/>
    <w:link w:val="DocumentMapChar"/>
    <w:uiPriority w:val="99"/>
    <w:semiHidden/>
    <w:unhideWhenUsed/>
    <w:rsid w:val="00FD40CE"/>
    <w:rPr>
      <w:rFonts w:ascii="Times New Roman" w:hAnsi="Times New Roman" w:cs="Times New Roman"/>
    </w:rPr>
  </w:style>
  <w:style w:type="character" w:customStyle="1" w:styleId="DocumentMapChar">
    <w:name w:val="Document Map Char"/>
    <w:basedOn w:val="DefaultParagraphFont"/>
    <w:link w:val="DocumentMap"/>
    <w:uiPriority w:val="99"/>
    <w:semiHidden/>
    <w:rsid w:val="00FD40CE"/>
    <w:rPr>
      <w:rFonts w:ascii="Times New Roman" w:hAnsi="Times New Roman" w:cs="Times New Roman"/>
    </w:rPr>
  </w:style>
  <w:style w:type="character" w:customStyle="1" w:styleId="Heading1Char">
    <w:name w:val="Heading 1 Char"/>
    <w:basedOn w:val="DefaultParagraphFont"/>
    <w:link w:val="Heading1"/>
    <w:rsid w:val="00A117A5"/>
    <w:rPr>
      <w:rFonts w:ascii="Arial" w:eastAsia="Times New Roman" w:hAnsi="Arial" w:cs="Arial"/>
      <w:b/>
      <w:sz w:val="22"/>
      <w:szCs w:val="22"/>
    </w:rPr>
  </w:style>
  <w:style w:type="paragraph" w:styleId="NoSpacing">
    <w:name w:val="No Spacing"/>
    <w:uiPriority w:val="1"/>
    <w:qFormat/>
    <w:rsid w:val="000B52FA"/>
  </w:style>
  <w:style w:type="character" w:customStyle="1" w:styleId="lrzxr">
    <w:name w:val="lrzxr"/>
    <w:basedOn w:val="DefaultParagraphFont"/>
    <w:rsid w:val="00901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8620543">
      <w:bodyDiv w:val="1"/>
      <w:marLeft w:val="0"/>
      <w:marRight w:val="0"/>
      <w:marTop w:val="0"/>
      <w:marBottom w:val="0"/>
      <w:divBdr>
        <w:top w:val="none" w:sz="0" w:space="0" w:color="auto"/>
        <w:left w:val="none" w:sz="0" w:space="0" w:color="auto"/>
        <w:bottom w:val="none" w:sz="0" w:space="0" w:color="auto"/>
        <w:right w:val="none" w:sz="0" w:space="0" w:color="auto"/>
      </w:divBdr>
    </w:div>
    <w:div w:id="1567181399">
      <w:bodyDiv w:val="1"/>
      <w:marLeft w:val="0"/>
      <w:marRight w:val="0"/>
      <w:marTop w:val="0"/>
      <w:marBottom w:val="0"/>
      <w:divBdr>
        <w:top w:val="none" w:sz="0" w:space="0" w:color="auto"/>
        <w:left w:val="none" w:sz="0" w:space="0" w:color="auto"/>
        <w:bottom w:val="none" w:sz="0" w:space="0" w:color="auto"/>
        <w:right w:val="none" w:sz="0" w:space="0" w:color="auto"/>
      </w:divBdr>
    </w:div>
    <w:div w:id="188628470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itehouse.gov/omb/fedreg/1997standards.htm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xzhao3@gmu.edu"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Matthew.Walker@fda.hhs.gov"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ario.Navarro@fda.hhs.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mailto:Maria.Benoza@fda.hhs.go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F78BB6-138B-42D4-AFDA-CB7176AB9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5938</Words>
  <Characters>33851</Characters>
  <Application>Microsoft Office Word</Application>
  <DocSecurity>0</DocSecurity>
  <Lines>282</Lines>
  <Paragraphs>79</Paragraphs>
  <ScaleCrop>false</ScaleCrop>
  <HeadingPairs>
    <vt:vector size="2" baseType="variant">
      <vt:variant>
        <vt:lpstr>Title</vt:lpstr>
      </vt:variant>
      <vt:variant>
        <vt:i4>1</vt:i4>
      </vt:variant>
    </vt:vector>
  </HeadingPairs>
  <TitlesOfParts>
    <vt:vector size="1" baseType="lpstr">
      <vt:lpstr/>
    </vt:vector>
  </TitlesOfParts>
  <Company>US FDA</Company>
  <LinksUpToDate>false</LinksUpToDate>
  <CharactersWithSpaces>39710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Anjana Radhakrishnan</dc:creator>
  <cp:lastModifiedBy>SYSTEM</cp:lastModifiedBy>
  <cp:revision>2</cp:revision>
  <dcterms:created xsi:type="dcterms:W3CDTF">2018-05-04T18:49:00Z</dcterms:created>
  <dcterms:modified xsi:type="dcterms:W3CDTF">2018-05-04T18:49:00Z</dcterms:modified>
</cp:coreProperties>
</file>