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DEB9E" w14:textId="0A78B39D" w:rsidR="00AB0ADA" w:rsidRPr="00BE5651" w:rsidRDefault="000928AE" w:rsidP="000C5CD3">
      <w:pPr>
        <w:rPr>
          <w:rFonts w:ascii="Times New Roman" w:hAnsi="Times New Roman" w:cs="Times New Roman"/>
          <w:b/>
        </w:rPr>
      </w:pPr>
      <w:bookmarkStart w:id="0" w:name="_GoBack"/>
      <w:bookmarkEnd w:id="0"/>
      <w:r w:rsidRPr="00BE5651">
        <w:rPr>
          <w:rFonts w:ascii="Times New Roman" w:hAnsi="Times New Roman" w:cs="Times New Roman"/>
          <w:b/>
        </w:rPr>
        <w:t>Multicultural Campaign: Wave 3 Online Quantitative Study of Reactions to Rough-Cut Advertising Designed to Prevent Multicultural Youth Tobacco Use</w:t>
      </w:r>
    </w:p>
    <w:p w14:paraId="6304F84B" w14:textId="77777777" w:rsidR="000928AE" w:rsidRPr="00BE5651" w:rsidRDefault="000928AE" w:rsidP="000C5CD3">
      <w:pPr>
        <w:rPr>
          <w:rFonts w:ascii="Times New Roman" w:hAnsi="Times New Roman" w:cs="Times New Roman"/>
          <w:b/>
        </w:rPr>
      </w:pPr>
    </w:p>
    <w:p w14:paraId="44B7C3CD" w14:textId="2FB78722" w:rsidR="000928AE" w:rsidRPr="00BE5651" w:rsidRDefault="000928AE" w:rsidP="000C5CD3">
      <w:pPr>
        <w:rPr>
          <w:rFonts w:ascii="Times New Roman" w:hAnsi="Times New Roman" w:cs="Times New Roman"/>
          <w:b/>
        </w:rPr>
      </w:pPr>
      <w:r w:rsidRPr="00BE5651">
        <w:rPr>
          <w:rFonts w:ascii="Times New Roman" w:hAnsi="Times New Roman" w:cs="Times New Roman"/>
          <w:b/>
        </w:rPr>
        <w:t xml:space="preserve">Supporting Statement: </w:t>
      </w:r>
      <w:r w:rsidR="00476B0B">
        <w:rPr>
          <w:rFonts w:ascii="Times New Roman" w:hAnsi="Times New Roman" w:cs="Times New Roman"/>
          <w:b/>
        </w:rPr>
        <w:t>Summary</w:t>
      </w:r>
    </w:p>
    <w:p w14:paraId="58DF6351" w14:textId="77777777" w:rsidR="000928AE" w:rsidRPr="00BE5651" w:rsidRDefault="000928AE" w:rsidP="000C5CD3">
      <w:pPr>
        <w:rPr>
          <w:rFonts w:ascii="Times New Roman" w:hAnsi="Times New Roman" w:cs="Times New Roman"/>
          <w:b/>
        </w:rPr>
      </w:pPr>
    </w:p>
    <w:tbl>
      <w:tblPr>
        <w:tblStyle w:val="TableGrid"/>
        <w:tblW w:w="0" w:type="auto"/>
        <w:tblLook w:val="04A0" w:firstRow="1" w:lastRow="0" w:firstColumn="1" w:lastColumn="0" w:noHBand="0" w:noVBand="1"/>
      </w:tblPr>
      <w:tblGrid>
        <w:gridCol w:w="9576"/>
      </w:tblGrid>
      <w:tr w:rsidR="000928AE" w:rsidRPr="00BE5651" w14:paraId="03328FC9" w14:textId="77777777" w:rsidTr="00AB0ADA">
        <w:tc>
          <w:tcPr>
            <w:tcW w:w="9576" w:type="dxa"/>
          </w:tcPr>
          <w:p w14:paraId="0CF1FE15" w14:textId="77777777" w:rsidR="000928AE" w:rsidRPr="00BE5651" w:rsidRDefault="000928AE" w:rsidP="000C5CD3">
            <w:pPr>
              <w:pStyle w:val="ListParagraph"/>
              <w:spacing w:after="200" w:line="276" w:lineRule="auto"/>
              <w:ind w:left="360"/>
              <w:rPr>
                <w:rFonts w:cs="Times New Roman"/>
                <w:sz w:val="24"/>
                <w:szCs w:val="24"/>
              </w:rPr>
            </w:pPr>
          </w:p>
          <w:p w14:paraId="3AAD356F" w14:textId="2982463A" w:rsidR="000928AE" w:rsidRPr="00BE5651" w:rsidRDefault="000928AE" w:rsidP="000C5CD3">
            <w:pPr>
              <w:pStyle w:val="ListParagraph"/>
              <w:numPr>
                <w:ilvl w:val="0"/>
                <w:numId w:val="1"/>
              </w:numPr>
              <w:spacing w:line="276" w:lineRule="auto"/>
              <w:rPr>
                <w:rFonts w:cs="Times New Roman"/>
                <w:sz w:val="24"/>
                <w:szCs w:val="24"/>
              </w:rPr>
            </w:pPr>
            <w:r w:rsidRPr="00BE5651">
              <w:rPr>
                <w:rFonts w:cs="Times New Roman"/>
                <w:sz w:val="24"/>
                <w:szCs w:val="24"/>
              </w:rPr>
              <w:t xml:space="preserve">The goal of this project is to conduct quantitative copy testing of Wave 3 video ads for FDA’s Multicultural Youth </w:t>
            </w:r>
            <w:r w:rsidRPr="00ED5251">
              <w:rPr>
                <w:rFonts w:cs="Times New Roman"/>
                <w:sz w:val="24"/>
                <w:szCs w:val="24"/>
              </w:rPr>
              <w:t>Tobacco Education Campaign (Multicultural Campaign)</w:t>
            </w:r>
            <w:r w:rsidR="00154689" w:rsidRPr="00ED5251">
              <w:rPr>
                <w:rFonts w:cs="Times New Roman"/>
                <w:sz w:val="24"/>
                <w:szCs w:val="24"/>
              </w:rPr>
              <w:t xml:space="preserve"> </w:t>
            </w:r>
            <w:r w:rsidR="00476B0B" w:rsidRPr="00ED5251">
              <w:rPr>
                <w:rFonts w:cs="Times New Roman"/>
                <w:sz w:val="24"/>
                <w:szCs w:val="24"/>
              </w:rPr>
              <w:t>among</w:t>
            </w:r>
            <w:r w:rsidR="00154689" w:rsidRPr="00ED5251">
              <w:rPr>
                <w:rFonts w:cs="Times New Roman"/>
                <w:sz w:val="24"/>
                <w:szCs w:val="24"/>
              </w:rPr>
              <w:t xml:space="preserve"> youth ages</w:t>
            </w:r>
            <w:r w:rsidRPr="00ED5251">
              <w:rPr>
                <w:rFonts w:cs="Times New Roman"/>
                <w:sz w:val="24"/>
                <w:szCs w:val="24"/>
              </w:rPr>
              <w:t xml:space="preserve"> </w:t>
            </w:r>
            <w:r w:rsidR="00476B0B" w:rsidRPr="00ED5251">
              <w:rPr>
                <w:rFonts w:cs="Times New Roman"/>
                <w:sz w:val="24"/>
                <w:szCs w:val="24"/>
              </w:rPr>
              <w:t xml:space="preserve">13 </w:t>
            </w:r>
            <w:r w:rsidRPr="00ED5251">
              <w:rPr>
                <w:rFonts w:cs="Times New Roman"/>
                <w:sz w:val="24"/>
                <w:szCs w:val="24"/>
              </w:rPr>
              <w:t xml:space="preserve">to 17 </w:t>
            </w:r>
            <w:r w:rsidR="00E161B3" w:rsidRPr="00ED5251">
              <w:rPr>
                <w:rFonts w:cs="Times New Roman"/>
                <w:sz w:val="24"/>
                <w:szCs w:val="24"/>
              </w:rPr>
              <w:t>(</w:t>
            </w:r>
            <w:r w:rsidR="000465AB" w:rsidRPr="00ED5251">
              <w:rPr>
                <w:rFonts w:cs="Times New Roman"/>
                <w:sz w:val="24"/>
                <w:szCs w:val="24"/>
              </w:rPr>
              <w:t xml:space="preserve">N = </w:t>
            </w:r>
            <w:r w:rsidR="00ED5251" w:rsidRPr="00ED5251">
              <w:rPr>
                <w:rFonts w:cs="Times New Roman"/>
                <w:sz w:val="24"/>
                <w:szCs w:val="24"/>
              </w:rPr>
              <w:t>59</w:t>
            </w:r>
            <w:r w:rsidR="000465AB" w:rsidRPr="00ED5251">
              <w:rPr>
                <w:rFonts w:cs="Times New Roman"/>
                <w:sz w:val="24"/>
                <w:szCs w:val="24"/>
              </w:rPr>
              <w:t>3</w:t>
            </w:r>
            <w:r w:rsidR="00AD4C5C" w:rsidRPr="00ED5251">
              <w:rPr>
                <w:rFonts w:cs="Times New Roman"/>
                <w:sz w:val="24"/>
                <w:szCs w:val="24"/>
              </w:rPr>
              <w:t xml:space="preserve"> enrolled</w:t>
            </w:r>
            <w:r w:rsidRPr="00BE5651">
              <w:rPr>
                <w:rFonts w:cs="Times New Roman"/>
                <w:sz w:val="24"/>
                <w:szCs w:val="24"/>
              </w:rPr>
              <w:t xml:space="preserve">) who are influenced by the Hip Hop peer crowd and are either tobacco users or </w:t>
            </w:r>
            <w:r w:rsidR="00353EBF">
              <w:rPr>
                <w:rFonts w:cs="Times New Roman"/>
                <w:sz w:val="24"/>
                <w:szCs w:val="24"/>
              </w:rPr>
              <w:t>non-users open to using tobacco (</w:t>
            </w:r>
            <w:r w:rsidR="00B84544" w:rsidRPr="00BE5651">
              <w:rPr>
                <w:rFonts w:cs="Times New Roman"/>
                <w:sz w:val="24"/>
                <w:szCs w:val="24"/>
              </w:rPr>
              <w:t>open</w:t>
            </w:r>
            <w:r w:rsidRPr="00BE5651">
              <w:rPr>
                <w:rFonts w:cs="Times New Roman"/>
                <w:sz w:val="24"/>
                <w:szCs w:val="24"/>
              </w:rPr>
              <w:t xml:space="preserve"> non-users</w:t>
            </w:r>
            <w:r w:rsidR="00353EBF">
              <w:rPr>
                <w:rFonts w:cs="Times New Roman"/>
                <w:sz w:val="24"/>
                <w:szCs w:val="24"/>
              </w:rPr>
              <w:t>)</w:t>
            </w:r>
            <w:r w:rsidRPr="00BE5651">
              <w:rPr>
                <w:rFonts w:cs="Times New Roman"/>
                <w:sz w:val="24"/>
                <w:szCs w:val="24"/>
              </w:rPr>
              <w:t>.</w:t>
            </w:r>
          </w:p>
          <w:p w14:paraId="21E7B9F2" w14:textId="77777777" w:rsidR="000928AE" w:rsidRPr="00BE5651" w:rsidRDefault="000928AE" w:rsidP="000C5CD3">
            <w:pPr>
              <w:pStyle w:val="ListParagraph"/>
              <w:spacing w:line="276" w:lineRule="auto"/>
              <w:ind w:left="360"/>
              <w:rPr>
                <w:rFonts w:cs="Times New Roman"/>
                <w:sz w:val="24"/>
                <w:szCs w:val="24"/>
              </w:rPr>
            </w:pPr>
          </w:p>
          <w:p w14:paraId="51D52B7D" w14:textId="50028BBF" w:rsidR="000928AE" w:rsidRPr="00BE5651" w:rsidRDefault="000928AE" w:rsidP="000C5CD3">
            <w:pPr>
              <w:pStyle w:val="ListParagraph"/>
              <w:numPr>
                <w:ilvl w:val="0"/>
                <w:numId w:val="1"/>
              </w:numPr>
              <w:spacing w:line="276" w:lineRule="auto"/>
              <w:rPr>
                <w:rFonts w:cs="Times New Roman"/>
                <w:sz w:val="24"/>
                <w:szCs w:val="24"/>
              </w:rPr>
            </w:pPr>
            <w:r w:rsidRPr="00BE5651">
              <w:rPr>
                <w:rFonts w:cs="Times New Roman"/>
                <w:sz w:val="24"/>
                <w:szCs w:val="24"/>
              </w:rPr>
              <w:t xml:space="preserve">Participants will be </w:t>
            </w:r>
            <w:r w:rsidR="00AD4C5C" w:rsidRPr="00BE5651">
              <w:rPr>
                <w:rFonts w:cs="Times New Roman"/>
                <w:sz w:val="24"/>
                <w:szCs w:val="24"/>
              </w:rPr>
              <w:t>enrolled</w:t>
            </w:r>
            <w:r w:rsidRPr="00BE5651">
              <w:rPr>
                <w:rFonts w:cs="Times New Roman"/>
                <w:sz w:val="24"/>
                <w:szCs w:val="24"/>
              </w:rPr>
              <w:t xml:space="preserve"> via a </w:t>
            </w:r>
            <w:r w:rsidR="005B62A8">
              <w:rPr>
                <w:rFonts w:cs="Times New Roman"/>
                <w:sz w:val="24"/>
                <w:szCs w:val="24"/>
              </w:rPr>
              <w:t>s</w:t>
            </w:r>
            <w:r w:rsidRPr="00BE5651">
              <w:rPr>
                <w:rFonts w:cs="Times New Roman"/>
                <w:sz w:val="24"/>
                <w:szCs w:val="24"/>
              </w:rPr>
              <w:t xml:space="preserve">creener survey </w:t>
            </w:r>
            <w:r w:rsidR="00496682">
              <w:rPr>
                <w:rFonts w:cs="Times New Roman"/>
                <w:sz w:val="24"/>
                <w:szCs w:val="24"/>
              </w:rPr>
              <w:t>using targeted advertisements on</w:t>
            </w:r>
            <w:r w:rsidRPr="00BE5651">
              <w:rPr>
                <w:rFonts w:cs="Times New Roman"/>
                <w:sz w:val="24"/>
                <w:szCs w:val="24"/>
              </w:rPr>
              <w:t xml:space="preserve"> </w:t>
            </w:r>
            <w:r w:rsidR="00496682">
              <w:rPr>
                <w:rFonts w:cs="Times New Roman"/>
                <w:sz w:val="24"/>
                <w:szCs w:val="24"/>
              </w:rPr>
              <w:t xml:space="preserve">social media, such as Facebook or Instagram. Participants who </w:t>
            </w:r>
            <w:r w:rsidR="00496682" w:rsidRPr="009E0A14">
              <w:rPr>
                <w:rFonts w:cs="Times New Roman"/>
                <w:sz w:val="24"/>
                <w:szCs w:val="24"/>
              </w:rPr>
              <w:t>qualify for study inclusion</w:t>
            </w:r>
            <w:r w:rsidRPr="009E0A14">
              <w:rPr>
                <w:rFonts w:cs="Times New Roman"/>
                <w:sz w:val="24"/>
                <w:szCs w:val="24"/>
              </w:rPr>
              <w:t xml:space="preserve"> will compl</w:t>
            </w:r>
            <w:r w:rsidR="003B510E">
              <w:rPr>
                <w:rFonts w:cs="Times New Roman"/>
                <w:sz w:val="24"/>
                <w:szCs w:val="24"/>
              </w:rPr>
              <w:t>ete the q</w:t>
            </w:r>
            <w:r w:rsidR="00496682" w:rsidRPr="009E0A14">
              <w:rPr>
                <w:rFonts w:cs="Times New Roman"/>
                <w:sz w:val="24"/>
                <w:szCs w:val="24"/>
              </w:rPr>
              <w:t xml:space="preserve">uestionnaire online using </w:t>
            </w:r>
            <w:r w:rsidRPr="009E0A14">
              <w:rPr>
                <w:rFonts w:cs="Times New Roman"/>
                <w:sz w:val="24"/>
                <w:szCs w:val="24"/>
              </w:rPr>
              <w:t xml:space="preserve">their own device. </w:t>
            </w:r>
            <w:r w:rsidR="00ED5251" w:rsidRPr="009E0A14">
              <w:rPr>
                <w:rFonts w:cs="Times New Roman"/>
                <w:sz w:val="24"/>
                <w:szCs w:val="24"/>
              </w:rPr>
              <w:t>Five hundred ninety</w:t>
            </w:r>
            <w:r w:rsidR="00496682" w:rsidRPr="009E0A14">
              <w:rPr>
                <w:rFonts w:cs="Times New Roman"/>
                <w:sz w:val="24"/>
                <w:szCs w:val="24"/>
              </w:rPr>
              <w:t>-three youth who are 13</w:t>
            </w:r>
            <w:r w:rsidR="00740E83" w:rsidRPr="009E0A14">
              <w:rPr>
                <w:rFonts w:cs="Times New Roman"/>
                <w:sz w:val="24"/>
                <w:szCs w:val="24"/>
              </w:rPr>
              <w:t>-</w:t>
            </w:r>
            <w:r w:rsidRPr="009E0A14">
              <w:rPr>
                <w:rFonts w:cs="Times New Roman"/>
                <w:sz w:val="24"/>
                <w:szCs w:val="24"/>
              </w:rPr>
              <w:t xml:space="preserve">17 years old, </w:t>
            </w:r>
            <w:r w:rsidR="00E175C8" w:rsidRPr="009E0A14">
              <w:rPr>
                <w:rFonts w:cs="Times New Roman"/>
                <w:sz w:val="24"/>
                <w:szCs w:val="24"/>
              </w:rPr>
              <w:t xml:space="preserve">tobacco users or </w:t>
            </w:r>
            <w:r w:rsidR="008A7737" w:rsidRPr="009E0A14">
              <w:rPr>
                <w:rFonts w:cs="Times New Roman"/>
                <w:sz w:val="24"/>
                <w:szCs w:val="24"/>
              </w:rPr>
              <w:t>open</w:t>
            </w:r>
            <w:r w:rsidR="00E175C8" w:rsidRPr="009E0A14">
              <w:rPr>
                <w:rFonts w:cs="Times New Roman"/>
                <w:sz w:val="24"/>
                <w:szCs w:val="24"/>
              </w:rPr>
              <w:t xml:space="preserve"> non-users</w:t>
            </w:r>
            <w:r w:rsidRPr="009E0A14">
              <w:rPr>
                <w:rFonts w:cs="Times New Roman"/>
                <w:sz w:val="24"/>
                <w:szCs w:val="24"/>
              </w:rPr>
              <w:t>, and influenced</w:t>
            </w:r>
            <w:r w:rsidRPr="00BE5651">
              <w:rPr>
                <w:rFonts w:cs="Times New Roman"/>
                <w:sz w:val="24"/>
                <w:szCs w:val="24"/>
              </w:rPr>
              <w:t xml:space="preserve"> by the Hip Hop peer crowd will </w:t>
            </w:r>
            <w:r w:rsidR="00496682">
              <w:rPr>
                <w:rFonts w:cs="Times New Roman"/>
                <w:sz w:val="24"/>
                <w:szCs w:val="24"/>
              </w:rPr>
              <w:t>be enrolled</w:t>
            </w:r>
            <w:r w:rsidRPr="00BE5651">
              <w:rPr>
                <w:rFonts w:cs="Times New Roman"/>
                <w:sz w:val="24"/>
                <w:szCs w:val="24"/>
              </w:rPr>
              <w:t xml:space="preserve">. </w:t>
            </w:r>
            <w:r w:rsidR="0087008A" w:rsidRPr="0087008A">
              <w:rPr>
                <w:rFonts w:cs="Times New Roman"/>
                <w:sz w:val="24"/>
                <w:szCs w:val="24"/>
              </w:rPr>
              <w:t>Youth must be ages 13</w:t>
            </w:r>
            <w:r w:rsidR="00740E83">
              <w:rPr>
                <w:rFonts w:cs="Times New Roman"/>
                <w:sz w:val="24"/>
                <w:szCs w:val="24"/>
              </w:rPr>
              <w:t>-</w:t>
            </w:r>
            <w:r w:rsidR="0087008A" w:rsidRPr="0087008A">
              <w:rPr>
                <w:rFonts w:cs="Times New Roman"/>
                <w:sz w:val="24"/>
                <w:szCs w:val="24"/>
              </w:rPr>
              <w:t xml:space="preserve">17 to participate in order to comply with Children’s Online Privacy Protection Act (COPPA) regulations. </w:t>
            </w:r>
            <w:r w:rsidRPr="00BE5651">
              <w:rPr>
                <w:rFonts w:cs="Times New Roman"/>
                <w:sz w:val="24"/>
                <w:szCs w:val="24"/>
              </w:rPr>
              <w:t xml:space="preserve">The </w:t>
            </w:r>
            <w:r w:rsidR="005B62A8">
              <w:rPr>
                <w:rFonts w:cs="Times New Roman"/>
                <w:sz w:val="24"/>
                <w:szCs w:val="24"/>
              </w:rPr>
              <w:t>s</w:t>
            </w:r>
            <w:r w:rsidRPr="00CE3A45">
              <w:rPr>
                <w:rFonts w:cs="Times New Roman"/>
                <w:sz w:val="24"/>
                <w:szCs w:val="24"/>
              </w:rPr>
              <w:t xml:space="preserve">creener will take </w:t>
            </w:r>
            <w:r w:rsidR="00496682" w:rsidRPr="00CE3A45">
              <w:rPr>
                <w:rFonts w:cs="Times New Roman"/>
                <w:sz w:val="24"/>
                <w:szCs w:val="24"/>
              </w:rPr>
              <w:t>no more than</w:t>
            </w:r>
            <w:r w:rsidRPr="00CE3A45">
              <w:rPr>
                <w:rFonts w:cs="Times New Roman"/>
                <w:sz w:val="24"/>
                <w:szCs w:val="24"/>
              </w:rPr>
              <w:t xml:space="preserve"> </w:t>
            </w:r>
            <w:r w:rsidR="0072348C" w:rsidRPr="00CE3A45">
              <w:rPr>
                <w:rFonts w:cs="Times New Roman"/>
                <w:sz w:val="24"/>
                <w:szCs w:val="24"/>
              </w:rPr>
              <w:t>seven</w:t>
            </w:r>
            <w:r w:rsidRPr="00CE3A45">
              <w:rPr>
                <w:rFonts w:cs="Times New Roman"/>
                <w:sz w:val="24"/>
                <w:szCs w:val="24"/>
              </w:rPr>
              <w:t xml:space="preserve"> minutes to complete, a</w:t>
            </w:r>
            <w:r w:rsidR="005B62A8">
              <w:rPr>
                <w:rFonts w:cs="Times New Roman"/>
                <w:sz w:val="24"/>
                <w:szCs w:val="24"/>
              </w:rPr>
              <w:t>nd the q</w:t>
            </w:r>
            <w:r w:rsidR="00496682" w:rsidRPr="00CE3A45">
              <w:rPr>
                <w:rFonts w:cs="Times New Roman"/>
                <w:sz w:val="24"/>
                <w:szCs w:val="24"/>
              </w:rPr>
              <w:t>uestionnaire will take no more than</w:t>
            </w:r>
            <w:r w:rsidRPr="00CE3A45">
              <w:rPr>
                <w:rFonts w:cs="Times New Roman"/>
                <w:sz w:val="24"/>
                <w:szCs w:val="24"/>
              </w:rPr>
              <w:t xml:space="preserve"> 25</w:t>
            </w:r>
            <w:r w:rsidRPr="00CE3A45">
              <w:rPr>
                <w:rFonts w:cs="Times New Roman"/>
                <w:szCs w:val="24"/>
              </w:rPr>
              <w:t xml:space="preserve"> </w:t>
            </w:r>
            <w:r w:rsidRPr="00F23EA5">
              <w:rPr>
                <w:rFonts w:cs="Times New Roman"/>
                <w:sz w:val="24"/>
                <w:szCs w:val="24"/>
              </w:rPr>
              <w:t>minutes</w:t>
            </w:r>
            <w:r w:rsidRPr="00BE5651">
              <w:rPr>
                <w:rFonts w:cs="Times New Roman"/>
                <w:sz w:val="24"/>
                <w:szCs w:val="24"/>
              </w:rPr>
              <w:t xml:space="preserve"> for participants to complete. </w:t>
            </w:r>
          </w:p>
          <w:p w14:paraId="79F24B8C" w14:textId="77777777" w:rsidR="000928AE" w:rsidRPr="00BE5651" w:rsidRDefault="000928AE" w:rsidP="000C5CD3">
            <w:pPr>
              <w:pStyle w:val="ListParagraph"/>
              <w:spacing w:line="276" w:lineRule="auto"/>
              <w:ind w:left="360"/>
              <w:rPr>
                <w:rFonts w:cs="Times New Roman"/>
                <w:sz w:val="24"/>
                <w:szCs w:val="24"/>
              </w:rPr>
            </w:pPr>
          </w:p>
          <w:p w14:paraId="5919C542" w14:textId="76C618D6" w:rsidR="007C405F" w:rsidRPr="00BE5651" w:rsidRDefault="007C405F" w:rsidP="008F2D6E">
            <w:pPr>
              <w:pStyle w:val="ListParagraph"/>
              <w:numPr>
                <w:ilvl w:val="0"/>
                <w:numId w:val="1"/>
              </w:numPr>
              <w:spacing w:line="276" w:lineRule="auto"/>
              <w:rPr>
                <w:rFonts w:cs="Times New Roman"/>
                <w:sz w:val="24"/>
                <w:szCs w:val="24"/>
              </w:rPr>
            </w:pPr>
            <w:r w:rsidRPr="00BE5651">
              <w:rPr>
                <w:rFonts w:cs="Times New Roman"/>
                <w:sz w:val="24"/>
                <w:szCs w:val="24"/>
              </w:rPr>
              <w:t>The study will consist of showing one (1) r</w:t>
            </w:r>
            <w:r w:rsidR="00496682">
              <w:rPr>
                <w:rFonts w:cs="Times New Roman"/>
                <w:sz w:val="24"/>
                <w:szCs w:val="24"/>
              </w:rPr>
              <w:t>andomly assigned rough-cut campaign</w:t>
            </w:r>
            <w:r w:rsidRPr="00BE5651">
              <w:rPr>
                <w:rFonts w:cs="Times New Roman"/>
                <w:sz w:val="24"/>
                <w:szCs w:val="24"/>
              </w:rPr>
              <w:t xml:space="preserve"> video ad</w:t>
            </w:r>
            <w:r w:rsidR="00496682">
              <w:rPr>
                <w:rFonts w:cs="Times New Roman"/>
                <w:sz w:val="24"/>
                <w:szCs w:val="24"/>
              </w:rPr>
              <w:t>vertisement</w:t>
            </w:r>
            <w:r w:rsidRPr="00BE5651">
              <w:rPr>
                <w:rFonts w:cs="Times New Roman"/>
                <w:sz w:val="24"/>
                <w:szCs w:val="24"/>
              </w:rPr>
              <w:t xml:space="preserve"> </w:t>
            </w:r>
            <w:r w:rsidRPr="00631079">
              <w:rPr>
                <w:rFonts w:cs="Times New Roman"/>
                <w:sz w:val="24"/>
                <w:szCs w:val="24"/>
              </w:rPr>
              <w:t xml:space="preserve">from </w:t>
            </w:r>
            <w:r w:rsidRPr="008F2D6E">
              <w:rPr>
                <w:rFonts w:cs="Times New Roman"/>
                <w:sz w:val="24"/>
                <w:szCs w:val="24"/>
              </w:rPr>
              <w:t>three (3)</w:t>
            </w:r>
            <w:r w:rsidRPr="00631079">
              <w:rPr>
                <w:rFonts w:cs="Times New Roman"/>
                <w:sz w:val="24"/>
                <w:szCs w:val="24"/>
              </w:rPr>
              <w:t xml:space="preserve"> </w:t>
            </w:r>
            <w:r w:rsidR="00496682" w:rsidRPr="008F2D6E">
              <w:rPr>
                <w:rFonts w:cs="Times New Roman"/>
                <w:sz w:val="24"/>
                <w:szCs w:val="24"/>
              </w:rPr>
              <w:t>potential advertisements</w:t>
            </w:r>
            <w:r w:rsidRPr="00BE5651">
              <w:rPr>
                <w:rFonts w:cs="Times New Roman"/>
                <w:sz w:val="24"/>
                <w:szCs w:val="24"/>
              </w:rPr>
              <w:t xml:space="preserve"> to a sample of the target audience. </w:t>
            </w:r>
            <w:r w:rsidR="00C4132D">
              <w:rPr>
                <w:rFonts w:cs="Times New Roman"/>
                <w:sz w:val="24"/>
                <w:szCs w:val="24"/>
              </w:rPr>
              <w:t xml:space="preserve">Among </w:t>
            </w:r>
            <w:r w:rsidR="00496682">
              <w:rPr>
                <w:rFonts w:cs="Times New Roman"/>
                <w:sz w:val="24"/>
                <w:szCs w:val="24"/>
              </w:rPr>
              <w:t xml:space="preserve">enrolled </w:t>
            </w:r>
            <w:r w:rsidR="00496682" w:rsidRPr="000D08A0">
              <w:rPr>
                <w:rFonts w:cs="Times New Roman"/>
                <w:sz w:val="24"/>
                <w:szCs w:val="24"/>
              </w:rPr>
              <w:t>respondents</w:t>
            </w:r>
            <w:r w:rsidR="00C4132D" w:rsidRPr="000D08A0">
              <w:rPr>
                <w:rFonts w:cs="Times New Roman"/>
                <w:sz w:val="24"/>
                <w:szCs w:val="24"/>
              </w:rPr>
              <w:t xml:space="preserve">, </w:t>
            </w:r>
            <w:r w:rsidR="008F2D6E">
              <w:rPr>
                <w:rFonts w:cs="Times New Roman"/>
                <w:sz w:val="24"/>
                <w:szCs w:val="24"/>
              </w:rPr>
              <w:t>444</w:t>
            </w:r>
            <w:r w:rsidR="000D08A0" w:rsidRPr="000D08A0">
              <w:rPr>
                <w:rFonts w:cs="Times New Roman"/>
                <w:sz w:val="24"/>
                <w:szCs w:val="24"/>
              </w:rPr>
              <w:t xml:space="preserve"> </w:t>
            </w:r>
            <w:r w:rsidR="00496682" w:rsidRPr="000D08A0">
              <w:rPr>
                <w:rFonts w:cs="Times New Roman"/>
                <w:sz w:val="24"/>
                <w:szCs w:val="24"/>
              </w:rPr>
              <w:t xml:space="preserve">will be randomly assigned to the ad-viewing study group and </w:t>
            </w:r>
            <w:r w:rsidR="008F2D6E">
              <w:rPr>
                <w:rFonts w:cs="Times New Roman"/>
                <w:sz w:val="24"/>
                <w:szCs w:val="24"/>
              </w:rPr>
              <w:t>149</w:t>
            </w:r>
            <w:r w:rsidR="000D08A0" w:rsidRPr="000D08A0">
              <w:rPr>
                <w:rFonts w:cs="Times New Roman"/>
                <w:sz w:val="24"/>
                <w:szCs w:val="24"/>
              </w:rPr>
              <w:t xml:space="preserve"> </w:t>
            </w:r>
            <w:r w:rsidR="00496682" w:rsidRPr="000D08A0">
              <w:rPr>
                <w:rFonts w:cs="Times New Roman"/>
                <w:sz w:val="24"/>
                <w:szCs w:val="24"/>
              </w:rPr>
              <w:t>will be randomly assi</w:t>
            </w:r>
            <w:r w:rsidR="00496682">
              <w:rPr>
                <w:rFonts w:cs="Times New Roman"/>
                <w:sz w:val="24"/>
                <w:szCs w:val="24"/>
              </w:rPr>
              <w:t xml:space="preserve">gned to the non-ad-viewing (control) study group. </w:t>
            </w:r>
            <w:r w:rsidR="00C4132D" w:rsidRPr="008F2D6E">
              <w:rPr>
                <w:rFonts w:cs="Times New Roman"/>
                <w:sz w:val="24"/>
                <w:szCs w:val="24"/>
              </w:rPr>
              <w:t>Up to</w:t>
            </w:r>
            <w:r w:rsidR="00552E27" w:rsidRPr="008F2D6E">
              <w:rPr>
                <w:rFonts w:cs="Times New Roman"/>
                <w:sz w:val="24"/>
                <w:szCs w:val="24"/>
              </w:rPr>
              <w:t xml:space="preserve"> </w:t>
            </w:r>
            <w:r w:rsidR="008F2D6E" w:rsidRPr="008F2D6E">
              <w:rPr>
                <w:rFonts w:cs="Times New Roman"/>
                <w:sz w:val="24"/>
                <w:szCs w:val="24"/>
              </w:rPr>
              <w:t>8,895</w:t>
            </w:r>
            <w:r w:rsidR="00552E27">
              <w:rPr>
                <w:rFonts w:cs="Times New Roman"/>
                <w:sz w:val="24"/>
                <w:szCs w:val="24"/>
              </w:rPr>
              <w:t xml:space="preserve"> </w:t>
            </w:r>
            <w:r w:rsidR="00496682">
              <w:rPr>
                <w:rFonts w:cs="Times New Roman"/>
                <w:sz w:val="24"/>
                <w:szCs w:val="24"/>
              </w:rPr>
              <w:t xml:space="preserve">youth will be screened in order to </w:t>
            </w:r>
            <w:r w:rsidR="00496682" w:rsidRPr="009E0A14">
              <w:rPr>
                <w:rFonts w:cs="Times New Roman"/>
                <w:sz w:val="24"/>
                <w:szCs w:val="24"/>
              </w:rPr>
              <w:t>enroll</w:t>
            </w:r>
            <w:r w:rsidR="005C5B20" w:rsidRPr="009E0A14">
              <w:rPr>
                <w:rFonts w:cs="Times New Roman"/>
                <w:sz w:val="24"/>
                <w:szCs w:val="24"/>
              </w:rPr>
              <w:t xml:space="preserve"> </w:t>
            </w:r>
            <w:r w:rsidR="009E0A14" w:rsidRPr="009E0A14">
              <w:rPr>
                <w:rFonts w:cs="Times New Roman"/>
                <w:sz w:val="24"/>
                <w:szCs w:val="24"/>
              </w:rPr>
              <w:t>593</w:t>
            </w:r>
            <w:r w:rsidR="00496682" w:rsidRPr="009E0A14">
              <w:rPr>
                <w:rFonts w:cs="Times New Roman"/>
                <w:sz w:val="24"/>
                <w:szCs w:val="24"/>
              </w:rPr>
              <w:t>.</w:t>
            </w:r>
          </w:p>
          <w:p w14:paraId="2DC42431" w14:textId="77777777" w:rsidR="007C405F" w:rsidRPr="00BE5651" w:rsidRDefault="007C405F" w:rsidP="000C5CD3">
            <w:pPr>
              <w:rPr>
                <w:rFonts w:eastAsia="Calibri"/>
                <w:sz w:val="24"/>
                <w:szCs w:val="24"/>
              </w:rPr>
            </w:pPr>
          </w:p>
          <w:p w14:paraId="5F4944B3" w14:textId="3A54D4C2" w:rsidR="000928AE" w:rsidRPr="00BE5651" w:rsidRDefault="000928AE" w:rsidP="008F2D6E">
            <w:pPr>
              <w:pStyle w:val="ListParagraph"/>
              <w:numPr>
                <w:ilvl w:val="0"/>
                <w:numId w:val="1"/>
              </w:numPr>
              <w:spacing w:line="276" w:lineRule="auto"/>
              <w:rPr>
                <w:rFonts w:cs="Times New Roman"/>
                <w:sz w:val="24"/>
                <w:szCs w:val="24"/>
              </w:rPr>
            </w:pPr>
            <w:r w:rsidRPr="00BE5651">
              <w:rPr>
                <w:rFonts w:cs="Times New Roman"/>
                <w:sz w:val="24"/>
                <w:szCs w:val="24"/>
              </w:rPr>
              <w:t>The outcome of the study will be an understanding of overall ad performance and potential un</w:t>
            </w:r>
            <w:r w:rsidR="008B1D2F" w:rsidRPr="00BE5651">
              <w:rPr>
                <w:rFonts w:cs="Times New Roman"/>
                <w:sz w:val="24"/>
                <w:szCs w:val="24"/>
              </w:rPr>
              <w:t>intended consequences for Wave 3</w:t>
            </w:r>
            <w:r w:rsidRPr="00BE5651">
              <w:rPr>
                <w:rFonts w:cs="Times New Roman"/>
                <w:sz w:val="24"/>
                <w:szCs w:val="24"/>
              </w:rPr>
              <w:t xml:space="preserve"> video ads</w:t>
            </w:r>
            <w:r w:rsidR="008B1D2F" w:rsidRPr="00BE5651">
              <w:rPr>
                <w:rFonts w:cs="Times New Roman"/>
                <w:sz w:val="24"/>
                <w:szCs w:val="24"/>
              </w:rPr>
              <w:t xml:space="preserve"> for FDA’s Multicultural Campaign</w:t>
            </w:r>
            <w:r w:rsidRPr="00BE5651">
              <w:rPr>
                <w:rFonts w:cs="Times New Roman"/>
                <w:sz w:val="24"/>
                <w:szCs w:val="24"/>
              </w:rPr>
              <w:t xml:space="preserve">. Understanding </w:t>
            </w:r>
            <w:r w:rsidR="00AB0ADA">
              <w:rPr>
                <w:rFonts w:cs="Times New Roman"/>
                <w:sz w:val="24"/>
                <w:szCs w:val="24"/>
              </w:rPr>
              <w:t xml:space="preserve">the target audience’s </w:t>
            </w:r>
            <w:r w:rsidRPr="00BE5651">
              <w:rPr>
                <w:rFonts w:cs="Times New Roman"/>
                <w:sz w:val="24"/>
                <w:szCs w:val="24"/>
              </w:rPr>
              <w:t>receptivity of these video ads can help optimize messaging</w:t>
            </w:r>
            <w:r w:rsidR="008B1D2F" w:rsidRPr="00BE5651">
              <w:rPr>
                <w:rFonts w:cs="Times New Roman"/>
                <w:sz w:val="24"/>
                <w:szCs w:val="24"/>
              </w:rPr>
              <w:t xml:space="preserve"> for FDA’s Multicultural Campaign</w:t>
            </w:r>
            <w:r w:rsidRPr="00BE5651">
              <w:rPr>
                <w:rFonts w:cs="Times New Roman"/>
                <w:sz w:val="24"/>
                <w:szCs w:val="24"/>
              </w:rPr>
              <w:t>.</w:t>
            </w:r>
            <w:r w:rsidRPr="00BE5651">
              <w:rPr>
                <w:rFonts w:cs="Times New Roman"/>
                <w:sz w:val="24"/>
                <w:szCs w:val="24"/>
              </w:rPr>
              <w:br/>
            </w:r>
          </w:p>
          <w:p w14:paraId="55A0BCBA" w14:textId="77777777" w:rsidR="000928AE" w:rsidRPr="002F1E96" w:rsidRDefault="00AB0ADA" w:rsidP="000C5CD3">
            <w:pPr>
              <w:pStyle w:val="ListParagraph"/>
              <w:numPr>
                <w:ilvl w:val="0"/>
                <w:numId w:val="1"/>
              </w:numPr>
              <w:spacing w:line="276" w:lineRule="auto"/>
              <w:rPr>
                <w:rFonts w:cs="Times New Roman"/>
                <w:sz w:val="24"/>
                <w:szCs w:val="24"/>
              </w:rPr>
            </w:pPr>
            <w:r w:rsidRPr="00AB0ADA">
              <w:rPr>
                <w:rFonts w:eastAsia="Times New Roman" w:cs="Times New Roman"/>
                <w:sz w:val="24"/>
                <w:szCs w:val="24"/>
              </w:rPr>
              <w:t xml:space="preserve">The resulting data will be analyzed using conventional tabulation techniques for quantitative data. Qualitative analysis of open-ended items will also be conducted. The study questions collect information about respondents’ reactions to Wave </w:t>
            </w:r>
            <w:r>
              <w:rPr>
                <w:rFonts w:eastAsia="Times New Roman" w:cs="Times New Roman"/>
                <w:sz w:val="24"/>
                <w:szCs w:val="24"/>
              </w:rPr>
              <w:t>3</w:t>
            </w:r>
            <w:r w:rsidRPr="00AB0ADA">
              <w:rPr>
                <w:rFonts w:eastAsia="Times New Roman" w:cs="Times New Roman"/>
                <w:sz w:val="24"/>
                <w:szCs w:val="24"/>
              </w:rPr>
              <w:t xml:space="preserve"> video ads for FDA’s </w:t>
            </w:r>
            <w:r>
              <w:rPr>
                <w:rFonts w:eastAsia="Times New Roman" w:cs="Times New Roman"/>
                <w:sz w:val="24"/>
                <w:szCs w:val="24"/>
              </w:rPr>
              <w:t>Multicultural</w:t>
            </w:r>
            <w:r w:rsidRPr="00AB0ADA">
              <w:rPr>
                <w:rFonts w:eastAsia="Times New Roman" w:cs="Times New Roman"/>
                <w:sz w:val="24"/>
                <w:szCs w:val="24"/>
              </w:rPr>
              <w:t xml:space="preserve"> Campaign and also include basic demographic and tobacco use information in order to understand whether and how these factors may influence individuals’ responses to the video ads.</w:t>
            </w:r>
            <w:r w:rsidR="00DA11D0">
              <w:rPr>
                <w:rFonts w:eastAsia="Times New Roman" w:cs="Times New Roman"/>
                <w:sz w:val="24"/>
                <w:szCs w:val="24"/>
              </w:rPr>
              <w:br/>
            </w:r>
          </w:p>
          <w:p w14:paraId="18DD7733" w14:textId="30288A64" w:rsidR="00DA11D0" w:rsidRPr="00BE5651" w:rsidRDefault="00DA11D0" w:rsidP="00316BEC">
            <w:pPr>
              <w:pStyle w:val="ListParagraph"/>
              <w:numPr>
                <w:ilvl w:val="0"/>
                <w:numId w:val="1"/>
              </w:numPr>
              <w:spacing w:line="276" w:lineRule="auto"/>
              <w:rPr>
                <w:rFonts w:cs="Times New Roman"/>
                <w:sz w:val="24"/>
                <w:szCs w:val="24"/>
              </w:rPr>
            </w:pPr>
            <w:r>
              <w:rPr>
                <w:rFonts w:eastAsia="Times New Roman" w:cs="Times New Roman"/>
                <w:b/>
                <w:sz w:val="24"/>
                <w:szCs w:val="24"/>
              </w:rPr>
              <w:t xml:space="preserve">REQUESTED APPROVAL </w:t>
            </w:r>
            <w:r w:rsidRPr="00316BEC">
              <w:rPr>
                <w:rFonts w:eastAsia="Times New Roman" w:cs="Times New Roman"/>
                <w:b/>
                <w:sz w:val="24"/>
                <w:szCs w:val="24"/>
              </w:rPr>
              <w:t xml:space="preserve">DATE: </w:t>
            </w:r>
            <w:r w:rsidR="00CD2291">
              <w:rPr>
                <w:rFonts w:eastAsia="Times New Roman" w:cs="Times New Roman"/>
                <w:sz w:val="24"/>
                <w:szCs w:val="24"/>
              </w:rPr>
              <w:t>April 24</w:t>
            </w:r>
            <w:r w:rsidR="008D165B" w:rsidRPr="00316BEC">
              <w:rPr>
                <w:rFonts w:eastAsia="Times New Roman" w:cs="Times New Roman"/>
                <w:sz w:val="24"/>
                <w:szCs w:val="24"/>
              </w:rPr>
              <w:t>, 2018</w:t>
            </w:r>
          </w:p>
        </w:tc>
      </w:tr>
    </w:tbl>
    <w:p w14:paraId="7BC2B7A3" w14:textId="77777777" w:rsidR="00DA11D0" w:rsidRDefault="00DA11D0" w:rsidP="000C5CD3">
      <w:pPr>
        <w:rPr>
          <w:rFonts w:ascii="Times New Roman" w:hAnsi="Times New Roman" w:cs="Times New Roman"/>
          <w:b/>
          <w:u w:val="single"/>
        </w:rPr>
      </w:pPr>
    </w:p>
    <w:p w14:paraId="780BDD1A" w14:textId="77777777" w:rsidR="00DA11D0" w:rsidRDefault="00DA11D0" w:rsidP="000C5CD3">
      <w:pPr>
        <w:rPr>
          <w:rFonts w:ascii="Times New Roman" w:hAnsi="Times New Roman" w:cs="Times New Roman"/>
          <w:b/>
          <w:u w:val="single"/>
        </w:rPr>
      </w:pPr>
    </w:p>
    <w:p w14:paraId="176C806E" w14:textId="77777777" w:rsidR="001A0F96" w:rsidRDefault="001A0F96" w:rsidP="000C5CD3">
      <w:pPr>
        <w:rPr>
          <w:rFonts w:ascii="Times New Roman" w:hAnsi="Times New Roman" w:cs="Times New Roman"/>
          <w:b/>
          <w:u w:val="single"/>
        </w:rPr>
      </w:pPr>
    </w:p>
    <w:p w14:paraId="3887AE50" w14:textId="77777777" w:rsidR="001A0F96" w:rsidRDefault="001A0F96" w:rsidP="000C5CD3">
      <w:pPr>
        <w:rPr>
          <w:rFonts w:ascii="Times New Roman" w:hAnsi="Times New Roman" w:cs="Times New Roman"/>
          <w:b/>
          <w:u w:val="single"/>
        </w:rPr>
      </w:pPr>
    </w:p>
    <w:p w14:paraId="11062C39" w14:textId="5A148614" w:rsidR="008A7737" w:rsidRPr="00BE5651" w:rsidRDefault="008A7737" w:rsidP="000C5CD3">
      <w:pPr>
        <w:rPr>
          <w:rFonts w:ascii="Times New Roman" w:hAnsi="Times New Roman" w:cs="Times New Roman"/>
          <w:b/>
          <w:u w:val="single"/>
        </w:rPr>
      </w:pPr>
      <w:r w:rsidRPr="00BE5651">
        <w:rPr>
          <w:rFonts w:ascii="Times New Roman" w:hAnsi="Times New Roman" w:cs="Times New Roman"/>
          <w:b/>
          <w:u w:val="single"/>
        </w:rPr>
        <w:t>Data Collection Instruments</w:t>
      </w:r>
    </w:p>
    <w:p w14:paraId="6068A573" w14:textId="5BE1936F" w:rsidR="008A7737" w:rsidRPr="00BE5651" w:rsidRDefault="008A7737" w:rsidP="000C5CD3">
      <w:pPr>
        <w:pStyle w:val="ListParagraph"/>
        <w:numPr>
          <w:ilvl w:val="0"/>
          <w:numId w:val="2"/>
        </w:numPr>
        <w:rPr>
          <w:rFonts w:cs="Times New Roman"/>
          <w:szCs w:val="24"/>
        </w:rPr>
      </w:pPr>
      <w:r w:rsidRPr="00BE5651">
        <w:rPr>
          <w:rFonts w:cs="Times New Roman"/>
          <w:szCs w:val="24"/>
        </w:rPr>
        <w:t>Attachment A: Screener</w:t>
      </w:r>
    </w:p>
    <w:p w14:paraId="2419E58E" w14:textId="40307423" w:rsidR="008A7737" w:rsidRPr="00BE5651" w:rsidRDefault="008A7737" w:rsidP="000C5CD3">
      <w:pPr>
        <w:pStyle w:val="ListParagraph"/>
        <w:numPr>
          <w:ilvl w:val="0"/>
          <w:numId w:val="2"/>
        </w:numPr>
        <w:rPr>
          <w:rFonts w:cs="Times New Roman"/>
          <w:szCs w:val="24"/>
        </w:rPr>
      </w:pPr>
      <w:r w:rsidRPr="00BE5651">
        <w:rPr>
          <w:rFonts w:cs="Times New Roman"/>
          <w:szCs w:val="24"/>
        </w:rPr>
        <w:t>Attachment B: Questionnaire</w:t>
      </w:r>
    </w:p>
    <w:p w14:paraId="55B594F6" w14:textId="77777777" w:rsidR="008A7737" w:rsidRPr="00BE5651" w:rsidRDefault="008A7737" w:rsidP="000C5CD3">
      <w:pPr>
        <w:rPr>
          <w:rFonts w:ascii="Times New Roman" w:hAnsi="Times New Roman" w:cs="Times New Roman"/>
        </w:rPr>
      </w:pPr>
    </w:p>
    <w:p w14:paraId="7012B2A4" w14:textId="7C98D81B" w:rsidR="008A7737" w:rsidRPr="00BE5651" w:rsidRDefault="008A7737" w:rsidP="000C5CD3">
      <w:pPr>
        <w:rPr>
          <w:rFonts w:ascii="Times New Roman" w:hAnsi="Times New Roman" w:cs="Times New Roman"/>
          <w:b/>
          <w:u w:val="single"/>
        </w:rPr>
      </w:pPr>
      <w:r w:rsidRPr="00BE5651">
        <w:rPr>
          <w:rFonts w:ascii="Times New Roman" w:hAnsi="Times New Roman" w:cs="Times New Roman"/>
          <w:b/>
          <w:u w:val="single"/>
        </w:rPr>
        <w:t xml:space="preserve">Participant </w:t>
      </w:r>
      <w:r w:rsidR="00BD4D87">
        <w:rPr>
          <w:rFonts w:ascii="Times New Roman" w:hAnsi="Times New Roman" w:cs="Times New Roman"/>
          <w:b/>
          <w:u w:val="single"/>
        </w:rPr>
        <w:t>Assent/Consent</w:t>
      </w:r>
      <w:r w:rsidRPr="00BE5651">
        <w:rPr>
          <w:rFonts w:ascii="Times New Roman" w:hAnsi="Times New Roman" w:cs="Times New Roman"/>
          <w:b/>
          <w:u w:val="single"/>
        </w:rPr>
        <w:t xml:space="preserve"> &amp; Parental Opt-Out Forms</w:t>
      </w:r>
    </w:p>
    <w:p w14:paraId="185C4294" w14:textId="03FFB7B9" w:rsidR="008A7737" w:rsidRPr="00BE5651" w:rsidRDefault="008A7737" w:rsidP="000C5CD3">
      <w:pPr>
        <w:pStyle w:val="ListParagraph"/>
        <w:numPr>
          <w:ilvl w:val="0"/>
          <w:numId w:val="4"/>
        </w:numPr>
        <w:rPr>
          <w:rFonts w:cs="Times New Roman"/>
          <w:b/>
          <w:szCs w:val="24"/>
          <w:u w:val="single"/>
        </w:rPr>
      </w:pPr>
      <w:r w:rsidRPr="00BE5651">
        <w:rPr>
          <w:rFonts w:cs="Times New Roman"/>
          <w:szCs w:val="24"/>
        </w:rPr>
        <w:t>Attachment C: Parental Opt-Out Form</w:t>
      </w:r>
    </w:p>
    <w:p w14:paraId="7D42F429" w14:textId="0EA78104" w:rsidR="008A7737" w:rsidRPr="00AB0ADA" w:rsidRDefault="008A7737" w:rsidP="000C5CD3">
      <w:pPr>
        <w:pStyle w:val="ListParagraph"/>
        <w:numPr>
          <w:ilvl w:val="0"/>
          <w:numId w:val="4"/>
        </w:numPr>
        <w:rPr>
          <w:rFonts w:cs="Times New Roman"/>
          <w:b/>
          <w:szCs w:val="24"/>
          <w:u w:val="single"/>
        </w:rPr>
      </w:pPr>
      <w:r w:rsidRPr="00BE5651">
        <w:rPr>
          <w:rFonts w:cs="Times New Roman"/>
          <w:szCs w:val="24"/>
        </w:rPr>
        <w:t xml:space="preserve">Attachment D: Participant </w:t>
      </w:r>
      <w:r w:rsidR="00BD4D87">
        <w:rPr>
          <w:rFonts w:cs="Times New Roman"/>
          <w:szCs w:val="24"/>
        </w:rPr>
        <w:t>Assent/Consent</w:t>
      </w:r>
      <w:r w:rsidRPr="00BE5651">
        <w:rPr>
          <w:rFonts w:cs="Times New Roman"/>
          <w:szCs w:val="24"/>
        </w:rPr>
        <w:t xml:space="preserve"> Form</w:t>
      </w:r>
    </w:p>
    <w:p w14:paraId="476D4BF6" w14:textId="0CBD76DA" w:rsidR="00AB0ADA" w:rsidRPr="00BE5651" w:rsidRDefault="00AB0ADA" w:rsidP="000C5CD3">
      <w:pPr>
        <w:pStyle w:val="ListParagraph"/>
        <w:numPr>
          <w:ilvl w:val="0"/>
          <w:numId w:val="4"/>
        </w:numPr>
        <w:rPr>
          <w:rFonts w:cs="Times New Roman"/>
          <w:b/>
          <w:szCs w:val="24"/>
          <w:u w:val="single"/>
        </w:rPr>
      </w:pPr>
      <w:r>
        <w:rPr>
          <w:rFonts w:cs="Times New Roman"/>
          <w:szCs w:val="24"/>
        </w:rPr>
        <w:t>Attachment E: Parent &amp; Participant Electronic Communications</w:t>
      </w:r>
    </w:p>
    <w:p w14:paraId="1D7A8759" w14:textId="77777777" w:rsidR="008A7737" w:rsidRPr="00BE5651" w:rsidRDefault="008A7737" w:rsidP="000C5CD3">
      <w:pPr>
        <w:rPr>
          <w:rFonts w:ascii="Times New Roman" w:hAnsi="Times New Roman" w:cs="Times New Roman"/>
          <w:b/>
          <w:u w:val="single"/>
        </w:rPr>
      </w:pPr>
    </w:p>
    <w:p w14:paraId="54BDD77F" w14:textId="75391FD2" w:rsidR="008A7737" w:rsidRPr="00BE5651" w:rsidRDefault="008A7737" w:rsidP="000C5CD3">
      <w:pPr>
        <w:rPr>
          <w:rFonts w:ascii="Times New Roman" w:hAnsi="Times New Roman" w:cs="Times New Roman"/>
          <w:b/>
          <w:u w:val="single"/>
        </w:rPr>
      </w:pPr>
      <w:r w:rsidRPr="00BE5651">
        <w:rPr>
          <w:rFonts w:ascii="Times New Roman" w:hAnsi="Times New Roman" w:cs="Times New Roman"/>
          <w:b/>
          <w:u w:val="single"/>
        </w:rPr>
        <w:t>Study Stimuli</w:t>
      </w:r>
    </w:p>
    <w:p w14:paraId="74BFD797" w14:textId="77777777" w:rsidR="00BB44C4" w:rsidRPr="00BB44C4" w:rsidRDefault="00C87327" w:rsidP="00BB44C4">
      <w:pPr>
        <w:pStyle w:val="ListParagraph"/>
        <w:numPr>
          <w:ilvl w:val="0"/>
          <w:numId w:val="5"/>
        </w:numPr>
        <w:rPr>
          <w:rFonts w:cs="Times New Roman"/>
          <w:b/>
          <w:szCs w:val="24"/>
          <w:u w:val="single"/>
        </w:rPr>
      </w:pPr>
      <w:r>
        <w:rPr>
          <w:rFonts w:cs="Times New Roman"/>
          <w:szCs w:val="24"/>
        </w:rPr>
        <w:t xml:space="preserve">Attachment </w:t>
      </w:r>
      <w:r w:rsidR="0087758B">
        <w:rPr>
          <w:rFonts w:cs="Times New Roman"/>
          <w:szCs w:val="24"/>
        </w:rPr>
        <w:t>F</w:t>
      </w:r>
      <w:r w:rsidR="008A7737" w:rsidRPr="00BE5651">
        <w:rPr>
          <w:rFonts w:cs="Times New Roman"/>
          <w:szCs w:val="24"/>
        </w:rPr>
        <w:t>: Video Ad Stimuli</w:t>
      </w:r>
    </w:p>
    <w:p w14:paraId="1201C891" w14:textId="7EBEAE1E" w:rsidR="00DA11D0" w:rsidRPr="00BB44C4" w:rsidRDefault="00DA11D0" w:rsidP="00BB44C4">
      <w:pPr>
        <w:pStyle w:val="ListParagraph"/>
        <w:numPr>
          <w:ilvl w:val="0"/>
          <w:numId w:val="5"/>
        </w:numPr>
        <w:rPr>
          <w:rFonts w:cs="Times New Roman"/>
          <w:b/>
          <w:szCs w:val="24"/>
          <w:u w:val="single"/>
        </w:rPr>
      </w:pPr>
      <w:r w:rsidRPr="00BB44C4">
        <w:rPr>
          <w:rFonts w:cs="Times New Roman"/>
          <w:szCs w:val="24"/>
        </w:rPr>
        <w:t xml:space="preserve">Attachment </w:t>
      </w:r>
      <w:r w:rsidR="0087758B" w:rsidRPr="00BB44C4">
        <w:rPr>
          <w:rFonts w:cs="Times New Roman"/>
          <w:szCs w:val="24"/>
        </w:rPr>
        <w:t>G</w:t>
      </w:r>
      <w:r w:rsidRPr="00BB44C4">
        <w:rPr>
          <w:rFonts w:cs="Times New Roman"/>
          <w:szCs w:val="24"/>
        </w:rPr>
        <w:t>: IRB Approval Letter</w:t>
      </w:r>
    </w:p>
    <w:p w14:paraId="60C2E74A" w14:textId="77777777" w:rsidR="008A7737" w:rsidRPr="00BE5651" w:rsidRDefault="008A7737" w:rsidP="000C5CD3">
      <w:pPr>
        <w:rPr>
          <w:rFonts w:ascii="Times New Roman" w:hAnsi="Times New Roman" w:cs="Times New Roman"/>
          <w:b/>
          <w:u w:val="single"/>
        </w:rPr>
      </w:pPr>
    </w:p>
    <w:p w14:paraId="62CF8054" w14:textId="4D7AF9CC" w:rsidR="008A7737" w:rsidRPr="00BE5651" w:rsidRDefault="008A7737" w:rsidP="000C5CD3">
      <w:pPr>
        <w:rPr>
          <w:rFonts w:ascii="Times New Roman" w:hAnsi="Times New Roman" w:cs="Times New Roman"/>
          <w:b/>
          <w:u w:val="single"/>
        </w:rPr>
      </w:pPr>
      <w:r w:rsidRPr="00BE5651">
        <w:rPr>
          <w:rFonts w:ascii="Times New Roman" w:hAnsi="Times New Roman" w:cs="Times New Roman"/>
          <w:b/>
          <w:u w:val="single"/>
        </w:rPr>
        <w:br w:type="page"/>
      </w:r>
    </w:p>
    <w:p w14:paraId="13894F88" w14:textId="114C4692" w:rsidR="00476B0B" w:rsidRDefault="00476B0B" w:rsidP="009C6AAC">
      <w:pPr>
        <w:jc w:val="center"/>
        <w:rPr>
          <w:rFonts w:ascii="Times New Roman" w:eastAsia="Times New Roman" w:hAnsi="Times New Roman" w:cs="Times New Roman"/>
        </w:rPr>
      </w:pPr>
      <w:r w:rsidRPr="00BE5651">
        <w:rPr>
          <w:rFonts w:ascii="Times New Roman" w:hAnsi="Times New Roman" w:cs="Times New Roman"/>
          <w:b/>
        </w:rPr>
        <w:lastRenderedPageBreak/>
        <w:t>Multicultural Campaign: Wave 3 Online Quantitative Study of Reactions to Rough-Cut Advertising Designed to Prevent Multicultural Youth Tobacco Use</w:t>
      </w:r>
    </w:p>
    <w:p w14:paraId="602CC137" w14:textId="77777777" w:rsidR="008A7737" w:rsidRPr="008A7737" w:rsidRDefault="008A7737" w:rsidP="000C5CD3">
      <w:pPr>
        <w:rPr>
          <w:rFonts w:ascii="Times New Roman" w:eastAsia="Times New Roman" w:hAnsi="Times New Roman" w:cs="Times New Roman"/>
        </w:rPr>
      </w:pPr>
    </w:p>
    <w:p w14:paraId="2FFD31D3" w14:textId="1268B0E8" w:rsidR="008A7737" w:rsidRPr="008A7737" w:rsidRDefault="008A7737" w:rsidP="009C6AAC">
      <w:pPr>
        <w:jc w:val="center"/>
        <w:rPr>
          <w:rFonts w:ascii="Times New Roman" w:eastAsia="Times New Roman" w:hAnsi="Times New Roman" w:cs="Times New Roman"/>
        </w:rPr>
      </w:pPr>
      <w:r w:rsidRPr="008A7737">
        <w:rPr>
          <w:rFonts w:ascii="Times New Roman" w:eastAsia="Times New Roman" w:hAnsi="Times New Roman" w:cs="Times New Roman"/>
        </w:rPr>
        <w:t>0910-0</w:t>
      </w:r>
      <w:r w:rsidR="005E4E8F">
        <w:rPr>
          <w:rFonts w:ascii="Times New Roman" w:eastAsia="Times New Roman" w:hAnsi="Times New Roman" w:cs="Times New Roman"/>
        </w:rPr>
        <w:t>810</w:t>
      </w:r>
    </w:p>
    <w:p w14:paraId="01CDD471" w14:textId="77777777" w:rsidR="008A7737" w:rsidRPr="00BE5651" w:rsidRDefault="008A7737" w:rsidP="009C6AAC">
      <w:pPr>
        <w:jc w:val="center"/>
        <w:rPr>
          <w:rFonts w:ascii="Times New Roman" w:hAnsi="Times New Roman" w:cs="Times New Roman"/>
          <w:b/>
          <w:u w:val="single"/>
        </w:rPr>
      </w:pPr>
    </w:p>
    <w:p w14:paraId="40A494C9" w14:textId="675DB1B4" w:rsidR="008A7737" w:rsidRPr="008A7737" w:rsidRDefault="008A7737" w:rsidP="009C6AAC">
      <w:pPr>
        <w:keepNext/>
        <w:spacing w:before="120" w:after="120"/>
        <w:jc w:val="center"/>
        <w:outlineLvl w:val="0"/>
        <w:rPr>
          <w:rFonts w:ascii="Times New Roman" w:eastAsia="Times New Roman" w:hAnsi="Times New Roman" w:cs="Times New Roman"/>
          <w:b/>
          <w:bCs/>
          <w:caps/>
        </w:rPr>
      </w:pPr>
      <w:bookmarkStart w:id="1" w:name="_Toc365038358"/>
      <w:bookmarkStart w:id="2" w:name="_Toc365473622"/>
      <w:r w:rsidRPr="008A7737">
        <w:rPr>
          <w:rFonts w:ascii="Times New Roman" w:eastAsia="Times New Roman" w:hAnsi="Times New Roman" w:cs="Times New Roman"/>
          <w:b/>
          <w:bCs/>
          <w:caps/>
        </w:rPr>
        <w:t>SUPPORTING STATEMENT</w:t>
      </w:r>
      <w:bookmarkEnd w:id="1"/>
      <w:bookmarkEnd w:id="2"/>
      <w:r w:rsidRPr="008A7737">
        <w:rPr>
          <w:rFonts w:ascii="Times New Roman" w:eastAsia="Times New Roman" w:hAnsi="Times New Roman" w:cs="Times New Roman"/>
          <w:b/>
          <w:bCs/>
          <w:caps/>
        </w:rPr>
        <w:t>: PART A</w:t>
      </w:r>
    </w:p>
    <w:p w14:paraId="1E0BCD11" w14:textId="77777777" w:rsidR="008A7737" w:rsidRPr="008A7737" w:rsidRDefault="008A7737" w:rsidP="000C5CD3">
      <w:pPr>
        <w:spacing w:before="100" w:beforeAutospacing="1" w:after="100" w:afterAutospacing="1"/>
        <w:rPr>
          <w:rFonts w:ascii="Times New Roman" w:eastAsia="Times New Roman" w:hAnsi="Times New Roman" w:cs="Times New Roman"/>
        </w:rPr>
      </w:pPr>
      <w:r w:rsidRPr="008A7737">
        <w:rPr>
          <w:rFonts w:ascii="Times New Roman" w:eastAsia="Times New Roman" w:hAnsi="Times New Roman" w:cs="Times New Roman"/>
          <w:b/>
          <w:bCs/>
        </w:rPr>
        <w:t>A. Justification</w:t>
      </w:r>
    </w:p>
    <w:p w14:paraId="3463B821" w14:textId="77777777" w:rsidR="002F2C04" w:rsidRPr="002F2C04" w:rsidRDefault="002F2C04" w:rsidP="000C5CD3">
      <w:pPr>
        <w:numPr>
          <w:ilvl w:val="0"/>
          <w:numId w:val="6"/>
        </w:numPr>
        <w:spacing w:before="100" w:beforeAutospacing="1" w:after="100" w:afterAutospacing="1"/>
        <w:rPr>
          <w:rFonts w:ascii="Times New Roman" w:eastAsia="Times New Roman" w:hAnsi="Times New Roman" w:cs="Times New Roman"/>
          <w:u w:val="single"/>
        </w:rPr>
      </w:pPr>
      <w:r w:rsidRPr="002F2C04">
        <w:rPr>
          <w:rFonts w:ascii="Times New Roman" w:eastAsia="Times New Roman" w:hAnsi="Times New Roman" w:cs="Times New Roman"/>
          <w:u w:val="single"/>
        </w:rPr>
        <w:t>Circumstances Making the Collection of Information Necessary</w:t>
      </w:r>
    </w:p>
    <w:p w14:paraId="09EBD869" w14:textId="7C8CA9E1" w:rsidR="002F2C04" w:rsidRPr="00BE5651" w:rsidRDefault="002F2C04" w:rsidP="009C6AAC">
      <w:pPr>
        <w:spacing w:after="240"/>
        <w:ind w:left="720"/>
        <w:rPr>
          <w:rFonts w:ascii="Times New Roman" w:eastAsia="Times New Roman" w:hAnsi="Times New Roman" w:cs="Times New Roman"/>
        </w:rPr>
      </w:pPr>
      <w:r w:rsidRPr="00BE5651">
        <w:rPr>
          <w:rFonts w:ascii="Times New Roman" w:eastAsia="Times New Roman" w:hAnsi="Times New Roman" w:cs="Times New Roman"/>
        </w:rPr>
        <w:t xml:space="preserve">On June 22, 2009, the Food and Drug Administration (FDA) was granted new authority to regulate the manufacture, marketing, and distribution of tobacco products and to educate the public about the dangers of tobacco use. Under the Family Smoking Prevention and Tobacco Control Act (Tobacco Control Act) (P.L. 111-31), FDA is responsible for protecting the public health and reducing tobacco use among minors. Section 1003(d)(2)(D) of the Food, Drug and Cosmetic Act (21 U.S.C. Section 393(d)(2)(D)) and Sections 2, 3, 105, 201, 204, 904, and 908 of the Tobacco Control Act support the development and implementation of FDA public education campaigns related to tobacco use. Accordingly, FDA will implement multi-strategy youth and young adult-targeted public education campaigns to reduce the public health burden of tobacco. FDA has contracted with Rescue Agency (Rescue) for the development of FDA’s Multicultural </w:t>
      </w:r>
      <w:r w:rsidR="00250617">
        <w:rPr>
          <w:rFonts w:ascii="Times New Roman" w:eastAsia="Times New Roman" w:hAnsi="Times New Roman" w:cs="Times New Roman"/>
        </w:rPr>
        <w:t xml:space="preserve">Youth Tobacco Education </w:t>
      </w:r>
      <w:r w:rsidRPr="00BE5651">
        <w:rPr>
          <w:rFonts w:ascii="Times New Roman" w:eastAsia="Times New Roman" w:hAnsi="Times New Roman" w:cs="Times New Roman"/>
        </w:rPr>
        <w:t>Campaign</w:t>
      </w:r>
      <w:r w:rsidR="00250617">
        <w:rPr>
          <w:rFonts w:ascii="Times New Roman" w:eastAsia="Times New Roman" w:hAnsi="Times New Roman" w:cs="Times New Roman"/>
        </w:rPr>
        <w:t xml:space="preserve"> (Multicultural Campaign)</w:t>
      </w:r>
      <w:r w:rsidRPr="00BE5651">
        <w:rPr>
          <w:rFonts w:ascii="Times New Roman" w:eastAsia="Times New Roman" w:hAnsi="Times New Roman" w:cs="Times New Roman"/>
        </w:rPr>
        <w:t xml:space="preserve">. This campaign will utilize video advertising, community engagement activations, and a comprehensive social media effort targeted to multicultural youth ages 12-17 </w:t>
      </w:r>
      <w:r w:rsidR="006523DB">
        <w:rPr>
          <w:rFonts w:ascii="Times New Roman" w:eastAsia="Times New Roman" w:hAnsi="Times New Roman" w:cs="Times New Roman"/>
        </w:rPr>
        <w:t xml:space="preserve">who </w:t>
      </w:r>
      <w:r w:rsidR="006523DB" w:rsidRPr="00BE5651">
        <w:rPr>
          <w:rFonts w:ascii="Times New Roman" w:eastAsia="Times New Roman" w:hAnsi="Times New Roman" w:cs="Times New Roman"/>
        </w:rPr>
        <w:t xml:space="preserve">are influenced by the Hip Hop peer crowd </w:t>
      </w:r>
      <w:r w:rsidRPr="00BE5651">
        <w:rPr>
          <w:rFonts w:ascii="Times New Roman" w:eastAsia="Times New Roman" w:hAnsi="Times New Roman" w:cs="Times New Roman"/>
        </w:rPr>
        <w:t xml:space="preserve">in order to reach individuals who are </w:t>
      </w:r>
      <w:r w:rsidR="00250617">
        <w:rPr>
          <w:rFonts w:ascii="Times New Roman" w:eastAsia="Times New Roman" w:hAnsi="Times New Roman" w:cs="Times New Roman"/>
        </w:rPr>
        <w:t>at-risk for tobacco use</w:t>
      </w:r>
      <w:r w:rsidRPr="00BE5651">
        <w:rPr>
          <w:rFonts w:ascii="Times New Roman" w:eastAsia="Times New Roman" w:hAnsi="Times New Roman" w:cs="Times New Roman"/>
        </w:rPr>
        <w:t xml:space="preserve"> </w:t>
      </w:r>
      <w:r w:rsidR="006523DB">
        <w:rPr>
          <w:rFonts w:ascii="Times New Roman" w:eastAsia="Times New Roman" w:hAnsi="Times New Roman" w:cs="Times New Roman"/>
        </w:rPr>
        <w:t>with a tobacco prevention message</w:t>
      </w:r>
      <w:r w:rsidRPr="00BE5651">
        <w:rPr>
          <w:rFonts w:ascii="Times New Roman" w:eastAsia="Times New Roman" w:hAnsi="Times New Roman" w:cs="Times New Roman"/>
        </w:rPr>
        <w:t>.</w:t>
      </w:r>
    </w:p>
    <w:p w14:paraId="7EED5916" w14:textId="77777777" w:rsidR="002F2C04" w:rsidRPr="002F2C04" w:rsidRDefault="002F2C04" w:rsidP="009C6AAC">
      <w:pPr>
        <w:spacing w:before="100" w:beforeAutospacing="1" w:after="240"/>
        <w:ind w:left="720"/>
        <w:rPr>
          <w:rFonts w:ascii="Times New Roman" w:eastAsia="Times New Roman" w:hAnsi="Times New Roman" w:cs="Times New Roman"/>
        </w:rPr>
      </w:pPr>
      <w:r w:rsidRPr="002F2C04">
        <w:rPr>
          <w:rFonts w:ascii="Times New Roman" w:eastAsia="Times New Roman" w:hAnsi="Times New Roman" w:cs="Times New Roman"/>
        </w:rPr>
        <w:t>Tobacco use is the leading preventable cause of disease, disability, and death in the United States (USDHHS, 2014). More than 480,000 deaths are caused by tobacco use each year in the United States (USDHHS, 2014). The FDA Center for Tobacco Products (CTP) was created to carry out the authorities granted under the 2009 Tobacco Control Act, to educate the public about the dangers of tobacco use and serve as a public health resource for tobacco and health information.</w:t>
      </w:r>
    </w:p>
    <w:p w14:paraId="577E2948" w14:textId="3B5E1752" w:rsidR="00234AD5" w:rsidRPr="00BE5651" w:rsidRDefault="00234AD5" w:rsidP="009E75BD">
      <w:pPr>
        <w:widowControl w:val="0"/>
        <w:autoSpaceDE w:val="0"/>
        <w:autoSpaceDN w:val="0"/>
        <w:adjustRightInd w:val="0"/>
        <w:spacing w:after="240"/>
        <w:ind w:left="720"/>
        <w:rPr>
          <w:rFonts w:ascii="Times New Roman" w:hAnsi="Times New Roman" w:cs="Times New Roman"/>
        </w:rPr>
      </w:pPr>
      <w:r w:rsidRPr="00BE5651">
        <w:rPr>
          <w:rFonts w:ascii="Times New Roman" w:hAnsi="Times New Roman" w:cs="Times New Roman"/>
        </w:rPr>
        <w:t xml:space="preserve">For FDA’s Multicultural Campaign, youth ages 12-17 </w:t>
      </w:r>
      <w:r w:rsidR="00EF7CB5">
        <w:rPr>
          <w:rFonts w:ascii="Times New Roman" w:hAnsi="Times New Roman" w:cs="Times New Roman"/>
        </w:rPr>
        <w:t xml:space="preserve">who are influenced by the Hip Hop peer crowd </w:t>
      </w:r>
      <w:r w:rsidRPr="00BE5651">
        <w:rPr>
          <w:rFonts w:ascii="Times New Roman" w:hAnsi="Times New Roman" w:cs="Times New Roman"/>
        </w:rPr>
        <w:t>were selected as the target audience. It is estimated that more than 80% of adult smokers begin smoking before age 18. The Centers for Disease Control and Prevention (CDC) report that youth cigarette use declined sharply from 1997-2003, but declines have slowed in recent years (CDC, 2010). Today, cigarette use continues to be a significant health risk to youth as 8.0% of high school students and 2.2% of middle school students reported current cigarette use in 2016 (Jamal et al., 2017). Additionally, other tobacco products such as e-cigarettes, cigar products, and hookah have become increasingly common among US teens, even as cigarette smoking continues to decline. From 2011 to 2016, the National Youth Tobacco Survey found that while use of cigarettes decreased significantly among teens, increased use of other products, including e-cigarettes and hookah, offset these decreases, resulting in no significant change in the overall rate of any tobacco product use among teens (Jamal et al., 2017). Th</w:t>
      </w:r>
      <w:r w:rsidR="003C2832">
        <w:rPr>
          <w:rFonts w:ascii="Times New Roman" w:hAnsi="Times New Roman" w:cs="Times New Roman"/>
        </w:rPr>
        <w:t>is</w:t>
      </w:r>
      <w:r w:rsidRPr="00BE5651">
        <w:rPr>
          <w:rFonts w:ascii="Times New Roman" w:hAnsi="Times New Roman" w:cs="Times New Roman"/>
        </w:rPr>
        <w:t xml:space="preserve"> trend indicate</w:t>
      </w:r>
      <w:r w:rsidR="003C2832">
        <w:rPr>
          <w:rFonts w:ascii="Times New Roman" w:hAnsi="Times New Roman" w:cs="Times New Roman"/>
        </w:rPr>
        <w:t>s</w:t>
      </w:r>
      <w:r w:rsidRPr="00BE5651">
        <w:rPr>
          <w:rFonts w:ascii="Times New Roman" w:hAnsi="Times New Roman" w:cs="Times New Roman"/>
        </w:rPr>
        <w:t xml:space="preserve"> a need for youth public education campaigns to include a variety of tobacco products in their messaging efforts.</w:t>
      </w:r>
      <w:r w:rsidR="00303CD6" w:rsidRPr="00BE5651">
        <w:rPr>
          <w:rFonts w:ascii="Times New Roman" w:hAnsi="Times New Roman" w:cs="Times New Roman"/>
        </w:rPr>
        <w:t xml:space="preserve"> </w:t>
      </w:r>
    </w:p>
    <w:p w14:paraId="044D2921" w14:textId="455A8CF4" w:rsidR="00DA1A69" w:rsidRPr="00BE5651" w:rsidRDefault="00DA1A69" w:rsidP="009C6AAC">
      <w:pPr>
        <w:spacing w:before="100" w:beforeAutospacing="1" w:after="240"/>
        <w:ind w:left="720"/>
        <w:rPr>
          <w:rFonts w:ascii="Times New Roman" w:eastAsia="Times New Roman" w:hAnsi="Times New Roman" w:cs="Times New Roman"/>
        </w:rPr>
      </w:pPr>
      <w:r w:rsidRPr="00DA1A69">
        <w:rPr>
          <w:rFonts w:ascii="Times New Roman" w:eastAsia="Times New Roman" w:hAnsi="Times New Roman" w:cs="Times New Roman"/>
        </w:rPr>
        <w:t xml:space="preserve">Additionally, for FDA’s Multicultural Campaign, the Hip Hop peer crowd was selected as the target audience as they are a prominent youth peer crowd and demonstrate above average rates of </w:t>
      </w:r>
      <w:r w:rsidR="007D36A4">
        <w:rPr>
          <w:rFonts w:ascii="Times New Roman" w:eastAsia="Times New Roman" w:hAnsi="Times New Roman" w:cs="Times New Roman"/>
        </w:rPr>
        <w:t>tobacco use</w:t>
      </w:r>
      <w:r w:rsidRPr="00DA1A69">
        <w:rPr>
          <w:rFonts w:ascii="Times New Roman" w:eastAsia="Times New Roman" w:hAnsi="Times New Roman" w:cs="Times New Roman"/>
        </w:rPr>
        <w:t xml:space="preserve"> (</w:t>
      </w:r>
      <w:r w:rsidR="00C301C3">
        <w:rPr>
          <w:rFonts w:ascii="Times New Roman" w:eastAsia="Times New Roman" w:hAnsi="Times New Roman" w:cs="Times New Roman"/>
        </w:rPr>
        <w:t>Jordan et al., 201</w:t>
      </w:r>
      <w:r w:rsidR="00F32573">
        <w:rPr>
          <w:rFonts w:ascii="Times New Roman" w:eastAsia="Times New Roman" w:hAnsi="Times New Roman" w:cs="Times New Roman"/>
        </w:rPr>
        <w:t>8</w:t>
      </w:r>
      <w:r w:rsidR="00C301C3">
        <w:rPr>
          <w:rFonts w:ascii="Times New Roman" w:eastAsia="Times New Roman" w:hAnsi="Times New Roman" w:cs="Times New Roman"/>
        </w:rPr>
        <w:t xml:space="preserve">; </w:t>
      </w:r>
      <w:r w:rsidRPr="00DA1A69">
        <w:rPr>
          <w:rFonts w:ascii="Times New Roman" w:eastAsia="Times New Roman" w:hAnsi="Times New Roman" w:cs="Times New Roman"/>
        </w:rPr>
        <w:t>Lee</w:t>
      </w:r>
      <w:r w:rsidR="0078537A">
        <w:rPr>
          <w:rFonts w:ascii="Times New Roman" w:eastAsia="Times New Roman" w:hAnsi="Times New Roman" w:cs="Times New Roman"/>
        </w:rPr>
        <w:t>, Jordan, Djakaria, &amp; Ling</w:t>
      </w:r>
      <w:r w:rsidRPr="00DA1A69">
        <w:rPr>
          <w:rFonts w:ascii="Times New Roman" w:eastAsia="Times New Roman" w:hAnsi="Times New Roman" w:cs="Times New Roman"/>
        </w:rPr>
        <w:t>, 2014; van der Rijt,</w:t>
      </w:r>
      <w:r w:rsidR="0078537A">
        <w:rPr>
          <w:rFonts w:ascii="Times New Roman" w:eastAsia="Times New Roman" w:hAnsi="Times New Roman" w:cs="Times New Roman"/>
        </w:rPr>
        <w:t xml:space="preserve"> D’Haenens, &amp; van Straten,</w:t>
      </w:r>
      <w:r w:rsidRPr="00DA1A69">
        <w:rPr>
          <w:rFonts w:ascii="Times New Roman" w:eastAsia="Times New Roman" w:hAnsi="Times New Roman" w:cs="Times New Roman"/>
        </w:rPr>
        <w:t xml:space="preserve"> 2002). Research has consistently noted higher rates of tobacco use among youth influenced by the Hip Hop peer crowd as compared to other youth peer crowds (</w:t>
      </w:r>
      <w:r w:rsidR="0078537A">
        <w:rPr>
          <w:rFonts w:ascii="Times New Roman" w:eastAsia="Times New Roman" w:hAnsi="Times New Roman" w:cs="Times New Roman"/>
        </w:rPr>
        <w:t>Jordan et al., 201</w:t>
      </w:r>
      <w:r w:rsidR="00F32573">
        <w:rPr>
          <w:rFonts w:ascii="Times New Roman" w:eastAsia="Times New Roman" w:hAnsi="Times New Roman" w:cs="Times New Roman"/>
        </w:rPr>
        <w:t>8</w:t>
      </w:r>
      <w:r w:rsidR="0078537A">
        <w:rPr>
          <w:rFonts w:ascii="Times New Roman" w:eastAsia="Times New Roman" w:hAnsi="Times New Roman" w:cs="Times New Roman"/>
        </w:rPr>
        <w:t xml:space="preserve">; </w:t>
      </w:r>
      <w:r w:rsidRPr="00DA1A69">
        <w:rPr>
          <w:rFonts w:ascii="Times New Roman" w:eastAsia="Times New Roman" w:hAnsi="Times New Roman" w:cs="Times New Roman"/>
        </w:rPr>
        <w:t xml:space="preserve">Lee et al., 2014; van der Rijt et al., 2002). In one study, the odds of smoking were roughly twice as high for Hip Hop youth as compared to youth primarily influenced by the Mainstream peer crowd (OR=1.97, 95% CI: 1.03, 3.76) (Lee et al., 2014). </w:t>
      </w:r>
      <w:r w:rsidR="00EF7CB5" w:rsidRPr="00BE5651">
        <w:rPr>
          <w:rFonts w:ascii="Times New Roman" w:hAnsi="Times New Roman" w:cs="Times New Roman"/>
        </w:rPr>
        <w:t>Therefore, the target audience of this campaign represents a population that is at high risk of using tobacco products, and thus is in need of health education messaging.</w:t>
      </w:r>
    </w:p>
    <w:p w14:paraId="61CF36D9" w14:textId="34E7951A" w:rsidR="00DA1A69" w:rsidRPr="00BE5651" w:rsidRDefault="00DA1A69" w:rsidP="009C6AAC">
      <w:pPr>
        <w:spacing w:after="240"/>
        <w:ind w:left="720"/>
        <w:rPr>
          <w:rFonts w:ascii="Times New Roman" w:eastAsia="Times New Roman" w:hAnsi="Times New Roman" w:cs="Times New Roman"/>
        </w:rPr>
      </w:pPr>
      <w:r w:rsidRPr="00BE5651">
        <w:rPr>
          <w:rFonts w:ascii="Times New Roman" w:eastAsia="Times New Roman" w:hAnsi="Times New Roman" w:cs="Times New Roman"/>
        </w:rPr>
        <w:t xml:space="preserve">As part of FDA’s Multicultural Campaign, FDA will implement video advertising that highlights the negative health and addiction consequences of tobacco use. </w:t>
      </w:r>
      <w:r w:rsidR="00965AE2">
        <w:rPr>
          <w:rFonts w:ascii="Times New Roman" w:eastAsia="Times New Roman" w:hAnsi="Times New Roman" w:cs="Times New Roman"/>
        </w:rPr>
        <w:t xml:space="preserve">Before these video ads may be used in this campaign, they must undergo copy testing to assess overall ad performance and the potential for unintended consequences related to viewing the ads. </w:t>
      </w:r>
      <w:r w:rsidRPr="00BE5651">
        <w:rPr>
          <w:rFonts w:ascii="Times New Roman" w:eastAsia="Times New Roman" w:hAnsi="Times New Roman" w:cs="Times New Roman"/>
        </w:rPr>
        <w:t>The objective of the proposed data collection</w:t>
      </w:r>
      <w:r w:rsidR="00965AE2" w:rsidRPr="00965AE2">
        <w:rPr>
          <w:rFonts w:ascii="Times New Roman" w:eastAsia="Times New Roman" w:hAnsi="Times New Roman" w:cs="Times New Roman"/>
        </w:rPr>
        <w:t xml:space="preserve"> is to measure </w:t>
      </w:r>
      <w:r w:rsidR="00124223">
        <w:rPr>
          <w:rFonts w:ascii="Times New Roman" w:eastAsia="Times New Roman" w:hAnsi="Times New Roman" w:cs="Times New Roman"/>
        </w:rPr>
        <w:t xml:space="preserve">ad </w:t>
      </w:r>
      <w:r w:rsidR="00965AE2" w:rsidRPr="00965AE2">
        <w:rPr>
          <w:rFonts w:ascii="Times New Roman" w:eastAsia="Times New Roman" w:hAnsi="Times New Roman" w:cs="Times New Roman"/>
        </w:rPr>
        <w:t>perceived effectiveness and unintended consequences of viewing the ads among the campaign target audience</w:t>
      </w:r>
      <w:r w:rsidR="00012627">
        <w:rPr>
          <w:rFonts w:ascii="Times New Roman" w:eastAsia="Times New Roman" w:hAnsi="Times New Roman" w:cs="Times New Roman"/>
        </w:rPr>
        <w:t xml:space="preserve"> of youth </w:t>
      </w:r>
      <w:r w:rsidRPr="00BE5651">
        <w:rPr>
          <w:rFonts w:ascii="Times New Roman" w:eastAsia="Times New Roman" w:hAnsi="Times New Roman" w:cs="Times New Roman"/>
        </w:rPr>
        <w:t xml:space="preserve">who </w:t>
      </w:r>
      <w:r w:rsidR="00965AE2" w:rsidRPr="00BE5651">
        <w:rPr>
          <w:rFonts w:ascii="Times New Roman" w:eastAsia="Times New Roman" w:hAnsi="Times New Roman" w:cs="Times New Roman"/>
        </w:rPr>
        <w:t xml:space="preserve">are </w:t>
      </w:r>
      <w:r w:rsidR="00ED15F4">
        <w:rPr>
          <w:rFonts w:ascii="Times New Roman" w:eastAsia="Times New Roman" w:hAnsi="Times New Roman" w:cs="Times New Roman"/>
        </w:rPr>
        <w:t>at-risk for tobacco use</w:t>
      </w:r>
      <w:r w:rsidR="00965AE2">
        <w:rPr>
          <w:rFonts w:ascii="Times New Roman" w:eastAsia="Times New Roman" w:hAnsi="Times New Roman" w:cs="Times New Roman"/>
        </w:rPr>
        <w:t xml:space="preserve"> and </w:t>
      </w:r>
      <w:r w:rsidRPr="00BE5651">
        <w:rPr>
          <w:rFonts w:ascii="Times New Roman" w:eastAsia="Times New Roman" w:hAnsi="Times New Roman" w:cs="Times New Roman"/>
        </w:rPr>
        <w:t>influence</w:t>
      </w:r>
      <w:r w:rsidR="00965AE2">
        <w:rPr>
          <w:rFonts w:ascii="Times New Roman" w:eastAsia="Times New Roman" w:hAnsi="Times New Roman" w:cs="Times New Roman"/>
        </w:rPr>
        <w:t>d by the Hip Hop peer crowd.</w:t>
      </w:r>
    </w:p>
    <w:p w14:paraId="251DFE6F" w14:textId="6FA33A91" w:rsidR="0071221A" w:rsidRPr="00BE5651" w:rsidRDefault="00303CD6" w:rsidP="009C6AAC">
      <w:pPr>
        <w:spacing w:before="100" w:beforeAutospacing="1" w:after="240"/>
        <w:ind w:left="720"/>
        <w:rPr>
          <w:rFonts w:ascii="Times New Roman" w:eastAsia="Times New Roman" w:hAnsi="Times New Roman" w:cs="Times New Roman"/>
        </w:rPr>
      </w:pPr>
      <w:r w:rsidRPr="00BE5651">
        <w:rPr>
          <w:rFonts w:ascii="Times New Roman" w:eastAsia="Times New Roman" w:hAnsi="Times New Roman" w:cs="Times New Roman"/>
        </w:rPr>
        <w:t xml:space="preserve">This study is designed to </w:t>
      </w:r>
      <w:r w:rsidR="006F181D">
        <w:rPr>
          <w:rFonts w:ascii="Times New Roman" w:eastAsia="Times New Roman" w:hAnsi="Times New Roman" w:cs="Times New Roman"/>
        </w:rPr>
        <w:t>measure</w:t>
      </w:r>
      <w:r w:rsidRPr="00BE5651">
        <w:rPr>
          <w:rFonts w:ascii="Times New Roman" w:eastAsia="Times New Roman" w:hAnsi="Times New Roman" w:cs="Times New Roman"/>
        </w:rPr>
        <w:t xml:space="preserve"> participant reacti</w:t>
      </w:r>
      <w:r w:rsidR="0087008A">
        <w:rPr>
          <w:rFonts w:ascii="Times New Roman" w:eastAsia="Times New Roman" w:hAnsi="Times New Roman" w:cs="Times New Roman"/>
        </w:rPr>
        <w:t xml:space="preserve">ons </w:t>
      </w:r>
      <w:r w:rsidR="0087008A" w:rsidRPr="00FB3EDC">
        <w:rPr>
          <w:rFonts w:ascii="Times New Roman" w:eastAsia="Times New Roman" w:hAnsi="Times New Roman" w:cs="Times New Roman"/>
        </w:rPr>
        <w:t xml:space="preserve">to </w:t>
      </w:r>
      <w:r w:rsidR="0072348C" w:rsidRPr="00FB3EDC">
        <w:rPr>
          <w:rFonts w:ascii="Times New Roman" w:eastAsia="Times New Roman" w:hAnsi="Times New Roman" w:cs="Times New Roman"/>
        </w:rPr>
        <w:t xml:space="preserve">three </w:t>
      </w:r>
      <w:r w:rsidR="0087008A" w:rsidRPr="00FB3EDC">
        <w:rPr>
          <w:rFonts w:ascii="Times New Roman" w:eastAsia="Times New Roman" w:hAnsi="Times New Roman" w:cs="Times New Roman"/>
        </w:rPr>
        <w:t>video ad</w:t>
      </w:r>
      <w:r w:rsidR="0087008A">
        <w:rPr>
          <w:rFonts w:ascii="Times New Roman" w:eastAsia="Times New Roman" w:hAnsi="Times New Roman" w:cs="Times New Roman"/>
        </w:rPr>
        <w:t xml:space="preserve">s (Attachment </w:t>
      </w:r>
      <w:r w:rsidR="00B72462">
        <w:rPr>
          <w:rFonts w:ascii="Times New Roman" w:eastAsia="Times New Roman" w:hAnsi="Times New Roman" w:cs="Times New Roman"/>
        </w:rPr>
        <w:t>F</w:t>
      </w:r>
      <w:r w:rsidRPr="00BE5651">
        <w:rPr>
          <w:rFonts w:ascii="Times New Roman" w:eastAsia="Times New Roman" w:hAnsi="Times New Roman" w:cs="Times New Roman"/>
        </w:rPr>
        <w:t xml:space="preserve">). The study will be conducted </w:t>
      </w:r>
      <w:r w:rsidR="0087008A">
        <w:rPr>
          <w:rFonts w:ascii="Times New Roman" w:eastAsia="Times New Roman" w:hAnsi="Times New Roman" w:cs="Times New Roman"/>
        </w:rPr>
        <w:t xml:space="preserve">using </w:t>
      </w:r>
      <w:r w:rsidR="005B62A8">
        <w:rPr>
          <w:rFonts w:ascii="Times New Roman" w:eastAsia="Times New Roman" w:hAnsi="Times New Roman" w:cs="Times New Roman"/>
        </w:rPr>
        <w:t>an online screener and q</w:t>
      </w:r>
      <w:r w:rsidR="0087008A" w:rsidRPr="00231647">
        <w:rPr>
          <w:rFonts w:ascii="Times New Roman" w:eastAsia="Times New Roman" w:hAnsi="Times New Roman" w:cs="Times New Roman"/>
        </w:rPr>
        <w:t xml:space="preserve">uestionnaire. </w:t>
      </w:r>
      <w:r w:rsidR="00231647" w:rsidRPr="00231647">
        <w:rPr>
          <w:rFonts w:ascii="Times New Roman" w:eastAsia="Times New Roman" w:hAnsi="Times New Roman" w:cs="Times New Roman"/>
        </w:rPr>
        <w:t>Five</w:t>
      </w:r>
      <w:r w:rsidR="0087008A" w:rsidRPr="00231647">
        <w:rPr>
          <w:rFonts w:ascii="Times New Roman" w:eastAsia="Times New Roman" w:hAnsi="Times New Roman" w:cs="Times New Roman"/>
        </w:rPr>
        <w:t xml:space="preserve">-hundred </w:t>
      </w:r>
      <w:r w:rsidR="00231647" w:rsidRPr="00231647">
        <w:rPr>
          <w:rFonts w:ascii="Times New Roman" w:eastAsia="Times New Roman" w:hAnsi="Times New Roman" w:cs="Times New Roman"/>
        </w:rPr>
        <w:t>ninety</w:t>
      </w:r>
      <w:r w:rsidR="0087008A" w:rsidRPr="00231647">
        <w:rPr>
          <w:rFonts w:ascii="Times New Roman" w:eastAsia="Times New Roman" w:hAnsi="Times New Roman" w:cs="Times New Roman"/>
        </w:rPr>
        <w:t xml:space="preserve">-three youth who are 13-17 years old, influenced by </w:t>
      </w:r>
      <w:r w:rsidR="00ED15F4" w:rsidRPr="00231647">
        <w:rPr>
          <w:rFonts w:ascii="Times New Roman" w:eastAsia="Times New Roman" w:hAnsi="Times New Roman" w:cs="Times New Roman"/>
        </w:rPr>
        <w:t xml:space="preserve">the </w:t>
      </w:r>
      <w:r w:rsidR="0087008A" w:rsidRPr="00231647">
        <w:rPr>
          <w:rFonts w:ascii="Times New Roman" w:eastAsia="Times New Roman" w:hAnsi="Times New Roman" w:cs="Times New Roman"/>
        </w:rPr>
        <w:t xml:space="preserve">Hip Hop </w:t>
      </w:r>
      <w:r w:rsidR="00ED15F4" w:rsidRPr="00231647">
        <w:rPr>
          <w:rFonts w:ascii="Times New Roman" w:eastAsia="Times New Roman" w:hAnsi="Times New Roman" w:cs="Times New Roman"/>
        </w:rPr>
        <w:t>peer crowd</w:t>
      </w:r>
      <w:r w:rsidR="0087008A" w:rsidRPr="00231647">
        <w:rPr>
          <w:rFonts w:ascii="Times New Roman" w:eastAsia="Times New Roman" w:hAnsi="Times New Roman" w:cs="Times New Roman"/>
        </w:rPr>
        <w:t>, have a valid email address, and who</w:t>
      </w:r>
      <w:r w:rsidR="0087008A">
        <w:rPr>
          <w:rFonts w:ascii="Times New Roman" w:eastAsia="Times New Roman" w:hAnsi="Times New Roman" w:cs="Times New Roman"/>
        </w:rPr>
        <w:t xml:space="preserve"> are either tobacco users or </w:t>
      </w:r>
      <w:r w:rsidR="00F97C7F">
        <w:rPr>
          <w:rFonts w:ascii="Times New Roman" w:eastAsia="Times New Roman" w:hAnsi="Times New Roman" w:cs="Times New Roman"/>
        </w:rPr>
        <w:t>non-users open to using tobacco (</w:t>
      </w:r>
      <w:r w:rsidR="0087008A">
        <w:rPr>
          <w:rFonts w:ascii="Times New Roman" w:eastAsia="Times New Roman" w:hAnsi="Times New Roman" w:cs="Times New Roman"/>
        </w:rPr>
        <w:t>open non-users</w:t>
      </w:r>
      <w:r w:rsidR="00F97C7F">
        <w:rPr>
          <w:rFonts w:ascii="Times New Roman" w:eastAsia="Times New Roman" w:hAnsi="Times New Roman" w:cs="Times New Roman"/>
        </w:rPr>
        <w:t>)</w:t>
      </w:r>
      <w:r w:rsidR="0087008A">
        <w:rPr>
          <w:rFonts w:ascii="Times New Roman" w:eastAsia="Times New Roman" w:hAnsi="Times New Roman" w:cs="Times New Roman"/>
        </w:rPr>
        <w:t xml:space="preserve"> will be enrolled. </w:t>
      </w:r>
      <w:r w:rsidR="00F32248">
        <w:rPr>
          <w:rFonts w:ascii="Times New Roman" w:eastAsia="Times New Roman" w:hAnsi="Times New Roman" w:cs="Times New Roman"/>
        </w:rPr>
        <w:t xml:space="preserve">Participants </w:t>
      </w:r>
      <w:r w:rsidR="0087008A">
        <w:rPr>
          <w:rFonts w:ascii="Times New Roman" w:eastAsia="Times New Roman" w:hAnsi="Times New Roman" w:cs="Times New Roman"/>
        </w:rPr>
        <w:t>must be ages 13</w:t>
      </w:r>
      <w:r w:rsidR="00740E83">
        <w:rPr>
          <w:rFonts w:ascii="Times New Roman" w:eastAsia="Times New Roman" w:hAnsi="Times New Roman" w:cs="Times New Roman"/>
        </w:rPr>
        <w:t>-</w:t>
      </w:r>
      <w:r w:rsidR="0087008A">
        <w:rPr>
          <w:rFonts w:ascii="Times New Roman" w:eastAsia="Times New Roman" w:hAnsi="Times New Roman" w:cs="Times New Roman"/>
        </w:rPr>
        <w:t xml:space="preserve">17 to participate in order to comply with </w:t>
      </w:r>
      <w:r w:rsidR="00F32248" w:rsidRPr="00F32248">
        <w:rPr>
          <w:rFonts w:ascii="Times New Roman" w:eastAsia="Times New Roman" w:hAnsi="Times New Roman" w:cs="Times New Roman"/>
        </w:rPr>
        <w:t xml:space="preserve">Children's Online Privacy Protection Act </w:t>
      </w:r>
      <w:r w:rsidR="00F32248">
        <w:rPr>
          <w:rFonts w:ascii="Times New Roman" w:eastAsia="Times New Roman" w:hAnsi="Times New Roman" w:cs="Times New Roman"/>
        </w:rPr>
        <w:t>(</w:t>
      </w:r>
      <w:r w:rsidR="0087008A">
        <w:rPr>
          <w:rFonts w:ascii="Times New Roman" w:eastAsia="Times New Roman" w:hAnsi="Times New Roman" w:cs="Times New Roman"/>
        </w:rPr>
        <w:t>COPPA</w:t>
      </w:r>
      <w:r w:rsidR="00F32248">
        <w:rPr>
          <w:rFonts w:ascii="Times New Roman" w:eastAsia="Times New Roman" w:hAnsi="Times New Roman" w:cs="Times New Roman"/>
        </w:rPr>
        <w:t>)</w:t>
      </w:r>
      <w:r w:rsidR="0087008A">
        <w:rPr>
          <w:rFonts w:ascii="Times New Roman" w:eastAsia="Times New Roman" w:hAnsi="Times New Roman" w:cs="Times New Roman"/>
        </w:rPr>
        <w:t xml:space="preserve"> regulations</w:t>
      </w:r>
      <w:r w:rsidR="00F32248">
        <w:rPr>
          <w:rFonts w:ascii="Times New Roman" w:eastAsia="Times New Roman" w:hAnsi="Times New Roman" w:cs="Times New Roman"/>
        </w:rPr>
        <w:t>. A</w:t>
      </w:r>
      <w:r w:rsidR="00ED15F4">
        <w:rPr>
          <w:rFonts w:ascii="Times New Roman" w:eastAsia="Times New Roman" w:hAnsi="Times New Roman" w:cs="Times New Roman"/>
        </w:rPr>
        <w:t>lthough part of FDA’s Multicultural Campaign’s target audience, youth age 12 will not be permitted to participate in this online study</w:t>
      </w:r>
      <w:r w:rsidR="0072348C">
        <w:rPr>
          <w:rFonts w:ascii="Times New Roman" w:eastAsia="Times New Roman" w:hAnsi="Times New Roman" w:cs="Times New Roman"/>
        </w:rPr>
        <w:t xml:space="preserve"> due to COPPA regulations</w:t>
      </w:r>
      <w:r w:rsidR="0087008A">
        <w:rPr>
          <w:rFonts w:ascii="Times New Roman" w:eastAsia="Times New Roman" w:hAnsi="Times New Roman" w:cs="Times New Roman"/>
        </w:rPr>
        <w:t xml:space="preserve">. </w:t>
      </w:r>
      <w:r w:rsidR="0087008A" w:rsidRPr="0087008A">
        <w:rPr>
          <w:rFonts w:ascii="Times New Roman" w:eastAsia="Times New Roman" w:hAnsi="Times New Roman" w:cs="Times New Roman"/>
        </w:rPr>
        <w:t xml:space="preserve">Participants will be randomly assigned to the control group, where they will not view any ads, or to the ad-viewing group, where they will be asked to view </w:t>
      </w:r>
      <w:r w:rsidR="0072348C">
        <w:rPr>
          <w:rFonts w:ascii="Times New Roman" w:eastAsia="Times New Roman" w:hAnsi="Times New Roman" w:cs="Times New Roman"/>
        </w:rPr>
        <w:t>one</w:t>
      </w:r>
      <w:r w:rsidR="0072348C" w:rsidRPr="0087008A">
        <w:rPr>
          <w:rFonts w:ascii="Times New Roman" w:eastAsia="Times New Roman" w:hAnsi="Times New Roman" w:cs="Times New Roman"/>
        </w:rPr>
        <w:t xml:space="preserve"> </w:t>
      </w:r>
      <w:r w:rsidR="0087008A" w:rsidRPr="0087008A">
        <w:rPr>
          <w:rFonts w:ascii="Times New Roman" w:eastAsia="Times New Roman" w:hAnsi="Times New Roman" w:cs="Times New Roman"/>
        </w:rPr>
        <w:t xml:space="preserve">randomly assigned ad and provide </w:t>
      </w:r>
      <w:r w:rsidR="00C45351">
        <w:rPr>
          <w:rFonts w:ascii="Times New Roman" w:eastAsia="Times New Roman" w:hAnsi="Times New Roman" w:cs="Times New Roman"/>
        </w:rPr>
        <w:t>responses to quantitative items</w:t>
      </w:r>
      <w:r w:rsidR="00C45351" w:rsidRPr="0087008A">
        <w:rPr>
          <w:rFonts w:ascii="Times New Roman" w:eastAsia="Times New Roman" w:hAnsi="Times New Roman" w:cs="Times New Roman"/>
        </w:rPr>
        <w:t xml:space="preserve"> </w:t>
      </w:r>
      <w:r w:rsidR="0087008A" w:rsidRPr="0087008A">
        <w:rPr>
          <w:rFonts w:ascii="Times New Roman" w:eastAsia="Times New Roman" w:hAnsi="Times New Roman" w:cs="Times New Roman"/>
        </w:rPr>
        <w:t xml:space="preserve">and </w:t>
      </w:r>
      <w:r w:rsidR="00C45351">
        <w:rPr>
          <w:rFonts w:ascii="Times New Roman" w:eastAsia="Times New Roman" w:hAnsi="Times New Roman" w:cs="Times New Roman"/>
        </w:rPr>
        <w:t xml:space="preserve">give </w:t>
      </w:r>
      <w:r w:rsidR="0087008A" w:rsidRPr="0087008A">
        <w:rPr>
          <w:rFonts w:ascii="Times New Roman" w:eastAsia="Times New Roman" w:hAnsi="Times New Roman" w:cs="Times New Roman"/>
        </w:rPr>
        <w:t>qualitative feedback about the ad. All participants will be asked to answer questions about their knowledge, attitudes, and beliefs about tobacco use as a check for potential unintended consequences of viewing the video ads.</w:t>
      </w:r>
    </w:p>
    <w:p w14:paraId="789D9CF4" w14:textId="77777777" w:rsidR="002324AB" w:rsidRPr="00BE5651" w:rsidRDefault="002324AB" w:rsidP="009C6AAC">
      <w:pPr>
        <w:numPr>
          <w:ilvl w:val="0"/>
          <w:numId w:val="6"/>
        </w:numPr>
        <w:tabs>
          <w:tab w:val="num" w:pos="720"/>
        </w:tabs>
        <w:spacing w:before="100" w:beforeAutospacing="1" w:after="240"/>
        <w:rPr>
          <w:rFonts w:ascii="Times New Roman" w:eastAsia="Times New Roman" w:hAnsi="Times New Roman" w:cs="Times New Roman"/>
          <w:u w:val="single"/>
        </w:rPr>
      </w:pPr>
      <w:r w:rsidRPr="00BE5651">
        <w:rPr>
          <w:rFonts w:ascii="Times New Roman" w:eastAsia="Times New Roman" w:hAnsi="Times New Roman" w:cs="Times New Roman"/>
          <w:u w:val="single"/>
        </w:rPr>
        <w:t xml:space="preserve">Purpose and Use of the Information Collection </w:t>
      </w:r>
    </w:p>
    <w:p w14:paraId="519B2DEE" w14:textId="5B4F9E7B" w:rsidR="002324AB" w:rsidRPr="00BE5651" w:rsidRDefault="0087008A" w:rsidP="009C6AAC">
      <w:pPr>
        <w:spacing w:after="240"/>
        <w:ind w:left="720"/>
        <w:rPr>
          <w:rFonts w:ascii="Times New Roman" w:eastAsia="Times New Roman" w:hAnsi="Times New Roman" w:cs="Times New Roman"/>
        </w:rPr>
      </w:pPr>
      <w:r>
        <w:rPr>
          <w:rFonts w:ascii="Times New Roman" w:eastAsia="Times New Roman" w:hAnsi="Times New Roman" w:cs="Times New Roman"/>
        </w:rPr>
        <w:t xml:space="preserve">The information obtained through this study </w:t>
      </w:r>
      <w:r w:rsidR="00135481" w:rsidRPr="00BE5651">
        <w:rPr>
          <w:rFonts w:ascii="Times New Roman" w:eastAsia="Times New Roman" w:hAnsi="Times New Roman" w:cs="Times New Roman"/>
        </w:rPr>
        <w:t>will inform</w:t>
      </w:r>
      <w:r>
        <w:rPr>
          <w:rFonts w:ascii="Times New Roman" w:eastAsia="Times New Roman" w:hAnsi="Times New Roman" w:cs="Times New Roman"/>
        </w:rPr>
        <w:t xml:space="preserve"> the implementation of </w:t>
      </w:r>
      <w:r w:rsidR="00D966FE" w:rsidRPr="00BE5651">
        <w:rPr>
          <w:rFonts w:ascii="Times New Roman" w:eastAsia="Times New Roman" w:hAnsi="Times New Roman" w:cs="Times New Roman"/>
        </w:rPr>
        <w:t>FDA’s Multicultural Campaign</w:t>
      </w:r>
      <w:r w:rsidR="00135481" w:rsidRPr="00BE5651">
        <w:rPr>
          <w:rFonts w:ascii="Times New Roman" w:eastAsia="Times New Roman" w:hAnsi="Times New Roman" w:cs="Times New Roman"/>
        </w:rPr>
        <w:t>. While not exhaustive, the list below illustrates a range of purposes and uses for the proposed information collection:</w:t>
      </w:r>
    </w:p>
    <w:p w14:paraId="293FA9EB" w14:textId="5ABA4EFC" w:rsidR="00D966FE" w:rsidRPr="00BE5651" w:rsidRDefault="00D966FE" w:rsidP="009C6AAC">
      <w:pPr>
        <w:pStyle w:val="ListParagraph"/>
        <w:numPr>
          <w:ilvl w:val="0"/>
          <w:numId w:val="7"/>
        </w:numPr>
        <w:spacing w:after="240"/>
        <w:rPr>
          <w:rFonts w:eastAsia="Times New Roman" w:cs="Times New Roman"/>
          <w:szCs w:val="24"/>
          <w:u w:val="single"/>
        </w:rPr>
      </w:pPr>
      <w:r w:rsidRPr="00BE5651">
        <w:rPr>
          <w:rFonts w:eastAsia="Times New Roman" w:cs="Times New Roman"/>
          <w:szCs w:val="24"/>
        </w:rPr>
        <w:t>Optimize video ads for FDA’s Multicultural Campaign.</w:t>
      </w:r>
    </w:p>
    <w:p w14:paraId="3874FE1A" w14:textId="2089E2F9" w:rsidR="00D966FE" w:rsidRPr="00BE5651" w:rsidRDefault="00D966FE" w:rsidP="009C6AAC">
      <w:pPr>
        <w:pStyle w:val="ListParagraph"/>
        <w:numPr>
          <w:ilvl w:val="0"/>
          <w:numId w:val="7"/>
        </w:numPr>
        <w:spacing w:after="240"/>
        <w:rPr>
          <w:rFonts w:eastAsia="Times New Roman" w:cs="Times New Roman"/>
          <w:szCs w:val="24"/>
        </w:rPr>
      </w:pPr>
      <w:r w:rsidRPr="00BE5651">
        <w:rPr>
          <w:rFonts w:eastAsia="Times New Roman" w:cs="Times New Roman"/>
          <w:szCs w:val="24"/>
        </w:rPr>
        <w:t>Inform future programs that may be designed for similar purposes.</w:t>
      </w:r>
    </w:p>
    <w:p w14:paraId="67F9DFC3" w14:textId="3D242E9D" w:rsidR="0087008A" w:rsidRPr="009C6AAC" w:rsidRDefault="0087008A" w:rsidP="009C6AAC">
      <w:pPr>
        <w:spacing w:after="240"/>
        <w:ind w:left="720"/>
        <w:rPr>
          <w:rFonts w:ascii="Times New Roman" w:eastAsia="Times New Roman" w:hAnsi="Times New Roman" w:cs="Times New Roman"/>
        </w:rPr>
      </w:pPr>
      <w:r w:rsidRPr="009C6AAC">
        <w:rPr>
          <w:rFonts w:ascii="Times New Roman" w:eastAsia="Times New Roman" w:hAnsi="Times New Roman" w:cs="Times New Roman"/>
        </w:rPr>
        <w:t>Participants will be target</w:t>
      </w:r>
      <w:r w:rsidR="0087758B">
        <w:rPr>
          <w:rFonts w:ascii="Times New Roman" w:eastAsia="Times New Roman" w:hAnsi="Times New Roman" w:cs="Times New Roman"/>
        </w:rPr>
        <w:t>ed for recruitment</w:t>
      </w:r>
      <w:r w:rsidR="005B62A8">
        <w:rPr>
          <w:rFonts w:ascii="Times New Roman" w:eastAsia="Times New Roman" w:hAnsi="Times New Roman" w:cs="Times New Roman"/>
        </w:rPr>
        <w:t xml:space="preserve"> </w:t>
      </w:r>
      <w:r w:rsidRPr="009C6AAC">
        <w:rPr>
          <w:rFonts w:ascii="Times New Roman" w:eastAsia="Times New Roman" w:hAnsi="Times New Roman" w:cs="Times New Roman"/>
        </w:rPr>
        <w:t xml:space="preserve">based on factors such as age, geographic location, and interest in </w:t>
      </w:r>
      <w:r w:rsidR="000E52AD" w:rsidRPr="009C6AAC">
        <w:rPr>
          <w:rFonts w:ascii="Times New Roman" w:eastAsia="Times New Roman" w:hAnsi="Times New Roman" w:cs="Times New Roman"/>
        </w:rPr>
        <w:t>Hip Hop cultural pages</w:t>
      </w:r>
      <w:r w:rsidR="00ED15F4" w:rsidRPr="009C6AAC">
        <w:rPr>
          <w:rFonts w:ascii="Times New Roman" w:eastAsia="Times New Roman" w:hAnsi="Times New Roman" w:cs="Times New Roman"/>
        </w:rPr>
        <w:t>,</w:t>
      </w:r>
      <w:r w:rsidR="000E52AD" w:rsidRPr="009C6AAC">
        <w:rPr>
          <w:rFonts w:ascii="Times New Roman" w:eastAsia="Times New Roman" w:hAnsi="Times New Roman" w:cs="Times New Roman"/>
        </w:rPr>
        <w:t xml:space="preserve"> </w:t>
      </w:r>
      <w:r w:rsidR="00ED15F4" w:rsidRPr="009C6AAC">
        <w:rPr>
          <w:rFonts w:ascii="Times New Roman" w:eastAsia="Times New Roman" w:hAnsi="Times New Roman" w:cs="Times New Roman"/>
        </w:rPr>
        <w:t xml:space="preserve">keywords, </w:t>
      </w:r>
      <w:r w:rsidR="000E52AD" w:rsidRPr="009C6AAC">
        <w:rPr>
          <w:rFonts w:ascii="Times New Roman" w:eastAsia="Times New Roman" w:hAnsi="Times New Roman" w:cs="Times New Roman"/>
        </w:rPr>
        <w:t>or hashtags</w:t>
      </w:r>
      <w:r w:rsidRPr="009C6AAC">
        <w:rPr>
          <w:rFonts w:ascii="Times New Roman" w:eastAsia="Times New Roman" w:hAnsi="Times New Roman" w:cs="Times New Roman"/>
        </w:rPr>
        <w:t xml:space="preserve">. </w:t>
      </w:r>
      <w:r w:rsidR="000E52AD" w:rsidRPr="009C6AAC">
        <w:rPr>
          <w:rFonts w:ascii="Times New Roman" w:eastAsia="Times New Roman" w:hAnsi="Times New Roman" w:cs="Times New Roman"/>
        </w:rPr>
        <w:t xml:space="preserve">Data collection will be completed by youth independently on their own electronic devices, such as a mobile phone, tablet, or home computer. </w:t>
      </w:r>
      <w:r w:rsidRPr="009C6AAC">
        <w:rPr>
          <w:rFonts w:ascii="Times New Roman" w:eastAsia="Times New Roman" w:hAnsi="Times New Roman" w:cs="Times New Roman"/>
        </w:rPr>
        <w:t>All potentia</w:t>
      </w:r>
      <w:r w:rsidR="005B62A8">
        <w:rPr>
          <w:rFonts w:ascii="Times New Roman" w:eastAsia="Times New Roman" w:hAnsi="Times New Roman" w:cs="Times New Roman"/>
        </w:rPr>
        <w:t>l participants will complete a s</w:t>
      </w:r>
      <w:r w:rsidRPr="009C6AAC">
        <w:rPr>
          <w:rFonts w:ascii="Times New Roman" w:eastAsia="Times New Roman" w:hAnsi="Times New Roman" w:cs="Times New Roman"/>
        </w:rPr>
        <w:t>creener (Attachment A)</w:t>
      </w:r>
      <w:r w:rsidR="000E52AD" w:rsidRPr="009C6AAC">
        <w:rPr>
          <w:rFonts w:ascii="Times New Roman" w:eastAsia="Times New Roman" w:hAnsi="Times New Roman" w:cs="Times New Roman"/>
        </w:rPr>
        <w:t xml:space="preserve"> </w:t>
      </w:r>
      <w:r w:rsidRPr="009C6AAC">
        <w:rPr>
          <w:rFonts w:ascii="Times New Roman" w:eastAsia="Times New Roman" w:hAnsi="Times New Roman" w:cs="Times New Roman"/>
        </w:rPr>
        <w:t>to determine their quali</w:t>
      </w:r>
      <w:r w:rsidR="000E52AD" w:rsidRPr="009C6AAC">
        <w:rPr>
          <w:rFonts w:ascii="Times New Roman" w:eastAsia="Times New Roman" w:hAnsi="Times New Roman" w:cs="Times New Roman"/>
        </w:rPr>
        <w:t xml:space="preserve">fication for inclusion into the </w:t>
      </w:r>
      <w:r w:rsidR="005B62A8">
        <w:rPr>
          <w:rFonts w:ascii="Times New Roman" w:eastAsia="Times New Roman" w:hAnsi="Times New Roman" w:cs="Times New Roman"/>
        </w:rPr>
        <w:t>study. Upon s</w:t>
      </w:r>
      <w:r w:rsidRPr="009C6AAC">
        <w:rPr>
          <w:rFonts w:ascii="Times New Roman" w:eastAsia="Times New Roman" w:hAnsi="Times New Roman" w:cs="Times New Roman"/>
        </w:rPr>
        <w:t xml:space="preserve">creener completion, participants will be immediately notified if they qualify. All qualified participants will then be </w:t>
      </w:r>
      <w:r w:rsidR="000E52AD" w:rsidRPr="009C6AAC">
        <w:rPr>
          <w:rFonts w:ascii="Times New Roman" w:eastAsia="Times New Roman" w:hAnsi="Times New Roman" w:cs="Times New Roman"/>
        </w:rPr>
        <w:t>prompted to provide their parent/guardian’s email address</w:t>
      </w:r>
      <w:r w:rsidR="00060783" w:rsidRPr="009C6AAC">
        <w:rPr>
          <w:rFonts w:ascii="Times New Roman" w:eastAsia="Times New Roman" w:hAnsi="Times New Roman" w:cs="Times New Roman"/>
        </w:rPr>
        <w:t xml:space="preserve">, to </w:t>
      </w:r>
      <w:r w:rsidR="00CF085B" w:rsidRPr="009C6AAC">
        <w:rPr>
          <w:rFonts w:ascii="Times New Roman" w:eastAsia="Times New Roman" w:hAnsi="Times New Roman" w:cs="Times New Roman"/>
        </w:rPr>
        <w:t>facilitate</w:t>
      </w:r>
      <w:r w:rsidR="000E52AD" w:rsidRPr="009C6AAC">
        <w:rPr>
          <w:rFonts w:ascii="Times New Roman" w:eastAsia="Times New Roman" w:hAnsi="Times New Roman" w:cs="Times New Roman"/>
        </w:rPr>
        <w:t xml:space="preserve"> email</w:t>
      </w:r>
      <w:r w:rsidR="00060783" w:rsidRPr="009C6AAC">
        <w:rPr>
          <w:rFonts w:ascii="Times New Roman" w:eastAsia="Times New Roman" w:hAnsi="Times New Roman" w:cs="Times New Roman"/>
        </w:rPr>
        <w:t>ing</w:t>
      </w:r>
      <w:r w:rsidR="005B62A8">
        <w:rPr>
          <w:rFonts w:ascii="Times New Roman" w:eastAsia="Times New Roman" w:hAnsi="Times New Roman" w:cs="Times New Roman"/>
        </w:rPr>
        <w:t xml:space="preserve"> the parental opt-out f</w:t>
      </w:r>
      <w:r w:rsidR="000E52AD" w:rsidRPr="009C6AAC">
        <w:rPr>
          <w:rFonts w:ascii="Times New Roman" w:eastAsia="Times New Roman" w:hAnsi="Times New Roman" w:cs="Times New Roman"/>
        </w:rPr>
        <w:t>orm (Attachment C) to a potential participant’s parent or guardian</w:t>
      </w:r>
      <w:r w:rsidR="00060783" w:rsidRPr="009C6AAC">
        <w:rPr>
          <w:rFonts w:ascii="Times New Roman" w:eastAsia="Times New Roman" w:hAnsi="Times New Roman" w:cs="Times New Roman"/>
        </w:rPr>
        <w:t>, and if desired to provide their cell phone number to receive the study link and up to two reminders by text message</w:t>
      </w:r>
      <w:r w:rsidR="000E52AD" w:rsidRPr="009C6AAC">
        <w:rPr>
          <w:rFonts w:ascii="Times New Roman" w:eastAsia="Times New Roman" w:hAnsi="Times New Roman" w:cs="Times New Roman"/>
        </w:rPr>
        <w:t>. Qualified youth whose parents</w:t>
      </w:r>
      <w:r w:rsidR="00561F65">
        <w:rPr>
          <w:rFonts w:ascii="Times New Roman" w:eastAsia="Times New Roman" w:hAnsi="Times New Roman" w:cs="Times New Roman"/>
        </w:rPr>
        <w:t>’ email does not bounce back and whose parents</w:t>
      </w:r>
      <w:r w:rsidR="000E52AD" w:rsidRPr="009C6AAC">
        <w:rPr>
          <w:rFonts w:ascii="Times New Roman" w:eastAsia="Times New Roman" w:hAnsi="Times New Roman" w:cs="Times New Roman"/>
        </w:rPr>
        <w:t xml:space="preserve"> do not opt them out will be emailed </w:t>
      </w:r>
      <w:r w:rsidR="00ED15F4" w:rsidRPr="009C6AAC">
        <w:rPr>
          <w:rFonts w:ascii="Times New Roman" w:eastAsia="Times New Roman" w:hAnsi="Times New Roman" w:cs="Times New Roman"/>
        </w:rPr>
        <w:t>and</w:t>
      </w:r>
      <w:r w:rsidR="00BD5741" w:rsidRPr="009C6AAC">
        <w:rPr>
          <w:rFonts w:ascii="Times New Roman" w:eastAsia="Times New Roman" w:hAnsi="Times New Roman" w:cs="Times New Roman"/>
        </w:rPr>
        <w:t xml:space="preserve"> texted </w:t>
      </w:r>
      <w:r w:rsidR="00ED15F4" w:rsidRPr="009C6AAC">
        <w:rPr>
          <w:rFonts w:ascii="Times New Roman" w:eastAsia="Times New Roman" w:hAnsi="Times New Roman" w:cs="Times New Roman"/>
        </w:rPr>
        <w:t xml:space="preserve">(if selected) </w:t>
      </w:r>
      <w:r w:rsidR="000E52AD" w:rsidRPr="009C6AAC">
        <w:rPr>
          <w:rFonts w:ascii="Times New Roman" w:eastAsia="Times New Roman" w:hAnsi="Times New Roman" w:cs="Times New Roman"/>
        </w:rPr>
        <w:t xml:space="preserve">a link to </w:t>
      </w:r>
      <w:r w:rsidR="003C11F7" w:rsidRPr="009C6AAC">
        <w:rPr>
          <w:rFonts w:ascii="Times New Roman" w:eastAsia="Times New Roman" w:hAnsi="Times New Roman" w:cs="Times New Roman"/>
        </w:rPr>
        <w:t xml:space="preserve">complete </w:t>
      </w:r>
      <w:r w:rsidR="000E52AD" w:rsidRPr="009C6AAC">
        <w:rPr>
          <w:rFonts w:ascii="Times New Roman" w:eastAsia="Times New Roman" w:hAnsi="Times New Roman" w:cs="Times New Roman"/>
        </w:rPr>
        <w:t xml:space="preserve">the </w:t>
      </w:r>
      <w:r w:rsidR="005B62A8">
        <w:rPr>
          <w:rFonts w:ascii="Times New Roman" w:eastAsia="Times New Roman" w:hAnsi="Times New Roman" w:cs="Times New Roman"/>
        </w:rPr>
        <w:t>participant a</w:t>
      </w:r>
      <w:r w:rsidR="00ED15F4" w:rsidRPr="009C6AAC">
        <w:rPr>
          <w:rFonts w:ascii="Times New Roman" w:eastAsia="Times New Roman" w:hAnsi="Times New Roman" w:cs="Times New Roman"/>
        </w:rPr>
        <w:t>ssent</w:t>
      </w:r>
      <w:r w:rsidR="005B62A8">
        <w:rPr>
          <w:rFonts w:ascii="Times New Roman" w:eastAsia="Times New Roman" w:hAnsi="Times New Roman" w:cs="Times New Roman"/>
        </w:rPr>
        <w:t>/c</w:t>
      </w:r>
      <w:r w:rsidR="0067558E" w:rsidRPr="009C6AAC">
        <w:rPr>
          <w:rFonts w:ascii="Times New Roman" w:eastAsia="Times New Roman" w:hAnsi="Times New Roman" w:cs="Times New Roman"/>
        </w:rPr>
        <w:t>onsent</w:t>
      </w:r>
      <w:r w:rsidR="005B62A8">
        <w:rPr>
          <w:rFonts w:ascii="Times New Roman" w:eastAsia="Times New Roman" w:hAnsi="Times New Roman" w:cs="Times New Roman"/>
        </w:rPr>
        <w:t xml:space="preserve"> f</w:t>
      </w:r>
      <w:r w:rsidR="00ED15F4" w:rsidRPr="009C6AAC">
        <w:rPr>
          <w:rFonts w:ascii="Times New Roman" w:eastAsia="Times New Roman" w:hAnsi="Times New Roman" w:cs="Times New Roman"/>
        </w:rPr>
        <w:t xml:space="preserve">orm (Attachment D) and the </w:t>
      </w:r>
      <w:r w:rsidR="005B62A8">
        <w:rPr>
          <w:rFonts w:ascii="Times New Roman" w:eastAsia="Times New Roman" w:hAnsi="Times New Roman" w:cs="Times New Roman"/>
        </w:rPr>
        <w:t>q</w:t>
      </w:r>
      <w:r w:rsidR="000E52AD" w:rsidRPr="009C6AAC">
        <w:rPr>
          <w:rFonts w:ascii="Times New Roman" w:eastAsia="Times New Roman" w:hAnsi="Times New Roman" w:cs="Times New Roman"/>
        </w:rPr>
        <w:t xml:space="preserve">uestionnaire (Attachment B) </w:t>
      </w:r>
      <w:r w:rsidR="003C11F7" w:rsidRPr="009C6AAC">
        <w:rPr>
          <w:rFonts w:ascii="Times New Roman" w:eastAsia="Times New Roman" w:hAnsi="Times New Roman" w:cs="Times New Roman"/>
        </w:rPr>
        <w:t>n</w:t>
      </w:r>
      <w:r w:rsidR="005B62A8">
        <w:rPr>
          <w:rFonts w:ascii="Times New Roman" w:eastAsia="Times New Roman" w:hAnsi="Times New Roman" w:cs="Times New Roman"/>
        </w:rPr>
        <w:t>o less than 24 hours after the parental opt-out f</w:t>
      </w:r>
      <w:r w:rsidR="003C11F7" w:rsidRPr="009C6AAC">
        <w:rPr>
          <w:rFonts w:ascii="Times New Roman" w:eastAsia="Times New Roman" w:hAnsi="Times New Roman" w:cs="Times New Roman"/>
        </w:rPr>
        <w:t xml:space="preserve">orm is emailed to their parent/guardian, to allow sufficient time for parental-opt out to occur. </w:t>
      </w:r>
      <w:r w:rsidR="005B62A8">
        <w:rPr>
          <w:rFonts w:ascii="Times New Roman" w:eastAsia="Times New Roman" w:hAnsi="Times New Roman" w:cs="Times New Roman"/>
        </w:rPr>
        <w:t>Both the screener and copy testing q</w:t>
      </w:r>
      <w:r w:rsidRPr="009C6AAC">
        <w:rPr>
          <w:rFonts w:ascii="Times New Roman" w:eastAsia="Times New Roman" w:hAnsi="Times New Roman" w:cs="Times New Roman"/>
        </w:rPr>
        <w:t xml:space="preserve">uestionnaire will be compatible for use on smartphones, tablets, and </w:t>
      </w:r>
      <w:r w:rsidR="003C11F7" w:rsidRPr="009C6AAC">
        <w:rPr>
          <w:rFonts w:ascii="Times New Roman" w:eastAsia="Times New Roman" w:hAnsi="Times New Roman" w:cs="Times New Roman"/>
        </w:rPr>
        <w:t>computers.</w:t>
      </w:r>
    </w:p>
    <w:p w14:paraId="630B0426" w14:textId="2B98AA59" w:rsidR="003F642C" w:rsidRDefault="00636E15" w:rsidP="009C6AAC">
      <w:pPr>
        <w:spacing w:after="240"/>
        <w:ind w:left="720"/>
        <w:rPr>
          <w:rFonts w:ascii="Times New Roman" w:eastAsia="Times New Roman" w:hAnsi="Times New Roman" w:cs="Times New Roman"/>
        </w:rPr>
      </w:pPr>
      <w:r w:rsidRPr="00BE5651">
        <w:rPr>
          <w:rFonts w:ascii="Times New Roman" w:eastAsia="Times New Roman" w:hAnsi="Times New Roman" w:cs="Times New Roman"/>
        </w:rPr>
        <w:t xml:space="preserve">All participants </w:t>
      </w:r>
      <w:r w:rsidR="005B62A8">
        <w:rPr>
          <w:rFonts w:ascii="Times New Roman" w:eastAsia="Times New Roman" w:hAnsi="Times New Roman" w:cs="Times New Roman"/>
        </w:rPr>
        <w:t>will complete a p</w:t>
      </w:r>
      <w:r w:rsidR="003C11F7">
        <w:rPr>
          <w:rFonts w:ascii="Times New Roman" w:eastAsia="Times New Roman" w:hAnsi="Times New Roman" w:cs="Times New Roman"/>
        </w:rPr>
        <w:t xml:space="preserve">articipant </w:t>
      </w:r>
      <w:r w:rsidR="005B62A8">
        <w:rPr>
          <w:rFonts w:ascii="Times New Roman" w:eastAsia="Times New Roman" w:hAnsi="Times New Roman" w:cs="Times New Roman"/>
        </w:rPr>
        <w:t>assent/c</w:t>
      </w:r>
      <w:r w:rsidR="00BD4D87">
        <w:rPr>
          <w:rFonts w:ascii="Times New Roman" w:eastAsia="Times New Roman" w:hAnsi="Times New Roman" w:cs="Times New Roman"/>
        </w:rPr>
        <w:t>onsent</w:t>
      </w:r>
      <w:r w:rsidR="005B62A8">
        <w:rPr>
          <w:rFonts w:ascii="Times New Roman" w:eastAsia="Times New Roman" w:hAnsi="Times New Roman" w:cs="Times New Roman"/>
        </w:rPr>
        <w:t xml:space="preserve"> f</w:t>
      </w:r>
      <w:r w:rsidRPr="00636E15">
        <w:rPr>
          <w:rFonts w:ascii="Times New Roman" w:eastAsia="Times New Roman" w:hAnsi="Times New Roman" w:cs="Times New Roman"/>
        </w:rPr>
        <w:t>orm</w:t>
      </w:r>
      <w:r w:rsidR="003C11F7">
        <w:rPr>
          <w:rFonts w:ascii="Times New Roman" w:eastAsia="Times New Roman" w:hAnsi="Times New Roman" w:cs="Times New Roman"/>
        </w:rPr>
        <w:t xml:space="preserve"> </w:t>
      </w:r>
      <w:r w:rsidRPr="00636E15">
        <w:rPr>
          <w:rFonts w:ascii="Times New Roman" w:eastAsia="Times New Roman" w:hAnsi="Times New Roman" w:cs="Times New Roman"/>
        </w:rPr>
        <w:t>befo</w:t>
      </w:r>
      <w:r w:rsidR="005B62A8">
        <w:rPr>
          <w:rFonts w:ascii="Times New Roman" w:eastAsia="Times New Roman" w:hAnsi="Times New Roman" w:cs="Times New Roman"/>
        </w:rPr>
        <w:t>re beginning the q</w:t>
      </w:r>
      <w:r w:rsidR="009F1FDA">
        <w:rPr>
          <w:rFonts w:ascii="Times New Roman" w:eastAsia="Times New Roman" w:hAnsi="Times New Roman" w:cs="Times New Roman"/>
        </w:rPr>
        <w:t xml:space="preserve">uestionnaire. </w:t>
      </w:r>
      <w:r w:rsidRPr="00636E15">
        <w:rPr>
          <w:rFonts w:ascii="Times New Roman" w:eastAsia="Times New Roman" w:hAnsi="Times New Roman" w:cs="Times New Roman"/>
        </w:rPr>
        <w:t xml:space="preserve">The </w:t>
      </w:r>
      <w:r w:rsidR="005B62A8">
        <w:rPr>
          <w:rFonts w:ascii="Times New Roman" w:eastAsia="Times New Roman" w:hAnsi="Times New Roman" w:cs="Times New Roman"/>
        </w:rPr>
        <w:t>p</w:t>
      </w:r>
      <w:r w:rsidR="003C11F7">
        <w:rPr>
          <w:rFonts w:ascii="Times New Roman" w:eastAsia="Times New Roman" w:hAnsi="Times New Roman" w:cs="Times New Roman"/>
        </w:rPr>
        <w:t xml:space="preserve">articipant </w:t>
      </w:r>
      <w:r w:rsidR="005B62A8">
        <w:rPr>
          <w:rFonts w:ascii="Times New Roman" w:eastAsia="Times New Roman" w:hAnsi="Times New Roman" w:cs="Times New Roman"/>
        </w:rPr>
        <w:t>assent/c</w:t>
      </w:r>
      <w:r w:rsidR="00BD4D87">
        <w:rPr>
          <w:rFonts w:ascii="Times New Roman" w:eastAsia="Times New Roman" w:hAnsi="Times New Roman" w:cs="Times New Roman"/>
        </w:rPr>
        <w:t>onsent</w:t>
      </w:r>
      <w:r w:rsidR="005B62A8">
        <w:rPr>
          <w:rFonts w:ascii="Times New Roman" w:eastAsia="Times New Roman" w:hAnsi="Times New Roman" w:cs="Times New Roman"/>
        </w:rPr>
        <w:t xml:space="preserve"> f</w:t>
      </w:r>
      <w:r w:rsidR="003C11F7">
        <w:rPr>
          <w:rFonts w:ascii="Times New Roman" w:eastAsia="Times New Roman" w:hAnsi="Times New Roman" w:cs="Times New Roman"/>
        </w:rPr>
        <w:t>orm</w:t>
      </w:r>
      <w:r w:rsidRPr="00636E15">
        <w:rPr>
          <w:rFonts w:ascii="Times New Roman" w:eastAsia="Times New Roman" w:hAnsi="Times New Roman" w:cs="Times New Roman"/>
        </w:rPr>
        <w:t xml:space="preserve"> will be presented elec</w:t>
      </w:r>
      <w:r w:rsidR="005B62A8">
        <w:rPr>
          <w:rFonts w:ascii="Times New Roman" w:eastAsia="Times New Roman" w:hAnsi="Times New Roman" w:cs="Times New Roman"/>
        </w:rPr>
        <w:t>tronically at the start of the q</w:t>
      </w:r>
      <w:r w:rsidRPr="00636E15">
        <w:rPr>
          <w:rFonts w:ascii="Times New Roman" w:eastAsia="Times New Roman" w:hAnsi="Times New Roman" w:cs="Times New Roman"/>
        </w:rPr>
        <w:t>uestionnaire</w:t>
      </w:r>
      <w:r w:rsidR="00CF085B">
        <w:rPr>
          <w:rFonts w:ascii="Times New Roman" w:eastAsia="Times New Roman" w:hAnsi="Times New Roman" w:cs="Times New Roman"/>
        </w:rPr>
        <w:t xml:space="preserve"> to collect assent from youth ages 13-17, or consent in the event that a participant was 17 at the time of screening but turned 18 before </w:t>
      </w:r>
      <w:r w:rsidR="001A6BF7">
        <w:rPr>
          <w:rFonts w:ascii="Times New Roman" w:eastAsia="Times New Roman" w:hAnsi="Times New Roman" w:cs="Times New Roman"/>
        </w:rPr>
        <w:t>beginning</w:t>
      </w:r>
      <w:r w:rsidR="005B62A8">
        <w:rPr>
          <w:rFonts w:ascii="Times New Roman" w:eastAsia="Times New Roman" w:hAnsi="Times New Roman" w:cs="Times New Roman"/>
        </w:rPr>
        <w:t xml:space="preserve"> the q</w:t>
      </w:r>
      <w:r w:rsidR="00CF085B">
        <w:rPr>
          <w:rFonts w:ascii="Times New Roman" w:eastAsia="Times New Roman" w:hAnsi="Times New Roman" w:cs="Times New Roman"/>
        </w:rPr>
        <w:t>uestionnaire</w:t>
      </w:r>
      <w:r w:rsidRPr="00636E15">
        <w:rPr>
          <w:rFonts w:ascii="Times New Roman" w:eastAsia="Times New Roman" w:hAnsi="Times New Roman" w:cs="Times New Roman"/>
        </w:rPr>
        <w:t xml:space="preserve">. Youth will be prompted to read the form and provide </w:t>
      </w:r>
      <w:r w:rsidR="007B50F5">
        <w:rPr>
          <w:rFonts w:ascii="Times New Roman" w:eastAsia="Times New Roman" w:hAnsi="Times New Roman" w:cs="Times New Roman"/>
        </w:rPr>
        <w:t xml:space="preserve">their </w:t>
      </w:r>
      <w:r w:rsidR="00BD4D87">
        <w:rPr>
          <w:rFonts w:ascii="Times New Roman" w:eastAsia="Times New Roman" w:hAnsi="Times New Roman" w:cs="Times New Roman"/>
        </w:rPr>
        <w:t>assent/consent</w:t>
      </w:r>
      <w:r w:rsidRPr="00636E15">
        <w:rPr>
          <w:rFonts w:ascii="Times New Roman" w:eastAsia="Times New Roman" w:hAnsi="Times New Roman" w:cs="Times New Roman"/>
        </w:rPr>
        <w:t xml:space="preserve"> </w:t>
      </w:r>
      <w:r w:rsidR="003C11F7">
        <w:rPr>
          <w:rFonts w:ascii="Times New Roman" w:eastAsia="Times New Roman" w:hAnsi="Times New Roman" w:cs="Times New Roman"/>
        </w:rPr>
        <w:t>by selecting a</w:t>
      </w:r>
      <w:r w:rsidRPr="00636E15">
        <w:rPr>
          <w:rFonts w:ascii="Times New Roman" w:eastAsia="Times New Roman" w:hAnsi="Times New Roman" w:cs="Times New Roman"/>
        </w:rPr>
        <w:t xml:space="preserve"> radio button</w:t>
      </w:r>
      <w:r w:rsidR="003C11F7">
        <w:rPr>
          <w:rFonts w:ascii="Times New Roman" w:eastAsia="Times New Roman" w:hAnsi="Times New Roman" w:cs="Times New Roman"/>
        </w:rPr>
        <w:t xml:space="preserve"> option</w:t>
      </w:r>
      <w:r w:rsidRPr="00636E15">
        <w:rPr>
          <w:rFonts w:ascii="Times New Roman" w:eastAsia="Times New Roman" w:hAnsi="Times New Roman" w:cs="Times New Roman"/>
        </w:rPr>
        <w:t xml:space="preserve">. </w:t>
      </w:r>
      <w:r w:rsidR="007B50F5">
        <w:rPr>
          <w:rFonts w:ascii="Times New Roman" w:eastAsia="Times New Roman" w:hAnsi="Times New Roman" w:cs="Times New Roman"/>
        </w:rPr>
        <w:t>I</w:t>
      </w:r>
      <w:r w:rsidRPr="00636E15">
        <w:rPr>
          <w:rFonts w:ascii="Times New Roman" w:eastAsia="Times New Roman" w:hAnsi="Times New Roman" w:cs="Times New Roman"/>
        </w:rPr>
        <w:t xml:space="preserve">f they do not provide </w:t>
      </w:r>
      <w:r w:rsidR="00BD4D87">
        <w:rPr>
          <w:rFonts w:ascii="Times New Roman" w:eastAsia="Times New Roman" w:hAnsi="Times New Roman" w:cs="Times New Roman"/>
        </w:rPr>
        <w:t>assent/consent</w:t>
      </w:r>
      <w:r w:rsidRPr="00636E15">
        <w:rPr>
          <w:rFonts w:ascii="Times New Roman" w:eastAsia="Times New Roman" w:hAnsi="Times New Roman" w:cs="Times New Roman"/>
        </w:rPr>
        <w:t>, they wi</w:t>
      </w:r>
      <w:r w:rsidR="007363C9">
        <w:rPr>
          <w:rFonts w:ascii="Times New Roman" w:eastAsia="Times New Roman" w:hAnsi="Times New Roman" w:cs="Times New Roman"/>
        </w:rPr>
        <w:t>ll not be able to complete the q</w:t>
      </w:r>
      <w:r w:rsidRPr="00636E15">
        <w:rPr>
          <w:rFonts w:ascii="Times New Roman" w:eastAsia="Times New Roman" w:hAnsi="Times New Roman" w:cs="Times New Roman"/>
        </w:rPr>
        <w:t>uestionnaire.</w:t>
      </w:r>
      <w:r w:rsidR="003F642C">
        <w:rPr>
          <w:rFonts w:ascii="Times New Roman" w:eastAsia="Times New Roman" w:hAnsi="Times New Roman" w:cs="Times New Roman"/>
        </w:rPr>
        <w:t xml:space="preserve"> </w:t>
      </w:r>
      <w:r w:rsidR="00BE5079">
        <w:rPr>
          <w:rFonts w:ascii="Times New Roman" w:eastAsia="Times New Roman" w:hAnsi="Times New Roman" w:cs="Times New Roman"/>
        </w:rPr>
        <w:t xml:space="preserve">Additionally, if youth who were 17 at the time of screening indicate they are </w:t>
      </w:r>
      <w:r w:rsidR="007363C9">
        <w:rPr>
          <w:rFonts w:ascii="Times New Roman" w:eastAsia="Times New Roman" w:hAnsi="Times New Roman" w:cs="Times New Roman"/>
        </w:rPr>
        <w:t>18 at the time of starting the q</w:t>
      </w:r>
      <w:r w:rsidR="00BE5079">
        <w:rPr>
          <w:rFonts w:ascii="Times New Roman" w:eastAsia="Times New Roman" w:hAnsi="Times New Roman" w:cs="Times New Roman"/>
        </w:rPr>
        <w:t>uestionnaire, they will not be abl</w:t>
      </w:r>
      <w:r w:rsidR="007363C9">
        <w:rPr>
          <w:rFonts w:ascii="Times New Roman" w:eastAsia="Times New Roman" w:hAnsi="Times New Roman" w:cs="Times New Roman"/>
        </w:rPr>
        <w:t>e to complete the q</w:t>
      </w:r>
      <w:r w:rsidR="00BE5079">
        <w:rPr>
          <w:rFonts w:ascii="Times New Roman" w:eastAsia="Times New Roman" w:hAnsi="Times New Roman" w:cs="Times New Roman"/>
        </w:rPr>
        <w:t xml:space="preserve">uestionnaire. </w:t>
      </w:r>
      <w:r w:rsidR="003F642C">
        <w:rPr>
          <w:rFonts w:ascii="Times New Roman" w:eastAsia="Times New Roman" w:hAnsi="Times New Roman" w:cs="Times New Roman"/>
        </w:rPr>
        <w:t xml:space="preserve">After providing </w:t>
      </w:r>
      <w:r w:rsidR="00BD4D87">
        <w:rPr>
          <w:rFonts w:ascii="Times New Roman" w:eastAsia="Times New Roman" w:hAnsi="Times New Roman" w:cs="Times New Roman"/>
        </w:rPr>
        <w:t>assent/consent</w:t>
      </w:r>
      <w:r w:rsidR="003F642C">
        <w:rPr>
          <w:rFonts w:ascii="Times New Roman" w:eastAsia="Times New Roman" w:hAnsi="Times New Roman" w:cs="Times New Roman"/>
        </w:rPr>
        <w:t xml:space="preserve">, participants will automatically receive an electronic copy of the </w:t>
      </w:r>
      <w:r w:rsidR="00F42667">
        <w:rPr>
          <w:rFonts w:ascii="Times New Roman" w:eastAsia="Times New Roman" w:hAnsi="Times New Roman" w:cs="Times New Roman"/>
        </w:rPr>
        <w:t>f</w:t>
      </w:r>
      <w:r w:rsidR="003F642C">
        <w:rPr>
          <w:rFonts w:ascii="Times New Roman" w:eastAsia="Times New Roman" w:hAnsi="Times New Roman" w:cs="Times New Roman"/>
        </w:rPr>
        <w:t xml:space="preserve">orm via email. </w:t>
      </w:r>
      <w:r w:rsidR="003F642C" w:rsidRPr="003F642C">
        <w:rPr>
          <w:rFonts w:ascii="Times New Roman" w:eastAsia="Times New Roman" w:hAnsi="Times New Roman" w:cs="Times New Roman"/>
        </w:rPr>
        <w:t>Qualified</w:t>
      </w:r>
      <w:r w:rsidR="007363C9">
        <w:rPr>
          <w:rFonts w:ascii="Times New Roman" w:eastAsia="Times New Roman" w:hAnsi="Times New Roman" w:cs="Times New Roman"/>
        </w:rPr>
        <w:t xml:space="preserve"> participants who complete the s</w:t>
      </w:r>
      <w:r w:rsidR="003F642C" w:rsidRPr="003F642C">
        <w:rPr>
          <w:rFonts w:ascii="Times New Roman" w:eastAsia="Times New Roman" w:hAnsi="Times New Roman" w:cs="Times New Roman"/>
        </w:rPr>
        <w:t>creener</w:t>
      </w:r>
      <w:r w:rsidR="003F642C">
        <w:rPr>
          <w:rFonts w:ascii="Times New Roman" w:eastAsia="Times New Roman" w:hAnsi="Times New Roman" w:cs="Times New Roman"/>
        </w:rPr>
        <w:t xml:space="preserve"> </w:t>
      </w:r>
      <w:r w:rsidR="007363C9">
        <w:rPr>
          <w:rFonts w:ascii="Times New Roman" w:eastAsia="Times New Roman" w:hAnsi="Times New Roman" w:cs="Times New Roman"/>
        </w:rPr>
        <w:t>but do not complete the q</w:t>
      </w:r>
      <w:r w:rsidR="003F642C" w:rsidRPr="003F642C">
        <w:rPr>
          <w:rFonts w:ascii="Times New Roman" w:eastAsia="Times New Roman" w:hAnsi="Times New Roman" w:cs="Times New Roman"/>
        </w:rPr>
        <w:t xml:space="preserve">uestionnaire will be contacted up to two times via email </w:t>
      </w:r>
      <w:r w:rsidR="00ED15F4">
        <w:rPr>
          <w:rFonts w:ascii="Times New Roman" w:eastAsia="Times New Roman" w:hAnsi="Times New Roman" w:cs="Times New Roman"/>
        </w:rPr>
        <w:t xml:space="preserve">and text message (if selected) </w:t>
      </w:r>
      <w:r w:rsidR="003F642C" w:rsidRPr="003F642C">
        <w:rPr>
          <w:rFonts w:ascii="Times New Roman" w:eastAsia="Times New Roman" w:hAnsi="Times New Roman" w:cs="Times New Roman"/>
        </w:rPr>
        <w:t>w</w:t>
      </w:r>
      <w:r w:rsidR="007363C9">
        <w:rPr>
          <w:rFonts w:ascii="Times New Roman" w:eastAsia="Times New Roman" w:hAnsi="Times New Roman" w:cs="Times New Roman"/>
        </w:rPr>
        <w:t>ith a reminder to complete the q</w:t>
      </w:r>
      <w:r w:rsidR="003F642C" w:rsidRPr="003F642C">
        <w:rPr>
          <w:rFonts w:ascii="Times New Roman" w:eastAsia="Times New Roman" w:hAnsi="Times New Roman" w:cs="Times New Roman"/>
        </w:rPr>
        <w:t>uestionnaire</w:t>
      </w:r>
      <w:r w:rsidR="00CF085B">
        <w:rPr>
          <w:rFonts w:ascii="Times New Roman" w:eastAsia="Times New Roman" w:hAnsi="Times New Roman" w:cs="Times New Roman"/>
        </w:rPr>
        <w:t xml:space="preserve"> (Attachment E)</w:t>
      </w:r>
      <w:r w:rsidR="003F642C" w:rsidRPr="003F642C">
        <w:rPr>
          <w:rFonts w:ascii="Times New Roman" w:eastAsia="Times New Roman" w:hAnsi="Times New Roman" w:cs="Times New Roman"/>
        </w:rPr>
        <w:t xml:space="preserve">. </w:t>
      </w:r>
    </w:p>
    <w:p w14:paraId="55962464" w14:textId="7149F224" w:rsidR="001A293C" w:rsidRDefault="003F642C" w:rsidP="009C6AAC">
      <w:pPr>
        <w:spacing w:after="240"/>
        <w:ind w:left="720"/>
        <w:rPr>
          <w:rFonts w:ascii="Times New Roman" w:eastAsia="Times New Roman" w:hAnsi="Times New Roman" w:cs="Times New Roman"/>
        </w:rPr>
      </w:pPr>
      <w:r w:rsidRPr="003F642C">
        <w:rPr>
          <w:rFonts w:ascii="Times New Roman" w:eastAsia="Times New Roman" w:hAnsi="Times New Roman" w:cs="Times New Roman"/>
        </w:rPr>
        <w:t xml:space="preserve">Participants will be randomly assigned to the control group, which will not view any ads, or the ad-viewing group, which will view </w:t>
      </w:r>
      <w:r w:rsidR="001838D8">
        <w:rPr>
          <w:rFonts w:ascii="Times New Roman" w:eastAsia="Times New Roman" w:hAnsi="Times New Roman" w:cs="Times New Roman"/>
        </w:rPr>
        <w:t>one</w:t>
      </w:r>
      <w:r w:rsidR="001838D8" w:rsidRPr="003F642C">
        <w:rPr>
          <w:rFonts w:ascii="Times New Roman" w:eastAsia="Times New Roman" w:hAnsi="Times New Roman" w:cs="Times New Roman"/>
        </w:rPr>
        <w:t xml:space="preserve"> </w:t>
      </w:r>
      <w:r w:rsidRPr="000079B0">
        <w:rPr>
          <w:rFonts w:ascii="Times New Roman" w:eastAsia="Times New Roman" w:hAnsi="Times New Roman" w:cs="Times New Roman"/>
        </w:rPr>
        <w:t xml:space="preserve">randomly assigned ad from the </w:t>
      </w:r>
      <w:r w:rsidR="001838D8" w:rsidRPr="000079B0">
        <w:rPr>
          <w:rFonts w:ascii="Times New Roman" w:eastAsia="Times New Roman" w:hAnsi="Times New Roman" w:cs="Times New Roman"/>
        </w:rPr>
        <w:t xml:space="preserve">three </w:t>
      </w:r>
      <w:r w:rsidRPr="000079B0">
        <w:rPr>
          <w:rFonts w:ascii="Times New Roman" w:eastAsia="Times New Roman" w:hAnsi="Times New Roman" w:cs="Times New Roman"/>
        </w:rPr>
        <w:t xml:space="preserve">video ads being tested. </w:t>
      </w:r>
      <w:r w:rsidR="007B50F5" w:rsidRPr="000079B0">
        <w:rPr>
          <w:rFonts w:ascii="Times New Roman" w:eastAsia="Times New Roman" w:hAnsi="Times New Roman" w:cs="Times New Roman"/>
        </w:rPr>
        <w:t xml:space="preserve">Control </w:t>
      </w:r>
      <w:r w:rsidR="00C16F90" w:rsidRPr="000079B0">
        <w:rPr>
          <w:rFonts w:ascii="Times New Roman" w:eastAsia="Times New Roman" w:hAnsi="Times New Roman" w:cs="Times New Roman"/>
        </w:rPr>
        <w:t xml:space="preserve">and ad-viewing </w:t>
      </w:r>
      <w:r w:rsidR="007B50F5" w:rsidRPr="000079B0">
        <w:rPr>
          <w:rFonts w:ascii="Times New Roman" w:eastAsia="Times New Roman" w:hAnsi="Times New Roman" w:cs="Times New Roman"/>
        </w:rPr>
        <w:t xml:space="preserve">participants </w:t>
      </w:r>
      <w:r w:rsidRPr="000079B0">
        <w:rPr>
          <w:rFonts w:ascii="Times New Roman" w:eastAsia="Times New Roman" w:hAnsi="Times New Roman" w:cs="Times New Roman"/>
        </w:rPr>
        <w:t>will complete</w:t>
      </w:r>
      <w:r w:rsidR="007363C9">
        <w:rPr>
          <w:rFonts w:ascii="Times New Roman" w:eastAsia="Times New Roman" w:hAnsi="Times New Roman" w:cs="Times New Roman"/>
        </w:rPr>
        <w:t xml:space="preserve"> a series of questions in the q</w:t>
      </w:r>
      <w:r w:rsidRPr="003F642C">
        <w:rPr>
          <w:rFonts w:ascii="Times New Roman" w:eastAsia="Times New Roman" w:hAnsi="Times New Roman" w:cs="Times New Roman"/>
        </w:rPr>
        <w:t xml:space="preserve">uestionnaire to assess </w:t>
      </w:r>
      <w:r w:rsidR="00DC45EA">
        <w:rPr>
          <w:rFonts w:ascii="Times New Roman" w:eastAsia="Times New Roman" w:hAnsi="Times New Roman" w:cs="Times New Roman"/>
        </w:rPr>
        <w:t xml:space="preserve">sensation-seeking, </w:t>
      </w:r>
      <w:r w:rsidR="005D717A">
        <w:rPr>
          <w:rFonts w:ascii="Times New Roman" w:eastAsia="Times New Roman" w:hAnsi="Times New Roman" w:cs="Times New Roman"/>
        </w:rPr>
        <w:t>lifetime and past 30-day</w:t>
      </w:r>
      <w:r w:rsidR="00F11A74">
        <w:rPr>
          <w:rFonts w:ascii="Times New Roman" w:eastAsia="Times New Roman" w:hAnsi="Times New Roman" w:cs="Times New Roman"/>
        </w:rPr>
        <w:t xml:space="preserve"> use of</w:t>
      </w:r>
      <w:r w:rsidRPr="003F642C">
        <w:rPr>
          <w:rFonts w:ascii="Times New Roman" w:eastAsia="Times New Roman" w:hAnsi="Times New Roman" w:cs="Times New Roman"/>
        </w:rPr>
        <w:t xml:space="preserve"> tobacco products, household </w:t>
      </w:r>
      <w:r w:rsidR="005D717A">
        <w:rPr>
          <w:rFonts w:ascii="Times New Roman" w:eastAsia="Times New Roman" w:hAnsi="Times New Roman" w:cs="Times New Roman"/>
        </w:rPr>
        <w:t>tobacco use</w:t>
      </w:r>
      <w:r w:rsidRPr="003F642C">
        <w:rPr>
          <w:rFonts w:ascii="Times New Roman" w:eastAsia="Times New Roman" w:hAnsi="Times New Roman" w:cs="Times New Roman"/>
        </w:rPr>
        <w:t>, and peer cigarette use. These questions will be used to assess effectiveness of the randomization process</w:t>
      </w:r>
      <w:r w:rsidR="00F9213E">
        <w:rPr>
          <w:rFonts w:ascii="Times New Roman" w:eastAsia="Times New Roman" w:hAnsi="Times New Roman" w:cs="Times New Roman"/>
        </w:rPr>
        <w:t>,</w:t>
      </w:r>
      <w:r w:rsidRPr="003F642C">
        <w:rPr>
          <w:rFonts w:ascii="Times New Roman" w:eastAsia="Times New Roman" w:hAnsi="Times New Roman" w:cs="Times New Roman"/>
        </w:rPr>
        <w:t xml:space="preserve"> ensure there are no confounding differences between groups</w:t>
      </w:r>
      <w:r w:rsidR="00F9213E">
        <w:rPr>
          <w:rFonts w:ascii="Times New Roman" w:eastAsia="Times New Roman" w:hAnsi="Times New Roman" w:cs="Times New Roman"/>
        </w:rPr>
        <w:t>, and</w:t>
      </w:r>
      <w:r w:rsidR="007B50F5">
        <w:rPr>
          <w:rFonts w:ascii="Times New Roman" w:eastAsia="Times New Roman" w:hAnsi="Times New Roman" w:cs="Times New Roman"/>
        </w:rPr>
        <w:t xml:space="preserve"> act as control variables (i.e., covariates) in analyses.</w:t>
      </w:r>
      <w:r w:rsidRPr="003F642C">
        <w:rPr>
          <w:rFonts w:ascii="Times New Roman" w:eastAsia="Times New Roman" w:hAnsi="Times New Roman" w:cs="Times New Roman"/>
        </w:rPr>
        <w:t xml:space="preserve"> Following exposure to an ad, ad-viewing participants will be presented with a series of questions designed to assess their initial reactions to the ad, including what they liked or disliked, how the ad made them feel (e.g. sad, afraid, </w:t>
      </w:r>
      <w:r w:rsidR="005D717A">
        <w:rPr>
          <w:rFonts w:ascii="Times New Roman" w:eastAsia="Times New Roman" w:hAnsi="Times New Roman" w:cs="Times New Roman"/>
        </w:rPr>
        <w:t>inspired</w:t>
      </w:r>
      <w:r w:rsidRPr="003F642C">
        <w:rPr>
          <w:rFonts w:ascii="Times New Roman" w:eastAsia="Times New Roman" w:hAnsi="Times New Roman" w:cs="Times New Roman"/>
        </w:rPr>
        <w:t>), and, among other things, whether they felt the ad was powerful, informative, meaningful, convincing, terrible, or silly. Additionally, questions will be asked on whether the ad influenced the participant’s thoughts about smoking, the degree to which the claims</w:t>
      </w:r>
      <w:r>
        <w:rPr>
          <w:rFonts w:ascii="Times New Roman" w:eastAsia="Times New Roman" w:hAnsi="Times New Roman" w:cs="Times New Roman"/>
        </w:rPr>
        <w:t xml:space="preserve"> in the ad were believable, and if anything about the ad was confusing or unclear. </w:t>
      </w:r>
      <w:r w:rsidR="00FC589F">
        <w:rPr>
          <w:rFonts w:ascii="Times New Roman" w:eastAsia="Times New Roman" w:hAnsi="Times New Roman" w:cs="Times New Roman"/>
        </w:rPr>
        <w:t>Finally, a</w:t>
      </w:r>
      <w:r w:rsidRPr="003F642C">
        <w:rPr>
          <w:rFonts w:ascii="Times New Roman" w:eastAsia="Times New Roman" w:hAnsi="Times New Roman" w:cs="Times New Roman"/>
        </w:rPr>
        <w:t xml:space="preserve">ll participants will complete a series of questions assessing </w:t>
      </w:r>
      <w:r>
        <w:rPr>
          <w:rFonts w:ascii="Times New Roman" w:eastAsia="Times New Roman" w:hAnsi="Times New Roman" w:cs="Times New Roman"/>
        </w:rPr>
        <w:t>tobacco-related knowledge, attitudes, and beliefs</w:t>
      </w:r>
      <w:r w:rsidR="008179D7">
        <w:rPr>
          <w:rFonts w:ascii="Times New Roman" w:eastAsia="Times New Roman" w:hAnsi="Times New Roman" w:cs="Times New Roman"/>
        </w:rPr>
        <w:t>, which are used</w:t>
      </w:r>
      <w:r w:rsidRPr="003F642C">
        <w:rPr>
          <w:rFonts w:ascii="Times New Roman" w:eastAsia="Times New Roman" w:hAnsi="Times New Roman" w:cs="Times New Roman"/>
        </w:rPr>
        <w:t xml:space="preserve"> to examine for the presence of unintended consequences.</w:t>
      </w:r>
    </w:p>
    <w:p w14:paraId="2DAD43D9" w14:textId="77777777" w:rsidR="00636E15" w:rsidRPr="00BE5651" w:rsidRDefault="00636E15" w:rsidP="009C6AAC">
      <w:pPr>
        <w:numPr>
          <w:ilvl w:val="0"/>
          <w:numId w:val="6"/>
        </w:numPr>
        <w:tabs>
          <w:tab w:val="num" w:pos="720"/>
        </w:tabs>
        <w:spacing w:before="100" w:beforeAutospacing="1" w:after="240"/>
        <w:ind w:right="-1440"/>
        <w:rPr>
          <w:rFonts w:ascii="Times New Roman" w:eastAsia="Times New Roman" w:hAnsi="Times New Roman" w:cs="Times New Roman"/>
          <w:u w:val="single"/>
        </w:rPr>
      </w:pPr>
      <w:r w:rsidRPr="00BE5651">
        <w:rPr>
          <w:rFonts w:ascii="Times New Roman" w:eastAsia="Times New Roman" w:hAnsi="Times New Roman" w:cs="Times New Roman"/>
          <w:u w:val="single"/>
        </w:rPr>
        <w:t xml:space="preserve">Use of Improved Information Technology and Burden Reduction </w:t>
      </w:r>
    </w:p>
    <w:p w14:paraId="1A337903" w14:textId="2E7DD7E1" w:rsidR="00636E15" w:rsidRPr="009E75BD" w:rsidRDefault="007363C9" w:rsidP="009C6AAC">
      <w:pPr>
        <w:pStyle w:val="ListParagraph"/>
        <w:spacing w:after="240"/>
        <w:rPr>
          <w:szCs w:val="24"/>
        </w:rPr>
      </w:pPr>
      <w:r>
        <w:rPr>
          <w:rFonts w:cs="Times New Roman"/>
          <w:szCs w:val="24"/>
        </w:rPr>
        <w:t>The use of electronic screener and q</w:t>
      </w:r>
      <w:r w:rsidR="00636E15" w:rsidRPr="00BE5651">
        <w:rPr>
          <w:rFonts w:cs="Times New Roman"/>
          <w:szCs w:val="24"/>
        </w:rPr>
        <w:t>uestionnaire surveys offers a number of benefits. First, computerized administration permits the instrument designer to incorporate into the instruments routings that might be overly complex or not possible using a pa</w:t>
      </w:r>
      <w:r>
        <w:rPr>
          <w:rFonts w:cs="Times New Roman"/>
          <w:szCs w:val="24"/>
        </w:rPr>
        <w:t>per-based survey. For example, s</w:t>
      </w:r>
      <w:r w:rsidR="00636E15" w:rsidRPr="00BE5651">
        <w:rPr>
          <w:rFonts w:cs="Times New Roman"/>
          <w:szCs w:val="24"/>
        </w:rPr>
        <w:t>creener surveys can be programmed to implement skip patterns based on a respondent’s previous answers. Interviewer and respondent errors caused by faulty implementation of skip instructions are virtually eliminated. Second, electronic administration increases the consisten</w:t>
      </w:r>
      <w:r>
        <w:rPr>
          <w:rFonts w:cs="Times New Roman"/>
          <w:szCs w:val="24"/>
        </w:rPr>
        <w:t>cy of the data. The electronic screener and q</w:t>
      </w:r>
      <w:r w:rsidR="00636E15" w:rsidRPr="00BE5651">
        <w:rPr>
          <w:rFonts w:cs="Times New Roman"/>
          <w:szCs w:val="24"/>
        </w:rPr>
        <w:t>uestionnaire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 Third, electronic data collection permits greater expediency with respect to data processing and analysis (e.g., a number of back-end processing steps, including coding and data entry, will be minimized). These efficiencies save time due to the speed of data transmission, as well as receipt in a format suitable for analysis. Finally, this technology permits respondents to complete the instruments in privacy. Providing the respondent with a methodology that improves privacy makes reporting of potentially embarrassing or stigmatizing behaviors (e.g., tobacco use) less threatening and enhances response validity and response rates.</w:t>
      </w:r>
    </w:p>
    <w:p w14:paraId="3F18CD30" w14:textId="315B86AA" w:rsidR="00306495" w:rsidRDefault="00306495" w:rsidP="009C6AAC">
      <w:pPr>
        <w:spacing w:after="240"/>
        <w:ind w:left="720"/>
        <w:rPr>
          <w:rFonts w:ascii="Times New Roman" w:eastAsia="Times New Roman" w:hAnsi="Times New Roman" w:cs="Times New Roman"/>
        </w:rPr>
      </w:pPr>
      <w:r w:rsidRPr="00306495">
        <w:rPr>
          <w:rFonts w:ascii="Times New Roman" w:eastAsia="Times New Roman" w:hAnsi="Times New Roman" w:cs="Times New Roman"/>
        </w:rPr>
        <w:t>During recruitment for this study, participants who click on a soc</w:t>
      </w:r>
      <w:r w:rsidR="007363C9">
        <w:rPr>
          <w:rFonts w:ascii="Times New Roman" w:eastAsia="Times New Roman" w:hAnsi="Times New Roman" w:cs="Times New Roman"/>
        </w:rPr>
        <w:t>ial media ad will complete the s</w:t>
      </w:r>
      <w:r w:rsidRPr="00306495">
        <w:rPr>
          <w:rFonts w:ascii="Times New Roman" w:eastAsia="Times New Roman" w:hAnsi="Times New Roman" w:cs="Times New Roman"/>
        </w:rPr>
        <w:t>creener electronically on their own device such as a mobile phone</w:t>
      </w:r>
      <w:r>
        <w:rPr>
          <w:rFonts w:ascii="Times New Roman" w:eastAsia="Times New Roman" w:hAnsi="Times New Roman" w:cs="Times New Roman"/>
        </w:rPr>
        <w:t>, tablet,</w:t>
      </w:r>
      <w:r w:rsidRPr="00306495">
        <w:rPr>
          <w:rFonts w:ascii="Times New Roman" w:eastAsia="Times New Roman" w:hAnsi="Times New Roman" w:cs="Times New Roman"/>
        </w:rPr>
        <w:t xml:space="preserve"> or computer. This allows for more accurate data collection because respondents provide more honest responses, since it is clear that the answers will remain </w:t>
      </w:r>
      <w:r w:rsidR="00B91ADB">
        <w:rPr>
          <w:rFonts w:ascii="Times New Roman" w:eastAsia="Times New Roman" w:hAnsi="Times New Roman" w:cs="Times New Roman"/>
        </w:rPr>
        <w:t>private</w:t>
      </w:r>
      <w:r w:rsidRPr="00306495">
        <w:rPr>
          <w:rFonts w:ascii="Times New Roman" w:eastAsia="Times New Roman" w:hAnsi="Times New Roman" w:cs="Times New Roman"/>
        </w:rPr>
        <w:t>. In addition, use of social media as a recruitment tool will cast a wider net to identify eligible study respondents who are members of this very specific population. Recruitment via social media, such as Facebook or Instagram, will also help to contain costs, allowing for a sample that is geographically diverse without driving up research costs for travel during data collection.</w:t>
      </w:r>
    </w:p>
    <w:p w14:paraId="43B63A83" w14:textId="0C07F8C1" w:rsidR="00636E15" w:rsidRPr="00306495" w:rsidRDefault="00306495" w:rsidP="009C6AAC">
      <w:pPr>
        <w:spacing w:after="240"/>
        <w:ind w:left="720"/>
        <w:rPr>
          <w:rFonts w:ascii="Times New Roman" w:eastAsia="Times New Roman" w:hAnsi="Times New Roman" w:cs="Times New Roman"/>
        </w:rPr>
      </w:pPr>
      <w:r w:rsidRPr="00306495">
        <w:rPr>
          <w:rFonts w:ascii="Times New Roman" w:eastAsia="Times New Roman" w:hAnsi="Times New Roman" w:cs="Times New Roman"/>
        </w:rPr>
        <w:t xml:space="preserve">This study, which relies on electronic data collection </w:t>
      </w:r>
      <w:r w:rsidR="003B510E">
        <w:rPr>
          <w:rFonts w:ascii="Times New Roman" w:eastAsia="Times New Roman" w:hAnsi="Times New Roman" w:cs="Times New Roman"/>
        </w:rPr>
        <w:t>to provide accurate records of q</w:t>
      </w:r>
      <w:r w:rsidRPr="00306495">
        <w:rPr>
          <w:rFonts w:ascii="Times New Roman" w:eastAsia="Times New Roman" w:hAnsi="Times New Roman" w:cs="Times New Roman"/>
        </w:rPr>
        <w:t>uestionnaire completion</w:t>
      </w:r>
      <w:r w:rsidR="006E3D95">
        <w:rPr>
          <w:rFonts w:ascii="Times New Roman" w:eastAsia="Times New Roman" w:hAnsi="Times New Roman" w:cs="Times New Roman"/>
        </w:rPr>
        <w:t>,</w:t>
      </w:r>
      <w:r w:rsidRPr="00306495">
        <w:rPr>
          <w:rFonts w:ascii="Times New Roman" w:eastAsia="Times New Roman" w:hAnsi="Times New Roman" w:cs="Times New Roman"/>
        </w:rPr>
        <w:t xml:space="preserve"> will reduce burden by increasing participation rates, thereby reducing the number of participants needed to complete the Screener in order to achieve the desired sample size. </w:t>
      </w:r>
    </w:p>
    <w:p w14:paraId="31BFF8B7" w14:textId="2E7B805F" w:rsidR="00327637" w:rsidRPr="00BE5651" w:rsidRDefault="00327637" w:rsidP="009C6AAC">
      <w:pPr>
        <w:numPr>
          <w:ilvl w:val="0"/>
          <w:numId w:val="6"/>
        </w:numPr>
        <w:tabs>
          <w:tab w:val="num" w:pos="720"/>
        </w:tabs>
        <w:spacing w:before="100" w:beforeAutospacing="1" w:after="240"/>
        <w:rPr>
          <w:rFonts w:ascii="Times New Roman" w:eastAsia="Times New Roman" w:hAnsi="Times New Roman" w:cs="Times New Roman"/>
          <w:u w:val="single"/>
        </w:rPr>
      </w:pPr>
      <w:r w:rsidRPr="00BE5651">
        <w:rPr>
          <w:rFonts w:ascii="Times New Roman" w:eastAsia="Times New Roman" w:hAnsi="Times New Roman" w:cs="Times New Roman"/>
          <w:u w:val="single"/>
        </w:rPr>
        <w:t xml:space="preserve">Efforts to Identify Duplication and Use of Similar Information </w:t>
      </w:r>
    </w:p>
    <w:p w14:paraId="0FB17AA1" w14:textId="143B553D" w:rsidR="00FE1AE4" w:rsidRPr="009E75BD" w:rsidRDefault="00327637" w:rsidP="009C6AAC">
      <w:pPr>
        <w:pStyle w:val="ListParagraph"/>
        <w:spacing w:after="240"/>
        <w:contextualSpacing w:val="0"/>
        <w:rPr>
          <w:szCs w:val="24"/>
        </w:rPr>
      </w:pPr>
      <w:r w:rsidRPr="00BE5651">
        <w:rPr>
          <w:rFonts w:cs="Times New Roman"/>
          <w:szCs w:val="24"/>
        </w:rPr>
        <w:t>The video ads being tested in th</w:t>
      </w:r>
      <w:r w:rsidR="00FE1AE4" w:rsidRPr="00BE5651">
        <w:rPr>
          <w:rFonts w:cs="Times New Roman"/>
          <w:szCs w:val="24"/>
        </w:rPr>
        <w:t>is study are original to FDA’s Multicultural Campaign</w:t>
      </w:r>
      <w:r w:rsidRPr="00BE5651">
        <w:rPr>
          <w:rFonts w:cs="Times New Roman"/>
          <w:szCs w:val="24"/>
        </w:rPr>
        <w:t xml:space="preserve"> and have not previously been </w:t>
      </w:r>
      <w:r w:rsidR="00220260">
        <w:rPr>
          <w:rFonts w:cs="Times New Roman"/>
          <w:szCs w:val="24"/>
        </w:rPr>
        <w:t xml:space="preserve">copy tested </w:t>
      </w:r>
      <w:r w:rsidRPr="00BE5651">
        <w:rPr>
          <w:rFonts w:cs="Times New Roman"/>
          <w:szCs w:val="24"/>
        </w:rPr>
        <w:t>or publically aired. As such, there are no existing datasets that can be used or modified to address FDA’</w:t>
      </w:r>
      <w:r w:rsidR="00FE1AE4" w:rsidRPr="00BE5651">
        <w:rPr>
          <w:rFonts w:cs="Times New Roman"/>
          <w:szCs w:val="24"/>
        </w:rPr>
        <w:t xml:space="preserve">s need for information on </w:t>
      </w:r>
      <w:r w:rsidRPr="00BE5651">
        <w:rPr>
          <w:rFonts w:cs="Times New Roman"/>
          <w:szCs w:val="24"/>
        </w:rPr>
        <w:t>reacti</w:t>
      </w:r>
      <w:r w:rsidR="00FE1AE4" w:rsidRPr="00BE5651">
        <w:rPr>
          <w:rFonts w:cs="Times New Roman"/>
          <w:szCs w:val="24"/>
        </w:rPr>
        <w:t>ons to the video ads for FDA’s Multicultural Campaign</w:t>
      </w:r>
      <w:r w:rsidRPr="00BE5651">
        <w:rPr>
          <w:rFonts w:cs="Times New Roman"/>
          <w:szCs w:val="24"/>
        </w:rPr>
        <w:t xml:space="preserve">. </w:t>
      </w:r>
      <w:r w:rsidR="00220260">
        <w:rPr>
          <w:rFonts w:cs="Times New Roman"/>
          <w:szCs w:val="24"/>
        </w:rPr>
        <w:t>Additionally, FDA’s Multicultural Campaign targets a specific subpo</w:t>
      </w:r>
      <w:r w:rsidR="00012627">
        <w:rPr>
          <w:rFonts w:cs="Times New Roman"/>
          <w:szCs w:val="24"/>
        </w:rPr>
        <w:t>pulation, i.e. youth ages 12</w:t>
      </w:r>
      <w:r w:rsidR="00740E83">
        <w:rPr>
          <w:rFonts w:cs="Times New Roman"/>
          <w:szCs w:val="24"/>
        </w:rPr>
        <w:t>-</w:t>
      </w:r>
      <w:r w:rsidR="00220260">
        <w:rPr>
          <w:rFonts w:cs="Times New Roman"/>
          <w:szCs w:val="24"/>
        </w:rPr>
        <w:t xml:space="preserve">17 who are </w:t>
      </w:r>
      <w:r w:rsidR="00CE2559">
        <w:rPr>
          <w:rFonts w:cs="Times New Roman"/>
          <w:szCs w:val="24"/>
        </w:rPr>
        <w:t>at-risk for tobacco use</w:t>
      </w:r>
      <w:r w:rsidR="00963E62">
        <w:rPr>
          <w:rFonts w:cs="Times New Roman"/>
          <w:szCs w:val="24"/>
        </w:rPr>
        <w:t xml:space="preserve"> and</w:t>
      </w:r>
      <w:r w:rsidR="00220260">
        <w:rPr>
          <w:rFonts w:cs="Times New Roman"/>
          <w:szCs w:val="24"/>
        </w:rPr>
        <w:t xml:space="preserve"> influenced by the Hip Hop peer crowd. </w:t>
      </w:r>
      <w:r w:rsidR="00220260" w:rsidRPr="00B73B77">
        <w:t xml:space="preserve">As such, there are no national level surveys or datasets that focus on this specific target audience. </w:t>
      </w:r>
      <w:r w:rsidR="00FE1AE4" w:rsidRPr="00BE5651">
        <w:rPr>
          <w:rFonts w:cs="Times New Roman"/>
          <w:szCs w:val="24"/>
        </w:rPr>
        <w:t xml:space="preserve">This type of focused recruitment of youth in the target audience is necessary to test </w:t>
      </w:r>
      <w:r w:rsidR="00220260">
        <w:rPr>
          <w:rFonts w:cs="Times New Roman"/>
          <w:szCs w:val="24"/>
        </w:rPr>
        <w:t>the effectiveness of ads developed for FDA’s Multicultural Campaign</w:t>
      </w:r>
      <w:r w:rsidR="00FE1AE4" w:rsidRPr="00BE5651">
        <w:rPr>
          <w:rFonts w:cs="Times New Roman"/>
          <w:szCs w:val="24"/>
        </w:rPr>
        <w:t>. Therefore, we have determined that the proposed information collection does not duplicate previous efforts.</w:t>
      </w:r>
      <w:r w:rsidRPr="00BE5651">
        <w:rPr>
          <w:rFonts w:cs="Times New Roman"/>
          <w:szCs w:val="24"/>
        </w:rPr>
        <w:t xml:space="preserve"> </w:t>
      </w:r>
    </w:p>
    <w:p w14:paraId="091A4F0A" w14:textId="03CCB0E7" w:rsidR="00327637" w:rsidRPr="00BE5651" w:rsidRDefault="00FE1AE4" w:rsidP="009C6AAC">
      <w:pPr>
        <w:pStyle w:val="ListParagraph"/>
        <w:numPr>
          <w:ilvl w:val="0"/>
          <w:numId w:val="6"/>
        </w:numPr>
        <w:spacing w:before="100" w:beforeAutospacing="1" w:after="240"/>
        <w:contextualSpacing w:val="0"/>
        <w:rPr>
          <w:rFonts w:eastAsia="Times New Roman" w:cs="Times New Roman"/>
          <w:szCs w:val="24"/>
          <w:u w:val="single"/>
        </w:rPr>
      </w:pPr>
      <w:r w:rsidRPr="00BE5651">
        <w:rPr>
          <w:rFonts w:eastAsia="Times New Roman" w:cs="Times New Roman"/>
          <w:szCs w:val="24"/>
          <w:u w:val="single"/>
        </w:rPr>
        <w:t>Impact on Small Businesses or Other Small Entities</w:t>
      </w:r>
    </w:p>
    <w:p w14:paraId="0C10932D" w14:textId="4341C154" w:rsidR="00264665" w:rsidRPr="009E75BD" w:rsidRDefault="00264665" w:rsidP="009C6AAC">
      <w:pPr>
        <w:pStyle w:val="ListParagraph"/>
        <w:spacing w:before="100" w:beforeAutospacing="1" w:after="240"/>
        <w:contextualSpacing w:val="0"/>
        <w:rPr>
          <w:szCs w:val="24"/>
        </w:rPr>
      </w:pPr>
      <w:r w:rsidRPr="00BE5651">
        <w:rPr>
          <w:rFonts w:cs="Times New Roman"/>
          <w:szCs w:val="24"/>
        </w:rPr>
        <w:t>Respondents in this study will be members of the general public, specific subpopulations, or specific professions, not business entities. No impact on small businesses or other small entities is anticipated.</w:t>
      </w:r>
    </w:p>
    <w:p w14:paraId="06B96596" w14:textId="09011D13" w:rsidR="00327637" w:rsidRPr="00BE5651" w:rsidRDefault="00264665" w:rsidP="009C6AAC">
      <w:pPr>
        <w:pStyle w:val="ListParagraph"/>
        <w:numPr>
          <w:ilvl w:val="0"/>
          <w:numId w:val="6"/>
        </w:numPr>
        <w:spacing w:before="100" w:beforeAutospacing="1" w:after="240"/>
        <w:contextualSpacing w:val="0"/>
        <w:rPr>
          <w:rFonts w:cs="Times New Roman"/>
          <w:szCs w:val="24"/>
        </w:rPr>
      </w:pPr>
      <w:r w:rsidRPr="00BE5651">
        <w:rPr>
          <w:rFonts w:cs="Times New Roman"/>
          <w:szCs w:val="24"/>
          <w:u w:val="single"/>
        </w:rPr>
        <w:t>Consequences of Collecting the Information Less Frequently</w:t>
      </w:r>
    </w:p>
    <w:p w14:paraId="697C2A1E" w14:textId="4CA287E2" w:rsidR="00B53C9A" w:rsidRPr="00BE5651" w:rsidRDefault="00264665" w:rsidP="009C6AAC">
      <w:pPr>
        <w:pStyle w:val="ListParagraph"/>
        <w:spacing w:before="100" w:beforeAutospacing="1" w:after="240"/>
        <w:contextualSpacing w:val="0"/>
        <w:rPr>
          <w:rFonts w:cs="Times New Roman"/>
          <w:szCs w:val="24"/>
        </w:rPr>
      </w:pPr>
      <w:r w:rsidRPr="00BE5651">
        <w:rPr>
          <w:rFonts w:cs="Times New Roman"/>
          <w:szCs w:val="24"/>
        </w:rPr>
        <w:t xml:space="preserve">There are no legal obstacles to reduce the participant burden. Respondents to this collection of information will </w:t>
      </w:r>
      <w:r w:rsidR="009A7CF4">
        <w:rPr>
          <w:rFonts w:cs="Times New Roman"/>
          <w:szCs w:val="24"/>
        </w:rPr>
        <w:t>answer only once</w:t>
      </w:r>
      <w:r w:rsidRPr="00BE5651">
        <w:rPr>
          <w:rFonts w:cs="Times New Roman"/>
          <w:szCs w:val="24"/>
        </w:rPr>
        <w:t xml:space="preserve"> to ensure the participant burden is as low as possible. Without the information collection requested, it would be difficult to measure target audience reactions to </w:t>
      </w:r>
      <w:r w:rsidR="00B53C9A" w:rsidRPr="00BE5651">
        <w:rPr>
          <w:rFonts w:cs="Times New Roman"/>
          <w:szCs w:val="24"/>
        </w:rPr>
        <w:t>video ads</w:t>
      </w:r>
      <w:r w:rsidRPr="00BE5651">
        <w:rPr>
          <w:rFonts w:cs="Times New Roman"/>
          <w:szCs w:val="24"/>
        </w:rPr>
        <w:t xml:space="preserve"> for FDA’s Multicultural Campaign. Failure to collect this data could reduce effectiveness of the FDA’s messaging, and therefore reduce the benefit of the messages for multicultural youth in the United States.</w:t>
      </w:r>
    </w:p>
    <w:p w14:paraId="3EAFBDB5" w14:textId="113F1AA1" w:rsidR="00264665" w:rsidRPr="00BE5651" w:rsidRDefault="00B53C9A" w:rsidP="009C6AAC">
      <w:pPr>
        <w:pStyle w:val="ListParagraph"/>
        <w:numPr>
          <w:ilvl w:val="0"/>
          <w:numId w:val="6"/>
        </w:numPr>
        <w:spacing w:before="100" w:beforeAutospacing="1" w:after="240"/>
        <w:contextualSpacing w:val="0"/>
        <w:rPr>
          <w:rFonts w:cs="Times New Roman"/>
          <w:szCs w:val="24"/>
        </w:rPr>
      </w:pPr>
      <w:r w:rsidRPr="00BE5651">
        <w:rPr>
          <w:rFonts w:eastAsia="Times New Roman" w:cs="Times New Roman"/>
          <w:szCs w:val="24"/>
          <w:u w:val="single"/>
        </w:rPr>
        <w:t>Special Circumstances Relating to the Guidelines of 5 CFR 1320.5</w:t>
      </w:r>
    </w:p>
    <w:p w14:paraId="391EDE93" w14:textId="1243D72D" w:rsidR="00B73D5E" w:rsidRPr="00BE5651" w:rsidRDefault="00B53C9A" w:rsidP="009C6AAC">
      <w:pPr>
        <w:pStyle w:val="ListParagraph"/>
        <w:spacing w:after="240"/>
        <w:contextualSpacing w:val="0"/>
        <w:rPr>
          <w:rFonts w:cs="Times New Roman"/>
          <w:szCs w:val="24"/>
        </w:rPr>
      </w:pPr>
      <w:r w:rsidRPr="00BE5651">
        <w:rPr>
          <w:rFonts w:cs="Times New Roman"/>
          <w:szCs w:val="24"/>
        </w:rPr>
        <w:t>There are no special circumstances for this collection of information that require the data collection to be conducted in a manner inconsistent with 5 CRF 1320.5(d)(2). The message testing activities fully comply with the guidelines in 5 CFR 1320.5.</w:t>
      </w:r>
    </w:p>
    <w:p w14:paraId="30B311B8" w14:textId="658BAC73" w:rsidR="00B73D5E" w:rsidRPr="00BE5651" w:rsidRDefault="00B73D5E" w:rsidP="009C6AAC">
      <w:pPr>
        <w:pStyle w:val="ListParagraph"/>
        <w:numPr>
          <w:ilvl w:val="0"/>
          <w:numId w:val="6"/>
        </w:numPr>
        <w:spacing w:before="100" w:beforeAutospacing="1" w:after="240"/>
        <w:contextualSpacing w:val="0"/>
        <w:rPr>
          <w:rFonts w:eastAsia="Times New Roman" w:cs="Times New Roman"/>
          <w:szCs w:val="24"/>
        </w:rPr>
      </w:pPr>
      <w:r w:rsidRPr="00BE5651">
        <w:rPr>
          <w:rFonts w:eastAsia="Times New Roman" w:cs="Times New Roman"/>
          <w:szCs w:val="24"/>
          <w:u w:val="single"/>
        </w:rPr>
        <w:t>Comments in Response to the Federal Register Notice and Efforts to Consult Outside the Agency</w:t>
      </w:r>
    </w:p>
    <w:p w14:paraId="67F41695" w14:textId="33E66767" w:rsidR="00B73D5E" w:rsidRPr="00BE5651" w:rsidRDefault="00B73D5E" w:rsidP="009C6AAC">
      <w:pPr>
        <w:pStyle w:val="ListParagraph"/>
        <w:spacing w:after="240"/>
        <w:contextualSpacing w:val="0"/>
        <w:rPr>
          <w:rFonts w:cs="Times New Roman"/>
          <w:szCs w:val="24"/>
        </w:rPr>
      </w:pPr>
      <w:r w:rsidRPr="00BE5651">
        <w:rPr>
          <w:rFonts w:cs="Times New Roman"/>
          <w:szCs w:val="24"/>
        </w:rPr>
        <w:t xml:space="preserve">The following individuals inside the agency have been consulted on </w:t>
      </w:r>
      <w:r w:rsidR="008E4EEC" w:rsidRPr="000B4BFD">
        <w:rPr>
          <w:rFonts w:eastAsia="Times New Roman"/>
        </w:rPr>
        <w:t>the design of the copy testing plan, survey development, or intra-agency coordination of information collection efforts:</w:t>
      </w:r>
    </w:p>
    <w:p w14:paraId="277EC57C"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Gem Benoza</w:t>
      </w:r>
    </w:p>
    <w:p w14:paraId="456AF9D1"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Office of Health Communication &amp; Education</w:t>
      </w:r>
    </w:p>
    <w:p w14:paraId="33FEA39D"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Center for Tobacco Products</w:t>
      </w:r>
    </w:p>
    <w:p w14:paraId="4AD78BF6"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Food and Drug Administration</w:t>
      </w:r>
    </w:p>
    <w:p w14:paraId="4A21329C"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10903 New Hampshire Avenue</w:t>
      </w:r>
    </w:p>
    <w:p w14:paraId="769F6721"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Silver Spring, MD 20993</w:t>
      </w:r>
    </w:p>
    <w:p w14:paraId="5C4462BC"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Phone:</w:t>
      </w:r>
      <w:r w:rsidRPr="00B73D5E">
        <w:rPr>
          <w:rFonts w:ascii="Times New Roman" w:eastAsia="Times New Roman" w:hAnsi="Times New Roman" w:cs="Times New Roman"/>
        </w:rPr>
        <w:tab/>
        <w:t>240-402-0088</w:t>
      </w:r>
    </w:p>
    <w:p w14:paraId="0C80FDF8" w14:textId="4FA2864E" w:rsidR="001446C2" w:rsidRPr="00BE5651"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E-mail:</w:t>
      </w:r>
      <w:r w:rsidRPr="00B73D5E">
        <w:rPr>
          <w:rFonts w:ascii="Times New Roman" w:eastAsia="Times New Roman" w:hAnsi="Times New Roman" w:cs="Times New Roman"/>
        </w:rPr>
        <w:tab/>
        <w:t xml:space="preserve"> </w:t>
      </w:r>
      <w:hyperlink r:id="rId9" w:history="1">
        <w:r w:rsidRPr="00BE5651">
          <w:rPr>
            <w:rStyle w:val="Hyperlink"/>
            <w:rFonts w:ascii="Times New Roman" w:eastAsia="Times New Roman" w:hAnsi="Times New Roman" w:cs="Times New Roman"/>
          </w:rPr>
          <w:t>Maria.Benoza@fda.hhs.gov</w:t>
        </w:r>
      </w:hyperlink>
    </w:p>
    <w:p w14:paraId="3EFFF461" w14:textId="77777777" w:rsidR="00FB77A6" w:rsidRPr="00BE5651" w:rsidRDefault="00FB77A6" w:rsidP="009C6AAC">
      <w:pPr>
        <w:pStyle w:val="ListParagraph"/>
        <w:spacing w:after="240"/>
        <w:rPr>
          <w:rFonts w:cs="Times New Roman"/>
          <w:szCs w:val="24"/>
        </w:rPr>
      </w:pPr>
      <w:r w:rsidRPr="00BE5651">
        <w:rPr>
          <w:rFonts w:cs="Times New Roman"/>
          <w:szCs w:val="24"/>
        </w:rPr>
        <w:t>Mario Navarro</w:t>
      </w:r>
    </w:p>
    <w:p w14:paraId="7C4F0FEA" w14:textId="77777777" w:rsidR="00FB77A6" w:rsidRPr="00BE5651" w:rsidRDefault="00FB77A6" w:rsidP="009C6AAC">
      <w:pPr>
        <w:pStyle w:val="ListParagraph"/>
        <w:spacing w:after="240"/>
        <w:rPr>
          <w:rFonts w:cs="Times New Roman"/>
          <w:szCs w:val="24"/>
        </w:rPr>
      </w:pPr>
      <w:r w:rsidRPr="00BE5651">
        <w:rPr>
          <w:rFonts w:cs="Times New Roman"/>
          <w:szCs w:val="24"/>
        </w:rPr>
        <w:t>Office of Health Communication &amp; Education</w:t>
      </w:r>
    </w:p>
    <w:p w14:paraId="00228CAE" w14:textId="77777777" w:rsidR="00FB77A6" w:rsidRPr="00BE5651" w:rsidRDefault="00FB77A6" w:rsidP="009C6AAC">
      <w:pPr>
        <w:pStyle w:val="ListParagraph"/>
        <w:spacing w:after="240"/>
        <w:rPr>
          <w:rFonts w:cs="Times New Roman"/>
          <w:szCs w:val="24"/>
        </w:rPr>
      </w:pPr>
      <w:r w:rsidRPr="00BE5651">
        <w:rPr>
          <w:rFonts w:cs="Times New Roman"/>
          <w:szCs w:val="24"/>
        </w:rPr>
        <w:t>Center for Tobacco Products</w:t>
      </w:r>
    </w:p>
    <w:p w14:paraId="487BAEAD" w14:textId="77777777" w:rsidR="00FB77A6" w:rsidRPr="00BE5651" w:rsidRDefault="00FB77A6" w:rsidP="009C6AAC">
      <w:pPr>
        <w:pStyle w:val="ListParagraph"/>
        <w:spacing w:after="240"/>
        <w:rPr>
          <w:rFonts w:cs="Times New Roman"/>
          <w:szCs w:val="24"/>
        </w:rPr>
      </w:pPr>
      <w:r w:rsidRPr="00BE5651">
        <w:rPr>
          <w:rFonts w:cs="Times New Roman"/>
          <w:szCs w:val="24"/>
        </w:rPr>
        <w:t>Food and Drug Administration</w:t>
      </w:r>
    </w:p>
    <w:p w14:paraId="4BE8F6EB" w14:textId="77777777" w:rsidR="00FB77A6" w:rsidRPr="00BE5651" w:rsidRDefault="00FB77A6" w:rsidP="009C6AAC">
      <w:pPr>
        <w:pStyle w:val="ListParagraph"/>
        <w:spacing w:after="240"/>
        <w:rPr>
          <w:rFonts w:cs="Times New Roman"/>
          <w:szCs w:val="24"/>
        </w:rPr>
      </w:pPr>
      <w:r w:rsidRPr="00BE5651">
        <w:rPr>
          <w:rFonts w:cs="Times New Roman"/>
          <w:szCs w:val="24"/>
        </w:rPr>
        <w:t>10903 New Hampshire Avenue</w:t>
      </w:r>
    </w:p>
    <w:p w14:paraId="435575F4" w14:textId="77777777" w:rsidR="00FB77A6" w:rsidRPr="00BE5651" w:rsidRDefault="00FB77A6" w:rsidP="009C6AAC">
      <w:pPr>
        <w:pStyle w:val="ListParagraph"/>
        <w:spacing w:after="240"/>
        <w:rPr>
          <w:rFonts w:cs="Times New Roman"/>
          <w:szCs w:val="24"/>
        </w:rPr>
      </w:pPr>
      <w:r w:rsidRPr="00BE5651">
        <w:rPr>
          <w:rFonts w:cs="Times New Roman"/>
          <w:szCs w:val="24"/>
        </w:rPr>
        <w:t>Silver Spring, MD 20993</w:t>
      </w:r>
    </w:p>
    <w:p w14:paraId="409AF0A6" w14:textId="2A9C8D02" w:rsidR="00FB77A6" w:rsidRPr="00BE5651" w:rsidRDefault="00FB77A6" w:rsidP="009C6AAC">
      <w:pPr>
        <w:pStyle w:val="ListParagraph"/>
        <w:spacing w:after="240"/>
        <w:rPr>
          <w:rFonts w:cs="Times New Roman"/>
          <w:szCs w:val="24"/>
        </w:rPr>
      </w:pPr>
      <w:r w:rsidRPr="00BE5651">
        <w:rPr>
          <w:rFonts w:cs="Times New Roman"/>
          <w:szCs w:val="24"/>
        </w:rPr>
        <w:t>Phone:</w:t>
      </w:r>
      <w:r w:rsidRPr="00BE5651">
        <w:rPr>
          <w:rFonts w:cs="Times New Roman"/>
          <w:szCs w:val="24"/>
        </w:rPr>
        <w:tab/>
      </w:r>
      <w:r w:rsidR="000F1B31">
        <w:rPr>
          <w:rFonts w:cs="Times New Roman"/>
          <w:szCs w:val="24"/>
        </w:rPr>
        <w:t>240-402-4963</w:t>
      </w:r>
    </w:p>
    <w:p w14:paraId="5F1E8AFE" w14:textId="29073794" w:rsidR="00FB77A6" w:rsidRPr="009E75BD" w:rsidRDefault="00FB77A6" w:rsidP="009C6AAC">
      <w:pPr>
        <w:pStyle w:val="ListParagraph"/>
        <w:spacing w:after="240"/>
        <w:rPr>
          <w:szCs w:val="24"/>
        </w:rPr>
      </w:pPr>
      <w:r w:rsidRPr="00BE5651">
        <w:rPr>
          <w:rFonts w:cs="Times New Roman"/>
          <w:szCs w:val="24"/>
        </w:rPr>
        <w:t>E-mail:</w:t>
      </w:r>
      <w:r w:rsidRPr="00BE5651">
        <w:rPr>
          <w:rFonts w:cs="Times New Roman"/>
          <w:szCs w:val="24"/>
        </w:rPr>
        <w:tab/>
        <w:t xml:space="preserve"> </w:t>
      </w:r>
      <w:hyperlink r:id="rId10" w:history="1">
        <w:r w:rsidRPr="00BE5651">
          <w:rPr>
            <w:rStyle w:val="Hyperlink"/>
            <w:rFonts w:cs="Times New Roman"/>
            <w:szCs w:val="24"/>
          </w:rPr>
          <w:t>Mario.Navarro@fda.hhs.gov</w:t>
        </w:r>
      </w:hyperlink>
    </w:p>
    <w:p w14:paraId="00FF6523"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Matthew Walker</w:t>
      </w:r>
    </w:p>
    <w:p w14:paraId="60D79853"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Office of Health Communication &amp; Education</w:t>
      </w:r>
    </w:p>
    <w:p w14:paraId="49FB933A"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Center for Tobacco Products</w:t>
      </w:r>
    </w:p>
    <w:p w14:paraId="534BECAA"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Food and Drug Administration</w:t>
      </w:r>
    </w:p>
    <w:p w14:paraId="22C3125F"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10903 New Hampshire Avenue</w:t>
      </w:r>
    </w:p>
    <w:p w14:paraId="30A48D78"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Silver Spring, MD 20993</w:t>
      </w:r>
    </w:p>
    <w:p w14:paraId="33D40EF5" w14:textId="77777777" w:rsidR="00B73D5E" w:rsidRPr="00B73D5E"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Phone:</w:t>
      </w:r>
      <w:r w:rsidRPr="00B73D5E">
        <w:rPr>
          <w:rFonts w:ascii="Times New Roman" w:eastAsia="Times New Roman" w:hAnsi="Times New Roman" w:cs="Times New Roman"/>
        </w:rPr>
        <w:tab/>
        <w:t>240-402-3824</w:t>
      </w:r>
    </w:p>
    <w:p w14:paraId="078A599C" w14:textId="77547C22" w:rsidR="000F1B31" w:rsidRDefault="00B73D5E" w:rsidP="009C6AAC">
      <w:pPr>
        <w:spacing w:after="240"/>
        <w:ind w:left="720"/>
        <w:contextualSpacing/>
        <w:rPr>
          <w:rFonts w:ascii="Times New Roman" w:eastAsia="Times New Roman" w:hAnsi="Times New Roman" w:cs="Times New Roman"/>
        </w:rPr>
      </w:pPr>
      <w:r w:rsidRPr="00B73D5E">
        <w:rPr>
          <w:rFonts w:ascii="Times New Roman" w:eastAsia="Times New Roman" w:hAnsi="Times New Roman" w:cs="Times New Roman"/>
        </w:rPr>
        <w:t>E-mail:</w:t>
      </w:r>
      <w:r w:rsidRPr="00B73D5E">
        <w:rPr>
          <w:rFonts w:ascii="Times New Roman" w:eastAsia="Times New Roman" w:hAnsi="Times New Roman" w:cs="Times New Roman"/>
        </w:rPr>
        <w:tab/>
        <w:t xml:space="preserve"> </w:t>
      </w:r>
      <w:hyperlink r:id="rId11" w:history="1">
        <w:r w:rsidR="000F1B31" w:rsidRPr="002C05EA">
          <w:rPr>
            <w:rStyle w:val="Hyperlink"/>
            <w:rFonts w:ascii="Times New Roman" w:eastAsia="Times New Roman" w:hAnsi="Times New Roman" w:cs="Times New Roman"/>
          </w:rPr>
          <w:t>Matthew.Walker@fda.hhs.gov</w:t>
        </w:r>
      </w:hyperlink>
    </w:p>
    <w:p w14:paraId="277A663E" w14:textId="77777777" w:rsidR="008179D7" w:rsidRDefault="008179D7" w:rsidP="009C6AAC">
      <w:pPr>
        <w:spacing w:after="240"/>
        <w:ind w:left="720"/>
        <w:rPr>
          <w:rFonts w:ascii="Times New Roman" w:eastAsia="Times New Roman" w:hAnsi="Times New Roman" w:cs="Times New Roman"/>
        </w:rPr>
      </w:pPr>
    </w:p>
    <w:p w14:paraId="454A1B65" w14:textId="6F7A294E" w:rsidR="00B73D5E" w:rsidRPr="00BE5651" w:rsidRDefault="00B73D5E" w:rsidP="009C6AAC">
      <w:pPr>
        <w:spacing w:after="240"/>
        <w:ind w:left="720"/>
        <w:rPr>
          <w:rFonts w:ascii="Times New Roman" w:eastAsia="Times New Roman" w:hAnsi="Times New Roman" w:cs="Times New Roman"/>
        </w:rPr>
      </w:pPr>
      <w:r w:rsidRPr="00B73D5E">
        <w:rPr>
          <w:rFonts w:ascii="Times New Roman" w:eastAsia="Times New Roman" w:hAnsi="Times New Roman" w:cs="Times New Roman"/>
        </w:rPr>
        <w:t>The following individuals outside of the agency have been</w:t>
      </w:r>
      <w:r w:rsidR="00E95C2A">
        <w:rPr>
          <w:rFonts w:ascii="Times New Roman" w:eastAsia="Times New Roman" w:hAnsi="Times New Roman" w:cs="Times New Roman"/>
        </w:rPr>
        <w:t xml:space="preserve"> consulted on questionnaire</w:t>
      </w:r>
      <w:r w:rsidRPr="00B73D5E">
        <w:rPr>
          <w:rFonts w:ascii="Times New Roman" w:eastAsia="Times New Roman" w:hAnsi="Times New Roman" w:cs="Times New Roman"/>
        </w:rPr>
        <w:t xml:space="preserve"> development:</w:t>
      </w:r>
    </w:p>
    <w:p w14:paraId="4D03AADB" w14:textId="77777777"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Dana Wagner</w:t>
      </w:r>
    </w:p>
    <w:p w14:paraId="20BE6D06" w14:textId="6113ADC8"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 xml:space="preserve">Rescue </w:t>
      </w:r>
      <w:r w:rsidR="00012627">
        <w:rPr>
          <w:rFonts w:ascii="Times New Roman" w:eastAsia="Times New Roman" w:hAnsi="Times New Roman" w:cs="Times New Roman"/>
        </w:rPr>
        <w:t>Agency</w:t>
      </w:r>
    </w:p>
    <w:p w14:paraId="44695460" w14:textId="314EC2A7" w:rsidR="00990C6B" w:rsidRPr="00990C6B" w:rsidRDefault="00012627" w:rsidP="009C6AAC">
      <w:pPr>
        <w:spacing w:after="240"/>
        <w:ind w:left="720"/>
        <w:contextualSpacing/>
        <w:rPr>
          <w:rFonts w:ascii="Times New Roman" w:eastAsia="Times New Roman" w:hAnsi="Times New Roman" w:cs="Times New Roman"/>
        </w:rPr>
      </w:pPr>
      <w:r>
        <w:rPr>
          <w:rFonts w:ascii="Times New Roman" w:eastAsia="Times New Roman" w:hAnsi="Times New Roman" w:cs="Times New Roman"/>
        </w:rPr>
        <w:t>2437 Morena Boulevard</w:t>
      </w:r>
    </w:p>
    <w:p w14:paraId="17D6AE82" w14:textId="358E544A" w:rsidR="00990C6B" w:rsidRPr="00990C6B" w:rsidRDefault="00012627" w:rsidP="009C6AAC">
      <w:pPr>
        <w:spacing w:after="240"/>
        <w:ind w:left="720"/>
        <w:contextualSpacing/>
        <w:rPr>
          <w:rFonts w:ascii="Times New Roman" w:eastAsia="Times New Roman" w:hAnsi="Times New Roman" w:cs="Times New Roman"/>
        </w:rPr>
      </w:pPr>
      <w:r>
        <w:rPr>
          <w:rFonts w:ascii="Times New Roman" w:eastAsia="Times New Roman" w:hAnsi="Times New Roman" w:cs="Times New Roman"/>
        </w:rPr>
        <w:t>San Diego, CA 92110</w:t>
      </w:r>
    </w:p>
    <w:p w14:paraId="21F17D95" w14:textId="77777777"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Phone: 619-231-7555 x 331</w:t>
      </w:r>
    </w:p>
    <w:p w14:paraId="486B7420" w14:textId="545404A7" w:rsid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 xml:space="preserve">Email: </w:t>
      </w:r>
      <w:hyperlink r:id="rId12" w:history="1">
        <w:r w:rsidR="000F1B31" w:rsidRPr="002C05EA">
          <w:rPr>
            <w:rStyle w:val="Hyperlink"/>
            <w:rFonts w:ascii="Times New Roman" w:eastAsia="Times New Roman" w:hAnsi="Times New Roman" w:cs="Times New Roman"/>
          </w:rPr>
          <w:t>dana@rescueagency.com</w:t>
        </w:r>
      </w:hyperlink>
    </w:p>
    <w:p w14:paraId="5D52D5E7" w14:textId="77777777" w:rsidR="00990C6B" w:rsidRPr="00990C6B" w:rsidRDefault="00990C6B" w:rsidP="009C6AAC">
      <w:pPr>
        <w:spacing w:after="240"/>
        <w:contextualSpacing/>
        <w:rPr>
          <w:rFonts w:ascii="Times New Roman" w:eastAsia="Times New Roman" w:hAnsi="Times New Roman" w:cs="Times New Roman"/>
        </w:rPr>
      </w:pPr>
    </w:p>
    <w:p w14:paraId="4DE4D66F" w14:textId="77777777"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Carolyn Stalgaitis</w:t>
      </w:r>
    </w:p>
    <w:p w14:paraId="5F034028" w14:textId="3E40B9BA"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 xml:space="preserve">Rescue </w:t>
      </w:r>
      <w:r w:rsidR="00012627">
        <w:rPr>
          <w:rFonts w:ascii="Times New Roman" w:eastAsia="Times New Roman" w:hAnsi="Times New Roman" w:cs="Times New Roman"/>
        </w:rPr>
        <w:t>Agency</w:t>
      </w:r>
    </w:p>
    <w:p w14:paraId="1AC12496" w14:textId="77777777"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660 Pennsylvania Avenue SE, Suite 400</w:t>
      </w:r>
    </w:p>
    <w:p w14:paraId="7EA5511A" w14:textId="77777777"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Washington, DC 20003</w:t>
      </w:r>
    </w:p>
    <w:p w14:paraId="27253EA5" w14:textId="77777777"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Phone: 619-231-7555 x 313</w:t>
      </w:r>
    </w:p>
    <w:p w14:paraId="5AE0FE81" w14:textId="7BC6DCD2" w:rsid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 xml:space="preserve">Email: </w:t>
      </w:r>
      <w:hyperlink r:id="rId13" w:history="1">
        <w:r w:rsidR="000F1B31" w:rsidRPr="002C05EA">
          <w:rPr>
            <w:rStyle w:val="Hyperlink"/>
            <w:rFonts w:ascii="Times New Roman" w:eastAsia="Times New Roman" w:hAnsi="Times New Roman" w:cs="Times New Roman"/>
          </w:rPr>
          <w:t>carolyn@rescueagency.com</w:t>
        </w:r>
      </w:hyperlink>
    </w:p>
    <w:p w14:paraId="04908E68" w14:textId="77777777" w:rsidR="00990C6B" w:rsidRPr="00990C6B" w:rsidRDefault="00990C6B" w:rsidP="009C6AAC">
      <w:pPr>
        <w:spacing w:after="240"/>
        <w:contextualSpacing/>
        <w:rPr>
          <w:rFonts w:ascii="Times New Roman" w:eastAsia="Times New Roman" w:hAnsi="Times New Roman" w:cs="Times New Roman"/>
        </w:rPr>
      </w:pPr>
    </w:p>
    <w:p w14:paraId="38B3E2B4" w14:textId="77777777"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Xiaoquan Zhao</w:t>
      </w:r>
    </w:p>
    <w:p w14:paraId="680CF2B3" w14:textId="77777777"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Department of Communication</w:t>
      </w:r>
    </w:p>
    <w:p w14:paraId="53C798AA" w14:textId="77777777"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George Mason University</w:t>
      </w:r>
    </w:p>
    <w:p w14:paraId="2B389138" w14:textId="77777777"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Robinson Hall A, Room 307B</w:t>
      </w:r>
    </w:p>
    <w:p w14:paraId="3427D48E" w14:textId="77777777"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4400 University Drive, 3D6</w:t>
      </w:r>
    </w:p>
    <w:p w14:paraId="771222CD" w14:textId="77777777"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Fairfax, VA 22030</w:t>
      </w:r>
    </w:p>
    <w:p w14:paraId="0DCDFCCD" w14:textId="77777777" w:rsidR="00990C6B" w:rsidRPr="00990C6B" w:rsidRDefault="00990C6B" w:rsidP="009C6AAC">
      <w:pPr>
        <w:spacing w:after="240"/>
        <w:ind w:left="720"/>
        <w:contextualSpacing/>
        <w:rPr>
          <w:rFonts w:ascii="Times New Roman" w:eastAsia="Times New Roman" w:hAnsi="Times New Roman" w:cs="Times New Roman"/>
        </w:rPr>
      </w:pPr>
      <w:r w:rsidRPr="00990C6B">
        <w:rPr>
          <w:rFonts w:ascii="Times New Roman" w:eastAsia="Times New Roman" w:hAnsi="Times New Roman" w:cs="Times New Roman"/>
        </w:rPr>
        <w:t>Phone: 703-993-4008</w:t>
      </w:r>
    </w:p>
    <w:p w14:paraId="1F4C0CE2" w14:textId="14EBE90F" w:rsidR="00B73D5E" w:rsidRDefault="00990C6B" w:rsidP="009C6AAC">
      <w:pPr>
        <w:spacing w:after="240"/>
        <w:ind w:left="720"/>
        <w:contextualSpacing/>
        <w:rPr>
          <w:rFonts w:cs="Times New Roman"/>
        </w:rPr>
      </w:pPr>
      <w:r w:rsidRPr="00990C6B">
        <w:rPr>
          <w:rFonts w:ascii="Times New Roman" w:eastAsia="Times New Roman" w:hAnsi="Times New Roman" w:cs="Times New Roman"/>
        </w:rPr>
        <w:t xml:space="preserve">E-mail: </w:t>
      </w:r>
      <w:hyperlink r:id="rId14" w:history="1">
        <w:r w:rsidR="000F1B31" w:rsidRPr="002C05EA">
          <w:rPr>
            <w:rStyle w:val="Hyperlink"/>
            <w:rFonts w:ascii="Times New Roman" w:eastAsia="Times New Roman" w:hAnsi="Times New Roman" w:cs="Times New Roman"/>
          </w:rPr>
          <w:t>xzhao3@gmu.edu</w:t>
        </w:r>
      </w:hyperlink>
    </w:p>
    <w:p w14:paraId="0AE7155A" w14:textId="5EB2FC67" w:rsidR="00A14533" w:rsidRPr="00E63AE6" w:rsidRDefault="00990C6B" w:rsidP="009C6AAC">
      <w:pPr>
        <w:pStyle w:val="ListParagraph"/>
        <w:numPr>
          <w:ilvl w:val="0"/>
          <w:numId w:val="6"/>
        </w:numPr>
        <w:spacing w:after="240"/>
        <w:rPr>
          <w:rFonts w:cs="Times New Roman"/>
          <w:szCs w:val="24"/>
        </w:rPr>
      </w:pPr>
      <w:r w:rsidRPr="00BE5651">
        <w:rPr>
          <w:rFonts w:eastAsia="Times New Roman" w:cs="Times New Roman"/>
          <w:szCs w:val="24"/>
          <w:u w:val="single"/>
        </w:rPr>
        <w:t>Explanation of Any Incentive or Gift to Respondent</w:t>
      </w:r>
      <w:r w:rsidR="003418DA">
        <w:rPr>
          <w:rFonts w:eastAsia="Times New Roman" w:cs="Times New Roman"/>
          <w:szCs w:val="24"/>
          <w:u w:val="single"/>
        </w:rPr>
        <w:t>s</w:t>
      </w:r>
    </w:p>
    <w:p w14:paraId="0F62659E" w14:textId="148F04BC" w:rsidR="008770AF" w:rsidRDefault="008770AF" w:rsidP="009E75BD">
      <w:pPr>
        <w:widowControl w:val="0"/>
        <w:autoSpaceDE w:val="0"/>
        <w:autoSpaceDN w:val="0"/>
        <w:adjustRightInd w:val="0"/>
        <w:spacing w:after="240"/>
        <w:ind w:left="720"/>
        <w:rPr>
          <w:rFonts w:ascii="Times New Roman" w:eastAsia="Times New Roman" w:hAnsi="Times New Roman" w:cs="Times New Roman"/>
        </w:rPr>
      </w:pPr>
      <w:r>
        <w:rPr>
          <w:rFonts w:ascii="Times New Roman" w:eastAsia="Times New Roman" w:hAnsi="Times New Roman" w:cs="Times New Roman"/>
        </w:rPr>
        <w:t>In the current study, the token of appreciation</w:t>
      </w:r>
      <w:r w:rsidRPr="00E63AE6">
        <w:rPr>
          <w:rFonts w:ascii="Times New Roman" w:eastAsia="Times New Roman" w:hAnsi="Times New Roman" w:cs="Times New Roman"/>
        </w:rPr>
        <w:t xml:space="preserve"> for </w:t>
      </w:r>
      <w:r w:rsidRPr="00C04136">
        <w:rPr>
          <w:rFonts w:ascii="Times New Roman" w:eastAsia="Times New Roman" w:hAnsi="Times New Roman" w:cs="Times New Roman"/>
        </w:rPr>
        <w:t xml:space="preserve">participation </w:t>
      </w:r>
      <w:r w:rsidRPr="00DC4E9B">
        <w:rPr>
          <w:rFonts w:ascii="Times New Roman" w:eastAsia="Times New Roman" w:hAnsi="Times New Roman" w:cs="Times New Roman"/>
        </w:rPr>
        <w:t>is $10 in</w:t>
      </w:r>
      <w:r w:rsidRPr="00E63AE6">
        <w:rPr>
          <w:rFonts w:ascii="Times New Roman" w:eastAsia="Times New Roman" w:hAnsi="Times New Roman" w:cs="Times New Roman"/>
        </w:rPr>
        <w:t xml:space="preserve"> </w:t>
      </w:r>
      <w:r>
        <w:rPr>
          <w:rFonts w:ascii="Times New Roman" w:eastAsia="Times New Roman" w:hAnsi="Times New Roman" w:cs="Times New Roman"/>
        </w:rPr>
        <w:t>redeemable gift credits</w:t>
      </w:r>
      <w:r w:rsidRPr="00E63AE6">
        <w:rPr>
          <w:rFonts w:ascii="Times New Roman" w:eastAsia="Times New Roman" w:hAnsi="Times New Roman" w:cs="Times New Roman"/>
        </w:rPr>
        <w:t xml:space="preserve">, sent electronically </w:t>
      </w:r>
      <w:r>
        <w:rPr>
          <w:rFonts w:ascii="Times New Roman" w:eastAsia="Times New Roman" w:hAnsi="Times New Roman" w:cs="Times New Roman"/>
        </w:rPr>
        <w:t xml:space="preserve">via email </w:t>
      </w:r>
      <w:r w:rsidRPr="00E63AE6">
        <w:rPr>
          <w:rFonts w:ascii="Times New Roman" w:eastAsia="Times New Roman" w:hAnsi="Times New Roman" w:cs="Times New Roman"/>
        </w:rPr>
        <w:t xml:space="preserve">as a thank you for the participant’s time. </w:t>
      </w:r>
      <w:r>
        <w:rPr>
          <w:rFonts w:ascii="Times New Roman" w:eastAsia="Times New Roman" w:hAnsi="Times New Roman" w:cs="Times New Roman"/>
        </w:rPr>
        <w:t>T</w:t>
      </w:r>
      <w:r w:rsidRPr="00DC4E9B">
        <w:rPr>
          <w:rFonts w:ascii="Times New Roman" w:eastAsia="Times New Roman" w:hAnsi="Times New Roman" w:cs="Times New Roman"/>
        </w:rPr>
        <w:t>he $10 per participant</w:t>
      </w:r>
      <w:r>
        <w:rPr>
          <w:rFonts w:ascii="Times New Roman" w:eastAsia="Times New Roman" w:hAnsi="Times New Roman" w:cs="Times New Roman"/>
        </w:rPr>
        <w:t xml:space="preserve"> in redeemable gift credits</w:t>
      </w:r>
      <w:r w:rsidRPr="00E63AE6">
        <w:rPr>
          <w:rFonts w:ascii="Times New Roman" w:eastAsia="Times New Roman" w:hAnsi="Times New Roman" w:cs="Times New Roman"/>
        </w:rPr>
        <w:t xml:space="preserve"> will be di</w:t>
      </w:r>
      <w:r>
        <w:rPr>
          <w:rFonts w:ascii="Times New Roman" w:eastAsia="Times New Roman" w:hAnsi="Times New Roman" w:cs="Times New Roman"/>
        </w:rPr>
        <w:t xml:space="preserve">stributed </w:t>
      </w:r>
      <w:r w:rsidRPr="00E63AE6">
        <w:rPr>
          <w:rFonts w:ascii="Times New Roman" w:eastAsia="Times New Roman" w:hAnsi="Times New Roman" w:cs="Times New Roman"/>
        </w:rPr>
        <w:t xml:space="preserve">through Giftbit, a third party online </w:t>
      </w:r>
      <w:r>
        <w:rPr>
          <w:rFonts w:ascii="Times New Roman" w:eastAsia="Times New Roman" w:hAnsi="Times New Roman" w:cs="Times New Roman"/>
        </w:rPr>
        <w:t>gift credit</w:t>
      </w:r>
      <w:r w:rsidRPr="00E63AE6">
        <w:rPr>
          <w:rFonts w:ascii="Times New Roman" w:eastAsia="Times New Roman" w:hAnsi="Times New Roman" w:cs="Times New Roman"/>
        </w:rPr>
        <w:t xml:space="preserve"> distributor. </w:t>
      </w:r>
      <w:r>
        <w:rPr>
          <w:rFonts w:ascii="Times New Roman" w:eastAsia="Times New Roman" w:hAnsi="Times New Roman" w:cs="Times New Roman"/>
        </w:rPr>
        <w:t>To redeem gift credits, participants</w:t>
      </w:r>
      <w:r w:rsidRPr="00E63AE6">
        <w:rPr>
          <w:rFonts w:ascii="Times New Roman" w:eastAsia="Times New Roman" w:hAnsi="Times New Roman" w:cs="Times New Roman"/>
        </w:rPr>
        <w:t xml:space="preserve"> </w:t>
      </w:r>
      <w:r>
        <w:rPr>
          <w:rFonts w:ascii="Times New Roman" w:eastAsia="Times New Roman" w:hAnsi="Times New Roman" w:cs="Times New Roman"/>
        </w:rPr>
        <w:t>will have the option to choose one or more online vendors</w:t>
      </w:r>
      <w:r w:rsidRPr="00E63AE6">
        <w:rPr>
          <w:rFonts w:ascii="Times New Roman" w:eastAsia="Times New Roman" w:hAnsi="Times New Roman" w:cs="Times New Roman"/>
        </w:rPr>
        <w:t>.</w:t>
      </w:r>
      <w:r w:rsidRPr="00572830">
        <w:rPr>
          <w:rFonts w:ascii="Times New Roman" w:eastAsia="Times New Roman" w:hAnsi="Times New Roman" w:cs="Times New Roman"/>
        </w:rPr>
        <w:t xml:space="preserve"> </w:t>
      </w:r>
      <w:r>
        <w:rPr>
          <w:rFonts w:ascii="Times New Roman" w:eastAsia="Times New Roman" w:hAnsi="Times New Roman" w:cs="Times New Roman"/>
        </w:rPr>
        <w:t>A youth must be eligible to participate (per the screener) and submit the q</w:t>
      </w:r>
      <w:r w:rsidRPr="00340E8A">
        <w:rPr>
          <w:rFonts w:ascii="Times New Roman" w:eastAsia="Times New Roman" w:hAnsi="Times New Roman" w:cs="Times New Roman"/>
        </w:rPr>
        <w:t xml:space="preserve">uestionnaire to receive the </w:t>
      </w:r>
      <w:r>
        <w:rPr>
          <w:rFonts w:ascii="Times New Roman" w:eastAsia="Times New Roman" w:hAnsi="Times New Roman" w:cs="Times New Roman"/>
        </w:rPr>
        <w:t>token of appreciation.</w:t>
      </w:r>
    </w:p>
    <w:p w14:paraId="1460EF63" w14:textId="15CFC4F5" w:rsidR="00E32BBA" w:rsidRDefault="00B6512C" w:rsidP="009E75BD">
      <w:pPr>
        <w:widowControl w:val="0"/>
        <w:autoSpaceDE w:val="0"/>
        <w:autoSpaceDN w:val="0"/>
        <w:adjustRightInd w:val="0"/>
        <w:spacing w:after="240"/>
        <w:ind w:left="720"/>
        <w:rPr>
          <w:rFonts w:ascii="Times New Roman" w:eastAsia="Times New Roman" w:hAnsi="Times New Roman" w:cs="Times New Roman"/>
        </w:rPr>
      </w:pPr>
      <w:r>
        <w:rPr>
          <w:rFonts w:ascii="Times New Roman" w:eastAsia="Times New Roman" w:hAnsi="Times New Roman" w:cs="Times New Roman"/>
        </w:rPr>
        <w:t>N</w:t>
      </w:r>
      <w:r w:rsidR="004D2517" w:rsidRPr="00A93778">
        <w:rPr>
          <w:rFonts w:ascii="Times New Roman" w:eastAsia="Times New Roman" w:hAnsi="Times New Roman" w:cs="Times New Roman"/>
        </w:rPr>
        <w:t xml:space="preserve">umerous empirical studies have shown that </w:t>
      </w:r>
      <w:r w:rsidR="00724D56">
        <w:rPr>
          <w:rFonts w:ascii="Times New Roman" w:eastAsia="Times New Roman" w:hAnsi="Times New Roman" w:cs="Times New Roman"/>
        </w:rPr>
        <w:t>a token</w:t>
      </w:r>
      <w:r w:rsidR="00F40F48">
        <w:rPr>
          <w:rFonts w:ascii="Times New Roman" w:eastAsia="Times New Roman" w:hAnsi="Times New Roman" w:cs="Times New Roman"/>
        </w:rPr>
        <w:t xml:space="preserve"> of appreciation</w:t>
      </w:r>
      <w:r w:rsidR="00F40F48" w:rsidRPr="00A93778">
        <w:rPr>
          <w:rFonts w:ascii="Times New Roman" w:eastAsia="Times New Roman" w:hAnsi="Times New Roman" w:cs="Times New Roman"/>
        </w:rPr>
        <w:t xml:space="preserve"> </w:t>
      </w:r>
      <w:r w:rsidR="004D2517" w:rsidRPr="00A93778">
        <w:rPr>
          <w:rFonts w:ascii="Times New Roman" w:eastAsia="Times New Roman" w:hAnsi="Times New Roman" w:cs="Times New Roman"/>
        </w:rPr>
        <w:t xml:space="preserve">can significantly increase response rates in cross-sectional surveys and reduce attrition in longitudinal surveys (e.g., Abreu &amp; Winters, 1999; Castiglioni, Pforr, &amp; Krieger, 2008; Jäckle &amp; Lynn, 2008; Shettle &amp; Mooney, 1999; Singer, 2002). The use of </w:t>
      </w:r>
      <w:r w:rsidR="00724D56">
        <w:rPr>
          <w:rFonts w:ascii="Times New Roman" w:eastAsia="Times New Roman" w:hAnsi="Times New Roman" w:cs="Times New Roman"/>
        </w:rPr>
        <w:t xml:space="preserve">a </w:t>
      </w:r>
      <w:r w:rsidR="004D2517" w:rsidRPr="00A93778">
        <w:rPr>
          <w:rFonts w:ascii="Times New Roman" w:eastAsia="Times New Roman" w:hAnsi="Times New Roman" w:cs="Times New Roman"/>
        </w:rPr>
        <w:t xml:space="preserve">modest </w:t>
      </w:r>
      <w:r w:rsidR="007363C9">
        <w:rPr>
          <w:rFonts w:ascii="Times New Roman" w:eastAsia="Times New Roman" w:hAnsi="Times New Roman" w:cs="Times New Roman"/>
        </w:rPr>
        <w:t>incentive</w:t>
      </w:r>
      <w:r w:rsidR="004D2517" w:rsidRPr="00A93778">
        <w:rPr>
          <w:rFonts w:ascii="Times New Roman" w:eastAsia="Times New Roman" w:hAnsi="Times New Roman" w:cs="Times New Roman"/>
        </w:rPr>
        <w:t xml:space="preserve"> is expected to enhance survey response rates without biasing responses. </w:t>
      </w:r>
      <w:r w:rsidR="00724D56">
        <w:rPr>
          <w:rFonts w:ascii="Times New Roman" w:eastAsia="Times New Roman" w:hAnsi="Times New Roman" w:cs="Times New Roman"/>
        </w:rPr>
        <w:t>A</w:t>
      </w:r>
      <w:r w:rsidR="007363C9">
        <w:rPr>
          <w:rFonts w:ascii="Times New Roman" w:eastAsia="Times New Roman" w:hAnsi="Times New Roman" w:cs="Times New Roman"/>
        </w:rPr>
        <w:t>n incentive</w:t>
      </w:r>
      <w:r w:rsidR="00F40F48" w:rsidRPr="00A93778">
        <w:rPr>
          <w:rFonts w:ascii="Times New Roman" w:eastAsia="Times New Roman" w:hAnsi="Times New Roman" w:cs="Times New Roman"/>
        </w:rPr>
        <w:t xml:space="preserve"> </w:t>
      </w:r>
      <w:r w:rsidRPr="00E63AE6">
        <w:rPr>
          <w:rFonts w:ascii="Times New Roman" w:eastAsia="Times New Roman" w:hAnsi="Times New Roman" w:cs="Times New Roman"/>
        </w:rPr>
        <w:t xml:space="preserve">must be high enough to </w:t>
      </w:r>
      <w:r w:rsidR="004C3B6E">
        <w:rPr>
          <w:rFonts w:ascii="Times New Roman" w:eastAsia="Times New Roman" w:hAnsi="Times New Roman" w:cs="Times New Roman"/>
        </w:rPr>
        <w:t xml:space="preserve">address competing demands for participants’ time and to </w:t>
      </w:r>
      <w:r w:rsidRPr="00E63AE6">
        <w:rPr>
          <w:rFonts w:ascii="Times New Roman" w:eastAsia="Times New Roman" w:hAnsi="Times New Roman" w:cs="Times New Roman"/>
        </w:rPr>
        <w:t xml:space="preserve">equalize the burden placed on </w:t>
      </w:r>
      <w:r w:rsidRPr="00C93B15">
        <w:rPr>
          <w:rFonts w:ascii="Times New Roman" w:eastAsia="Times New Roman" w:hAnsi="Times New Roman" w:cs="Times New Roman"/>
        </w:rPr>
        <w:t>participants with respect to their time and cost o</w:t>
      </w:r>
      <w:r w:rsidR="007363C9">
        <w:rPr>
          <w:rFonts w:ascii="Times New Roman" w:eastAsia="Times New Roman" w:hAnsi="Times New Roman" w:cs="Times New Roman"/>
        </w:rPr>
        <w:t>f participation</w:t>
      </w:r>
      <w:r w:rsidR="004D2517" w:rsidRPr="00C93B15">
        <w:rPr>
          <w:rFonts w:ascii="Times New Roman" w:eastAsia="Times New Roman" w:hAnsi="Times New Roman" w:cs="Times New Roman"/>
        </w:rPr>
        <w:t xml:space="preserve">. </w:t>
      </w:r>
      <w:r w:rsidR="00724D56">
        <w:rPr>
          <w:rFonts w:ascii="Times New Roman" w:eastAsia="Times New Roman" w:hAnsi="Times New Roman" w:cs="Times New Roman"/>
        </w:rPr>
        <w:t>An i</w:t>
      </w:r>
      <w:r w:rsidR="004D2517" w:rsidRPr="00C93B15">
        <w:rPr>
          <w:rFonts w:ascii="Times New Roman" w:eastAsia="Times New Roman" w:hAnsi="Times New Roman" w:cs="Times New Roman"/>
        </w:rPr>
        <w:t xml:space="preserve">nadequate </w:t>
      </w:r>
      <w:r w:rsidR="007363C9">
        <w:rPr>
          <w:rFonts w:ascii="Times New Roman" w:eastAsia="Times New Roman" w:hAnsi="Times New Roman" w:cs="Times New Roman"/>
        </w:rPr>
        <w:t>incentive</w:t>
      </w:r>
      <w:r w:rsidR="004D2517" w:rsidRPr="00C93B15">
        <w:rPr>
          <w:rFonts w:ascii="Times New Roman" w:eastAsia="Times New Roman" w:hAnsi="Times New Roman" w:cs="Times New Roman"/>
        </w:rPr>
        <w:t xml:space="preserve"> may </w:t>
      </w:r>
      <w:r w:rsidR="00C1519B">
        <w:rPr>
          <w:rFonts w:ascii="Times New Roman" w:eastAsia="Times New Roman" w:hAnsi="Times New Roman" w:cs="Times New Roman"/>
        </w:rPr>
        <w:t xml:space="preserve">also </w:t>
      </w:r>
      <w:r w:rsidR="004D2517" w:rsidRPr="00C93B15">
        <w:rPr>
          <w:rFonts w:ascii="Times New Roman" w:eastAsia="Times New Roman" w:hAnsi="Times New Roman" w:cs="Times New Roman"/>
        </w:rPr>
        <w:t xml:space="preserve">result in a </w:t>
      </w:r>
      <w:r w:rsidR="003150BC">
        <w:rPr>
          <w:rFonts w:ascii="Times New Roman" w:eastAsia="Times New Roman" w:hAnsi="Times New Roman" w:cs="Times New Roman"/>
        </w:rPr>
        <w:t xml:space="preserve">significantly more </w:t>
      </w:r>
      <w:r w:rsidR="004D2517" w:rsidRPr="00C93B15">
        <w:rPr>
          <w:rFonts w:ascii="Times New Roman" w:eastAsia="Times New Roman" w:hAnsi="Times New Roman" w:cs="Times New Roman"/>
        </w:rPr>
        <w:t>difficult and lengthy recruitment process and/or</w:t>
      </w:r>
      <w:r w:rsidR="003150BC">
        <w:rPr>
          <w:rFonts w:ascii="Times New Roman" w:eastAsia="Times New Roman" w:hAnsi="Times New Roman" w:cs="Times New Roman"/>
        </w:rPr>
        <w:t xml:space="preserve"> increases in the number of</w:t>
      </w:r>
      <w:r w:rsidR="004D2517" w:rsidRPr="00C93B15">
        <w:rPr>
          <w:rFonts w:ascii="Times New Roman" w:eastAsia="Times New Roman" w:hAnsi="Times New Roman" w:cs="Times New Roman"/>
        </w:rPr>
        <w:t xml:space="preserve"> participants who agree to participate and then drop out early. </w:t>
      </w:r>
      <w:r w:rsidR="00724D56">
        <w:rPr>
          <w:rFonts w:ascii="Times New Roman" w:eastAsia="Times New Roman" w:hAnsi="Times New Roman" w:cs="Times New Roman"/>
        </w:rPr>
        <w:t>An i</w:t>
      </w:r>
      <w:r w:rsidR="003150BC">
        <w:rPr>
          <w:rFonts w:ascii="Times New Roman" w:eastAsia="Times New Roman" w:hAnsi="Times New Roman" w:cs="Times New Roman"/>
        </w:rPr>
        <w:t xml:space="preserve">nadequate </w:t>
      </w:r>
      <w:r w:rsidR="007363C9">
        <w:rPr>
          <w:rFonts w:ascii="Times New Roman" w:eastAsia="Times New Roman" w:hAnsi="Times New Roman" w:cs="Times New Roman"/>
        </w:rPr>
        <w:t>incentive</w:t>
      </w:r>
      <w:r w:rsidR="003150BC">
        <w:rPr>
          <w:rFonts w:ascii="Times New Roman" w:eastAsia="Times New Roman" w:hAnsi="Times New Roman" w:cs="Times New Roman"/>
        </w:rPr>
        <w:t xml:space="preserve"> may thus result in a more costly and lengthy period of data collection </w:t>
      </w:r>
      <w:r w:rsidR="00BE789F">
        <w:rPr>
          <w:rFonts w:ascii="Times New Roman" w:eastAsia="Times New Roman" w:hAnsi="Times New Roman" w:cs="Times New Roman"/>
        </w:rPr>
        <w:t>by increasing</w:t>
      </w:r>
      <w:r w:rsidR="003150BC">
        <w:rPr>
          <w:rFonts w:ascii="Times New Roman" w:eastAsia="Times New Roman" w:hAnsi="Times New Roman" w:cs="Times New Roman"/>
        </w:rPr>
        <w:t xml:space="preserve"> recruitment</w:t>
      </w:r>
      <w:r w:rsidR="00011DD3">
        <w:rPr>
          <w:rFonts w:ascii="Times New Roman" w:eastAsia="Times New Roman" w:hAnsi="Times New Roman" w:cs="Times New Roman"/>
        </w:rPr>
        <w:t xml:space="preserve"> </w:t>
      </w:r>
      <w:r w:rsidR="003150BC">
        <w:rPr>
          <w:rFonts w:ascii="Times New Roman" w:eastAsia="Times New Roman" w:hAnsi="Times New Roman" w:cs="Times New Roman"/>
        </w:rPr>
        <w:t xml:space="preserve">and other associated data collection costs. </w:t>
      </w:r>
    </w:p>
    <w:p w14:paraId="13A2F5FF" w14:textId="4CB2D195" w:rsidR="00D21661" w:rsidRDefault="003418DA" w:rsidP="009E75BD">
      <w:pPr>
        <w:widowControl w:val="0"/>
        <w:autoSpaceDE w:val="0"/>
        <w:autoSpaceDN w:val="0"/>
        <w:adjustRightInd w:val="0"/>
        <w:spacing w:after="240"/>
        <w:ind w:left="720"/>
        <w:rPr>
          <w:rFonts w:ascii="Times New Roman" w:eastAsia="Times New Roman" w:hAnsi="Times New Roman" w:cs="Times New Roman"/>
        </w:rPr>
      </w:pPr>
      <w:r>
        <w:rPr>
          <w:rFonts w:ascii="Times New Roman" w:eastAsia="Times New Roman" w:hAnsi="Times New Roman" w:cs="Times New Roman"/>
        </w:rPr>
        <w:t>T</w:t>
      </w:r>
      <w:r w:rsidR="00E368FE">
        <w:rPr>
          <w:rFonts w:ascii="Times New Roman" w:eastAsia="Times New Roman" w:hAnsi="Times New Roman" w:cs="Times New Roman"/>
        </w:rPr>
        <w:t>he target audience for the current data collection, multicultural youth ages 13-17 who are influenced by the Hip Hop peer crowd and at-risk for tobacco use, represents a highly</w:t>
      </w:r>
      <w:r w:rsidR="00C1519B">
        <w:rPr>
          <w:rFonts w:ascii="Times New Roman" w:eastAsia="Times New Roman" w:hAnsi="Times New Roman" w:cs="Times New Roman"/>
        </w:rPr>
        <w:t xml:space="preserve"> </w:t>
      </w:r>
      <w:r w:rsidR="00E368FE">
        <w:rPr>
          <w:rFonts w:ascii="Times New Roman" w:eastAsia="Times New Roman" w:hAnsi="Times New Roman" w:cs="Times New Roman"/>
        </w:rPr>
        <w:t xml:space="preserve">specific </w:t>
      </w:r>
      <w:r w:rsidR="004E0D9B">
        <w:rPr>
          <w:rFonts w:ascii="Times New Roman" w:eastAsia="Times New Roman" w:hAnsi="Times New Roman" w:cs="Times New Roman"/>
        </w:rPr>
        <w:t>population</w:t>
      </w:r>
      <w:r w:rsidR="00E368FE">
        <w:rPr>
          <w:rFonts w:ascii="Times New Roman" w:eastAsia="Times New Roman" w:hAnsi="Times New Roman" w:cs="Times New Roman"/>
        </w:rPr>
        <w:t xml:space="preserve"> which </w:t>
      </w:r>
      <w:r w:rsidR="00655C1D">
        <w:rPr>
          <w:rFonts w:ascii="Times New Roman" w:eastAsia="Times New Roman" w:hAnsi="Times New Roman" w:cs="Times New Roman"/>
        </w:rPr>
        <w:t xml:space="preserve">is </w:t>
      </w:r>
      <w:r w:rsidR="00F81EA1">
        <w:rPr>
          <w:rFonts w:ascii="Times New Roman" w:eastAsia="Times New Roman" w:hAnsi="Times New Roman" w:cs="Times New Roman"/>
        </w:rPr>
        <w:t xml:space="preserve">more difficult to recruit than </w:t>
      </w:r>
      <w:r w:rsidR="00882F17">
        <w:rPr>
          <w:rFonts w:ascii="Times New Roman" w:eastAsia="Times New Roman" w:hAnsi="Times New Roman" w:cs="Times New Roman"/>
        </w:rPr>
        <w:t xml:space="preserve">a </w:t>
      </w:r>
      <w:r w:rsidR="00F81EA1">
        <w:rPr>
          <w:rFonts w:ascii="Times New Roman" w:eastAsia="Times New Roman" w:hAnsi="Times New Roman" w:cs="Times New Roman"/>
        </w:rPr>
        <w:t>general population</w:t>
      </w:r>
      <w:r w:rsidR="00E368FE">
        <w:rPr>
          <w:rFonts w:ascii="Times New Roman" w:eastAsia="Times New Roman" w:hAnsi="Times New Roman" w:cs="Times New Roman"/>
        </w:rPr>
        <w:t xml:space="preserve">, increasing the need for </w:t>
      </w:r>
      <w:r w:rsidR="007363C9">
        <w:rPr>
          <w:rFonts w:ascii="Times New Roman" w:eastAsia="Times New Roman" w:hAnsi="Times New Roman" w:cs="Times New Roman"/>
        </w:rPr>
        <w:t>an incentive</w:t>
      </w:r>
      <w:r w:rsidR="00E368FE">
        <w:rPr>
          <w:rFonts w:ascii="Times New Roman" w:eastAsia="Times New Roman" w:hAnsi="Times New Roman" w:cs="Times New Roman"/>
        </w:rPr>
        <w:t xml:space="preserve"> to </w:t>
      </w:r>
      <w:r w:rsidR="004C3B6E">
        <w:rPr>
          <w:rFonts w:ascii="Times New Roman" w:eastAsia="Times New Roman" w:hAnsi="Times New Roman" w:cs="Times New Roman"/>
        </w:rPr>
        <w:t>recruit and retain</w:t>
      </w:r>
      <w:r w:rsidR="00E368FE">
        <w:rPr>
          <w:rFonts w:ascii="Times New Roman" w:eastAsia="Times New Roman" w:hAnsi="Times New Roman" w:cs="Times New Roman"/>
        </w:rPr>
        <w:t xml:space="preserve"> par</w:t>
      </w:r>
      <w:r w:rsidR="00B32FC1">
        <w:rPr>
          <w:rFonts w:ascii="Times New Roman" w:eastAsia="Times New Roman" w:hAnsi="Times New Roman" w:cs="Times New Roman"/>
        </w:rPr>
        <w:t>t</w:t>
      </w:r>
      <w:r w:rsidR="00E368FE">
        <w:rPr>
          <w:rFonts w:ascii="Times New Roman" w:eastAsia="Times New Roman" w:hAnsi="Times New Roman" w:cs="Times New Roman"/>
        </w:rPr>
        <w:t>icipants.</w:t>
      </w:r>
      <w:r w:rsidR="00286FD1">
        <w:rPr>
          <w:rFonts w:ascii="Times New Roman" w:eastAsia="Times New Roman" w:hAnsi="Times New Roman" w:cs="Times New Roman"/>
        </w:rPr>
        <w:t xml:space="preserve"> At-risk youth often experience a number of factors that can lead to decreased engagement </w:t>
      </w:r>
      <w:r w:rsidR="001F2943">
        <w:rPr>
          <w:rFonts w:ascii="Times New Roman" w:eastAsia="Times New Roman" w:hAnsi="Times New Roman" w:cs="Times New Roman"/>
        </w:rPr>
        <w:t xml:space="preserve">and retention </w:t>
      </w:r>
      <w:r w:rsidR="00286FD1">
        <w:rPr>
          <w:rFonts w:ascii="Times New Roman" w:eastAsia="Times New Roman" w:hAnsi="Times New Roman" w:cs="Times New Roman"/>
        </w:rPr>
        <w:t xml:space="preserve">in research and </w:t>
      </w:r>
      <w:r w:rsidR="002061B4">
        <w:rPr>
          <w:rFonts w:ascii="Times New Roman" w:eastAsia="Times New Roman" w:hAnsi="Times New Roman" w:cs="Times New Roman"/>
        </w:rPr>
        <w:t xml:space="preserve">prevention </w:t>
      </w:r>
      <w:r w:rsidR="00286FD1">
        <w:rPr>
          <w:rFonts w:ascii="Times New Roman" w:eastAsia="Times New Roman" w:hAnsi="Times New Roman" w:cs="Times New Roman"/>
        </w:rPr>
        <w:t>programs, such as financial and neighborhood stress, low social support, instability at home</w:t>
      </w:r>
      <w:r w:rsidR="008D4906">
        <w:rPr>
          <w:rFonts w:ascii="Times New Roman" w:eastAsia="Times New Roman" w:hAnsi="Times New Roman" w:cs="Times New Roman"/>
        </w:rPr>
        <w:t>,</w:t>
      </w:r>
      <w:r w:rsidR="00BB754D">
        <w:rPr>
          <w:rFonts w:ascii="Times New Roman" w:eastAsia="Times New Roman" w:hAnsi="Times New Roman" w:cs="Times New Roman"/>
        </w:rPr>
        <w:t xml:space="preserve"> and mistrust of research programs</w:t>
      </w:r>
      <w:r w:rsidR="00286FD1">
        <w:rPr>
          <w:rFonts w:ascii="Times New Roman" w:eastAsia="Times New Roman" w:hAnsi="Times New Roman" w:cs="Times New Roman"/>
        </w:rPr>
        <w:t xml:space="preserve"> (Hooven, Walsh, Willgerodt, &amp; Salazar, 2011</w:t>
      </w:r>
      <w:r w:rsidR="001F2943">
        <w:rPr>
          <w:rFonts w:ascii="Times New Roman" w:eastAsia="Times New Roman" w:hAnsi="Times New Roman" w:cs="Times New Roman"/>
        </w:rPr>
        <w:t>; Zand et al., 2006</w:t>
      </w:r>
      <w:r w:rsidR="006F41F0">
        <w:rPr>
          <w:rFonts w:ascii="Times New Roman" w:eastAsia="Times New Roman" w:hAnsi="Times New Roman" w:cs="Times New Roman"/>
        </w:rPr>
        <w:t>; Post, Gilljam, Bremberg, &amp; Galanti, 2012</w:t>
      </w:r>
      <w:r w:rsidR="00286FD1">
        <w:rPr>
          <w:rFonts w:ascii="Times New Roman" w:eastAsia="Times New Roman" w:hAnsi="Times New Roman" w:cs="Times New Roman"/>
        </w:rPr>
        <w:t>).</w:t>
      </w:r>
      <w:r w:rsidR="008D4906">
        <w:rPr>
          <w:rFonts w:ascii="Times New Roman" w:eastAsia="Times New Roman" w:hAnsi="Times New Roman" w:cs="Times New Roman"/>
        </w:rPr>
        <w:t xml:space="preserve"> R</w:t>
      </w:r>
      <w:r w:rsidR="004F2641">
        <w:rPr>
          <w:rFonts w:ascii="Times New Roman" w:eastAsia="Times New Roman" w:hAnsi="Times New Roman" w:cs="Times New Roman"/>
        </w:rPr>
        <w:t xml:space="preserve">esearch participation </w:t>
      </w:r>
      <w:r w:rsidR="00FC733D">
        <w:rPr>
          <w:rFonts w:ascii="Times New Roman" w:eastAsia="Times New Roman" w:hAnsi="Times New Roman" w:cs="Times New Roman"/>
        </w:rPr>
        <w:t xml:space="preserve">and retention has </w:t>
      </w:r>
      <w:r w:rsidR="004E0D9B">
        <w:rPr>
          <w:rFonts w:ascii="Times New Roman" w:eastAsia="Times New Roman" w:hAnsi="Times New Roman" w:cs="Times New Roman"/>
        </w:rPr>
        <w:t xml:space="preserve">also </w:t>
      </w:r>
      <w:r w:rsidR="00FC733D">
        <w:rPr>
          <w:rFonts w:ascii="Times New Roman" w:eastAsia="Times New Roman" w:hAnsi="Times New Roman" w:cs="Times New Roman"/>
        </w:rPr>
        <w:t>been show</w:t>
      </w:r>
      <w:r w:rsidR="008D4906">
        <w:rPr>
          <w:rFonts w:ascii="Times New Roman" w:eastAsia="Times New Roman" w:hAnsi="Times New Roman" w:cs="Times New Roman"/>
        </w:rPr>
        <w:t>n</w:t>
      </w:r>
      <w:r w:rsidR="00FC733D">
        <w:rPr>
          <w:rFonts w:ascii="Times New Roman" w:eastAsia="Times New Roman" w:hAnsi="Times New Roman" w:cs="Times New Roman"/>
        </w:rPr>
        <w:t xml:space="preserve"> to be lower among multicultural populations</w:t>
      </w:r>
      <w:r w:rsidR="008D4906">
        <w:rPr>
          <w:rFonts w:ascii="Times New Roman" w:eastAsia="Times New Roman" w:hAnsi="Times New Roman" w:cs="Times New Roman"/>
        </w:rPr>
        <w:t xml:space="preserve"> </w:t>
      </w:r>
      <w:r w:rsidR="00FC733D">
        <w:rPr>
          <w:rFonts w:ascii="Times New Roman" w:eastAsia="Times New Roman" w:hAnsi="Times New Roman" w:cs="Times New Roman"/>
        </w:rPr>
        <w:t>(Patel, Doku, &amp; Tennakoon, 2003</w:t>
      </w:r>
      <w:r w:rsidR="009B2FEB">
        <w:rPr>
          <w:rFonts w:ascii="Times New Roman" w:eastAsia="Times New Roman" w:hAnsi="Times New Roman" w:cs="Times New Roman"/>
        </w:rPr>
        <w:t>; Siddiqui, Flay, &amp; Hu, 1996</w:t>
      </w:r>
      <w:r w:rsidR="005917E1">
        <w:rPr>
          <w:rFonts w:ascii="Times New Roman" w:eastAsia="Times New Roman" w:hAnsi="Times New Roman" w:cs="Times New Roman"/>
        </w:rPr>
        <w:t>; Giuliano et al., 2000</w:t>
      </w:r>
      <w:r w:rsidR="00051FD8">
        <w:rPr>
          <w:rFonts w:ascii="Times New Roman" w:eastAsia="Times New Roman" w:hAnsi="Times New Roman" w:cs="Times New Roman"/>
        </w:rPr>
        <w:t>; Murthy, Krumholz, &amp; Gross, 2004</w:t>
      </w:r>
      <w:r w:rsidR="004E0D9B">
        <w:rPr>
          <w:rFonts w:ascii="Times New Roman" w:eastAsia="Times New Roman" w:hAnsi="Times New Roman" w:cs="Times New Roman"/>
        </w:rPr>
        <w:t>).</w:t>
      </w:r>
      <w:r w:rsidR="004F2641">
        <w:rPr>
          <w:rFonts w:ascii="Times New Roman" w:eastAsia="Times New Roman" w:hAnsi="Times New Roman" w:cs="Times New Roman"/>
        </w:rPr>
        <w:t xml:space="preserve"> </w:t>
      </w:r>
      <w:r w:rsidR="004E0D9B">
        <w:rPr>
          <w:rFonts w:ascii="Times New Roman" w:eastAsia="Times New Roman" w:hAnsi="Times New Roman" w:cs="Times New Roman"/>
        </w:rPr>
        <w:t xml:space="preserve">However, </w:t>
      </w:r>
      <w:r w:rsidR="00724D56">
        <w:rPr>
          <w:rFonts w:ascii="Times New Roman" w:eastAsia="Times New Roman" w:hAnsi="Times New Roman" w:cs="Times New Roman"/>
        </w:rPr>
        <w:t xml:space="preserve">a </w:t>
      </w:r>
      <w:r w:rsidR="004E0D9B">
        <w:rPr>
          <w:rFonts w:ascii="Times New Roman" w:eastAsia="Times New Roman" w:hAnsi="Times New Roman" w:cs="Times New Roman"/>
        </w:rPr>
        <w:t xml:space="preserve">monetary </w:t>
      </w:r>
      <w:r w:rsidR="00724D56">
        <w:rPr>
          <w:rFonts w:ascii="Times New Roman" w:eastAsia="Times New Roman" w:hAnsi="Times New Roman" w:cs="Times New Roman"/>
        </w:rPr>
        <w:t>token</w:t>
      </w:r>
      <w:r w:rsidR="005C2B45">
        <w:rPr>
          <w:rFonts w:ascii="Times New Roman" w:eastAsia="Times New Roman" w:hAnsi="Times New Roman" w:cs="Times New Roman"/>
        </w:rPr>
        <w:t xml:space="preserve"> of appreciation</w:t>
      </w:r>
      <w:r w:rsidR="004E0D9B" w:rsidRPr="004E0D9B">
        <w:rPr>
          <w:rFonts w:ascii="Times New Roman" w:eastAsia="Times New Roman" w:hAnsi="Times New Roman" w:cs="Times New Roman"/>
        </w:rPr>
        <w:t xml:space="preserve"> </w:t>
      </w:r>
      <w:r w:rsidR="004E0D9B">
        <w:rPr>
          <w:rFonts w:ascii="Times New Roman" w:eastAsia="Times New Roman" w:hAnsi="Times New Roman" w:cs="Times New Roman"/>
        </w:rPr>
        <w:t>has been demonstrated to be an effective means of recruiting and retaining</w:t>
      </w:r>
      <w:r w:rsidR="00C833F6">
        <w:rPr>
          <w:rFonts w:ascii="Times New Roman" w:eastAsia="Times New Roman" w:hAnsi="Times New Roman" w:cs="Times New Roman"/>
        </w:rPr>
        <w:t xml:space="preserve"> </w:t>
      </w:r>
      <w:r w:rsidR="004E0D9B">
        <w:rPr>
          <w:rFonts w:ascii="Times New Roman" w:eastAsia="Times New Roman" w:hAnsi="Times New Roman" w:cs="Times New Roman"/>
        </w:rPr>
        <w:t xml:space="preserve">at-risk </w:t>
      </w:r>
      <w:r w:rsidR="00023915">
        <w:rPr>
          <w:rFonts w:ascii="Times New Roman" w:eastAsia="Times New Roman" w:hAnsi="Times New Roman" w:cs="Times New Roman"/>
        </w:rPr>
        <w:t>and multicultural participants</w:t>
      </w:r>
      <w:r w:rsidR="004E0D9B">
        <w:rPr>
          <w:rFonts w:ascii="Times New Roman" w:eastAsia="Times New Roman" w:hAnsi="Times New Roman" w:cs="Times New Roman"/>
        </w:rPr>
        <w:t xml:space="preserve"> (Martinson et al., 2000; Booker, Harding, &amp; Benzeval, 2011; Caldwell, Hamilton, Tan, &amp; Craig, 2010</w:t>
      </w:r>
      <w:r w:rsidR="00023915">
        <w:rPr>
          <w:rFonts w:ascii="Times New Roman" w:eastAsia="Times New Roman" w:hAnsi="Times New Roman" w:cs="Times New Roman"/>
        </w:rPr>
        <w:t>; Walter, Burke, &amp; Davis, 2013</w:t>
      </w:r>
      <w:r w:rsidR="004E0D9B">
        <w:rPr>
          <w:rFonts w:ascii="Times New Roman" w:eastAsia="Times New Roman" w:hAnsi="Times New Roman" w:cs="Times New Roman"/>
        </w:rPr>
        <w:t xml:space="preserve">). </w:t>
      </w:r>
    </w:p>
    <w:p w14:paraId="3E15110B" w14:textId="14A15E95" w:rsidR="004A064C" w:rsidRDefault="00D21661" w:rsidP="009E75BD">
      <w:pPr>
        <w:widowControl w:val="0"/>
        <w:autoSpaceDE w:val="0"/>
        <w:autoSpaceDN w:val="0"/>
        <w:adjustRightInd w:val="0"/>
        <w:spacing w:after="240"/>
        <w:ind w:left="720"/>
        <w:rPr>
          <w:rFonts w:ascii="Times New Roman" w:eastAsia="Times New Roman" w:hAnsi="Times New Roman" w:cs="Times New Roman"/>
        </w:rPr>
      </w:pPr>
      <w:r>
        <w:rPr>
          <w:rFonts w:ascii="Times New Roman" w:eastAsia="Times New Roman" w:hAnsi="Times New Roman" w:cs="Times New Roman"/>
        </w:rPr>
        <w:t>For all of the message testing studies regarding the FDA’s Multicultural Campaign, an incentive</w:t>
      </w:r>
      <w:r w:rsidR="00BD3BB7">
        <w:rPr>
          <w:rFonts w:ascii="Times New Roman" w:eastAsia="Times New Roman" w:hAnsi="Times New Roman" w:cs="Times New Roman"/>
        </w:rPr>
        <w:t>, or token of appreciation,</w:t>
      </w:r>
      <w:r>
        <w:rPr>
          <w:rFonts w:ascii="Times New Roman" w:eastAsia="Times New Roman" w:hAnsi="Times New Roman" w:cs="Times New Roman"/>
        </w:rPr>
        <w:t xml:space="preserve"> was used. </w:t>
      </w:r>
      <w:r w:rsidR="00BD3BB7">
        <w:rPr>
          <w:rFonts w:ascii="Times New Roman" w:eastAsia="Times New Roman" w:hAnsi="Times New Roman" w:cs="Times New Roman"/>
        </w:rPr>
        <w:t xml:space="preserve">For the first wave of </w:t>
      </w:r>
      <w:r w:rsidR="004A064C">
        <w:rPr>
          <w:rFonts w:ascii="Times New Roman" w:eastAsia="Times New Roman" w:hAnsi="Times New Roman" w:cs="Times New Roman"/>
        </w:rPr>
        <w:t>message testing</w:t>
      </w:r>
      <w:r w:rsidR="00BD3BB7">
        <w:rPr>
          <w:rFonts w:ascii="Times New Roman" w:eastAsia="Times New Roman" w:hAnsi="Times New Roman" w:cs="Times New Roman"/>
        </w:rPr>
        <w:t xml:space="preserve"> (OMB #</w:t>
      </w:r>
      <w:r w:rsidR="004A064C">
        <w:rPr>
          <w:rFonts w:ascii="Times New Roman" w:eastAsia="Times New Roman" w:hAnsi="Times New Roman" w:cs="Times New Roman"/>
        </w:rPr>
        <w:t>0910-0674</w:t>
      </w:r>
      <w:r w:rsidR="003508A0">
        <w:rPr>
          <w:rFonts w:ascii="Times New Roman" w:eastAsia="Times New Roman" w:hAnsi="Times New Roman" w:cs="Times New Roman"/>
        </w:rPr>
        <w:t>,</w:t>
      </w:r>
      <w:r w:rsidR="004A064C">
        <w:rPr>
          <w:rFonts w:ascii="Times New Roman" w:eastAsia="Times New Roman" w:hAnsi="Times New Roman" w:cs="Times New Roman"/>
        </w:rPr>
        <w:t xml:space="preserve"> Quantitative Study of Youth Reactions to Rough-Cut Advertising Designed to Prevent Youth Tobacco Use among Multicultural Youth) a token of appreciation of $20 was used. The entire in-school study took participants 17 minutes, </w:t>
      </w:r>
      <w:r w:rsidR="00C04866">
        <w:rPr>
          <w:rFonts w:ascii="Times New Roman" w:eastAsia="Times New Roman" w:hAnsi="Times New Roman" w:cs="Times New Roman"/>
        </w:rPr>
        <w:t xml:space="preserve">which </w:t>
      </w:r>
      <w:r w:rsidR="004A064C">
        <w:rPr>
          <w:rFonts w:ascii="Times New Roman" w:eastAsia="Times New Roman" w:hAnsi="Times New Roman" w:cs="Times New Roman"/>
        </w:rPr>
        <w:t xml:space="preserve">included </w:t>
      </w:r>
      <w:r w:rsidR="00C04866">
        <w:rPr>
          <w:rFonts w:ascii="Times New Roman" w:eastAsia="Times New Roman" w:hAnsi="Times New Roman" w:cs="Times New Roman"/>
        </w:rPr>
        <w:t xml:space="preserve">the </w:t>
      </w:r>
      <w:r w:rsidR="004A064C">
        <w:rPr>
          <w:rFonts w:ascii="Times New Roman" w:eastAsia="Times New Roman" w:hAnsi="Times New Roman" w:cs="Times New Roman"/>
        </w:rPr>
        <w:t xml:space="preserve">screener, assent form, and ad-viewing questionnaire. Out </w:t>
      </w:r>
      <w:r w:rsidR="00C04866">
        <w:rPr>
          <w:rFonts w:ascii="Times New Roman" w:eastAsia="Times New Roman" w:hAnsi="Times New Roman" w:cs="Times New Roman"/>
        </w:rPr>
        <w:t>o</w:t>
      </w:r>
      <w:r w:rsidR="00343FCA">
        <w:rPr>
          <w:rFonts w:ascii="Times New Roman" w:eastAsia="Times New Roman" w:hAnsi="Times New Roman" w:cs="Times New Roman"/>
        </w:rPr>
        <w:t xml:space="preserve">f </w:t>
      </w:r>
      <w:r w:rsidR="004A064C">
        <w:rPr>
          <w:rFonts w:ascii="Times New Roman" w:eastAsia="Times New Roman" w:hAnsi="Times New Roman" w:cs="Times New Roman"/>
        </w:rPr>
        <w:t xml:space="preserve">those who were qualified via the screener, 72.4% of participants </w:t>
      </w:r>
      <w:r w:rsidR="003508A0">
        <w:rPr>
          <w:rFonts w:ascii="Times New Roman" w:eastAsia="Times New Roman" w:hAnsi="Times New Roman" w:cs="Times New Roman"/>
        </w:rPr>
        <w:t xml:space="preserve">who were invited to complete the survey </w:t>
      </w:r>
      <w:r w:rsidR="004A064C">
        <w:rPr>
          <w:rFonts w:ascii="Times New Roman" w:eastAsia="Times New Roman" w:hAnsi="Times New Roman" w:cs="Times New Roman"/>
        </w:rPr>
        <w:t xml:space="preserve">completed the final questionnaire. </w:t>
      </w:r>
    </w:p>
    <w:p w14:paraId="06001867" w14:textId="77777777" w:rsidR="003508A0" w:rsidRDefault="004A064C" w:rsidP="009E75BD">
      <w:pPr>
        <w:widowControl w:val="0"/>
        <w:autoSpaceDE w:val="0"/>
        <w:autoSpaceDN w:val="0"/>
        <w:adjustRightInd w:val="0"/>
        <w:spacing w:after="240"/>
        <w:ind w:left="720"/>
        <w:rPr>
          <w:rFonts w:ascii="Times New Roman" w:eastAsia="Times New Roman" w:hAnsi="Times New Roman" w:cs="Times New Roman"/>
        </w:rPr>
      </w:pPr>
      <w:r>
        <w:rPr>
          <w:rFonts w:ascii="Times New Roman" w:eastAsia="Times New Roman" w:hAnsi="Times New Roman" w:cs="Times New Roman"/>
        </w:rPr>
        <w:t>For the second wave of message testing (OMB #0910-0810</w:t>
      </w:r>
      <w:r w:rsidR="003508A0">
        <w:rPr>
          <w:rFonts w:ascii="Times New Roman" w:eastAsia="Times New Roman" w:hAnsi="Times New Roman" w:cs="Times New Roman"/>
        </w:rPr>
        <w:t>,</w:t>
      </w:r>
      <w:r>
        <w:rPr>
          <w:rFonts w:ascii="Times New Roman" w:eastAsia="Times New Roman" w:hAnsi="Times New Roman" w:cs="Times New Roman"/>
        </w:rPr>
        <w:t xml:space="preserve"> Fresh Empire Campaign: Wave 2 Quantitative Study of Reactions to Rough-Cut Advertising Designed to Prevent Youth Tobacco Use) a token of appreciation of $25 was used for an online survey </w:t>
      </w:r>
      <w:r w:rsidR="003508A0">
        <w:rPr>
          <w:rFonts w:ascii="Times New Roman" w:eastAsia="Times New Roman" w:hAnsi="Times New Roman" w:cs="Times New Roman"/>
        </w:rPr>
        <w:t>that took 29 minutes to complete from screener through questionnaire. Out of those invited to complete the questionnaire, 39.0% completed the questionnaire</w:t>
      </w:r>
      <w:r>
        <w:rPr>
          <w:rFonts w:ascii="Times New Roman" w:eastAsia="Times New Roman" w:hAnsi="Times New Roman" w:cs="Times New Roman"/>
        </w:rPr>
        <w:t>.</w:t>
      </w:r>
      <w:r w:rsidR="003508A0">
        <w:rPr>
          <w:rFonts w:ascii="Times New Roman" w:eastAsia="Times New Roman" w:hAnsi="Times New Roman" w:cs="Times New Roman"/>
        </w:rPr>
        <w:t xml:space="preserve"> </w:t>
      </w:r>
    </w:p>
    <w:p w14:paraId="1D5BAFE8" w14:textId="2716DC2B" w:rsidR="004E0D9B" w:rsidRDefault="002061B4" w:rsidP="009E75BD">
      <w:pPr>
        <w:widowControl w:val="0"/>
        <w:autoSpaceDE w:val="0"/>
        <w:autoSpaceDN w:val="0"/>
        <w:adjustRightInd w:val="0"/>
        <w:spacing w:after="240"/>
        <w:ind w:left="720"/>
        <w:rPr>
          <w:rFonts w:ascii="Times New Roman" w:eastAsia="Times New Roman" w:hAnsi="Times New Roman" w:cs="Times New Roman"/>
        </w:rPr>
      </w:pPr>
      <w:r>
        <w:rPr>
          <w:rFonts w:ascii="Times New Roman" w:eastAsia="Times New Roman" w:hAnsi="Times New Roman" w:cs="Times New Roman"/>
        </w:rPr>
        <w:t>While we will take non-monetary steps to</w:t>
      </w:r>
      <w:r w:rsidR="005E7607">
        <w:rPr>
          <w:rFonts w:ascii="Times New Roman" w:eastAsia="Times New Roman" w:hAnsi="Times New Roman" w:cs="Times New Roman"/>
        </w:rPr>
        <w:t xml:space="preserve"> increase participation of the target audience such as the use of </w:t>
      </w:r>
      <w:r w:rsidR="00101ED4">
        <w:rPr>
          <w:rFonts w:ascii="Times New Roman" w:eastAsia="Times New Roman" w:hAnsi="Times New Roman" w:cs="Times New Roman"/>
        </w:rPr>
        <w:t xml:space="preserve">mobile </w:t>
      </w:r>
      <w:r w:rsidR="00BD64BF">
        <w:rPr>
          <w:rFonts w:ascii="Times New Roman" w:eastAsia="Times New Roman" w:hAnsi="Times New Roman" w:cs="Times New Roman"/>
        </w:rPr>
        <w:t>device</w:t>
      </w:r>
      <w:r w:rsidR="00101ED4">
        <w:rPr>
          <w:rFonts w:ascii="Times New Roman" w:eastAsia="Times New Roman" w:hAnsi="Times New Roman" w:cs="Times New Roman"/>
        </w:rPr>
        <w:t>-</w:t>
      </w:r>
      <w:r w:rsidR="00BD64BF">
        <w:rPr>
          <w:rFonts w:ascii="Times New Roman" w:eastAsia="Times New Roman" w:hAnsi="Times New Roman" w:cs="Times New Roman"/>
        </w:rPr>
        <w:t>responsive electronic surveys</w:t>
      </w:r>
      <w:r w:rsidR="005E7607">
        <w:rPr>
          <w:rFonts w:ascii="Times New Roman" w:eastAsia="Times New Roman" w:hAnsi="Times New Roman" w:cs="Times New Roman"/>
        </w:rPr>
        <w:t xml:space="preserve"> and </w:t>
      </w:r>
      <w:r>
        <w:rPr>
          <w:rFonts w:ascii="Times New Roman" w:eastAsia="Times New Roman" w:hAnsi="Times New Roman" w:cs="Times New Roman"/>
        </w:rPr>
        <w:t xml:space="preserve">the </w:t>
      </w:r>
      <w:r w:rsidR="005E7607">
        <w:rPr>
          <w:rFonts w:ascii="Times New Roman" w:eastAsia="Times New Roman" w:hAnsi="Times New Roman" w:cs="Times New Roman"/>
        </w:rPr>
        <w:t>delivery of reminders</w:t>
      </w:r>
      <w:r>
        <w:rPr>
          <w:rFonts w:ascii="Times New Roman" w:eastAsia="Times New Roman" w:hAnsi="Times New Roman" w:cs="Times New Roman"/>
        </w:rPr>
        <w:t xml:space="preserve"> to </w:t>
      </w:r>
      <w:r w:rsidR="007363C9">
        <w:rPr>
          <w:rFonts w:ascii="Times New Roman" w:eastAsia="Times New Roman" w:hAnsi="Times New Roman" w:cs="Times New Roman"/>
        </w:rPr>
        <w:t>s</w:t>
      </w:r>
      <w:r w:rsidR="00C833F6">
        <w:rPr>
          <w:rFonts w:ascii="Times New Roman" w:eastAsia="Times New Roman" w:hAnsi="Times New Roman" w:cs="Times New Roman"/>
        </w:rPr>
        <w:t xml:space="preserve">creener-qualified </w:t>
      </w:r>
      <w:r>
        <w:rPr>
          <w:rFonts w:ascii="Times New Roman" w:eastAsia="Times New Roman" w:hAnsi="Times New Roman" w:cs="Times New Roman"/>
        </w:rPr>
        <w:t>yout</w:t>
      </w:r>
      <w:r w:rsidR="007363C9">
        <w:rPr>
          <w:rFonts w:ascii="Times New Roman" w:eastAsia="Times New Roman" w:hAnsi="Times New Roman" w:cs="Times New Roman"/>
        </w:rPr>
        <w:t>h who have not completed their q</w:t>
      </w:r>
      <w:r>
        <w:rPr>
          <w:rFonts w:ascii="Times New Roman" w:eastAsia="Times New Roman" w:hAnsi="Times New Roman" w:cs="Times New Roman"/>
        </w:rPr>
        <w:t>uestionnaire,</w:t>
      </w:r>
      <w:r w:rsidR="005E7607">
        <w:rPr>
          <w:rFonts w:ascii="Times New Roman" w:eastAsia="Times New Roman" w:hAnsi="Times New Roman" w:cs="Times New Roman"/>
        </w:rPr>
        <w:t xml:space="preserve"> </w:t>
      </w:r>
      <w:r>
        <w:rPr>
          <w:rFonts w:ascii="Times New Roman" w:eastAsia="Times New Roman" w:hAnsi="Times New Roman" w:cs="Times New Roman"/>
        </w:rPr>
        <w:t xml:space="preserve">evidence indicates that </w:t>
      </w:r>
      <w:r w:rsidR="007363C9">
        <w:rPr>
          <w:rFonts w:ascii="Times New Roman" w:eastAsia="Times New Roman" w:hAnsi="Times New Roman" w:cs="Times New Roman"/>
        </w:rPr>
        <w:t>an incentive</w:t>
      </w:r>
      <w:r>
        <w:rPr>
          <w:rFonts w:ascii="Times New Roman" w:eastAsia="Times New Roman" w:hAnsi="Times New Roman" w:cs="Times New Roman"/>
        </w:rPr>
        <w:t xml:space="preserve"> for participation is also necessary. As such</w:t>
      </w:r>
      <w:r w:rsidR="004E0D9B">
        <w:rPr>
          <w:rFonts w:ascii="Times New Roman" w:eastAsia="Times New Roman" w:hAnsi="Times New Roman" w:cs="Times New Roman"/>
        </w:rPr>
        <w:t xml:space="preserve">, we believe that the current study requires the use of </w:t>
      </w:r>
      <w:r w:rsidR="004E0D9B" w:rsidRPr="001C2431">
        <w:rPr>
          <w:rFonts w:ascii="Times New Roman" w:eastAsia="Times New Roman" w:hAnsi="Times New Roman" w:cs="Times New Roman"/>
        </w:rPr>
        <w:t>$</w:t>
      </w:r>
      <w:r w:rsidR="00DC4E9B">
        <w:rPr>
          <w:rFonts w:ascii="Times New Roman" w:eastAsia="Times New Roman" w:hAnsi="Times New Roman" w:cs="Times New Roman"/>
        </w:rPr>
        <w:t>10</w:t>
      </w:r>
      <w:r w:rsidR="004E0D9B">
        <w:rPr>
          <w:rFonts w:ascii="Times New Roman" w:eastAsia="Times New Roman" w:hAnsi="Times New Roman" w:cs="Times New Roman"/>
        </w:rPr>
        <w:t xml:space="preserve"> </w:t>
      </w:r>
      <w:r w:rsidR="000079B0">
        <w:rPr>
          <w:rFonts w:ascii="Times New Roman" w:eastAsia="Times New Roman" w:hAnsi="Times New Roman" w:cs="Times New Roman"/>
        </w:rPr>
        <w:t xml:space="preserve">in redeemable gift credits </w:t>
      </w:r>
      <w:r w:rsidR="00EA6237">
        <w:rPr>
          <w:rFonts w:ascii="Times New Roman" w:eastAsia="Times New Roman" w:hAnsi="Times New Roman" w:cs="Times New Roman"/>
        </w:rPr>
        <w:t>as a</w:t>
      </w:r>
      <w:r w:rsidR="00724D56">
        <w:rPr>
          <w:rFonts w:ascii="Times New Roman" w:eastAsia="Times New Roman" w:hAnsi="Times New Roman" w:cs="Times New Roman"/>
        </w:rPr>
        <w:t xml:space="preserve"> token</w:t>
      </w:r>
      <w:r w:rsidR="005C2B45">
        <w:rPr>
          <w:rFonts w:ascii="Times New Roman" w:eastAsia="Times New Roman" w:hAnsi="Times New Roman" w:cs="Times New Roman"/>
        </w:rPr>
        <w:t xml:space="preserve"> of appreciation</w:t>
      </w:r>
      <w:r w:rsidR="004E0D9B">
        <w:rPr>
          <w:rFonts w:ascii="Times New Roman" w:eastAsia="Times New Roman" w:hAnsi="Times New Roman" w:cs="Times New Roman"/>
        </w:rPr>
        <w:t xml:space="preserve"> in order to overcome potential recruitment difficulties for this special at-risk population</w:t>
      </w:r>
      <w:r w:rsidR="00882F17">
        <w:rPr>
          <w:rFonts w:ascii="Times New Roman" w:eastAsia="Times New Roman" w:hAnsi="Times New Roman" w:cs="Times New Roman"/>
        </w:rPr>
        <w:t xml:space="preserve"> of multicultural youth</w:t>
      </w:r>
      <w:r w:rsidR="004E0D9B">
        <w:rPr>
          <w:rFonts w:ascii="Times New Roman" w:eastAsia="Times New Roman" w:hAnsi="Times New Roman" w:cs="Times New Roman"/>
        </w:rPr>
        <w:t>,</w:t>
      </w:r>
      <w:r w:rsidR="004C3B6E">
        <w:rPr>
          <w:rFonts w:ascii="Times New Roman" w:eastAsia="Times New Roman" w:hAnsi="Times New Roman" w:cs="Times New Roman"/>
        </w:rPr>
        <w:t xml:space="preserve"> and</w:t>
      </w:r>
      <w:r w:rsidR="004E0D9B">
        <w:rPr>
          <w:rFonts w:ascii="Times New Roman" w:eastAsia="Times New Roman" w:hAnsi="Times New Roman" w:cs="Times New Roman"/>
        </w:rPr>
        <w:t xml:space="preserve"> to promote participation and efficient data collection</w:t>
      </w:r>
      <w:r w:rsidR="00A2337F">
        <w:rPr>
          <w:rFonts w:ascii="Times New Roman" w:eastAsia="Times New Roman" w:hAnsi="Times New Roman" w:cs="Times New Roman"/>
        </w:rPr>
        <w:t xml:space="preserve"> from the target audience for FDA’s Multicultural Campaign</w:t>
      </w:r>
      <w:r w:rsidR="004E0D9B">
        <w:rPr>
          <w:rFonts w:ascii="Times New Roman" w:eastAsia="Times New Roman" w:hAnsi="Times New Roman" w:cs="Times New Roman"/>
        </w:rPr>
        <w:t>.</w:t>
      </w:r>
    </w:p>
    <w:p w14:paraId="4BB84F67" w14:textId="2053ECBE" w:rsidR="003418DA" w:rsidRPr="00C93B15" w:rsidRDefault="00E876B7">
      <w:pPr>
        <w:widowControl w:val="0"/>
        <w:autoSpaceDE w:val="0"/>
        <w:autoSpaceDN w:val="0"/>
        <w:adjustRightInd w:val="0"/>
        <w:spacing w:after="240"/>
        <w:ind w:left="720"/>
        <w:rPr>
          <w:rFonts w:ascii="Times New Roman" w:eastAsia="Times New Roman" w:hAnsi="Times New Roman" w:cs="Times New Roman"/>
        </w:rPr>
      </w:pPr>
      <w:r>
        <w:rPr>
          <w:rFonts w:ascii="Times New Roman" w:eastAsia="Times New Roman" w:hAnsi="Times New Roman" w:cs="Times New Roman"/>
        </w:rPr>
        <w:t xml:space="preserve">In this research, we are asking participants to respond to close-ended questions and provide thought-intensive, open-ended feedback on video ads, which requires a high level of engagement. The use of </w:t>
      </w:r>
      <w:r w:rsidR="007363C9">
        <w:rPr>
          <w:rFonts w:ascii="Times New Roman" w:eastAsia="Times New Roman" w:hAnsi="Times New Roman" w:cs="Times New Roman"/>
        </w:rPr>
        <w:t>an incentive is provided as a thank you</w:t>
      </w:r>
      <w:r>
        <w:rPr>
          <w:rFonts w:ascii="Times New Roman" w:eastAsia="Times New Roman" w:hAnsi="Times New Roman" w:cs="Times New Roman"/>
        </w:rPr>
        <w:t xml:space="preserve"> for the participants' time and the effort they expend to participate</w:t>
      </w:r>
      <w:r w:rsidR="00101ED4">
        <w:rPr>
          <w:rFonts w:ascii="Times New Roman" w:eastAsia="Times New Roman" w:hAnsi="Times New Roman" w:cs="Times New Roman"/>
        </w:rPr>
        <w:t>, and</w:t>
      </w:r>
      <w:r>
        <w:rPr>
          <w:rFonts w:ascii="Times New Roman" w:eastAsia="Times New Roman" w:hAnsi="Times New Roman" w:cs="Times New Roman"/>
        </w:rPr>
        <w:t xml:space="preserve"> is similar to </w:t>
      </w:r>
      <w:r w:rsidR="007363C9">
        <w:rPr>
          <w:rFonts w:ascii="Times New Roman" w:eastAsia="Times New Roman" w:hAnsi="Times New Roman" w:cs="Times New Roman"/>
        </w:rPr>
        <w:t>the incentive</w:t>
      </w:r>
      <w:r>
        <w:rPr>
          <w:rFonts w:ascii="Times New Roman" w:eastAsia="Times New Roman" w:hAnsi="Times New Roman" w:cs="Times New Roman"/>
        </w:rPr>
        <w:t xml:space="preserve"> that has been offered for similar surveys. For example, F</w:t>
      </w:r>
      <w:r w:rsidRPr="00C93B15">
        <w:rPr>
          <w:rFonts w:ascii="Times New Roman" w:eastAsia="Times New Roman" w:hAnsi="Times New Roman" w:cs="Times New Roman"/>
        </w:rPr>
        <w:t>DA and Rescue previously conducted copy testing research in support of FDA’s Multicultural Campaign, “Wave 2 Quantitative Study of Reactions to Rough-Cut Advertising Designed to Prevent Youth Tobacco Use” (OMB No. 0910-0810)</w:t>
      </w:r>
      <w:r>
        <w:rPr>
          <w:rFonts w:ascii="Times New Roman" w:eastAsia="Times New Roman" w:hAnsi="Times New Roman" w:cs="Times New Roman"/>
        </w:rPr>
        <w:t xml:space="preserve">. The Wave 2 study utilized online </w:t>
      </w:r>
      <w:r w:rsidRPr="00C93B15">
        <w:rPr>
          <w:rFonts w:ascii="Times New Roman" w:eastAsia="Times New Roman" w:hAnsi="Times New Roman" w:cs="Times New Roman"/>
        </w:rPr>
        <w:t>recruitment via social media advertisements following the same procedures outlined for the current study</w:t>
      </w:r>
      <w:r>
        <w:rPr>
          <w:rFonts w:ascii="Times New Roman" w:eastAsia="Times New Roman" w:hAnsi="Times New Roman" w:cs="Times New Roman"/>
        </w:rPr>
        <w:t xml:space="preserve">, featured an identical 24-hour parental </w:t>
      </w:r>
      <w:r w:rsidR="007363C9">
        <w:rPr>
          <w:rFonts w:ascii="Times New Roman" w:eastAsia="Times New Roman" w:hAnsi="Times New Roman" w:cs="Times New Roman"/>
        </w:rPr>
        <w:t>opt-out waiting period between screener and q</w:t>
      </w:r>
      <w:r>
        <w:rPr>
          <w:rFonts w:ascii="Times New Roman" w:eastAsia="Times New Roman" w:hAnsi="Times New Roman" w:cs="Times New Roman"/>
        </w:rPr>
        <w:t>uestionnaire completion, and had a similar time burden estimate. In t</w:t>
      </w:r>
      <w:r w:rsidRPr="00C93B15">
        <w:rPr>
          <w:rFonts w:ascii="Times New Roman" w:eastAsia="Times New Roman" w:hAnsi="Times New Roman" w:cs="Times New Roman"/>
        </w:rPr>
        <w:t xml:space="preserve">he Wave 2 study, </w:t>
      </w:r>
      <w:r w:rsidR="007363C9">
        <w:rPr>
          <w:rFonts w:ascii="Times New Roman" w:eastAsia="Times New Roman" w:hAnsi="Times New Roman" w:cs="Times New Roman"/>
        </w:rPr>
        <w:t>an incentive</w:t>
      </w:r>
      <w:r w:rsidR="005C2B45" w:rsidRPr="00A93778">
        <w:rPr>
          <w:rFonts w:ascii="Times New Roman" w:eastAsia="Times New Roman" w:hAnsi="Times New Roman" w:cs="Times New Roman"/>
        </w:rPr>
        <w:t xml:space="preserve"> </w:t>
      </w:r>
      <w:r>
        <w:rPr>
          <w:rFonts w:ascii="Times New Roman" w:eastAsia="Times New Roman" w:hAnsi="Times New Roman" w:cs="Times New Roman"/>
        </w:rPr>
        <w:t xml:space="preserve">of $25 total was found to be critical to minimizing nonresponse after the 24-hour waiting period, with </w:t>
      </w:r>
      <w:r w:rsidRPr="00C93B15">
        <w:rPr>
          <w:rFonts w:ascii="Times New Roman" w:eastAsia="Times New Roman" w:hAnsi="Times New Roman" w:cs="Times New Roman"/>
        </w:rPr>
        <w:t>40%</w:t>
      </w:r>
      <w:r>
        <w:rPr>
          <w:rFonts w:ascii="Times New Roman" w:eastAsia="Times New Roman" w:hAnsi="Times New Roman" w:cs="Times New Roman"/>
        </w:rPr>
        <w:t xml:space="preserve"> of </w:t>
      </w:r>
      <w:r w:rsidR="007363C9">
        <w:rPr>
          <w:rFonts w:ascii="Times New Roman" w:eastAsia="Times New Roman" w:hAnsi="Times New Roman" w:cs="Times New Roman"/>
        </w:rPr>
        <w:t>s</w:t>
      </w:r>
      <w:r w:rsidR="000E2F14">
        <w:rPr>
          <w:rFonts w:ascii="Times New Roman" w:eastAsia="Times New Roman" w:hAnsi="Times New Roman" w:cs="Times New Roman"/>
        </w:rPr>
        <w:t>creener-</w:t>
      </w:r>
      <w:r>
        <w:rPr>
          <w:rFonts w:ascii="Times New Roman" w:eastAsia="Times New Roman" w:hAnsi="Times New Roman" w:cs="Times New Roman"/>
        </w:rPr>
        <w:t>qualified youth</w:t>
      </w:r>
      <w:r w:rsidRPr="00C93B15">
        <w:rPr>
          <w:rFonts w:ascii="Times New Roman" w:eastAsia="Times New Roman" w:hAnsi="Times New Roman" w:cs="Times New Roman"/>
        </w:rPr>
        <w:t xml:space="preserve"> </w:t>
      </w:r>
      <w:r>
        <w:rPr>
          <w:rFonts w:ascii="Times New Roman" w:eastAsia="Times New Roman" w:hAnsi="Times New Roman" w:cs="Times New Roman"/>
        </w:rPr>
        <w:t xml:space="preserve">returning </w:t>
      </w:r>
      <w:r w:rsidRPr="00C93B15">
        <w:rPr>
          <w:rFonts w:ascii="Times New Roman" w:eastAsia="Times New Roman" w:hAnsi="Times New Roman" w:cs="Times New Roman"/>
        </w:rPr>
        <w:t>to complete the Questionnaire</w:t>
      </w:r>
      <w:r>
        <w:rPr>
          <w:rFonts w:ascii="Times New Roman" w:eastAsia="Times New Roman" w:hAnsi="Times New Roman" w:cs="Times New Roman"/>
        </w:rPr>
        <w:t xml:space="preserve"> after the waiting period</w:t>
      </w:r>
      <w:r w:rsidRPr="00C93B15">
        <w:rPr>
          <w:rFonts w:ascii="Times New Roman" w:eastAsia="Times New Roman" w:hAnsi="Times New Roman" w:cs="Times New Roman"/>
        </w:rPr>
        <w:t xml:space="preserve">. As these studies share many similarities in target </w:t>
      </w:r>
      <w:r w:rsidRPr="00DC4E9B">
        <w:rPr>
          <w:rFonts w:ascii="Times New Roman" w:eastAsia="Times New Roman" w:hAnsi="Times New Roman" w:cs="Times New Roman"/>
        </w:rPr>
        <w:t xml:space="preserve">population, recruitment method, parental opt-out waiting period, and time burden estimate, we believe that the requested </w:t>
      </w:r>
      <w:r w:rsidR="007363C9">
        <w:rPr>
          <w:rFonts w:ascii="Times New Roman" w:eastAsia="Times New Roman" w:hAnsi="Times New Roman" w:cs="Times New Roman"/>
        </w:rPr>
        <w:t>incentive</w:t>
      </w:r>
      <w:r w:rsidRPr="00DC4E9B">
        <w:rPr>
          <w:rFonts w:ascii="Times New Roman" w:eastAsia="Times New Roman" w:hAnsi="Times New Roman" w:cs="Times New Roman"/>
        </w:rPr>
        <w:t xml:space="preserve"> of $</w:t>
      </w:r>
      <w:r w:rsidR="00DC4E9B" w:rsidRPr="00DC4E9B">
        <w:rPr>
          <w:rFonts w:ascii="Times New Roman" w:eastAsia="Times New Roman" w:hAnsi="Times New Roman" w:cs="Times New Roman"/>
        </w:rPr>
        <w:t>10</w:t>
      </w:r>
      <w:r w:rsidRPr="00DC4E9B">
        <w:rPr>
          <w:rFonts w:ascii="Times New Roman" w:eastAsia="Times New Roman" w:hAnsi="Times New Roman" w:cs="Times New Roman"/>
        </w:rPr>
        <w:t xml:space="preserve"> in redeemable gift credits is </w:t>
      </w:r>
      <w:r w:rsidR="008400C0">
        <w:rPr>
          <w:rFonts w:ascii="Times New Roman" w:eastAsia="Times New Roman" w:hAnsi="Times New Roman" w:cs="Times New Roman"/>
        </w:rPr>
        <w:t>acceptable but participation could increase wit</w:t>
      </w:r>
      <w:r w:rsidR="00632ADF">
        <w:rPr>
          <w:rFonts w:ascii="Times New Roman" w:eastAsia="Times New Roman" w:hAnsi="Times New Roman" w:cs="Times New Roman"/>
        </w:rPr>
        <w:t>h a higher incentive</w:t>
      </w:r>
      <w:r w:rsidRPr="00DC4E9B">
        <w:rPr>
          <w:rFonts w:ascii="Times New Roman" w:eastAsia="Times New Roman" w:hAnsi="Times New Roman" w:cs="Times New Roman"/>
        </w:rPr>
        <w:t>. Additionally, we believe that utilizing</w:t>
      </w:r>
      <w:r w:rsidR="00C833F6" w:rsidRPr="00DC4E9B">
        <w:rPr>
          <w:rFonts w:ascii="Times New Roman" w:eastAsia="Times New Roman" w:hAnsi="Times New Roman" w:cs="Times New Roman"/>
        </w:rPr>
        <w:t xml:space="preserve"> </w:t>
      </w:r>
      <w:r w:rsidRPr="00DC4E9B">
        <w:rPr>
          <w:rFonts w:ascii="Times New Roman" w:eastAsia="Times New Roman" w:hAnsi="Times New Roman" w:cs="Times New Roman"/>
        </w:rPr>
        <w:t>$</w:t>
      </w:r>
      <w:r w:rsidR="00DC4E9B" w:rsidRPr="00DC4E9B">
        <w:rPr>
          <w:rFonts w:ascii="Times New Roman" w:eastAsia="Times New Roman" w:hAnsi="Times New Roman" w:cs="Times New Roman"/>
        </w:rPr>
        <w:t>10</w:t>
      </w:r>
      <w:r w:rsidRPr="00DC4E9B">
        <w:rPr>
          <w:rFonts w:ascii="Times New Roman" w:eastAsia="Times New Roman" w:hAnsi="Times New Roman" w:cs="Times New Roman"/>
        </w:rPr>
        <w:t xml:space="preserve"> </w:t>
      </w:r>
      <w:r w:rsidR="00724D56" w:rsidRPr="00DC4E9B">
        <w:rPr>
          <w:rFonts w:ascii="Times New Roman" w:eastAsia="Times New Roman" w:hAnsi="Times New Roman" w:cs="Times New Roman"/>
        </w:rPr>
        <w:t>as a</w:t>
      </w:r>
      <w:r w:rsidR="00B60BEC" w:rsidRPr="00DC4E9B">
        <w:rPr>
          <w:rFonts w:ascii="Times New Roman" w:eastAsia="Times New Roman" w:hAnsi="Times New Roman" w:cs="Times New Roman"/>
        </w:rPr>
        <w:t xml:space="preserve"> </w:t>
      </w:r>
      <w:r w:rsidR="00724D56" w:rsidRPr="00DC4E9B">
        <w:rPr>
          <w:rFonts w:ascii="Times New Roman" w:eastAsia="Times New Roman" w:hAnsi="Times New Roman" w:cs="Times New Roman"/>
        </w:rPr>
        <w:t>token</w:t>
      </w:r>
      <w:r w:rsidR="005C2B45" w:rsidRPr="00DC4E9B">
        <w:rPr>
          <w:rFonts w:ascii="Times New Roman" w:eastAsia="Times New Roman" w:hAnsi="Times New Roman" w:cs="Times New Roman"/>
        </w:rPr>
        <w:t xml:space="preserve"> of appreciation</w:t>
      </w:r>
      <w:r w:rsidRPr="00DC4E9B">
        <w:rPr>
          <w:rFonts w:ascii="Times New Roman" w:eastAsia="Times New Roman" w:hAnsi="Times New Roman" w:cs="Times New Roman"/>
        </w:rPr>
        <w:t xml:space="preserve"> in the current study will reduce overall burden by increasing participation rates, thereby reducing the number of parti</w:t>
      </w:r>
      <w:r w:rsidR="00632ADF">
        <w:rPr>
          <w:rFonts w:ascii="Times New Roman" w:eastAsia="Times New Roman" w:hAnsi="Times New Roman" w:cs="Times New Roman"/>
        </w:rPr>
        <w:t>cipants needed to complete the s</w:t>
      </w:r>
      <w:r w:rsidRPr="00DC4E9B">
        <w:rPr>
          <w:rFonts w:ascii="Times New Roman" w:eastAsia="Times New Roman" w:hAnsi="Times New Roman" w:cs="Times New Roman"/>
        </w:rPr>
        <w:t xml:space="preserve">creener in order to achieve the </w:t>
      </w:r>
      <w:r w:rsidR="00101ED4" w:rsidRPr="00DC4E9B">
        <w:rPr>
          <w:rFonts w:ascii="Times New Roman" w:eastAsia="Times New Roman" w:hAnsi="Times New Roman" w:cs="Times New Roman"/>
        </w:rPr>
        <w:t>required</w:t>
      </w:r>
      <w:r w:rsidRPr="00DC4E9B">
        <w:rPr>
          <w:rFonts w:ascii="Times New Roman" w:eastAsia="Times New Roman" w:hAnsi="Times New Roman" w:cs="Times New Roman"/>
        </w:rPr>
        <w:t xml:space="preserve"> sample size.</w:t>
      </w:r>
    </w:p>
    <w:p w14:paraId="48D2C032" w14:textId="021579E8" w:rsidR="006A5837" w:rsidRPr="00C93B15" w:rsidRDefault="006A5837" w:rsidP="009C6AAC">
      <w:pPr>
        <w:pStyle w:val="ListParagraph"/>
        <w:numPr>
          <w:ilvl w:val="0"/>
          <w:numId w:val="6"/>
        </w:numPr>
        <w:spacing w:before="100" w:beforeAutospacing="1" w:after="240"/>
        <w:rPr>
          <w:rFonts w:cs="Times New Roman"/>
          <w:szCs w:val="24"/>
        </w:rPr>
      </w:pPr>
      <w:r w:rsidRPr="00C93B15">
        <w:rPr>
          <w:rFonts w:cs="Times New Roman"/>
          <w:szCs w:val="24"/>
          <w:u w:val="single"/>
        </w:rPr>
        <w:t>Privacy Impact Assessment Information</w:t>
      </w:r>
    </w:p>
    <w:p w14:paraId="7A9CFE40" w14:textId="61553AAD" w:rsidR="006A5837" w:rsidRPr="00C93B15" w:rsidRDefault="00FA0671" w:rsidP="009C6AAC">
      <w:pPr>
        <w:spacing w:before="100" w:beforeAutospacing="1" w:after="240"/>
        <w:ind w:left="720"/>
        <w:rPr>
          <w:rFonts w:ascii="Times New Roman" w:eastAsia="Times New Roman" w:hAnsi="Times New Roman" w:cs="Times New Roman"/>
        </w:rPr>
      </w:pPr>
      <w:r w:rsidRPr="00C93B15">
        <w:rPr>
          <w:rFonts w:ascii="Times New Roman" w:hAnsi="Times New Roman" w:cs="Times New Roman"/>
        </w:rPr>
        <w:t>This study has been reviewed and approved by Chesapeake</w:t>
      </w:r>
      <w:r w:rsidR="008A51E9">
        <w:rPr>
          <w:rFonts w:ascii="Times New Roman" w:hAnsi="Times New Roman" w:cs="Times New Roman"/>
        </w:rPr>
        <w:t>/Advarra</w:t>
      </w:r>
      <w:r w:rsidRPr="00C93B15">
        <w:rPr>
          <w:rFonts w:ascii="Times New Roman" w:hAnsi="Times New Roman" w:cs="Times New Roman"/>
        </w:rPr>
        <w:t xml:space="preserve"> IRB, an independent institutional review board. </w:t>
      </w:r>
      <w:r w:rsidR="00572830" w:rsidRPr="00C93B15">
        <w:rPr>
          <w:rFonts w:ascii="Times New Roman" w:hAnsi="Times New Roman" w:cs="Times New Roman"/>
        </w:rPr>
        <w:t>FDA IRB will</w:t>
      </w:r>
      <w:r w:rsidRPr="00C93B15">
        <w:rPr>
          <w:rFonts w:ascii="Times New Roman" w:hAnsi="Times New Roman" w:cs="Times New Roman"/>
        </w:rPr>
        <w:t xml:space="preserve"> also</w:t>
      </w:r>
      <w:r w:rsidR="00572830" w:rsidRPr="00C93B15">
        <w:rPr>
          <w:rFonts w:ascii="Times New Roman" w:hAnsi="Times New Roman" w:cs="Times New Roman"/>
        </w:rPr>
        <w:t xml:space="preserve"> review and approve the protocols and forms for this study.</w:t>
      </w:r>
      <w:r w:rsidR="006A5837" w:rsidRPr="00C93B15">
        <w:rPr>
          <w:rFonts w:ascii="Times New Roman" w:hAnsi="Times New Roman" w:cs="Times New Roman"/>
        </w:rPr>
        <w:t xml:space="preserve"> </w:t>
      </w:r>
      <w:r w:rsidR="006A5837" w:rsidRPr="00C93B15">
        <w:rPr>
          <w:rFonts w:ascii="Times New Roman" w:eastAsia="Times New Roman" w:hAnsi="Times New Roman" w:cs="Times New Roman"/>
        </w:rPr>
        <w:t>The IRBs’ primary concern is protecting respondents’ rights, one of which is maintaining the privacy of respondent information to the fullest extent of the law.</w:t>
      </w:r>
    </w:p>
    <w:p w14:paraId="1629708A" w14:textId="7D92551D" w:rsidR="006A5837" w:rsidRPr="00BE5651" w:rsidRDefault="00632ADF" w:rsidP="009C6AAC">
      <w:pPr>
        <w:spacing w:before="100" w:beforeAutospacing="1" w:after="240"/>
        <w:ind w:left="720"/>
        <w:rPr>
          <w:rFonts w:ascii="Times New Roman" w:hAnsi="Times New Roman" w:cs="Times New Roman"/>
        </w:rPr>
      </w:pPr>
      <w:r>
        <w:rPr>
          <w:rFonts w:ascii="Times New Roman" w:eastAsia="Times New Roman" w:hAnsi="Times New Roman" w:cs="Times New Roman"/>
        </w:rPr>
        <w:t>The s</w:t>
      </w:r>
      <w:r w:rsidR="00572830" w:rsidRPr="00C93B15">
        <w:rPr>
          <w:rFonts w:ascii="Times New Roman" w:eastAsia="Times New Roman" w:hAnsi="Times New Roman" w:cs="Times New Roman"/>
        </w:rPr>
        <w:t xml:space="preserve">creener will be completed independently online using the participant’s personal electronic device. </w:t>
      </w:r>
      <w:r w:rsidR="003329B0" w:rsidRPr="00C93B15">
        <w:rPr>
          <w:rFonts w:ascii="Times New Roman" w:eastAsia="Times New Roman" w:hAnsi="Times New Roman" w:cs="Times New Roman"/>
        </w:rPr>
        <w:t>A</w:t>
      </w:r>
      <w:r w:rsidR="00572830" w:rsidRPr="00C93B15">
        <w:rPr>
          <w:rFonts w:ascii="Times New Roman" w:eastAsia="Times New Roman" w:hAnsi="Times New Roman" w:cs="Times New Roman"/>
        </w:rPr>
        <w:t>ll potential participants will be required to provide electronic informed assent</w:t>
      </w:r>
      <w:r w:rsidR="00BD4D87" w:rsidRPr="00C93B15">
        <w:rPr>
          <w:rFonts w:ascii="Times New Roman" w:eastAsia="Times New Roman" w:hAnsi="Times New Roman" w:cs="Times New Roman"/>
        </w:rPr>
        <w:t>/consent</w:t>
      </w:r>
      <w:r>
        <w:rPr>
          <w:rFonts w:ascii="Times New Roman" w:eastAsia="Times New Roman" w:hAnsi="Times New Roman" w:cs="Times New Roman"/>
        </w:rPr>
        <w:t xml:space="preserve"> before they begin the q</w:t>
      </w:r>
      <w:r w:rsidR="00572830" w:rsidRPr="00C93B15">
        <w:rPr>
          <w:rFonts w:ascii="Times New Roman" w:eastAsia="Times New Roman" w:hAnsi="Times New Roman" w:cs="Times New Roman"/>
        </w:rPr>
        <w:t xml:space="preserve">uestionnaire. </w:t>
      </w:r>
      <w:r>
        <w:rPr>
          <w:rFonts w:ascii="Times New Roman" w:hAnsi="Times New Roman" w:cs="Times New Roman"/>
        </w:rPr>
        <w:t>The participant assent/consent f</w:t>
      </w:r>
      <w:r w:rsidR="00F26F36" w:rsidRPr="00C93B15">
        <w:rPr>
          <w:rFonts w:ascii="Times New Roman" w:hAnsi="Times New Roman" w:cs="Times New Roman"/>
        </w:rPr>
        <w:t>orm will inform participants that the in</w:t>
      </w:r>
      <w:r>
        <w:rPr>
          <w:rFonts w:ascii="Times New Roman" w:hAnsi="Times New Roman" w:cs="Times New Roman"/>
        </w:rPr>
        <w:t>formation they provided on the screener and q</w:t>
      </w:r>
      <w:r w:rsidR="00F26F36" w:rsidRPr="00C93B15">
        <w:rPr>
          <w:rFonts w:ascii="Times New Roman" w:hAnsi="Times New Roman" w:cs="Times New Roman"/>
        </w:rPr>
        <w:t xml:space="preserve">uestionnaire will only be viewed by the researchers and that their </w:t>
      </w:r>
      <w:r w:rsidR="009D5DCF">
        <w:rPr>
          <w:rFonts w:ascii="Times New Roman" w:hAnsi="Times New Roman" w:cs="Times New Roman"/>
        </w:rPr>
        <w:t xml:space="preserve">responses </w:t>
      </w:r>
      <w:r w:rsidR="00F26F36" w:rsidRPr="00C93B15">
        <w:rPr>
          <w:rFonts w:ascii="Times New Roman" w:hAnsi="Times New Roman" w:cs="Times New Roman"/>
        </w:rPr>
        <w:t>will not be connected with any identifiable information</w:t>
      </w:r>
      <w:r w:rsidR="00F26F36">
        <w:rPr>
          <w:rFonts w:ascii="Times New Roman" w:hAnsi="Times New Roman" w:cs="Times New Roman"/>
        </w:rPr>
        <w:t xml:space="preserve"> they provided. </w:t>
      </w:r>
      <w:r w:rsidR="00572830" w:rsidRPr="00572830">
        <w:rPr>
          <w:rFonts w:ascii="Times New Roman" w:eastAsia="Times New Roman" w:hAnsi="Times New Roman" w:cs="Times New Roman"/>
        </w:rPr>
        <w:t>All analyses will be conducted in the aggregate and participant contact information will not be appended to the data file used.</w:t>
      </w:r>
    </w:p>
    <w:p w14:paraId="60322084" w14:textId="3C04783F" w:rsidR="00713923" w:rsidRDefault="006A5837" w:rsidP="009C6AAC">
      <w:pPr>
        <w:spacing w:before="100" w:beforeAutospacing="1" w:after="240"/>
        <w:ind w:left="720"/>
        <w:rPr>
          <w:rFonts w:ascii="Times New Roman" w:hAnsi="Times New Roman" w:cs="Times New Roman"/>
        </w:rPr>
      </w:pPr>
      <w:r w:rsidRPr="00BE5651">
        <w:rPr>
          <w:rFonts w:ascii="Times New Roman" w:hAnsi="Times New Roman" w:cs="Times New Roman"/>
        </w:rPr>
        <w:t>IP address</w:t>
      </w:r>
      <w:r w:rsidR="00713923">
        <w:rPr>
          <w:rFonts w:ascii="Times New Roman" w:hAnsi="Times New Roman" w:cs="Times New Roman"/>
        </w:rPr>
        <w:t xml:space="preserve">, </w:t>
      </w:r>
      <w:r w:rsidR="00FA0671">
        <w:rPr>
          <w:rFonts w:ascii="Times New Roman" w:hAnsi="Times New Roman" w:cs="Times New Roman"/>
        </w:rPr>
        <w:t>participant</w:t>
      </w:r>
      <w:r w:rsidRPr="00BE5651">
        <w:rPr>
          <w:rFonts w:ascii="Times New Roman" w:hAnsi="Times New Roman" w:cs="Times New Roman"/>
        </w:rPr>
        <w:t xml:space="preserve"> email addres</w:t>
      </w:r>
      <w:r w:rsidR="00AB21E6" w:rsidRPr="00BE5651">
        <w:rPr>
          <w:rFonts w:ascii="Times New Roman" w:hAnsi="Times New Roman" w:cs="Times New Roman"/>
        </w:rPr>
        <w:t>s</w:t>
      </w:r>
      <w:r w:rsidR="00713923">
        <w:rPr>
          <w:rFonts w:ascii="Times New Roman" w:hAnsi="Times New Roman" w:cs="Times New Roman"/>
        </w:rPr>
        <w:t>, and zip code</w:t>
      </w:r>
      <w:r w:rsidR="00AB21E6" w:rsidRPr="00BE5651">
        <w:rPr>
          <w:rFonts w:ascii="Times New Roman" w:hAnsi="Times New Roman" w:cs="Times New Roman"/>
        </w:rPr>
        <w:t xml:space="preserve"> will be collected from </w:t>
      </w:r>
      <w:r w:rsidR="003329B0">
        <w:rPr>
          <w:rFonts w:ascii="Times New Roman" w:hAnsi="Times New Roman" w:cs="Times New Roman"/>
        </w:rPr>
        <w:t>all respondent</w:t>
      </w:r>
      <w:r w:rsidR="003329B0" w:rsidRPr="00BE5651">
        <w:rPr>
          <w:rFonts w:ascii="Times New Roman" w:hAnsi="Times New Roman" w:cs="Times New Roman"/>
        </w:rPr>
        <w:t>s</w:t>
      </w:r>
      <w:r w:rsidRPr="00BE5651">
        <w:rPr>
          <w:rFonts w:ascii="Times New Roman" w:hAnsi="Times New Roman" w:cs="Times New Roman"/>
        </w:rPr>
        <w:t xml:space="preserve">. </w:t>
      </w:r>
      <w:r w:rsidR="00713923" w:rsidRPr="00BE5651">
        <w:rPr>
          <w:rFonts w:ascii="Times New Roman" w:hAnsi="Times New Roman" w:cs="Times New Roman"/>
        </w:rPr>
        <w:t>IP address will be automatically collected</w:t>
      </w:r>
      <w:r w:rsidR="003329B0">
        <w:rPr>
          <w:rFonts w:ascii="Times New Roman" w:hAnsi="Times New Roman" w:cs="Times New Roman"/>
        </w:rPr>
        <w:t xml:space="preserve">, and will be used </w:t>
      </w:r>
      <w:r w:rsidR="003329B0" w:rsidRPr="00BE5651">
        <w:rPr>
          <w:rFonts w:ascii="Times New Roman" w:hAnsi="Times New Roman" w:cs="Times New Roman"/>
        </w:rPr>
        <w:t xml:space="preserve">to manage potential duplicate entries and </w:t>
      </w:r>
      <w:r w:rsidR="003329B0">
        <w:rPr>
          <w:rFonts w:ascii="Times New Roman" w:hAnsi="Times New Roman" w:cs="Times New Roman"/>
        </w:rPr>
        <w:t xml:space="preserve">confirm </w:t>
      </w:r>
      <w:r w:rsidR="003329B0" w:rsidRPr="00BE5651">
        <w:rPr>
          <w:rFonts w:ascii="Times New Roman" w:hAnsi="Times New Roman" w:cs="Times New Roman"/>
        </w:rPr>
        <w:t xml:space="preserve">study completion from </w:t>
      </w:r>
      <w:r w:rsidR="003329B0">
        <w:rPr>
          <w:rFonts w:ascii="Times New Roman" w:hAnsi="Times New Roman" w:cs="Times New Roman"/>
        </w:rPr>
        <w:t>US-</w:t>
      </w:r>
      <w:r w:rsidR="003329B0" w:rsidRPr="00BE5651">
        <w:rPr>
          <w:rFonts w:ascii="Times New Roman" w:hAnsi="Times New Roman" w:cs="Times New Roman"/>
        </w:rPr>
        <w:t>based respondents</w:t>
      </w:r>
      <w:r w:rsidR="003329B0">
        <w:rPr>
          <w:rFonts w:ascii="Times New Roman" w:hAnsi="Times New Roman" w:cs="Times New Roman"/>
        </w:rPr>
        <w:t>. A</w:t>
      </w:r>
      <w:r w:rsidR="00713923">
        <w:rPr>
          <w:rFonts w:ascii="Times New Roman" w:hAnsi="Times New Roman" w:cs="Times New Roman"/>
        </w:rPr>
        <w:t>ll respondents will be asked to provide their email address</w:t>
      </w:r>
      <w:r w:rsidR="003329B0">
        <w:rPr>
          <w:rFonts w:ascii="Times New Roman" w:hAnsi="Times New Roman" w:cs="Times New Roman"/>
        </w:rPr>
        <w:t>, which</w:t>
      </w:r>
      <w:r w:rsidR="00713923" w:rsidRPr="00BE5651">
        <w:rPr>
          <w:rFonts w:ascii="Times New Roman" w:hAnsi="Times New Roman" w:cs="Times New Roman"/>
        </w:rPr>
        <w:t xml:space="preserve"> will be checked against all current respondent data to avoid duplicates and reduce fraudulent activity, and will </w:t>
      </w:r>
      <w:r w:rsidR="003329B0">
        <w:rPr>
          <w:rFonts w:ascii="Times New Roman" w:hAnsi="Times New Roman" w:cs="Times New Roman"/>
        </w:rPr>
        <w:t xml:space="preserve">be used to facilitate necessary invitation/reminder communications after the 24-hour parental opt-out period, and delivery of </w:t>
      </w:r>
      <w:r w:rsidR="00724D56">
        <w:rPr>
          <w:rFonts w:ascii="Times New Roman" w:hAnsi="Times New Roman" w:cs="Times New Roman"/>
        </w:rPr>
        <w:t xml:space="preserve">the </w:t>
      </w:r>
      <w:r w:rsidR="00724D56">
        <w:rPr>
          <w:rFonts w:ascii="Times New Roman" w:eastAsia="Times New Roman" w:hAnsi="Times New Roman" w:cs="Times New Roman"/>
        </w:rPr>
        <w:t>token</w:t>
      </w:r>
      <w:r w:rsidR="005C2B45">
        <w:rPr>
          <w:rFonts w:ascii="Times New Roman" w:eastAsia="Times New Roman" w:hAnsi="Times New Roman" w:cs="Times New Roman"/>
        </w:rPr>
        <w:t xml:space="preserve"> of appreciation</w:t>
      </w:r>
      <w:r w:rsidR="00713923" w:rsidRPr="00BE5651">
        <w:rPr>
          <w:rFonts w:ascii="Times New Roman" w:hAnsi="Times New Roman" w:cs="Times New Roman"/>
        </w:rPr>
        <w:t xml:space="preserve">. All </w:t>
      </w:r>
      <w:r w:rsidR="003329B0">
        <w:rPr>
          <w:rFonts w:ascii="Times New Roman" w:hAnsi="Times New Roman" w:cs="Times New Roman"/>
        </w:rPr>
        <w:t>respondents</w:t>
      </w:r>
      <w:r w:rsidR="003329B0" w:rsidRPr="00BE5651">
        <w:rPr>
          <w:rFonts w:ascii="Times New Roman" w:hAnsi="Times New Roman" w:cs="Times New Roman"/>
        </w:rPr>
        <w:t xml:space="preserve"> </w:t>
      </w:r>
      <w:r w:rsidR="00713923" w:rsidRPr="00BE5651">
        <w:rPr>
          <w:rFonts w:ascii="Times New Roman" w:hAnsi="Times New Roman" w:cs="Times New Roman"/>
        </w:rPr>
        <w:t>will also be asked to provide their zip code, which will be used to deter</w:t>
      </w:r>
      <w:r w:rsidR="00713923">
        <w:rPr>
          <w:rFonts w:ascii="Times New Roman" w:hAnsi="Times New Roman" w:cs="Times New Roman"/>
        </w:rPr>
        <w:t>mine geographic eligibility.</w:t>
      </w:r>
      <w:r w:rsidR="00713923" w:rsidRPr="00BE5651">
        <w:rPr>
          <w:rFonts w:ascii="Times New Roman" w:hAnsi="Times New Roman" w:cs="Times New Roman"/>
        </w:rPr>
        <w:t xml:space="preserve"> </w:t>
      </w:r>
    </w:p>
    <w:p w14:paraId="49E6A965" w14:textId="53ABDB07" w:rsidR="00713923" w:rsidRDefault="00713923" w:rsidP="009C6AAC">
      <w:pPr>
        <w:spacing w:before="100" w:beforeAutospacing="1" w:after="240"/>
        <w:ind w:left="720"/>
        <w:rPr>
          <w:rFonts w:ascii="Times New Roman" w:hAnsi="Times New Roman" w:cs="Times New Roman"/>
        </w:rPr>
      </w:pPr>
      <w:r w:rsidRPr="00BE5651">
        <w:rPr>
          <w:rFonts w:ascii="Times New Roman" w:hAnsi="Times New Roman" w:cs="Times New Roman"/>
        </w:rPr>
        <w:t>O</w:t>
      </w:r>
      <w:r>
        <w:rPr>
          <w:rFonts w:ascii="Times New Roman" w:hAnsi="Times New Roman" w:cs="Times New Roman"/>
        </w:rPr>
        <w:t xml:space="preserve">nly participants who qualify </w:t>
      </w:r>
      <w:r w:rsidR="00632ADF">
        <w:rPr>
          <w:rFonts w:ascii="Times New Roman" w:hAnsi="Times New Roman" w:cs="Times New Roman"/>
        </w:rPr>
        <w:t>on the s</w:t>
      </w:r>
      <w:r w:rsidR="003329B0">
        <w:rPr>
          <w:rFonts w:ascii="Times New Roman" w:hAnsi="Times New Roman" w:cs="Times New Roman"/>
        </w:rPr>
        <w:t xml:space="preserve">creener </w:t>
      </w:r>
      <w:r w:rsidRPr="00BE5651">
        <w:rPr>
          <w:rFonts w:ascii="Times New Roman" w:hAnsi="Times New Roman" w:cs="Times New Roman"/>
        </w:rPr>
        <w:t xml:space="preserve">will be prompted to provide </w:t>
      </w:r>
      <w:r>
        <w:rPr>
          <w:rFonts w:ascii="Times New Roman" w:hAnsi="Times New Roman" w:cs="Times New Roman"/>
        </w:rPr>
        <w:t>parent/</w:t>
      </w:r>
      <w:r w:rsidR="00F029F7">
        <w:rPr>
          <w:rFonts w:ascii="Times New Roman" w:hAnsi="Times New Roman" w:cs="Times New Roman"/>
        </w:rPr>
        <w:t xml:space="preserve"> </w:t>
      </w:r>
      <w:r>
        <w:rPr>
          <w:rFonts w:ascii="Times New Roman" w:hAnsi="Times New Roman" w:cs="Times New Roman"/>
        </w:rPr>
        <w:t>guardian’s email address</w:t>
      </w:r>
      <w:r w:rsidR="003329B0">
        <w:rPr>
          <w:rFonts w:ascii="Times New Roman" w:hAnsi="Times New Roman" w:cs="Times New Roman"/>
        </w:rPr>
        <w:t>,</w:t>
      </w:r>
      <w:r>
        <w:rPr>
          <w:rFonts w:ascii="Times New Roman" w:hAnsi="Times New Roman" w:cs="Times New Roman"/>
        </w:rPr>
        <w:t xml:space="preserve"> and </w:t>
      </w:r>
      <w:r w:rsidR="00E84E25">
        <w:rPr>
          <w:rFonts w:ascii="Times New Roman" w:hAnsi="Times New Roman" w:cs="Times New Roman"/>
        </w:rPr>
        <w:t xml:space="preserve">provided </w:t>
      </w:r>
      <w:r>
        <w:rPr>
          <w:rFonts w:ascii="Times New Roman" w:hAnsi="Times New Roman" w:cs="Times New Roman"/>
        </w:rPr>
        <w:t>an option to provide cell phone number</w:t>
      </w:r>
      <w:r w:rsidR="003329B0">
        <w:rPr>
          <w:rFonts w:ascii="Times New Roman" w:hAnsi="Times New Roman" w:cs="Times New Roman"/>
        </w:rPr>
        <w:t xml:space="preserve"> for text-message delivery of invitation/reminder communications if preferred</w:t>
      </w:r>
      <w:r w:rsidR="00E84E25">
        <w:rPr>
          <w:rFonts w:ascii="Times New Roman" w:hAnsi="Times New Roman" w:cs="Times New Roman"/>
        </w:rPr>
        <w:t>.</w:t>
      </w:r>
      <w:r w:rsidR="00E84E25" w:rsidRPr="00E84E25">
        <w:rPr>
          <w:rFonts w:ascii="Times New Roman" w:hAnsi="Times New Roman" w:cs="Times New Roman"/>
        </w:rPr>
        <w:t xml:space="preserve"> </w:t>
      </w:r>
      <w:r w:rsidR="00E84E25" w:rsidRPr="00BE5651">
        <w:rPr>
          <w:rFonts w:ascii="Times New Roman" w:hAnsi="Times New Roman" w:cs="Times New Roman"/>
        </w:rPr>
        <w:t xml:space="preserve">Therefore, </w:t>
      </w:r>
      <w:r w:rsidR="003329B0">
        <w:rPr>
          <w:rFonts w:ascii="Times New Roman" w:hAnsi="Times New Roman" w:cs="Times New Roman"/>
        </w:rPr>
        <w:t xml:space="preserve">this additional </w:t>
      </w:r>
      <w:r w:rsidR="00E84E25" w:rsidRPr="00BE5651">
        <w:rPr>
          <w:rFonts w:ascii="Times New Roman" w:hAnsi="Times New Roman" w:cs="Times New Roman"/>
        </w:rPr>
        <w:t xml:space="preserve">contact information will only be collected from </w:t>
      </w:r>
      <w:r w:rsidR="00E84E25">
        <w:rPr>
          <w:rFonts w:ascii="Times New Roman" w:hAnsi="Times New Roman" w:cs="Times New Roman"/>
        </w:rPr>
        <w:t xml:space="preserve">qualified </w:t>
      </w:r>
      <w:r w:rsidR="00E84E25" w:rsidRPr="00BE5651">
        <w:rPr>
          <w:rFonts w:ascii="Times New Roman" w:hAnsi="Times New Roman" w:cs="Times New Roman"/>
        </w:rPr>
        <w:t>youth. Parent/</w:t>
      </w:r>
      <w:r w:rsidR="00A31F6D">
        <w:rPr>
          <w:rFonts w:ascii="Times New Roman" w:hAnsi="Times New Roman" w:cs="Times New Roman"/>
        </w:rPr>
        <w:t xml:space="preserve"> </w:t>
      </w:r>
      <w:r w:rsidR="00E84E25" w:rsidRPr="00BE5651">
        <w:rPr>
          <w:rFonts w:ascii="Times New Roman" w:hAnsi="Times New Roman" w:cs="Times New Roman"/>
        </w:rPr>
        <w:t>guardian email will be colle</w:t>
      </w:r>
      <w:r w:rsidR="00FA0671">
        <w:rPr>
          <w:rFonts w:ascii="Times New Roman" w:hAnsi="Times New Roman" w:cs="Times New Roman"/>
        </w:rPr>
        <w:t xml:space="preserve">cted from all qualifying youth </w:t>
      </w:r>
      <w:r w:rsidR="00E84E25" w:rsidRPr="00BE5651">
        <w:rPr>
          <w:rFonts w:ascii="Times New Roman" w:hAnsi="Times New Roman" w:cs="Times New Roman"/>
        </w:rPr>
        <w:t xml:space="preserve">to facilitate distribution of the parental opt-out form. </w:t>
      </w:r>
      <w:r w:rsidR="00E84E25">
        <w:rPr>
          <w:rFonts w:ascii="Times New Roman" w:hAnsi="Times New Roman" w:cs="Times New Roman"/>
        </w:rPr>
        <w:t>Participant cell phone number wil</w:t>
      </w:r>
      <w:r w:rsidR="00F029F7">
        <w:rPr>
          <w:rFonts w:ascii="Times New Roman" w:hAnsi="Times New Roman" w:cs="Times New Roman"/>
        </w:rPr>
        <w:t>l be used to send communication</w:t>
      </w:r>
      <w:r w:rsidR="00E84E25">
        <w:rPr>
          <w:rFonts w:ascii="Times New Roman" w:hAnsi="Times New Roman" w:cs="Times New Roman"/>
        </w:rPr>
        <w:t xml:space="preserve"> about the st</w:t>
      </w:r>
      <w:r w:rsidR="00632ADF">
        <w:rPr>
          <w:rFonts w:ascii="Times New Roman" w:hAnsi="Times New Roman" w:cs="Times New Roman"/>
        </w:rPr>
        <w:t>udy, including the link to the q</w:t>
      </w:r>
      <w:r w:rsidR="00E84E25">
        <w:rPr>
          <w:rFonts w:ascii="Times New Roman" w:hAnsi="Times New Roman" w:cs="Times New Roman"/>
        </w:rPr>
        <w:t>uestionnaire, via text message</w:t>
      </w:r>
      <w:r w:rsidR="001C3BDF">
        <w:rPr>
          <w:rFonts w:ascii="Times New Roman" w:hAnsi="Times New Roman" w:cs="Times New Roman"/>
        </w:rPr>
        <w:t xml:space="preserve"> if selected by participants</w:t>
      </w:r>
      <w:r w:rsidRPr="00BE5651">
        <w:rPr>
          <w:rFonts w:ascii="Times New Roman" w:hAnsi="Times New Roman" w:cs="Times New Roman"/>
        </w:rPr>
        <w:t xml:space="preserve">. </w:t>
      </w:r>
      <w:r w:rsidR="00537F1C" w:rsidRPr="00BE5651">
        <w:rPr>
          <w:rFonts w:ascii="Times New Roman" w:hAnsi="Times New Roman" w:cs="Times New Roman"/>
        </w:rPr>
        <w:t xml:space="preserve">Researchers will only contact participants via email </w:t>
      </w:r>
      <w:r w:rsidR="007C1ED3">
        <w:rPr>
          <w:rFonts w:ascii="Times New Roman" w:hAnsi="Times New Roman" w:cs="Times New Roman"/>
        </w:rPr>
        <w:t>and</w:t>
      </w:r>
      <w:r w:rsidR="007C1ED3" w:rsidRPr="00BE5651">
        <w:rPr>
          <w:rFonts w:ascii="Times New Roman" w:hAnsi="Times New Roman" w:cs="Times New Roman"/>
        </w:rPr>
        <w:t xml:space="preserve"> </w:t>
      </w:r>
      <w:r w:rsidR="00537F1C" w:rsidRPr="00BE5651">
        <w:rPr>
          <w:rFonts w:ascii="Times New Roman" w:hAnsi="Times New Roman" w:cs="Times New Roman"/>
        </w:rPr>
        <w:t xml:space="preserve">text message </w:t>
      </w:r>
      <w:r w:rsidR="003329B0">
        <w:rPr>
          <w:rFonts w:ascii="Times New Roman" w:hAnsi="Times New Roman" w:cs="Times New Roman"/>
        </w:rPr>
        <w:t xml:space="preserve">(if selected) </w:t>
      </w:r>
      <w:r w:rsidR="00537F1C" w:rsidRPr="00BE5651">
        <w:rPr>
          <w:rFonts w:ascii="Times New Roman" w:hAnsi="Times New Roman" w:cs="Times New Roman"/>
        </w:rPr>
        <w:t>to share th</w:t>
      </w:r>
      <w:r w:rsidR="00632ADF">
        <w:rPr>
          <w:rFonts w:ascii="Times New Roman" w:hAnsi="Times New Roman" w:cs="Times New Roman"/>
        </w:rPr>
        <w:t>e link to the q</w:t>
      </w:r>
      <w:r w:rsidR="00AA66A4">
        <w:rPr>
          <w:rFonts w:ascii="Times New Roman" w:hAnsi="Times New Roman" w:cs="Times New Roman"/>
        </w:rPr>
        <w:t>uestionnaire</w:t>
      </w:r>
      <w:r w:rsidR="001C3BDF">
        <w:rPr>
          <w:rFonts w:ascii="Times New Roman" w:hAnsi="Times New Roman" w:cs="Times New Roman"/>
        </w:rPr>
        <w:t xml:space="preserve"> and</w:t>
      </w:r>
      <w:r w:rsidR="00AA66A4">
        <w:rPr>
          <w:rFonts w:ascii="Times New Roman" w:hAnsi="Times New Roman" w:cs="Times New Roman"/>
        </w:rPr>
        <w:t xml:space="preserve"> </w:t>
      </w:r>
      <w:r w:rsidR="001C3BDF">
        <w:rPr>
          <w:rFonts w:ascii="Times New Roman" w:hAnsi="Times New Roman" w:cs="Times New Roman"/>
        </w:rPr>
        <w:t>up to two reminders,</w:t>
      </w:r>
      <w:r w:rsidR="00537F1C" w:rsidRPr="00BE5651">
        <w:rPr>
          <w:rFonts w:ascii="Times New Roman" w:hAnsi="Times New Roman" w:cs="Times New Roman"/>
        </w:rPr>
        <w:t xml:space="preserve"> </w:t>
      </w:r>
      <w:r w:rsidR="00AA66A4">
        <w:rPr>
          <w:rFonts w:ascii="Times New Roman" w:hAnsi="Times New Roman" w:cs="Times New Roman"/>
        </w:rPr>
        <w:t>and</w:t>
      </w:r>
      <w:r w:rsidR="00AA66A4" w:rsidRPr="00AA66A4">
        <w:rPr>
          <w:rFonts w:ascii="Times New Roman" w:hAnsi="Times New Roman" w:cs="Times New Roman"/>
        </w:rPr>
        <w:t xml:space="preserve"> </w:t>
      </w:r>
      <w:r w:rsidR="001C3BDF">
        <w:rPr>
          <w:rFonts w:ascii="Times New Roman" w:hAnsi="Times New Roman" w:cs="Times New Roman"/>
        </w:rPr>
        <w:t>via</w:t>
      </w:r>
      <w:r w:rsidR="001C3BDF" w:rsidRPr="00AA66A4">
        <w:rPr>
          <w:rFonts w:ascii="Times New Roman" w:hAnsi="Times New Roman" w:cs="Times New Roman"/>
        </w:rPr>
        <w:t xml:space="preserve"> </w:t>
      </w:r>
      <w:r w:rsidR="00AA66A4" w:rsidRPr="00AA66A4">
        <w:rPr>
          <w:rFonts w:ascii="Times New Roman" w:hAnsi="Times New Roman" w:cs="Times New Roman"/>
        </w:rPr>
        <w:t xml:space="preserve">email to deliver the </w:t>
      </w:r>
      <w:r w:rsidR="00724D56">
        <w:rPr>
          <w:rFonts w:ascii="Times New Roman" w:eastAsia="Times New Roman" w:hAnsi="Times New Roman" w:cs="Times New Roman"/>
        </w:rPr>
        <w:t>token</w:t>
      </w:r>
      <w:r w:rsidR="005C2B45">
        <w:rPr>
          <w:rFonts w:ascii="Times New Roman" w:eastAsia="Times New Roman" w:hAnsi="Times New Roman" w:cs="Times New Roman"/>
        </w:rPr>
        <w:t xml:space="preserve"> of appreciation</w:t>
      </w:r>
      <w:r w:rsidR="00AA66A4">
        <w:rPr>
          <w:rFonts w:ascii="Times New Roman" w:hAnsi="Times New Roman" w:cs="Times New Roman"/>
        </w:rPr>
        <w:t>.</w:t>
      </w:r>
      <w:r w:rsidR="00AA66A4" w:rsidRPr="00AA66A4">
        <w:rPr>
          <w:rFonts w:ascii="Times New Roman" w:hAnsi="Times New Roman" w:cs="Times New Roman"/>
        </w:rPr>
        <w:t xml:space="preserve"> Researchers may also contact participants in the unlikely case that there is a breach of </w:t>
      </w:r>
      <w:r w:rsidR="00B91ADB">
        <w:rPr>
          <w:rFonts w:ascii="Times New Roman" w:hAnsi="Times New Roman" w:cs="Times New Roman"/>
        </w:rPr>
        <w:t>privacy</w:t>
      </w:r>
      <w:r w:rsidR="00AA66A4" w:rsidRPr="00AA66A4">
        <w:rPr>
          <w:rFonts w:ascii="Times New Roman" w:hAnsi="Times New Roman" w:cs="Times New Roman"/>
        </w:rPr>
        <w:t xml:space="preserve">, for example as a result of hacking or an issue with </w:t>
      </w:r>
      <w:r w:rsidR="00AA66A4">
        <w:rPr>
          <w:rFonts w:ascii="Times New Roman" w:hAnsi="Times New Roman" w:cs="Times New Roman"/>
        </w:rPr>
        <w:t xml:space="preserve">redeemable gift credit </w:t>
      </w:r>
      <w:r w:rsidR="00AA66A4" w:rsidRPr="00AA66A4">
        <w:rPr>
          <w:rFonts w:ascii="Times New Roman" w:hAnsi="Times New Roman" w:cs="Times New Roman"/>
        </w:rPr>
        <w:t xml:space="preserve">delivery. </w:t>
      </w:r>
    </w:p>
    <w:p w14:paraId="3E9A6A0D" w14:textId="616B60F7" w:rsidR="00273351" w:rsidRDefault="00AA66A4" w:rsidP="009C6AAC">
      <w:pPr>
        <w:spacing w:before="100" w:beforeAutospacing="1" w:after="240"/>
        <w:ind w:left="720"/>
        <w:rPr>
          <w:rFonts w:ascii="Times New Roman" w:eastAsia="Times New Roman" w:hAnsi="Times New Roman" w:cs="Times New Roman"/>
        </w:rPr>
      </w:pPr>
      <w:r w:rsidRPr="00AA66A4">
        <w:rPr>
          <w:rFonts w:ascii="Times New Roman" w:eastAsia="Times New Roman" w:hAnsi="Times New Roman" w:cs="Times New Roman"/>
        </w:rPr>
        <w:t>Afte</w:t>
      </w:r>
      <w:r w:rsidR="00632ADF">
        <w:rPr>
          <w:rFonts w:ascii="Times New Roman" w:eastAsia="Times New Roman" w:hAnsi="Times New Roman" w:cs="Times New Roman"/>
        </w:rPr>
        <w:t>r data collection is complete, screener and q</w:t>
      </w:r>
      <w:r w:rsidRPr="00AA66A4">
        <w:rPr>
          <w:rFonts w:ascii="Times New Roman" w:eastAsia="Times New Roman" w:hAnsi="Times New Roman" w:cs="Times New Roman"/>
        </w:rPr>
        <w:t>uestionnaire databases will be merged together for analysis, but all</w:t>
      </w:r>
      <w:r w:rsidR="00F23925">
        <w:rPr>
          <w:rFonts w:ascii="Times New Roman" w:eastAsia="Times New Roman" w:hAnsi="Times New Roman" w:cs="Times New Roman"/>
        </w:rPr>
        <w:t xml:space="preserve"> personally</w:t>
      </w:r>
      <w:r w:rsidRPr="00AA66A4">
        <w:rPr>
          <w:rFonts w:ascii="Times New Roman" w:eastAsia="Times New Roman" w:hAnsi="Times New Roman" w:cs="Times New Roman"/>
        </w:rPr>
        <w:t xml:space="preserve"> </w:t>
      </w:r>
      <w:r w:rsidR="00F23925">
        <w:rPr>
          <w:rFonts w:ascii="Times New Roman" w:eastAsia="Times New Roman" w:hAnsi="Times New Roman" w:cs="Times New Roman"/>
        </w:rPr>
        <w:t>identifiable</w:t>
      </w:r>
      <w:r w:rsidR="00F23925" w:rsidRPr="00AA66A4">
        <w:rPr>
          <w:rFonts w:ascii="Times New Roman" w:eastAsia="Times New Roman" w:hAnsi="Times New Roman" w:cs="Times New Roman"/>
        </w:rPr>
        <w:t xml:space="preserve"> </w:t>
      </w:r>
      <w:r w:rsidRPr="00AA66A4">
        <w:rPr>
          <w:rFonts w:ascii="Times New Roman" w:eastAsia="Times New Roman" w:hAnsi="Times New Roman" w:cs="Times New Roman"/>
        </w:rPr>
        <w:t>information (i.e. email address,</w:t>
      </w:r>
      <w:r w:rsidR="0092112B">
        <w:rPr>
          <w:rFonts w:ascii="Times New Roman" w:eastAsia="Times New Roman" w:hAnsi="Times New Roman" w:cs="Times New Roman"/>
        </w:rPr>
        <w:t xml:space="preserve"> </w:t>
      </w:r>
      <w:r w:rsidR="003E09B5">
        <w:rPr>
          <w:rFonts w:ascii="Times New Roman" w:eastAsia="Times New Roman" w:hAnsi="Times New Roman" w:cs="Times New Roman"/>
        </w:rPr>
        <w:t xml:space="preserve">cell </w:t>
      </w:r>
      <w:r w:rsidR="0092112B">
        <w:rPr>
          <w:rFonts w:ascii="Times New Roman" w:eastAsia="Times New Roman" w:hAnsi="Times New Roman" w:cs="Times New Roman"/>
        </w:rPr>
        <w:t>phone number,</w:t>
      </w:r>
      <w:r w:rsidRPr="00AA66A4">
        <w:rPr>
          <w:rFonts w:ascii="Times New Roman" w:eastAsia="Times New Roman" w:hAnsi="Times New Roman" w:cs="Times New Roman"/>
        </w:rPr>
        <w:t xml:space="preserve"> IP address, etc.) will be deleted after final data cleaning is conducted</w:t>
      </w:r>
      <w:r w:rsidR="001D3F25">
        <w:rPr>
          <w:rFonts w:ascii="Times New Roman" w:eastAsia="Times New Roman" w:hAnsi="Times New Roman" w:cs="Times New Roman"/>
        </w:rPr>
        <w:t xml:space="preserve"> and</w:t>
      </w:r>
      <w:r w:rsidRPr="00AA66A4">
        <w:rPr>
          <w:rFonts w:ascii="Times New Roman" w:eastAsia="Times New Roman" w:hAnsi="Times New Roman" w:cs="Times New Roman"/>
        </w:rPr>
        <w:t xml:space="preserve"> prior to data analysis. That is, all identifying information </w:t>
      </w:r>
      <w:r w:rsidR="001C3BDF" w:rsidRPr="00BE5651">
        <w:rPr>
          <w:rFonts w:ascii="Times New Roman" w:hAnsi="Times New Roman" w:cs="Times New Roman"/>
        </w:rPr>
        <w:t>will be removed from the database before analysis</w:t>
      </w:r>
      <w:r w:rsidRPr="00AA66A4">
        <w:rPr>
          <w:rFonts w:ascii="Times New Roman" w:eastAsia="Times New Roman" w:hAnsi="Times New Roman" w:cs="Times New Roman"/>
        </w:rPr>
        <w:t xml:space="preserve">. </w:t>
      </w:r>
    </w:p>
    <w:p w14:paraId="06A008DF" w14:textId="21C93A31" w:rsidR="000B22EE" w:rsidRPr="00273351" w:rsidRDefault="000B22EE" w:rsidP="009C6AAC">
      <w:pPr>
        <w:spacing w:before="100" w:beforeAutospacing="1" w:after="240"/>
        <w:ind w:left="720"/>
        <w:rPr>
          <w:rFonts w:ascii="Times New Roman" w:hAnsi="Times New Roman" w:cs="Times New Roman"/>
        </w:rPr>
      </w:pPr>
      <w:r w:rsidRPr="00AC36F5">
        <w:rPr>
          <w:rFonts w:ascii="Times New Roman" w:eastAsia="Times New Roman" w:hAnsi="Times New Roman" w:cs="Times New Roman"/>
        </w:rPr>
        <w:t xml:space="preserve">The research team will not share personal information regarding participants with any third party unless it is required by law to protect their rights or to comply with judicial proceedings, a court order, or other legal process. All data will remain on a password-protected computer and/or in locked cabinets for a period of three years after the end of the study, and then will be shredded and/or destroyed. </w:t>
      </w:r>
      <w:r w:rsidRPr="00BE5651">
        <w:rPr>
          <w:rFonts w:ascii="Times New Roman" w:hAnsi="Times New Roman" w:cs="Times New Roman"/>
        </w:rPr>
        <w:t xml:space="preserve">As with any research study, there is a chance that privacy could be compromised. However, great effort is taken to protect participant identity and all responses will be </w:t>
      </w:r>
      <w:r w:rsidR="00B91ADB">
        <w:rPr>
          <w:rFonts w:ascii="Times New Roman" w:hAnsi="Times New Roman" w:cs="Times New Roman"/>
        </w:rPr>
        <w:t>private</w:t>
      </w:r>
      <w:r w:rsidRPr="00BE5651">
        <w:rPr>
          <w:rFonts w:ascii="Times New Roman" w:hAnsi="Times New Roman" w:cs="Times New Roman"/>
        </w:rPr>
        <w:t xml:space="preserve">. </w:t>
      </w:r>
    </w:p>
    <w:p w14:paraId="7DADA4A1" w14:textId="0991B72B" w:rsidR="004B2621" w:rsidRPr="004B2621" w:rsidRDefault="004B2621" w:rsidP="009C6AAC">
      <w:pPr>
        <w:spacing w:before="100" w:beforeAutospacing="1" w:after="240"/>
        <w:ind w:left="720"/>
        <w:rPr>
          <w:rFonts w:ascii="Times New Roman" w:hAnsi="Times New Roman" w:cs="Times New Roman"/>
          <w:u w:val="single"/>
        </w:rPr>
      </w:pPr>
      <w:r>
        <w:rPr>
          <w:rFonts w:ascii="Times New Roman" w:hAnsi="Times New Roman" w:cs="Times New Roman"/>
          <w:u w:val="single"/>
        </w:rPr>
        <w:t>Data Management</w:t>
      </w:r>
    </w:p>
    <w:p w14:paraId="0F719B67" w14:textId="3E2D93FF" w:rsidR="00273351" w:rsidRPr="009C6AAC" w:rsidRDefault="00273351" w:rsidP="009C6AAC">
      <w:pPr>
        <w:spacing w:before="100" w:beforeAutospacing="1" w:after="240"/>
        <w:ind w:left="720"/>
        <w:rPr>
          <w:rFonts w:ascii="Times New Roman" w:eastAsia="Times New Roman" w:hAnsi="Times New Roman" w:cs="Times New Roman"/>
        </w:rPr>
      </w:pPr>
      <w:r w:rsidRPr="009C6AAC">
        <w:rPr>
          <w:rFonts w:ascii="Times New Roman" w:eastAsia="Times New Roman" w:hAnsi="Times New Roman" w:cs="Times New Roman"/>
        </w:rPr>
        <w:t>All data collection activities will be conducted in full compliance with FDA regulations to maintain the privacy of data obtained from respondents and to protect the rights and welfare of human research subjects as contained in their regulations. Qualtrics will be the software used for data collection and storage. Qualtrics is a trusted survey tool used by both researchers and marketing companies alike. To be more specific, Qualtri</w:t>
      </w:r>
      <w:r w:rsidR="00632ADF">
        <w:rPr>
          <w:rFonts w:ascii="Times New Roman" w:eastAsia="Times New Roman" w:hAnsi="Times New Roman" w:cs="Times New Roman"/>
        </w:rPr>
        <w:t>cs software is provided via an application service p</w:t>
      </w:r>
      <w:r w:rsidRPr="009C6AAC">
        <w:rPr>
          <w:rFonts w:ascii="Times New Roman" w:eastAsia="Times New Roman" w:hAnsi="Times New Roman" w:cs="Times New Roman"/>
        </w:rPr>
        <w:t>ro</w:t>
      </w:r>
      <w:r w:rsidR="00632ADF">
        <w:rPr>
          <w:rFonts w:ascii="Times New Roman" w:eastAsia="Times New Roman" w:hAnsi="Times New Roman" w:cs="Times New Roman"/>
        </w:rPr>
        <w:t>vider, accessed using a modern i</w:t>
      </w:r>
      <w:r w:rsidRPr="009C6AAC">
        <w:rPr>
          <w:rFonts w:ascii="Times New Roman" w:eastAsia="Times New Roman" w:hAnsi="Times New Roman" w:cs="Times New Roman"/>
        </w:rPr>
        <w:t>nternet browser where data are stored in a single secure data center. All Qualtrics data are stored in a cloud and are encrypted at rest, and in transit, under password protection in both instances. Data will be stored via the Qualtrics data center under secure monitoring by Qualtrics staff. As the privacy of their customers is of utmost importance to Qualtrics, only the researchers will have access to the data.</w:t>
      </w:r>
    </w:p>
    <w:p w14:paraId="6090978D" w14:textId="4C8F07E4" w:rsidR="002C415A" w:rsidRPr="009C6AAC" w:rsidRDefault="00273351" w:rsidP="009C6AAC">
      <w:pPr>
        <w:spacing w:before="100" w:beforeAutospacing="1" w:after="240"/>
        <w:ind w:left="720"/>
        <w:rPr>
          <w:rFonts w:ascii="Times New Roman" w:eastAsia="Times New Roman" w:hAnsi="Times New Roman" w:cs="Times New Roman"/>
        </w:rPr>
      </w:pPr>
      <w:r w:rsidRPr="009C6AAC">
        <w:rPr>
          <w:rFonts w:ascii="Times New Roman" w:eastAsia="Times New Roman" w:hAnsi="Times New Roman" w:cs="Times New Roman"/>
        </w:rPr>
        <w:t>For raw data collected during this research, all servers are hosted using industry standard firewalls. Industry standard firewalls include the ability to allow or block traffic based on multiple forms of connection (e.g., state, port, and protocol), rather than only one connection, meaning that access is limited to those who are allowed entry. In addition, Rescue will follow the Standard of Good Practice (SoGP, https://www.securityforum.org/research/thestandardofgoodpractice2016/) security practices which emphasize security management, safe business application protocol, safe computer installations, network fidelity, awareness of systems development requirements, and safety of the end-user environment. Following these guidelines, the monitoring of data and sensitive information will take place following the SoGP security practices such as limiting access to information and data encryption. Members of the research team will access the information through a secure log-in using a password on an HTTPS site, which ensures that data will be in an encrypted format when it is transmitted. This data transfer will occur via an encrypted and secure broadband connection.</w:t>
      </w:r>
    </w:p>
    <w:p w14:paraId="05BAEFD9" w14:textId="0E8F62CF" w:rsidR="004213CB" w:rsidRPr="00BE5651" w:rsidRDefault="00273351" w:rsidP="009C6AAC">
      <w:pPr>
        <w:pStyle w:val="ListParagraph"/>
        <w:numPr>
          <w:ilvl w:val="0"/>
          <w:numId w:val="6"/>
        </w:numPr>
        <w:spacing w:before="100" w:beforeAutospacing="1" w:after="240"/>
        <w:rPr>
          <w:rFonts w:eastAsia="Times New Roman" w:cs="Times New Roman"/>
          <w:szCs w:val="24"/>
        </w:rPr>
      </w:pPr>
      <w:r w:rsidRPr="00BE5651">
        <w:rPr>
          <w:rFonts w:cs="Times New Roman"/>
          <w:szCs w:val="24"/>
          <w:u w:val="single"/>
        </w:rPr>
        <w:t>Justification for Sensitive Questions</w:t>
      </w:r>
    </w:p>
    <w:p w14:paraId="50A4C48D" w14:textId="262E827B" w:rsidR="00470921" w:rsidRPr="00F029F7" w:rsidRDefault="00470921" w:rsidP="009C6AAC">
      <w:pPr>
        <w:spacing w:before="100" w:beforeAutospacing="1" w:after="240"/>
        <w:ind w:left="720"/>
        <w:rPr>
          <w:rFonts w:ascii="Times New Roman" w:eastAsia="Times New Roman" w:hAnsi="Times New Roman" w:cs="Times New Roman"/>
        </w:rPr>
      </w:pPr>
      <w:r w:rsidRPr="009C6AAC">
        <w:rPr>
          <w:rFonts w:ascii="Times New Roman" w:eastAsia="Times New Roman" w:hAnsi="Times New Roman" w:cs="Times New Roman"/>
        </w:rPr>
        <w:t>Some studies require the inclusion of people who match selected characteristics of the target audience that the FDA is trying to reach. This may require asking questions about age, sex, race/ethnicity, and/or health behaviors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w:t>
      </w:r>
      <w:r w:rsidRPr="00F029F7">
        <w:rPr>
          <w:rFonts w:ascii="Times New Roman" w:eastAsia="Times New Roman" w:hAnsi="Times New Roman" w:cs="Times New Roman"/>
        </w:rPr>
        <w:t>/ethnicity will fully comply with the standards of OMB Statistical Policy Directive No. 15, October 1997 (</w:t>
      </w:r>
      <w:hyperlink r:id="rId15" w:history="1">
        <w:r w:rsidRPr="00F029F7">
          <w:rPr>
            <w:rFonts w:ascii="Times New Roman" w:eastAsia="Times New Roman" w:hAnsi="Times New Roman" w:cs="Times New Roman"/>
          </w:rPr>
          <w:t>http://www.whitehouse.gov/omb/fedreg/1997standards.html)</w:t>
        </w:r>
      </w:hyperlink>
      <w:r w:rsidRPr="00F029F7">
        <w:rPr>
          <w:rFonts w:ascii="Times New Roman" w:eastAsia="Times New Roman" w:hAnsi="Times New Roman" w:cs="Times New Roman"/>
        </w:rPr>
        <w:t xml:space="preserve">. </w:t>
      </w:r>
    </w:p>
    <w:p w14:paraId="3A0DFABC" w14:textId="495B6EF6" w:rsidR="00F147D0" w:rsidRPr="009C6AAC" w:rsidRDefault="00470921" w:rsidP="009C6AAC">
      <w:pPr>
        <w:spacing w:before="100" w:beforeAutospacing="1" w:after="240"/>
        <w:ind w:left="720"/>
        <w:rPr>
          <w:rFonts w:eastAsia="Times New Roman" w:cs="Times New Roman"/>
        </w:rPr>
      </w:pPr>
      <w:r w:rsidRPr="009C6AAC">
        <w:rPr>
          <w:rFonts w:ascii="Times New Roman" w:eastAsia="Times New Roman" w:hAnsi="Times New Roman" w:cs="Times New Roman"/>
        </w:rPr>
        <w:t>In order to identify multicultural youth at-risk for tobacco use</w:t>
      </w:r>
      <w:r w:rsidR="00A02991" w:rsidRPr="009C6AAC">
        <w:rPr>
          <w:rFonts w:ascii="Times New Roman" w:eastAsia="Times New Roman" w:hAnsi="Times New Roman" w:cs="Times New Roman"/>
        </w:rPr>
        <w:t>, researchers need to ask sensitive survey-based questions about race/ethnicity and tobacco use behavior. Raw data that includes both personally identifiable and sensitive information (e.g., contact information</w:t>
      </w:r>
      <w:r w:rsidR="003F27DE" w:rsidRPr="009C6AAC">
        <w:rPr>
          <w:rFonts w:ascii="Times New Roman" w:eastAsia="Times New Roman" w:hAnsi="Times New Roman" w:cs="Times New Roman"/>
        </w:rPr>
        <w:t xml:space="preserve"> and tobacco use i</w:t>
      </w:r>
      <w:r w:rsidR="000D56DA" w:rsidRPr="009C6AAC">
        <w:rPr>
          <w:rFonts w:ascii="Times New Roman" w:eastAsia="Times New Roman" w:hAnsi="Times New Roman" w:cs="Times New Roman"/>
        </w:rPr>
        <w:t>n</w:t>
      </w:r>
      <w:r w:rsidR="003F27DE" w:rsidRPr="009C6AAC">
        <w:rPr>
          <w:rFonts w:ascii="Times New Roman" w:eastAsia="Times New Roman" w:hAnsi="Times New Roman" w:cs="Times New Roman"/>
        </w:rPr>
        <w:t xml:space="preserve"> the</w:t>
      </w:r>
      <w:r w:rsidR="00632ADF">
        <w:rPr>
          <w:rFonts w:ascii="Times New Roman" w:eastAsia="Times New Roman" w:hAnsi="Times New Roman" w:cs="Times New Roman"/>
        </w:rPr>
        <w:t xml:space="preserve"> s</w:t>
      </w:r>
      <w:r w:rsidR="000D56DA" w:rsidRPr="009C6AAC">
        <w:rPr>
          <w:rFonts w:ascii="Times New Roman" w:eastAsia="Times New Roman" w:hAnsi="Times New Roman" w:cs="Times New Roman"/>
        </w:rPr>
        <w:t xml:space="preserve">creener </w:t>
      </w:r>
      <w:r w:rsidR="00285DA8" w:rsidRPr="009C6AAC">
        <w:rPr>
          <w:rFonts w:ascii="Times New Roman" w:eastAsia="Times New Roman" w:hAnsi="Times New Roman" w:cs="Times New Roman"/>
        </w:rPr>
        <w:t>survey</w:t>
      </w:r>
      <w:r w:rsidR="00A02991" w:rsidRPr="009C6AAC">
        <w:rPr>
          <w:rFonts w:ascii="Times New Roman" w:eastAsia="Times New Roman" w:hAnsi="Times New Roman" w:cs="Times New Roman"/>
        </w:rPr>
        <w:t>) will be managed so personally identifiable information is not retained once the data have been extracted and aggregated. Personally identifiable information never becomes part of a system of records containing permanent identifiers that can be used for retrieval.</w:t>
      </w:r>
    </w:p>
    <w:p w14:paraId="657986B8" w14:textId="67A0CC60" w:rsidR="009E75BD" w:rsidRPr="00F147D0" w:rsidRDefault="00F147D0" w:rsidP="009C6AAC">
      <w:pPr>
        <w:pStyle w:val="ListParagraph"/>
        <w:spacing w:after="240"/>
      </w:pPr>
      <w:r>
        <w:t>In addition, this study includes the following procedures and methodological characteristics that will minimize potential negative reactions to these types of questions, including the following:</w:t>
      </w:r>
    </w:p>
    <w:p w14:paraId="6A269FFF" w14:textId="77777777" w:rsidR="00E07508" w:rsidRPr="00BE5651" w:rsidRDefault="00E07508" w:rsidP="009C6AAC">
      <w:pPr>
        <w:pStyle w:val="ListParagraph"/>
        <w:rPr>
          <w:rFonts w:cs="Times New Roman"/>
        </w:rPr>
      </w:pPr>
    </w:p>
    <w:p w14:paraId="7AB6BCD3" w14:textId="64BB14A5" w:rsidR="00E07508" w:rsidRPr="00BE5651" w:rsidRDefault="00632ADF" w:rsidP="009C6AAC">
      <w:pPr>
        <w:numPr>
          <w:ilvl w:val="1"/>
          <w:numId w:val="6"/>
        </w:numPr>
        <w:spacing w:after="240"/>
        <w:ind w:left="1440" w:hanging="360"/>
        <w:rPr>
          <w:rFonts w:ascii="Times New Roman" w:hAnsi="Times New Roman" w:cs="Times New Roman"/>
        </w:rPr>
      </w:pPr>
      <w:r>
        <w:rPr>
          <w:rFonts w:ascii="Times New Roman" w:hAnsi="Times New Roman" w:cs="Times New Roman"/>
        </w:rPr>
        <w:t>The screener and q</w:t>
      </w:r>
      <w:r w:rsidR="00E07508" w:rsidRPr="00BE5651">
        <w:rPr>
          <w:rFonts w:ascii="Times New Roman" w:hAnsi="Times New Roman" w:cs="Times New Roman"/>
        </w:rPr>
        <w:t>uestionnaire are entirely self-administered and maximize respondent privacy without the need to verbalize responses.</w:t>
      </w:r>
    </w:p>
    <w:p w14:paraId="04FB31D7" w14:textId="25D86A58" w:rsidR="004A4B3A" w:rsidRPr="004018EB" w:rsidRDefault="00E07508" w:rsidP="009C6AAC">
      <w:pPr>
        <w:numPr>
          <w:ilvl w:val="1"/>
          <w:numId w:val="6"/>
        </w:numPr>
        <w:spacing w:after="240"/>
        <w:ind w:left="1440" w:hanging="360"/>
        <w:rPr>
          <w:rFonts w:ascii="Times New Roman" w:hAnsi="Times New Roman" w:cs="Times New Roman"/>
        </w:rPr>
      </w:pPr>
      <w:r w:rsidRPr="00BE5651">
        <w:rPr>
          <w:rFonts w:ascii="Times New Roman" w:hAnsi="Times New Roman" w:cs="Times New Roman"/>
        </w:rPr>
        <w:t xml:space="preserve">Participants will be provided with an email address and phone number for the </w:t>
      </w:r>
      <w:r w:rsidR="00F147D0">
        <w:rPr>
          <w:rFonts w:ascii="Times New Roman" w:hAnsi="Times New Roman" w:cs="Times New Roman"/>
        </w:rPr>
        <w:t>Rescue project manager</w:t>
      </w:r>
      <w:r w:rsidRPr="00BE5651">
        <w:rPr>
          <w:rFonts w:ascii="Times New Roman" w:hAnsi="Times New Roman" w:cs="Times New Roman"/>
        </w:rPr>
        <w:t xml:space="preserve"> should they have any questions or concerns about the study or </w:t>
      </w:r>
      <w:r w:rsidRPr="004018EB">
        <w:rPr>
          <w:rFonts w:ascii="Times New Roman" w:hAnsi="Times New Roman" w:cs="Times New Roman"/>
        </w:rPr>
        <w:t xml:space="preserve">their rights as a study participant. </w:t>
      </w:r>
    </w:p>
    <w:p w14:paraId="43706FA9" w14:textId="77C4EAFE" w:rsidR="004A4B3A" w:rsidRPr="004C78F0" w:rsidRDefault="004A4B3A" w:rsidP="009C6AAC">
      <w:pPr>
        <w:pStyle w:val="ListParagraph"/>
        <w:numPr>
          <w:ilvl w:val="0"/>
          <w:numId w:val="6"/>
        </w:numPr>
        <w:spacing w:before="100" w:beforeAutospacing="1" w:after="240"/>
        <w:rPr>
          <w:rFonts w:eastAsia="Times New Roman" w:cs="Times New Roman"/>
          <w:szCs w:val="24"/>
        </w:rPr>
      </w:pPr>
      <w:r w:rsidRPr="004C78F0">
        <w:rPr>
          <w:rFonts w:cs="Times New Roman"/>
          <w:szCs w:val="24"/>
          <w:u w:val="single"/>
        </w:rPr>
        <w:t>Estimates of Annualized Burden Hours and Costs</w:t>
      </w:r>
    </w:p>
    <w:p w14:paraId="55BFAB1E" w14:textId="77777777" w:rsidR="004A4B3A" w:rsidRPr="004018EB" w:rsidRDefault="004A4B3A" w:rsidP="009C6AAC">
      <w:pPr>
        <w:pStyle w:val="ListParagraph"/>
        <w:spacing w:before="100" w:beforeAutospacing="1" w:after="240"/>
        <w:rPr>
          <w:rFonts w:eastAsia="Times New Roman" w:cs="Times New Roman"/>
          <w:szCs w:val="24"/>
        </w:rPr>
      </w:pPr>
    </w:p>
    <w:p w14:paraId="22C1311E" w14:textId="7DB34FE2" w:rsidR="0056506E" w:rsidRPr="0030045D" w:rsidRDefault="004A4B3A" w:rsidP="009C6AAC">
      <w:pPr>
        <w:pStyle w:val="ListParagraph"/>
        <w:spacing w:before="100" w:beforeAutospacing="1" w:after="240"/>
        <w:rPr>
          <w:rFonts w:cs="Times New Roman"/>
          <w:szCs w:val="24"/>
          <w:u w:val="single"/>
        </w:rPr>
      </w:pPr>
      <w:r w:rsidRPr="004018EB">
        <w:rPr>
          <w:rFonts w:cs="Times New Roman"/>
          <w:szCs w:val="24"/>
          <w:u w:val="single"/>
        </w:rPr>
        <w:t>1</w:t>
      </w:r>
      <w:r w:rsidR="00262CD0" w:rsidRPr="004018EB">
        <w:rPr>
          <w:rFonts w:cs="Times New Roman"/>
          <w:szCs w:val="24"/>
          <w:u w:val="single"/>
        </w:rPr>
        <w:t>2</w:t>
      </w:r>
      <w:r w:rsidRPr="004018EB">
        <w:rPr>
          <w:rFonts w:cs="Times New Roman"/>
          <w:szCs w:val="24"/>
          <w:u w:val="single"/>
        </w:rPr>
        <w:t xml:space="preserve">a. Annualized Hour </w:t>
      </w:r>
      <w:r w:rsidRPr="0030045D">
        <w:rPr>
          <w:rFonts w:cs="Times New Roman"/>
          <w:szCs w:val="24"/>
          <w:u w:val="single"/>
        </w:rPr>
        <w:t>Burden Estimate</w:t>
      </w:r>
    </w:p>
    <w:p w14:paraId="183FA498" w14:textId="648C62C2" w:rsidR="0056506E" w:rsidRPr="00D23174" w:rsidRDefault="0056506E" w:rsidP="009C6AAC">
      <w:pPr>
        <w:spacing w:before="100" w:beforeAutospacing="1" w:after="240"/>
        <w:ind w:left="720"/>
        <w:rPr>
          <w:rFonts w:ascii="Times New Roman" w:eastAsia="Times New Roman" w:hAnsi="Times New Roman" w:cs="Times New Roman"/>
        </w:rPr>
      </w:pPr>
      <w:r w:rsidRPr="00D23174">
        <w:rPr>
          <w:rFonts w:ascii="Times New Roman" w:eastAsia="Times New Roman" w:hAnsi="Times New Roman" w:cs="Times New Roman"/>
        </w:rPr>
        <w:t xml:space="preserve">An estimated one-time reporting burden for this collection </w:t>
      </w:r>
      <w:r w:rsidR="00477DDA">
        <w:rPr>
          <w:rFonts w:ascii="Times New Roman" w:eastAsia="Times New Roman" w:hAnsi="Times New Roman" w:cs="Times New Roman"/>
        </w:rPr>
        <w:t>is</w:t>
      </w:r>
      <w:r w:rsidRPr="006670B3">
        <w:rPr>
          <w:rFonts w:ascii="Times New Roman" w:eastAsia="Times New Roman" w:hAnsi="Times New Roman" w:cs="Times New Roman"/>
        </w:rPr>
        <w:t xml:space="preserve"> </w:t>
      </w:r>
      <w:r w:rsidR="006670B3" w:rsidRPr="00794941">
        <w:rPr>
          <w:rFonts w:ascii="Times New Roman" w:eastAsia="Times New Roman" w:hAnsi="Times New Roman" w:cs="Times New Roman"/>
        </w:rPr>
        <w:t>1,</w:t>
      </w:r>
      <w:r w:rsidR="00330260" w:rsidRPr="00794941">
        <w:rPr>
          <w:rFonts w:ascii="Times New Roman" w:eastAsia="Times New Roman" w:hAnsi="Times New Roman" w:cs="Times New Roman"/>
        </w:rPr>
        <w:t>3</w:t>
      </w:r>
      <w:r w:rsidR="00A57B10">
        <w:rPr>
          <w:rFonts w:ascii="Times New Roman" w:eastAsia="Times New Roman" w:hAnsi="Times New Roman" w:cs="Times New Roman"/>
        </w:rPr>
        <w:t>7</w:t>
      </w:r>
      <w:r w:rsidR="00330260">
        <w:rPr>
          <w:rFonts w:ascii="Times New Roman" w:eastAsia="Times New Roman" w:hAnsi="Times New Roman" w:cs="Times New Roman"/>
        </w:rPr>
        <w:t>6</w:t>
      </w:r>
      <w:r w:rsidR="00330260" w:rsidRPr="00D23174">
        <w:rPr>
          <w:rFonts w:ascii="Times New Roman" w:eastAsia="Times New Roman" w:hAnsi="Times New Roman" w:cs="Times New Roman"/>
        </w:rPr>
        <w:t xml:space="preserve"> </w:t>
      </w:r>
      <w:r w:rsidRPr="00D23174">
        <w:rPr>
          <w:rFonts w:ascii="Times New Roman" w:eastAsia="Times New Roman" w:hAnsi="Times New Roman" w:cs="Times New Roman"/>
        </w:rPr>
        <w:t xml:space="preserve">hours (Exhibit </w:t>
      </w:r>
      <w:r w:rsidR="00962D75">
        <w:rPr>
          <w:rFonts w:ascii="Times New Roman" w:eastAsia="Times New Roman" w:hAnsi="Times New Roman" w:cs="Times New Roman"/>
        </w:rPr>
        <w:t>1</w:t>
      </w:r>
      <w:r w:rsidRPr="00D23174">
        <w:rPr>
          <w:rFonts w:ascii="Times New Roman" w:eastAsia="Times New Roman" w:hAnsi="Times New Roman" w:cs="Times New Roman"/>
        </w:rPr>
        <w:t xml:space="preserve">). This includes the time burden associated with the Screener.  </w:t>
      </w:r>
    </w:p>
    <w:p w14:paraId="53572ACF" w14:textId="7220C8DE" w:rsidR="00257D24" w:rsidRPr="004018EB" w:rsidRDefault="0056506E" w:rsidP="009C6AAC">
      <w:pPr>
        <w:spacing w:before="100" w:beforeAutospacing="1" w:after="240"/>
        <w:ind w:left="720"/>
        <w:rPr>
          <w:rFonts w:ascii="Times New Roman" w:eastAsia="Times New Roman" w:hAnsi="Times New Roman" w:cs="Times New Roman"/>
        </w:rPr>
      </w:pPr>
      <w:r w:rsidRPr="001A3402">
        <w:rPr>
          <w:rFonts w:ascii="Times New Roman" w:eastAsia="Times New Roman" w:hAnsi="Times New Roman" w:cs="Times New Roman"/>
        </w:rPr>
        <w:t xml:space="preserve">To obtain a final sample </w:t>
      </w:r>
      <w:r w:rsidRPr="00231647">
        <w:rPr>
          <w:rFonts w:ascii="Times New Roman" w:eastAsia="Times New Roman" w:hAnsi="Times New Roman" w:cs="Times New Roman"/>
        </w:rPr>
        <w:t xml:space="preserve">of </w:t>
      </w:r>
      <w:r w:rsidR="00231647" w:rsidRPr="00231647">
        <w:rPr>
          <w:rFonts w:ascii="Times New Roman" w:eastAsia="Times New Roman" w:hAnsi="Times New Roman" w:cs="Times New Roman"/>
        </w:rPr>
        <w:t xml:space="preserve">593 </w:t>
      </w:r>
      <w:r w:rsidRPr="00231647">
        <w:rPr>
          <w:rFonts w:ascii="Times New Roman" w:eastAsia="Times New Roman" w:hAnsi="Times New Roman" w:cs="Times New Roman"/>
        </w:rPr>
        <w:t>enrolled</w:t>
      </w:r>
      <w:r w:rsidRPr="001A3402">
        <w:rPr>
          <w:rFonts w:ascii="Times New Roman" w:eastAsia="Times New Roman" w:hAnsi="Times New Roman" w:cs="Times New Roman"/>
        </w:rPr>
        <w:t xml:space="preserve"> participants, we estimate that we will need to screen </w:t>
      </w:r>
      <w:r w:rsidR="00D43C7C" w:rsidRPr="000079B0">
        <w:rPr>
          <w:rFonts w:ascii="Times New Roman" w:eastAsia="Times New Roman" w:hAnsi="Times New Roman" w:cs="Times New Roman"/>
        </w:rPr>
        <w:t xml:space="preserve">up to </w:t>
      </w:r>
      <w:r w:rsidR="000079B0" w:rsidRPr="000079B0">
        <w:rPr>
          <w:rFonts w:ascii="Times New Roman" w:eastAsia="Times New Roman" w:hAnsi="Times New Roman" w:cs="Times New Roman"/>
        </w:rPr>
        <w:t>8,895</w:t>
      </w:r>
      <w:r w:rsidRPr="000079B0">
        <w:rPr>
          <w:rFonts w:ascii="Times New Roman" w:eastAsia="Times New Roman" w:hAnsi="Times New Roman" w:cs="Times New Roman"/>
        </w:rPr>
        <w:t xml:space="preserve"> potential</w:t>
      </w:r>
      <w:r w:rsidRPr="001A3402">
        <w:rPr>
          <w:rFonts w:ascii="Times New Roman" w:eastAsia="Times New Roman" w:hAnsi="Times New Roman" w:cs="Times New Roman"/>
        </w:rPr>
        <w:t xml:space="preserve"> </w:t>
      </w:r>
      <w:r w:rsidRPr="000079B0">
        <w:rPr>
          <w:rFonts w:ascii="Times New Roman" w:eastAsia="Times New Roman" w:hAnsi="Times New Roman" w:cs="Times New Roman"/>
        </w:rPr>
        <w:t xml:space="preserve">respondents. </w:t>
      </w:r>
      <w:r w:rsidR="00B05F79" w:rsidRPr="000079B0">
        <w:rPr>
          <w:rFonts w:ascii="Times New Roman" w:eastAsia="Times New Roman" w:hAnsi="Times New Roman" w:cs="Times New Roman"/>
        </w:rPr>
        <w:t>This is because, b</w:t>
      </w:r>
      <w:r w:rsidRPr="000079B0">
        <w:rPr>
          <w:rFonts w:ascii="Times New Roman" w:eastAsia="Times New Roman" w:hAnsi="Times New Roman" w:cs="Times New Roman"/>
        </w:rPr>
        <w:t>a</w:t>
      </w:r>
      <w:r w:rsidR="00B05F79" w:rsidRPr="000079B0">
        <w:rPr>
          <w:rFonts w:ascii="Times New Roman" w:eastAsia="Times New Roman" w:hAnsi="Times New Roman" w:cs="Times New Roman"/>
        </w:rPr>
        <w:t xml:space="preserve">sed on previous </w:t>
      </w:r>
      <w:r w:rsidR="00B05F79" w:rsidRPr="00FA4871">
        <w:rPr>
          <w:rFonts w:ascii="Times New Roman" w:eastAsia="Times New Roman" w:hAnsi="Times New Roman" w:cs="Times New Roman"/>
        </w:rPr>
        <w:t>experience, we anticipat</w:t>
      </w:r>
      <w:r w:rsidRPr="00FA4871">
        <w:rPr>
          <w:rFonts w:ascii="Times New Roman" w:eastAsia="Times New Roman" w:hAnsi="Times New Roman" w:cs="Times New Roman"/>
        </w:rPr>
        <w:t xml:space="preserve">e </w:t>
      </w:r>
      <w:r w:rsidR="000079B0" w:rsidRPr="000079B0">
        <w:rPr>
          <w:rFonts w:ascii="Times New Roman" w:eastAsia="Times New Roman" w:hAnsi="Times New Roman" w:cs="Times New Roman"/>
        </w:rPr>
        <w:t>one in every 15</w:t>
      </w:r>
      <w:r w:rsidR="00B05F79" w:rsidRPr="000079B0">
        <w:rPr>
          <w:rFonts w:ascii="Times New Roman" w:eastAsia="Times New Roman" w:hAnsi="Times New Roman" w:cs="Times New Roman"/>
        </w:rPr>
        <w:t xml:space="preserve"> participants who</w:t>
      </w:r>
      <w:r w:rsidR="00632ADF">
        <w:rPr>
          <w:rFonts w:ascii="Times New Roman" w:eastAsia="Times New Roman" w:hAnsi="Times New Roman" w:cs="Times New Roman"/>
        </w:rPr>
        <w:t xml:space="preserve"> complete the s</w:t>
      </w:r>
      <w:r w:rsidR="00B05F79" w:rsidRPr="00D23174">
        <w:rPr>
          <w:rFonts w:ascii="Times New Roman" w:eastAsia="Times New Roman" w:hAnsi="Times New Roman" w:cs="Times New Roman"/>
        </w:rPr>
        <w:t xml:space="preserve">creener will qualify for inclusion </w:t>
      </w:r>
      <w:r w:rsidR="00257D24" w:rsidRPr="00D23174">
        <w:rPr>
          <w:rFonts w:ascii="Times New Roman" w:eastAsia="Times New Roman" w:hAnsi="Times New Roman" w:cs="Times New Roman"/>
        </w:rPr>
        <w:t xml:space="preserve">and </w:t>
      </w:r>
      <w:r w:rsidR="00D43C7C" w:rsidRPr="00D23174">
        <w:rPr>
          <w:rFonts w:ascii="Times New Roman" w:eastAsia="Times New Roman" w:hAnsi="Times New Roman" w:cs="Times New Roman"/>
        </w:rPr>
        <w:t xml:space="preserve">return after the 24-hour parental opt-out waiting period to </w:t>
      </w:r>
      <w:r w:rsidR="00632ADF">
        <w:rPr>
          <w:rFonts w:ascii="Times New Roman" w:eastAsia="Times New Roman" w:hAnsi="Times New Roman" w:cs="Times New Roman"/>
        </w:rPr>
        <w:t>complete the q</w:t>
      </w:r>
      <w:r w:rsidR="00257D24" w:rsidRPr="00D23174">
        <w:rPr>
          <w:rFonts w:ascii="Times New Roman" w:eastAsia="Times New Roman" w:hAnsi="Times New Roman" w:cs="Times New Roman"/>
        </w:rPr>
        <w:t>uestionnaire.</w:t>
      </w:r>
    </w:p>
    <w:p w14:paraId="2244D2B6" w14:textId="681C7584" w:rsidR="0056506E" w:rsidRPr="004018EB" w:rsidRDefault="00257D24" w:rsidP="009C6AAC">
      <w:pPr>
        <w:spacing w:before="100" w:beforeAutospacing="1" w:after="240"/>
        <w:ind w:left="720"/>
        <w:rPr>
          <w:rFonts w:ascii="Times New Roman" w:eastAsia="Times New Roman" w:hAnsi="Times New Roman" w:cs="Times New Roman"/>
          <w:b/>
        </w:rPr>
      </w:pPr>
      <w:r w:rsidRPr="004018EB">
        <w:rPr>
          <w:rFonts w:ascii="Times New Roman" w:eastAsia="Times New Roman" w:hAnsi="Times New Roman" w:cs="Times New Roman"/>
        </w:rPr>
        <w:t xml:space="preserve">Based on previous experience, we estimate </w:t>
      </w:r>
      <w:r w:rsidR="00632ADF">
        <w:rPr>
          <w:rFonts w:ascii="Times New Roman" w:eastAsia="Times New Roman" w:hAnsi="Times New Roman" w:cs="Times New Roman"/>
        </w:rPr>
        <w:t>that s</w:t>
      </w:r>
      <w:r w:rsidR="0056506E" w:rsidRPr="004018EB">
        <w:rPr>
          <w:rFonts w:ascii="Times New Roman" w:eastAsia="Times New Roman" w:hAnsi="Times New Roman" w:cs="Times New Roman"/>
        </w:rPr>
        <w:t xml:space="preserve">creener completion will take </w:t>
      </w:r>
      <w:r w:rsidRPr="004018EB">
        <w:rPr>
          <w:rFonts w:ascii="Times New Roman" w:eastAsia="Times New Roman" w:hAnsi="Times New Roman" w:cs="Times New Roman"/>
        </w:rPr>
        <w:t>no more than</w:t>
      </w:r>
      <w:r w:rsidR="0056506E" w:rsidRPr="004018EB">
        <w:rPr>
          <w:rFonts w:ascii="Times New Roman" w:eastAsia="Times New Roman" w:hAnsi="Times New Roman" w:cs="Times New Roman"/>
        </w:rPr>
        <w:t xml:space="preserve"> </w:t>
      </w:r>
      <w:r w:rsidR="008D743F">
        <w:rPr>
          <w:rFonts w:ascii="Times New Roman" w:eastAsia="Times New Roman" w:hAnsi="Times New Roman" w:cs="Times New Roman"/>
        </w:rPr>
        <w:t>seven</w:t>
      </w:r>
      <w:r w:rsidR="008D743F" w:rsidRPr="004018EB">
        <w:rPr>
          <w:rFonts w:ascii="Times New Roman" w:eastAsia="Times New Roman" w:hAnsi="Times New Roman" w:cs="Times New Roman"/>
        </w:rPr>
        <w:t xml:space="preserve"> </w:t>
      </w:r>
      <w:r w:rsidR="00632ADF">
        <w:rPr>
          <w:rFonts w:ascii="Times New Roman" w:eastAsia="Times New Roman" w:hAnsi="Times New Roman" w:cs="Times New Roman"/>
        </w:rPr>
        <w:t xml:space="preserve">minutes per participant. </w:t>
      </w:r>
      <w:r w:rsidR="001A1F1A">
        <w:rPr>
          <w:rFonts w:ascii="Times New Roman" w:eastAsia="Times New Roman" w:hAnsi="Times New Roman" w:cs="Times New Roman"/>
        </w:rPr>
        <w:t xml:space="preserve">The parental opt-out process and electronic communications will take </w:t>
      </w:r>
      <w:r w:rsidR="00477DDA">
        <w:rPr>
          <w:rFonts w:ascii="Times New Roman" w:eastAsia="Times New Roman" w:hAnsi="Times New Roman" w:cs="Times New Roman"/>
        </w:rPr>
        <w:t>an estimated</w:t>
      </w:r>
      <w:r w:rsidR="004A70EC">
        <w:rPr>
          <w:rFonts w:ascii="Times New Roman" w:eastAsia="Times New Roman" w:hAnsi="Times New Roman" w:cs="Times New Roman"/>
        </w:rPr>
        <w:t xml:space="preserve"> six minutes</w:t>
      </w:r>
      <w:r w:rsidR="001A1F1A">
        <w:rPr>
          <w:rFonts w:ascii="Times New Roman" w:eastAsia="Times New Roman" w:hAnsi="Times New Roman" w:cs="Times New Roman"/>
        </w:rPr>
        <w:t xml:space="preserve"> to complete. The youth assent/consent and electronic communications </w:t>
      </w:r>
      <w:r w:rsidR="00B66991">
        <w:rPr>
          <w:rFonts w:ascii="Times New Roman" w:eastAsia="Times New Roman" w:hAnsi="Times New Roman" w:cs="Times New Roman"/>
        </w:rPr>
        <w:t>are estimated to take</w:t>
      </w:r>
      <w:r w:rsidR="001A1F1A">
        <w:rPr>
          <w:rFonts w:ascii="Times New Roman" w:eastAsia="Times New Roman" w:hAnsi="Times New Roman" w:cs="Times New Roman"/>
        </w:rPr>
        <w:t xml:space="preserve"> six minutes to complete. </w:t>
      </w:r>
      <w:r w:rsidRPr="004018EB">
        <w:rPr>
          <w:rFonts w:ascii="Times New Roman" w:eastAsia="Times New Roman" w:hAnsi="Times New Roman" w:cs="Times New Roman"/>
        </w:rPr>
        <w:t xml:space="preserve">Questionnaire completion will take </w:t>
      </w:r>
      <w:r w:rsidR="00477DDA">
        <w:rPr>
          <w:rFonts w:ascii="Times New Roman" w:eastAsia="Times New Roman" w:hAnsi="Times New Roman" w:cs="Times New Roman"/>
        </w:rPr>
        <w:t>an estimated</w:t>
      </w:r>
      <w:r w:rsidRPr="004018EB">
        <w:rPr>
          <w:rFonts w:ascii="Times New Roman" w:eastAsia="Times New Roman" w:hAnsi="Times New Roman" w:cs="Times New Roman"/>
        </w:rPr>
        <w:t xml:space="preserve"> </w:t>
      </w:r>
      <w:r w:rsidRPr="00CE3A45">
        <w:rPr>
          <w:rFonts w:ascii="Times New Roman" w:eastAsia="Times New Roman" w:hAnsi="Times New Roman" w:cs="Times New Roman"/>
        </w:rPr>
        <w:t xml:space="preserve">25 </w:t>
      </w:r>
      <w:r w:rsidRPr="004018EB">
        <w:rPr>
          <w:rFonts w:ascii="Times New Roman" w:eastAsia="Times New Roman" w:hAnsi="Times New Roman" w:cs="Times New Roman"/>
        </w:rPr>
        <w:t xml:space="preserve">minutes for ad-viewing participants and 10 minutes for control participants. </w:t>
      </w:r>
    </w:p>
    <w:p w14:paraId="0415A13A" w14:textId="13A6D251" w:rsidR="009B5B5A" w:rsidRPr="001A1F1A" w:rsidRDefault="00B05F79" w:rsidP="009C6AAC">
      <w:pPr>
        <w:spacing w:after="240"/>
        <w:ind w:left="720"/>
        <w:rPr>
          <w:rFonts w:ascii="Times New Roman" w:hAnsi="Times New Roman" w:cs="Times New Roman"/>
          <w:sz w:val="22"/>
          <w:highlight w:val="yellow"/>
        </w:rPr>
      </w:pPr>
      <w:r w:rsidRPr="004018EB">
        <w:rPr>
          <w:rFonts w:ascii="Times New Roman" w:hAnsi="Times New Roman" w:cs="Times New Roman"/>
          <w:b/>
        </w:rPr>
        <w:t>Exhi</w:t>
      </w:r>
      <w:r w:rsidRPr="001A1F1A">
        <w:rPr>
          <w:rFonts w:ascii="Times New Roman" w:hAnsi="Times New Roman" w:cs="Times New Roman"/>
          <w:b/>
          <w:sz w:val="22"/>
        </w:rPr>
        <w:t xml:space="preserve">bit </w:t>
      </w:r>
      <w:r w:rsidR="00962D75" w:rsidRPr="001A1F1A">
        <w:rPr>
          <w:rFonts w:ascii="Times New Roman" w:hAnsi="Times New Roman" w:cs="Times New Roman"/>
          <w:b/>
          <w:sz w:val="22"/>
        </w:rPr>
        <w:t>1.</w:t>
      </w:r>
      <w:r w:rsidR="009B5B5A" w:rsidRPr="001A1F1A">
        <w:rPr>
          <w:rFonts w:ascii="Times New Roman" w:hAnsi="Times New Roman" w:cs="Times New Roman"/>
          <w:b/>
          <w:sz w:val="22"/>
        </w:rPr>
        <w:t xml:space="preserve"> Estimated Annual Reporting Burden</w:t>
      </w:r>
    </w:p>
    <w:tbl>
      <w:tblPr>
        <w:tblStyle w:val="TableGrid"/>
        <w:tblW w:w="4668" w:type="pct"/>
        <w:tblInd w:w="715" w:type="dxa"/>
        <w:tblLayout w:type="fixed"/>
        <w:tblLook w:val="00A0" w:firstRow="1" w:lastRow="0" w:firstColumn="1" w:lastColumn="0" w:noHBand="0" w:noVBand="0"/>
      </w:tblPr>
      <w:tblGrid>
        <w:gridCol w:w="1386"/>
        <w:gridCol w:w="1786"/>
        <w:gridCol w:w="1073"/>
        <w:gridCol w:w="1382"/>
        <w:gridCol w:w="1289"/>
        <w:gridCol w:w="1200"/>
        <w:gridCol w:w="824"/>
      </w:tblGrid>
      <w:tr w:rsidR="00B467CE" w:rsidRPr="001A1F1A" w14:paraId="1BAB74EB" w14:textId="77777777" w:rsidTr="001A1F1A">
        <w:trPr>
          <w:trHeight w:val="998"/>
        </w:trPr>
        <w:tc>
          <w:tcPr>
            <w:tcW w:w="775" w:type="pct"/>
            <w:shd w:val="clear" w:color="auto" w:fill="BFBFBF" w:themeFill="background1" w:themeFillShade="BF"/>
          </w:tcPr>
          <w:p w14:paraId="4CD6ED29" w14:textId="77777777" w:rsidR="009B5B5A" w:rsidRPr="001A1F1A" w:rsidRDefault="009B5B5A" w:rsidP="000C5CD3">
            <w:pPr>
              <w:rPr>
                <w:b/>
                <w:szCs w:val="22"/>
              </w:rPr>
            </w:pPr>
            <w:r w:rsidRPr="001A1F1A">
              <w:rPr>
                <w:b/>
                <w:szCs w:val="22"/>
              </w:rPr>
              <w:t>Type of Respondent</w:t>
            </w:r>
          </w:p>
        </w:tc>
        <w:tc>
          <w:tcPr>
            <w:tcW w:w="999" w:type="pct"/>
            <w:shd w:val="clear" w:color="auto" w:fill="BFBFBF" w:themeFill="background1" w:themeFillShade="BF"/>
          </w:tcPr>
          <w:p w14:paraId="6C55157C" w14:textId="77777777" w:rsidR="009B5B5A" w:rsidRPr="001A1F1A" w:rsidRDefault="009B5B5A" w:rsidP="000C5CD3">
            <w:pPr>
              <w:rPr>
                <w:b/>
                <w:szCs w:val="22"/>
              </w:rPr>
            </w:pPr>
            <w:r w:rsidRPr="001A1F1A">
              <w:rPr>
                <w:b/>
                <w:szCs w:val="22"/>
              </w:rPr>
              <w:t>Activity</w:t>
            </w:r>
          </w:p>
        </w:tc>
        <w:tc>
          <w:tcPr>
            <w:tcW w:w="600" w:type="pct"/>
            <w:shd w:val="clear" w:color="auto" w:fill="BFBFBF" w:themeFill="background1" w:themeFillShade="BF"/>
          </w:tcPr>
          <w:p w14:paraId="17261CDA" w14:textId="77777777" w:rsidR="009B5B5A" w:rsidRPr="001A1F1A" w:rsidRDefault="009B5B5A" w:rsidP="000C5CD3">
            <w:pPr>
              <w:rPr>
                <w:b/>
                <w:szCs w:val="22"/>
              </w:rPr>
            </w:pPr>
            <w:r w:rsidRPr="001A1F1A">
              <w:rPr>
                <w:b/>
                <w:szCs w:val="22"/>
              </w:rPr>
              <w:t>Number of Respondents</w:t>
            </w:r>
          </w:p>
        </w:tc>
        <w:tc>
          <w:tcPr>
            <w:tcW w:w="773" w:type="pct"/>
            <w:shd w:val="clear" w:color="auto" w:fill="BFBFBF" w:themeFill="background1" w:themeFillShade="BF"/>
          </w:tcPr>
          <w:p w14:paraId="2C2D92C4" w14:textId="77777777" w:rsidR="009B5B5A" w:rsidRPr="001A1F1A" w:rsidRDefault="009B5B5A" w:rsidP="000C5CD3">
            <w:pPr>
              <w:rPr>
                <w:b/>
                <w:szCs w:val="22"/>
              </w:rPr>
            </w:pPr>
            <w:r w:rsidRPr="001A1F1A">
              <w:rPr>
                <w:b/>
                <w:szCs w:val="22"/>
              </w:rPr>
              <w:t>Number of Responses per Respondent</w:t>
            </w:r>
          </w:p>
        </w:tc>
        <w:tc>
          <w:tcPr>
            <w:tcW w:w="721" w:type="pct"/>
            <w:shd w:val="clear" w:color="auto" w:fill="BFBFBF" w:themeFill="background1" w:themeFillShade="BF"/>
          </w:tcPr>
          <w:p w14:paraId="6B642C30" w14:textId="77777777" w:rsidR="009B5B5A" w:rsidRPr="001A1F1A" w:rsidRDefault="009B5B5A" w:rsidP="000C5CD3">
            <w:pPr>
              <w:rPr>
                <w:b/>
                <w:szCs w:val="22"/>
              </w:rPr>
            </w:pPr>
            <w:r w:rsidRPr="001A1F1A">
              <w:rPr>
                <w:b/>
                <w:szCs w:val="22"/>
              </w:rPr>
              <w:t>Total Responses</w:t>
            </w:r>
          </w:p>
        </w:tc>
        <w:tc>
          <w:tcPr>
            <w:tcW w:w="671" w:type="pct"/>
            <w:shd w:val="clear" w:color="auto" w:fill="BFBFBF" w:themeFill="background1" w:themeFillShade="BF"/>
          </w:tcPr>
          <w:p w14:paraId="7D00161C" w14:textId="77777777" w:rsidR="009B5B5A" w:rsidRPr="001A1F1A" w:rsidRDefault="009B5B5A" w:rsidP="000C5CD3">
            <w:pPr>
              <w:rPr>
                <w:b/>
                <w:szCs w:val="22"/>
              </w:rPr>
            </w:pPr>
            <w:r w:rsidRPr="001A1F1A">
              <w:rPr>
                <w:b/>
                <w:szCs w:val="22"/>
              </w:rPr>
              <w:t>Average Burden per Response (in hours)</w:t>
            </w:r>
          </w:p>
        </w:tc>
        <w:tc>
          <w:tcPr>
            <w:tcW w:w="461" w:type="pct"/>
            <w:shd w:val="clear" w:color="auto" w:fill="BFBFBF" w:themeFill="background1" w:themeFillShade="BF"/>
          </w:tcPr>
          <w:p w14:paraId="075D26F0" w14:textId="77777777" w:rsidR="009B5B5A" w:rsidRPr="001A1F1A" w:rsidRDefault="009B5B5A" w:rsidP="000C5CD3">
            <w:pPr>
              <w:rPr>
                <w:b/>
                <w:szCs w:val="22"/>
              </w:rPr>
            </w:pPr>
            <w:r w:rsidRPr="001A1F1A">
              <w:rPr>
                <w:b/>
                <w:szCs w:val="22"/>
              </w:rPr>
              <w:t>Total Hours</w:t>
            </w:r>
          </w:p>
        </w:tc>
      </w:tr>
      <w:tr w:rsidR="00B467CE" w:rsidRPr="001A1F1A" w14:paraId="56EAC40E" w14:textId="77777777" w:rsidTr="001A1F1A">
        <w:trPr>
          <w:trHeight w:val="550"/>
        </w:trPr>
        <w:tc>
          <w:tcPr>
            <w:tcW w:w="775" w:type="pct"/>
            <w:vAlign w:val="center"/>
          </w:tcPr>
          <w:p w14:paraId="1BB129E6" w14:textId="77777777" w:rsidR="009B5B5A" w:rsidRPr="001A1F1A" w:rsidRDefault="009B5B5A" w:rsidP="000C5CD3">
            <w:pPr>
              <w:rPr>
                <w:sz w:val="18"/>
              </w:rPr>
            </w:pPr>
            <w:r w:rsidRPr="001A1F1A">
              <w:rPr>
                <w:sz w:val="18"/>
              </w:rPr>
              <w:t>Screened Youth</w:t>
            </w:r>
          </w:p>
        </w:tc>
        <w:tc>
          <w:tcPr>
            <w:tcW w:w="999" w:type="pct"/>
            <w:vAlign w:val="center"/>
          </w:tcPr>
          <w:p w14:paraId="76A11DD0" w14:textId="77777777" w:rsidR="009B5B5A" w:rsidRPr="001A1F1A" w:rsidRDefault="009B5B5A" w:rsidP="000C5CD3">
            <w:pPr>
              <w:rPr>
                <w:sz w:val="18"/>
              </w:rPr>
            </w:pPr>
            <w:r w:rsidRPr="001A1F1A">
              <w:rPr>
                <w:sz w:val="18"/>
              </w:rPr>
              <w:t>Screener completion</w:t>
            </w:r>
          </w:p>
        </w:tc>
        <w:tc>
          <w:tcPr>
            <w:tcW w:w="600" w:type="pct"/>
            <w:vAlign w:val="center"/>
          </w:tcPr>
          <w:p w14:paraId="1E01BCC9" w14:textId="6A03784F" w:rsidR="009B5B5A" w:rsidRPr="001A1F1A" w:rsidRDefault="00401392" w:rsidP="000C5CD3">
            <w:pPr>
              <w:jc w:val="center"/>
              <w:rPr>
                <w:sz w:val="18"/>
              </w:rPr>
            </w:pPr>
            <w:r w:rsidRPr="001A1F1A">
              <w:rPr>
                <w:sz w:val="18"/>
              </w:rPr>
              <w:t>8,895</w:t>
            </w:r>
          </w:p>
        </w:tc>
        <w:tc>
          <w:tcPr>
            <w:tcW w:w="773" w:type="pct"/>
            <w:vAlign w:val="center"/>
          </w:tcPr>
          <w:p w14:paraId="43B42730" w14:textId="77777777" w:rsidR="009B5B5A" w:rsidRPr="001A1F1A" w:rsidRDefault="009B5B5A" w:rsidP="000C5CD3">
            <w:pPr>
              <w:jc w:val="center"/>
              <w:rPr>
                <w:sz w:val="18"/>
              </w:rPr>
            </w:pPr>
            <w:r w:rsidRPr="001A1F1A">
              <w:rPr>
                <w:sz w:val="18"/>
              </w:rPr>
              <w:t>1</w:t>
            </w:r>
          </w:p>
        </w:tc>
        <w:tc>
          <w:tcPr>
            <w:tcW w:w="721" w:type="pct"/>
            <w:vAlign w:val="center"/>
          </w:tcPr>
          <w:p w14:paraId="715030CE" w14:textId="754AD39C" w:rsidR="009B5B5A" w:rsidRPr="001A1F1A" w:rsidRDefault="00401392" w:rsidP="000C5CD3">
            <w:pPr>
              <w:jc w:val="center"/>
              <w:rPr>
                <w:sz w:val="18"/>
              </w:rPr>
            </w:pPr>
            <w:r w:rsidRPr="001A1F1A">
              <w:rPr>
                <w:sz w:val="18"/>
              </w:rPr>
              <w:t>8,895</w:t>
            </w:r>
          </w:p>
        </w:tc>
        <w:tc>
          <w:tcPr>
            <w:tcW w:w="671" w:type="pct"/>
            <w:vAlign w:val="center"/>
          </w:tcPr>
          <w:p w14:paraId="2C6D3CE8" w14:textId="2D7E8A80" w:rsidR="009B5B5A" w:rsidRPr="001A1F1A" w:rsidRDefault="009B5B5A" w:rsidP="000C5CD3">
            <w:pPr>
              <w:jc w:val="center"/>
              <w:rPr>
                <w:sz w:val="18"/>
              </w:rPr>
            </w:pPr>
            <w:r w:rsidRPr="001A1F1A">
              <w:rPr>
                <w:sz w:val="18"/>
              </w:rPr>
              <w:t>0.117</w:t>
            </w:r>
          </w:p>
        </w:tc>
        <w:tc>
          <w:tcPr>
            <w:tcW w:w="461" w:type="pct"/>
            <w:vAlign w:val="center"/>
          </w:tcPr>
          <w:p w14:paraId="75C663AC" w14:textId="5DBAE858" w:rsidR="009B5B5A" w:rsidRPr="001A1F1A" w:rsidRDefault="00FA4871" w:rsidP="00632ADF">
            <w:pPr>
              <w:jc w:val="center"/>
              <w:rPr>
                <w:sz w:val="18"/>
              </w:rPr>
            </w:pPr>
            <w:r w:rsidRPr="001A1F1A">
              <w:rPr>
                <w:sz w:val="18"/>
              </w:rPr>
              <w:t>1,</w:t>
            </w:r>
            <w:r w:rsidR="00C02D25" w:rsidRPr="001A1F1A">
              <w:rPr>
                <w:sz w:val="18"/>
              </w:rPr>
              <w:t>0</w:t>
            </w:r>
            <w:r w:rsidR="00C02D25">
              <w:rPr>
                <w:sz w:val="18"/>
              </w:rPr>
              <w:t>41</w:t>
            </w:r>
          </w:p>
        </w:tc>
      </w:tr>
      <w:tr w:rsidR="00B467CE" w:rsidRPr="001A1F1A" w14:paraId="0761B473" w14:textId="77777777" w:rsidTr="001A1F1A">
        <w:trPr>
          <w:trHeight w:val="351"/>
        </w:trPr>
        <w:tc>
          <w:tcPr>
            <w:tcW w:w="775" w:type="pct"/>
            <w:vAlign w:val="center"/>
          </w:tcPr>
          <w:p w14:paraId="07702F9F" w14:textId="77777777" w:rsidR="009B5B5A" w:rsidRPr="001A1F1A" w:rsidRDefault="009B5B5A" w:rsidP="000C5CD3">
            <w:pPr>
              <w:rPr>
                <w:sz w:val="18"/>
              </w:rPr>
            </w:pPr>
            <w:r w:rsidRPr="001A1F1A">
              <w:rPr>
                <w:sz w:val="18"/>
              </w:rPr>
              <w:t>Parents of Invited Youth</w:t>
            </w:r>
          </w:p>
        </w:tc>
        <w:tc>
          <w:tcPr>
            <w:tcW w:w="999" w:type="pct"/>
            <w:vAlign w:val="center"/>
          </w:tcPr>
          <w:p w14:paraId="75DF94C4" w14:textId="7C8AB490" w:rsidR="009B5B5A" w:rsidRPr="001A1F1A" w:rsidRDefault="009B5B5A" w:rsidP="000C5CD3">
            <w:pPr>
              <w:rPr>
                <w:sz w:val="18"/>
              </w:rPr>
            </w:pPr>
            <w:r w:rsidRPr="001A1F1A">
              <w:rPr>
                <w:sz w:val="18"/>
              </w:rPr>
              <w:t>Parental opt-out process</w:t>
            </w:r>
            <w:r w:rsidR="001A1F1A" w:rsidRPr="001A1F1A">
              <w:rPr>
                <w:sz w:val="18"/>
              </w:rPr>
              <w:t xml:space="preserve"> including Participant Electronic Communications</w:t>
            </w:r>
          </w:p>
        </w:tc>
        <w:tc>
          <w:tcPr>
            <w:tcW w:w="600" w:type="pct"/>
            <w:vAlign w:val="center"/>
          </w:tcPr>
          <w:p w14:paraId="1D5B1146" w14:textId="3C642D97" w:rsidR="009B5B5A" w:rsidRPr="001A1F1A" w:rsidRDefault="00FA4871" w:rsidP="000C5CD3">
            <w:pPr>
              <w:jc w:val="center"/>
              <w:rPr>
                <w:sz w:val="18"/>
              </w:rPr>
            </w:pPr>
            <w:r w:rsidRPr="001A1F1A">
              <w:rPr>
                <w:sz w:val="18"/>
              </w:rPr>
              <w:t>800</w:t>
            </w:r>
          </w:p>
        </w:tc>
        <w:tc>
          <w:tcPr>
            <w:tcW w:w="773" w:type="pct"/>
            <w:vAlign w:val="center"/>
          </w:tcPr>
          <w:p w14:paraId="49B27DD3" w14:textId="77777777" w:rsidR="009B5B5A" w:rsidRPr="001A1F1A" w:rsidRDefault="009B5B5A" w:rsidP="000C5CD3">
            <w:pPr>
              <w:jc w:val="center"/>
              <w:rPr>
                <w:sz w:val="18"/>
              </w:rPr>
            </w:pPr>
            <w:r w:rsidRPr="001A1F1A">
              <w:rPr>
                <w:sz w:val="18"/>
              </w:rPr>
              <w:t>1</w:t>
            </w:r>
          </w:p>
        </w:tc>
        <w:tc>
          <w:tcPr>
            <w:tcW w:w="721" w:type="pct"/>
            <w:vAlign w:val="center"/>
          </w:tcPr>
          <w:p w14:paraId="5F91E7DC" w14:textId="4FED0AC7" w:rsidR="009B5B5A" w:rsidRPr="001A1F1A" w:rsidRDefault="00FA4871" w:rsidP="001543EF">
            <w:pPr>
              <w:jc w:val="center"/>
              <w:rPr>
                <w:sz w:val="18"/>
              </w:rPr>
            </w:pPr>
            <w:r w:rsidRPr="001A1F1A">
              <w:rPr>
                <w:sz w:val="18"/>
              </w:rPr>
              <w:t>800</w:t>
            </w:r>
          </w:p>
        </w:tc>
        <w:tc>
          <w:tcPr>
            <w:tcW w:w="671" w:type="pct"/>
            <w:vAlign w:val="center"/>
          </w:tcPr>
          <w:p w14:paraId="7B78C573" w14:textId="66704D76" w:rsidR="009B5B5A" w:rsidRPr="001A1F1A" w:rsidRDefault="001A1F1A" w:rsidP="000C5CD3">
            <w:pPr>
              <w:jc w:val="center"/>
              <w:rPr>
                <w:sz w:val="18"/>
              </w:rPr>
            </w:pPr>
            <w:r w:rsidRPr="001A1F1A">
              <w:rPr>
                <w:sz w:val="18"/>
              </w:rPr>
              <w:t>0.</w:t>
            </w:r>
            <w:r w:rsidR="00F512DD">
              <w:rPr>
                <w:sz w:val="18"/>
              </w:rPr>
              <w:t>0</w:t>
            </w:r>
            <w:r w:rsidR="0020147F">
              <w:rPr>
                <w:sz w:val="18"/>
              </w:rPr>
              <w:t>83</w:t>
            </w:r>
          </w:p>
        </w:tc>
        <w:tc>
          <w:tcPr>
            <w:tcW w:w="461" w:type="pct"/>
            <w:vAlign w:val="center"/>
          </w:tcPr>
          <w:p w14:paraId="633BC782" w14:textId="48E79DBE" w:rsidR="009B5B5A" w:rsidRPr="001A1F1A" w:rsidRDefault="0020147F" w:rsidP="00632ADF">
            <w:pPr>
              <w:jc w:val="center"/>
              <w:rPr>
                <w:sz w:val="18"/>
              </w:rPr>
            </w:pPr>
            <w:r>
              <w:rPr>
                <w:sz w:val="18"/>
              </w:rPr>
              <w:t>66</w:t>
            </w:r>
          </w:p>
        </w:tc>
      </w:tr>
      <w:tr w:rsidR="00B467CE" w:rsidRPr="001A1F1A" w14:paraId="0C6E0013" w14:textId="77777777" w:rsidTr="001A1F1A">
        <w:trPr>
          <w:trHeight w:val="268"/>
        </w:trPr>
        <w:tc>
          <w:tcPr>
            <w:tcW w:w="775" w:type="pct"/>
            <w:vMerge w:val="restart"/>
            <w:vAlign w:val="center"/>
          </w:tcPr>
          <w:p w14:paraId="4A545AAC" w14:textId="77777777" w:rsidR="009B5B5A" w:rsidRPr="001A1F1A" w:rsidRDefault="009B5B5A" w:rsidP="000C5CD3">
            <w:pPr>
              <w:rPr>
                <w:sz w:val="18"/>
              </w:rPr>
            </w:pPr>
            <w:r w:rsidRPr="001A1F1A">
              <w:rPr>
                <w:sz w:val="18"/>
              </w:rPr>
              <w:t xml:space="preserve">Participants </w:t>
            </w:r>
          </w:p>
        </w:tc>
        <w:tc>
          <w:tcPr>
            <w:tcW w:w="999" w:type="pct"/>
            <w:vAlign w:val="center"/>
          </w:tcPr>
          <w:p w14:paraId="2127497C" w14:textId="486FD086" w:rsidR="009B5B5A" w:rsidRPr="001A1F1A" w:rsidRDefault="009B5B5A" w:rsidP="000C5CD3">
            <w:pPr>
              <w:rPr>
                <w:sz w:val="18"/>
              </w:rPr>
            </w:pPr>
            <w:r w:rsidRPr="001A1F1A">
              <w:rPr>
                <w:sz w:val="18"/>
              </w:rPr>
              <w:t xml:space="preserve">Youth </w:t>
            </w:r>
            <w:r w:rsidR="00BD4D87" w:rsidRPr="001A1F1A">
              <w:rPr>
                <w:sz w:val="18"/>
              </w:rPr>
              <w:t>assent/consent</w:t>
            </w:r>
            <w:r w:rsidR="001A1F1A" w:rsidRPr="001A1F1A">
              <w:rPr>
                <w:sz w:val="18"/>
              </w:rPr>
              <w:t xml:space="preserve"> including Participant Electronic Communications</w:t>
            </w:r>
          </w:p>
        </w:tc>
        <w:tc>
          <w:tcPr>
            <w:tcW w:w="600" w:type="pct"/>
            <w:vAlign w:val="center"/>
          </w:tcPr>
          <w:p w14:paraId="7B3ADB15" w14:textId="09314227" w:rsidR="009B5B5A" w:rsidRPr="001A1F1A" w:rsidRDefault="00231647" w:rsidP="000C5CD3">
            <w:pPr>
              <w:jc w:val="center"/>
              <w:rPr>
                <w:sz w:val="18"/>
              </w:rPr>
            </w:pPr>
            <w:r w:rsidRPr="001A1F1A">
              <w:rPr>
                <w:sz w:val="18"/>
              </w:rPr>
              <w:t>593</w:t>
            </w:r>
          </w:p>
        </w:tc>
        <w:tc>
          <w:tcPr>
            <w:tcW w:w="773" w:type="pct"/>
            <w:vAlign w:val="center"/>
          </w:tcPr>
          <w:p w14:paraId="1BF3A7F2" w14:textId="77777777" w:rsidR="009B5B5A" w:rsidRPr="001A1F1A" w:rsidRDefault="009B5B5A" w:rsidP="000C5CD3">
            <w:pPr>
              <w:jc w:val="center"/>
              <w:rPr>
                <w:sz w:val="18"/>
              </w:rPr>
            </w:pPr>
            <w:r w:rsidRPr="001A1F1A">
              <w:rPr>
                <w:sz w:val="18"/>
              </w:rPr>
              <w:t>1</w:t>
            </w:r>
          </w:p>
        </w:tc>
        <w:tc>
          <w:tcPr>
            <w:tcW w:w="721" w:type="pct"/>
            <w:vAlign w:val="center"/>
          </w:tcPr>
          <w:p w14:paraId="6D7EB75E" w14:textId="41C38C50" w:rsidR="009B5B5A" w:rsidRPr="001A1F1A" w:rsidRDefault="00231647" w:rsidP="000C5CD3">
            <w:pPr>
              <w:jc w:val="center"/>
              <w:rPr>
                <w:sz w:val="18"/>
              </w:rPr>
            </w:pPr>
            <w:r w:rsidRPr="001A1F1A">
              <w:rPr>
                <w:sz w:val="18"/>
              </w:rPr>
              <w:t>593</w:t>
            </w:r>
          </w:p>
        </w:tc>
        <w:tc>
          <w:tcPr>
            <w:tcW w:w="671" w:type="pct"/>
            <w:vAlign w:val="center"/>
          </w:tcPr>
          <w:p w14:paraId="314D83CA" w14:textId="2044D936" w:rsidR="009B5B5A" w:rsidRPr="001A1F1A" w:rsidRDefault="001A1F1A" w:rsidP="000C5CD3">
            <w:pPr>
              <w:jc w:val="center"/>
              <w:rPr>
                <w:sz w:val="18"/>
              </w:rPr>
            </w:pPr>
            <w:r w:rsidRPr="001A1F1A">
              <w:rPr>
                <w:sz w:val="18"/>
              </w:rPr>
              <w:t>0.10</w:t>
            </w:r>
          </w:p>
        </w:tc>
        <w:tc>
          <w:tcPr>
            <w:tcW w:w="461" w:type="pct"/>
            <w:vAlign w:val="center"/>
          </w:tcPr>
          <w:p w14:paraId="05C5B2EE" w14:textId="7BE37629" w:rsidR="009B5B5A" w:rsidRPr="001A1F1A" w:rsidRDefault="00F512DD" w:rsidP="000C5CD3">
            <w:pPr>
              <w:jc w:val="center"/>
              <w:rPr>
                <w:sz w:val="18"/>
              </w:rPr>
            </w:pPr>
            <w:r>
              <w:rPr>
                <w:sz w:val="18"/>
              </w:rPr>
              <w:t>5</w:t>
            </w:r>
            <w:r w:rsidR="00B66991">
              <w:rPr>
                <w:sz w:val="18"/>
              </w:rPr>
              <w:t>9</w:t>
            </w:r>
          </w:p>
        </w:tc>
      </w:tr>
      <w:tr w:rsidR="00B467CE" w:rsidRPr="001A1F1A" w14:paraId="70DEA1FE" w14:textId="77777777" w:rsidTr="001A1F1A">
        <w:trPr>
          <w:trHeight w:val="144"/>
        </w:trPr>
        <w:tc>
          <w:tcPr>
            <w:tcW w:w="775" w:type="pct"/>
            <w:vMerge/>
            <w:vAlign w:val="center"/>
          </w:tcPr>
          <w:p w14:paraId="73058170" w14:textId="77777777" w:rsidR="009B5B5A" w:rsidRPr="001A1F1A" w:rsidRDefault="009B5B5A" w:rsidP="000C5CD3">
            <w:pPr>
              <w:spacing w:after="120" w:line="480" w:lineRule="auto"/>
              <w:ind w:left="360"/>
              <w:rPr>
                <w:sz w:val="18"/>
              </w:rPr>
            </w:pPr>
          </w:p>
        </w:tc>
        <w:tc>
          <w:tcPr>
            <w:tcW w:w="999" w:type="pct"/>
            <w:vAlign w:val="center"/>
          </w:tcPr>
          <w:p w14:paraId="354389CB" w14:textId="6776C7E0" w:rsidR="009B5B5A" w:rsidRPr="001A1F1A" w:rsidRDefault="009B5B5A" w:rsidP="000C5CD3">
            <w:pPr>
              <w:rPr>
                <w:sz w:val="18"/>
              </w:rPr>
            </w:pPr>
            <w:r w:rsidRPr="001A1F1A">
              <w:rPr>
                <w:sz w:val="18"/>
              </w:rPr>
              <w:t>Questionnaire completion (ad-viewing group)</w:t>
            </w:r>
          </w:p>
        </w:tc>
        <w:tc>
          <w:tcPr>
            <w:tcW w:w="600" w:type="pct"/>
            <w:vAlign w:val="center"/>
          </w:tcPr>
          <w:p w14:paraId="7B09FDFE" w14:textId="67EEA1DE" w:rsidR="009B5B5A" w:rsidRPr="001A1F1A" w:rsidRDefault="00FA4871" w:rsidP="000C5CD3">
            <w:pPr>
              <w:jc w:val="center"/>
              <w:rPr>
                <w:sz w:val="18"/>
              </w:rPr>
            </w:pPr>
            <w:r w:rsidRPr="001A1F1A">
              <w:rPr>
                <w:sz w:val="18"/>
              </w:rPr>
              <w:t>444</w:t>
            </w:r>
          </w:p>
        </w:tc>
        <w:tc>
          <w:tcPr>
            <w:tcW w:w="773" w:type="pct"/>
            <w:vAlign w:val="center"/>
          </w:tcPr>
          <w:p w14:paraId="496203E4" w14:textId="77777777" w:rsidR="009B5B5A" w:rsidRPr="001A1F1A" w:rsidRDefault="009B5B5A" w:rsidP="000C5CD3">
            <w:pPr>
              <w:jc w:val="center"/>
              <w:rPr>
                <w:sz w:val="18"/>
              </w:rPr>
            </w:pPr>
            <w:r w:rsidRPr="001A1F1A">
              <w:rPr>
                <w:sz w:val="18"/>
              </w:rPr>
              <w:t>1</w:t>
            </w:r>
          </w:p>
        </w:tc>
        <w:tc>
          <w:tcPr>
            <w:tcW w:w="721" w:type="pct"/>
            <w:vAlign w:val="center"/>
          </w:tcPr>
          <w:p w14:paraId="503C1D2A" w14:textId="3C371D6F" w:rsidR="009B5B5A" w:rsidRPr="001A1F1A" w:rsidRDefault="00FA4871" w:rsidP="000C5CD3">
            <w:pPr>
              <w:jc w:val="center"/>
              <w:rPr>
                <w:sz w:val="18"/>
              </w:rPr>
            </w:pPr>
            <w:r w:rsidRPr="001A1F1A">
              <w:rPr>
                <w:sz w:val="18"/>
              </w:rPr>
              <w:t>444</w:t>
            </w:r>
          </w:p>
        </w:tc>
        <w:tc>
          <w:tcPr>
            <w:tcW w:w="671" w:type="pct"/>
            <w:vAlign w:val="center"/>
          </w:tcPr>
          <w:p w14:paraId="2D37BE35" w14:textId="66FA4B61" w:rsidR="009B5B5A" w:rsidRPr="001A1F1A" w:rsidRDefault="009B5B5A" w:rsidP="0073001A">
            <w:pPr>
              <w:jc w:val="center"/>
              <w:rPr>
                <w:sz w:val="18"/>
                <w:highlight w:val="cyan"/>
              </w:rPr>
            </w:pPr>
            <w:r w:rsidRPr="001A1F1A">
              <w:rPr>
                <w:sz w:val="18"/>
              </w:rPr>
              <w:t>0.417</w:t>
            </w:r>
          </w:p>
        </w:tc>
        <w:tc>
          <w:tcPr>
            <w:tcW w:w="461" w:type="pct"/>
            <w:vAlign w:val="center"/>
          </w:tcPr>
          <w:p w14:paraId="4E88CAF3" w14:textId="6D2B2D18" w:rsidR="009B5B5A" w:rsidRPr="001A1F1A" w:rsidRDefault="00E377A9" w:rsidP="000C5CD3">
            <w:pPr>
              <w:jc w:val="center"/>
              <w:rPr>
                <w:sz w:val="18"/>
                <w:highlight w:val="cyan"/>
              </w:rPr>
            </w:pPr>
            <w:r w:rsidRPr="001A1F1A">
              <w:rPr>
                <w:sz w:val="18"/>
              </w:rPr>
              <w:t>185</w:t>
            </w:r>
          </w:p>
        </w:tc>
      </w:tr>
      <w:tr w:rsidR="00B467CE" w:rsidRPr="001A1F1A" w14:paraId="7E8FA632" w14:textId="77777777" w:rsidTr="001A1F1A">
        <w:trPr>
          <w:trHeight w:val="144"/>
        </w:trPr>
        <w:tc>
          <w:tcPr>
            <w:tcW w:w="775" w:type="pct"/>
            <w:vMerge/>
            <w:vAlign w:val="center"/>
          </w:tcPr>
          <w:p w14:paraId="1AEEF76C" w14:textId="77777777" w:rsidR="009B5B5A" w:rsidRPr="001A1F1A" w:rsidRDefault="009B5B5A" w:rsidP="000C5CD3">
            <w:pPr>
              <w:spacing w:after="120" w:line="480" w:lineRule="auto"/>
              <w:ind w:left="360"/>
              <w:rPr>
                <w:sz w:val="18"/>
              </w:rPr>
            </w:pPr>
          </w:p>
        </w:tc>
        <w:tc>
          <w:tcPr>
            <w:tcW w:w="999" w:type="pct"/>
            <w:vAlign w:val="center"/>
          </w:tcPr>
          <w:p w14:paraId="5C969F5B" w14:textId="04AA74E0" w:rsidR="009B5B5A" w:rsidRPr="001A1F1A" w:rsidRDefault="009B5B5A" w:rsidP="000C5CD3">
            <w:pPr>
              <w:rPr>
                <w:sz w:val="18"/>
              </w:rPr>
            </w:pPr>
            <w:r w:rsidRPr="001A1F1A">
              <w:rPr>
                <w:sz w:val="18"/>
              </w:rPr>
              <w:t>Questionnaire completion (control group)</w:t>
            </w:r>
          </w:p>
        </w:tc>
        <w:tc>
          <w:tcPr>
            <w:tcW w:w="600" w:type="pct"/>
            <w:vAlign w:val="center"/>
          </w:tcPr>
          <w:p w14:paraId="196C5DF2" w14:textId="2C6DED34" w:rsidR="009B5B5A" w:rsidRPr="001A1F1A" w:rsidRDefault="00FA4871" w:rsidP="000C5CD3">
            <w:pPr>
              <w:jc w:val="center"/>
              <w:rPr>
                <w:sz w:val="18"/>
              </w:rPr>
            </w:pPr>
            <w:r w:rsidRPr="001A1F1A">
              <w:rPr>
                <w:sz w:val="18"/>
              </w:rPr>
              <w:t>149</w:t>
            </w:r>
          </w:p>
        </w:tc>
        <w:tc>
          <w:tcPr>
            <w:tcW w:w="773" w:type="pct"/>
            <w:vAlign w:val="center"/>
          </w:tcPr>
          <w:p w14:paraId="6D5CD85D" w14:textId="5E590C47" w:rsidR="009B5B5A" w:rsidRPr="001A1F1A" w:rsidRDefault="009B5B5A" w:rsidP="000C5CD3">
            <w:pPr>
              <w:jc w:val="center"/>
              <w:rPr>
                <w:sz w:val="18"/>
              </w:rPr>
            </w:pPr>
            <w:r w:rsidRPr="001A1F1A">
              <w:rPr>
                <w:sz w:val="18"/>
              </w:rPr>
              <w:t>1</w:t>
            </w:r>
          </w:p>
        </w:tc>
        <w:tc>
          <w:tcPr>
            <w:tcW w:w="721" w:type="pct"/>
            <w:vAlign w:val="center"/>
          </w:tcPr>
          <w:p w14:paraId="1DE5649E" w14:textId="1031A48F" w:rsidR="009B5B5A" w:rsidRPr="001A1F1A" w:rsidRDefault="00FA4871" w:rsidP="000C5CD3">
            <w:pPr>
              <w:jc w:val="center"/>
              <w:rPr>
                <w:sz w:val="18"/>
              </w:rPr>
            </w:pPr>
            <w:r w:rsidRPr="001A1F1A">
              <w:rPr>
                <w:sz w:val="18"/>
              </w:rPr>
              <w:t>149</w:t>
            </w:r>
          </w:p>
        </w:tc>
        <w:tc>
          <w:tcPr>
            <w:tcW w:w="671" w:type="pct"/>
            <w:vAlign w:val="center"/>
          </w:tcPr>
          <w:p w14:paraId="0451CC8E" w14:textId="5923D48A" w:rsidR="009B5B5A" w:rsidRPr="001A1F1A" w:rsidRDefault="009B5B5A" w:rsidP="000C5CD3">
            <w:pPr>
              <w:jc w:val="center"/>
              <w:rPr>
                <w:sz w:val="18"/>
              </w:rPr>
            </w:pPr>
            <w:r w:rsidRPr="001A1F1A">
              <w:rPr>
                <w:sz w:val="18"/>
              </w:rPr>
              <w:t>0.167</w:t>
            </w:r>
          </w:p>
        </w:tc>
        <w:tc>
          <w:tcPr>
            <w:tcW w:w="461" w:type="pct"/>
            <w:vAlign w:val="center"/>
          </w:tcPr>
          <w:p w14:paraId="51211E2E" w14:textId="5B82AC0F" w:rsidR="009B5B5A" w:rsidRPr="001A1F1A" w:rsidRDefault="00FA4871" w:rsidP="000C5CD3">
            <w:pPr>
              <w:jc w:val="center"/>
              <w:rPr>
                <w:sz w:val="18"/>
              </w:rPr>
            </w:pPr>
            <w:r w:rsidRPr="001A1F1A">
              <w:rPr>
                <w:sz w:val="18"/>
              </w:rPr>
              <w:t>25</w:t>
            </w:r>
          </w:p>
        </w:tc>
      </w:tr>
      <w:tr w:rsidR="00B467CE" w:rsidRPr="001A1F1A" w14:paraId="67C7EE90" w14:textId="77777777" w:rsidTr="001A1F1A">
        <w:trPr>
          <w:trHeight w:val="831"/>
        </w:trPr>
        <w:tc>
          <w:tcPr>
            <w:tcW w:w="775" w:type="pct"/>
            <w:vAlign w:val="center"/>
          </w:tcPr>
          <w:p w14:paraId="27F985AF" w14:textId="77777777" w:rsidR="009B5B5A" w:rsidRPr="001A1F1A" w:rsidRDefault="009B5B5A" w:rsidP="000C5CD3">
            <w:pPr>
              <w:rPr>
                <w:b/>
                <w:szCs w:val="22"/>
              </w:rPr>
            </w:pPr>
            <w:r w:rsidRPr="001A1F1A">
              <w:rPr>
                <w:b/>
                <w:szCs w:val="22"/>
              </w:rPr>
              <w:t>Total Annualized Hours</w:t>
            </w:r>
          </w:p>
        </w:tc>
        <w:tc>
          <w:tcPr>
            <w:tcW w:w="999" w:type="pct"/>
          </w:tcPr>
          <w:p w14:paraId="2A8A6085" w14:textId="77777777" w:rsidR="009B5B5A" w:rsidRPr="001A1F1A" w:rsidRDefault="009B5B5A" w:rsidP="000C5CD3">
            <w:pPr>
              <w:spacing w:after="120" w:line="480" w:lineRule="auto"/>
              <w:ind w:left="360"/>
              <w:rPr>
                <w:szCs w:val="22"/>
              </w:rPr>
            </w:pPr>
          </w:p>
        </w:tc>
        <w:tc>
          <w:tcPr>
            <w:tcW w:w="600" w:type="pct"/>
            <w:vAlign w:val="center"/>
          </w:tcPr>
          <w:p w14:paraId="19A58EE8" w14:textId="77777777" w:rsidR="009B5B5A" w:rsidRPr="001A1F1A" w:rsidRDefault="009B5B5A" w:rsidP="000C5CD3">
            <w:pPr>
              <w:spacing w:after="120" w:line="480" w:lineRule="auto"/>
              <w:ind w:left="360"/>
              <w:jc w:val="center"/>
              <w:rPr>
                <w:b/>
                <w:szCs w:val="22"/>
                <w:highlight w:val="yellow"/>
              </w:rPr>
            </w:pPr>
          </w:p>
        </w:tc>
        <w:tc>
          <w:tcPr>
            <w:tcW w:w="773" w:type="pct"/>
            <w:vAlign w:val="center"/>
          </w:tcPr>
          <w:p w14:paraId="7F6823C8" w14:textId="77777777" w:rsidR="009B5B5A" w:rsidRPr="001A1F1A" w:rsidRDefault="009B5B5A" w:rsidP="000C5CD3">
            <w:pPr>
              <w:spacing w:after="120" w:line="480" w:lineRule="auto"/>
              <w:ind w:left="360"/>
              <w:jc w:val="center"/>
              <w:rPr>
                <w:b/>
                <w:szCs w:val="22"/>
                <w:highlight w:val="yellow"/>
              </w:rPr>
            </w:pPr>
          </w:p>
        </w:tc>
        <w:tc>
          <w:tcPr>
            <w:tcW w:w="721" w:type="pct"/>
            <w:vAlign w:val="center"/>
          </w:tcPr>
          <w:p w14:paraId="5931B720" w14:textId="1A0D091A" w:rsidR="009B5B5A" w:rsidRPr="001A1F1A" w:rsidRDefault="009B5B5A" w:rsidP="000C5CD3">
            <w:pPr>
              <w:spacing w:after="120" w:line="480" w:lineRule="auto"/>
              <w:ind w:left="360"/>
              <w:jc w:val="center"/>
              <w:rPr>
                <w:b/>
                <w:szCs w:val="22"/>
                <w:highlight w:val="yellow"/>
              </w:rPr>
            </w:pPr>
          </w:p>
        </w:tc>
        <w:tc>
          <w:tcPr>
            <w:tcW w:w="671" w:type="pct"/>
            <w:vAlign w:val="center"/>
          </w:tcPr>
          <w:p w14:paraId="634B300C" w14:textId="77777777" w:rsidR="009B5B5A" w:rsidRPr="001A1F1A" w:rsidRDefault="009B5B5A" w:rsidP="000C5CD3">
            <w:pPr>
              <w:spacing w:after="120" w:line="480" w:lineRule="auto"/>
              <w:ind w:left="360"/>
              <w:jc w:val="center"/>
              <w:rPr>
                <w:b/>
                <w:szCs w:val="22"/>
                <w:highlight w:val="yellow"/>
              </w:rPr>
            </w:pPr>
          </w:p>
        </w:tc>
        <w:tc>
          <w:tcPr>
            <w:tcW w:w="461" w:type="pct"/>
            <w:vAlign w:val="center"/>
          </w:tcPr>
          <w:p w14:paraId="567F2C00" w14:textId="7DFC4E15" w:rsidR="009B5B5A" w:rsidRPr="001A1F1A" w:rsidRDefault="00F512DD" w:rsidP="001A1F1A">
            <w:pPr>
              <w:jc w:val="center"/>
              <w:rPr>
                <w:b/>
                <w:szCs w:val="22"/>
              </w:rPr>
            </w:pPr>
            <w:r>
              <w:rPr>
                <w:b/>
                <w:szCs w:val="22"/>
              </w:rPr>
              <w:t>1,376</w:t>
            </w:r>
          </w:p>
        </w:tc>
      </w:tr>
    </w:tbl>
    <w:p w14:paraId="10B8C3CA" w14:textId="77777777" w:rsidR="009B5B5A" w:rsidRPr="00BE5651" w:rsidRDefault="009B5B5A" w:rsidP="009C6AAC">
      <w:pPr>
        <w:spacing w:after="240"/>
        <w:rPr>
          <w:rFonts w:ascii="Times New Roman" w:hAnsi="Times New Roman" w:cs="Times New Roman"/>
          <w:u w:val="single"/>
        </w:rPr>
      </w:pPr>
    </w:p>
    <w:p w14:paraId="1B3BE3DE" w14:textId="77777777" w:rsidR="009B5B5A" w:rsidRPr="00BE5651" w:rsidRDefault="009B5B5A" w:rsidP="009C6AAC">
      <w:pPr>
        <w:spacing w:after="240"/>
        <w:ind w:left="720"/>
        <w:rPr>
          <w:rFonts w:ascii="Times New Roman" w:hAnsi="Times New Roman" w:cs="Times New Roman"/>
          <w:u w:val="single"/>
        </w:rPr>
      </w:pPr>
      <w:r w:rsidRPr="00BE5651">
        <w:rPr>
          <w:rFonts w:ascii="Times New Roman" w:hAnsi="Times New Roman" w:cs="Times New Roman"/>
          <w:u w:val="single"/>
        </w:rPr>
        <w:t>12b. Annualized Cost Burden Estimate</w:t>
      </w:r>
    </w:p>
    <w:p w14:paraId="63A17A10" w14:textId="460BC562" w:rsidR="009B5B5A" w:rsidRPr="006670B3" w:rsidRDefault="009B5B5A" w:rsidP="009C6AAC">
      <w:pPr>
        <w:pStyle w:val="BodyText2"/>
        <w:spacing w:after="240"/>
        <w:ind w:left="720"/>
        <w:rPr>
          <w:szCs w:val="24"/>
        </w:rPr>
      </w:pPr>
      <w:r w:rsidRPr="00BE5651">
        <w:rPr>
          <w:szCs w:val="24"/>
        </w:rPr>
        <w:t xml:space="preserve">Respondents participate on a voluntary basis and, therefore, are subject to no direct costs other than time to participate. There are also no start-up or maintenance costs. Rescue has conducted many </w:t>
      </w:r>
      <w:r w:rsidRPr="006670B3">
        <w:rPr>
          <w:szCs w:val="24"/>
        </w:rPr>
        <w:t xml:space="preserve">studies of similar length and content among youth. </w:t>
      </w:r>
    </w:p>
    <w:p w14:paraId="600B24D4" w14:textId="281FE242" w:rsidR="009B5B5A" w:rsidRPr="006670B3" w:rsidRDefault="009B5B5A" w:rsidP="009C6AAC">
      <w:pPr>
        <w:pStyle w:val="BodyText2"/>
        <w:spacing w:after="240"/>
        <w:ind w:left="720"/>
        <w:rPr>
          <w:szCs w:val="24"/>
        </w:rPr>
      </w:pPr>
      <w:r w:rsidRPr="006670B3">
        <w:rPr>
          <w:szCs w:val="24"/>
        </w:rPr>
        <w:t>To calculate this cost, an hourly wage of $7.25 was used for youth and $</w:t>
      </w:r>
      <w:r w:rsidR="00C41FB2" w:rsidRPr="006670B3">
        <w:rPr>
          <w:szCs w:val="24"/>
        </w:rPr>
        <w:t>23.86</w:t>
      </w:r>
      <w:r w:rsidRPr="006670B3">
        <w:rPr>
          <w:szCs w:val="24"/>
        </w:rPr>
        <w:t xml:space="preserve"> for parents. These prices represent the federal minimum wage and average hourly wages for US</w:t>
      </w:r>
      <w:r w:rsidR="00987753" w:rsidRPr="006670B3">
        <w:rPr>
          <w:szCs w:val="24"/>
        </w:rPr>
        <w:t xml:space="preserve"> youth and</w:t>
      </w:r>
      <w:r w:rsidRPr="006670B3">
        <w:rPr>
          <w:szCs w:val="24"/>
        </w:rPr>
        <w:t xml:space="preserve"> adults, respectively, according to the U.S. Department of Labor (DOL) Bureau of Labor Statistics. There are no direct costs to respondents associated with participation in this study. Thus, assuming an average hourly wage of $7.25 for youth and $</w:t>
      </w:r>
      <w:r w:rsidR="00390462" w:rsidRPr="006670B3">
        <w:rPr>
          <w:szCs w:val="24"/>
        </w:rPr>
        <w:t>23.86</w:t>
      </w:r>
      <w:r w:rsidRPr="006670B3">
        <w:rPr>
          <w:szCs w:val="24"/>
        </w:rPr>
        <w:t xml:space="preserve"> for parents, the estimated cost to participants will be </w:t>
      </w:r>
      <w:r w:rsidRPr="00794941">
        <w:rPr>
          <w:szCs w:val="24"/>
        </w:rPr>
        <w:t>$</w:t>
      </w:r>
      <w:r w:rsidR="00A57B10">
        <w:rPr>
          <w:szCs w:val="24"/>
        </w:rPr>
        <w:t>11,072.26</w:t>
      </w:r>
      <w:r w:rsidRPr="006670B3">
        <w:rPr>
          <w:szCs w:val="24"/>
        </w:rPr>
        <w:t xml:space="preserve">. The estimated value of respondents’ time for participating is summarized in Exhibit </w:t>
      </w:r>
      <w:r w:rsidR="00962D75" w:rsidRPr="006670B3">
        <w:rPr>
          <w:szCs w:val="24"/>
        </w:rPr>
        <w:t>2</w:t>
      </w:r>
      <w:r w:rsidRPr="006670B3">
        <w:rPr>
          <w:szCs w:val="24"/>
        </w:rPr>
        <w:t>.</w:t>
      </w:r>
    </w:p>
    <w:p w14:paraId="2690BBB3" w14:textId="537E7C95" w:rsidR="009B5B5A" w:rsidRPr="006670B3" w:rsidRDefault="009B5B5A" w:rsidP="009E75BD">
      <w:pPr>
        <w:keepNext/>
        <w:keepLines/>
        <w:spacing w:before="240" w:after="240"/>
        <w:ind w:left="720"/>
        <w:rPr>
          <w:rFonts w:ascii="Times New Roman" w:hAnsi="Times New Roman" w:cs="Times New Roman"/>
          <w:b/>
        </w:rPr>
      </w:pPr>
      <w:r w:rsidRPr="006670B3">
        <w:rPr>
          <w:rFonts w:ascii="Times New Roman" w:hAnsi="Times New Roman" w:cs="Times New Roman"/>
          <w:b/>
        </w:rPr>
        <w:t xml:space="preserve">Exhibit </w:t>
      </w:r>
      <w:r w:rsidR="00962D75" w:rsidRPr="006670B3">
        <w:rPr>
          <w:rFonts w:ascii="Times New Roman" w:hAnsi="Times New Roman" w:cs="Times New Roman"/>
          <w:b/>
        </w:rPr>
        <w:t>2</w:t>
      </w:r>
      <w:r w:rsidRPr="006670B3">
        <w:rPr>
          <w:rFonts w:ascii="Times New Roman" w:hAnsi="Times New Roman" w:cs="Times New Roman"/>
          <w:b/>
        </w:rPr>
        <w:t>. Estimated Annual Cost</w:t>
      </w:r>
    </w:p>
    <w:tbl>
      <w:tblPr>
        <w:tblStyle w:val="TableGrid"/>
        <w:tblW w:w="4668" w:type="pct"/>
        <w:tblInd w:w="715" w:type="dxa"/>
        <w:tblLook w:val="00A0" w:firstRow="1" w:lastRow="0" w:firstColumn="1" w:lastColumn="0" w:noHBand="0" w:noVBand="0"/>
      </w:tblPr>
      <w:tblGrid>
        <w:gridCol w:w="1833"/>
        <w:gridCol w:w="2360"/>
        <w:gridCol w:w="1663"/>
        <w:gridCol w:w="1219"/>
        <w:gridCol w:w="1865"/>
      </w:tblGrid>
      <w:tr w:rsidR="00B175B8" w:rsidRPr="006670B3" w14:paraId="092AD5A5" w14:textId="77777777" w:rsidTr="006670B3">
        <w:tc>
          <w:tcPr>
            <w:tcW w:w="1025" w:type="pct"/>
            <w:shd w:val="clear" w:color="auto" w:fill="BFBFBF" w:themeFill="background1" w:themeFillShade="BF"/>
          </w:tcPr>
          <w:p w14:paraId="197D7DF9" w14:textId="77777777" w:rsidR="009B5B5A" w:rsidRPr="006670B3" w:rsidRDefault="009B5B5A" w:rsidP="000C5CD3">
            <w:pPr>
              <w:rPr>
                <w:sz w:val="22"/>
                <w:szCs w:val="22"/>
              </w:rPr>
            </w:pPr>
            <w:r w:rsidRPr="006670B3">
              <w:rPr>
                <w:b/>
                <w:sz w:val="22"/>
                <w:szCs w:val="22"/>
              </w:rPr>
              <w:t>Type of Respondent</w:t>
            </w:r>
          </w:p>
        </w:tc>
        <w:tc>
          <w:tcPr>
            <w:tcW w:w="1320" w:type="pct"/>
            <w:shd w:val="clear" w:color="auto" w:fill="BFBFBF" w:themeFill="background1" w:themeFillShade="BF"/>
          </w:tcPr>
          <w:p w14:paraId="7E5678EB" w14:textId="77777777" w:rsidR="009B5B5A" w:rsidRPr="006670B3" w:rsidRDefault="009B5B5A" w:rsidP="000C5CD3">
            <w:pPr>
              <w:keepNext/>
              <w:spacing w:before="60" w:after="60"/>
              <w:rPr>
                <w:b/>
                <w:sz w:val="22"/>
                <w:szCs w:val="22"/>
              </w:rPr>
            </w:pPr>
            <w:r w:rsidRPr="006670B3">
              <w:rPr>
                <w:b/>
                <w:sz w:val="22"/>
                <w:szCs w:val="22"/>
              </w:rPr>
              <w:t>Activity</w:t>
            </w:r>
          </w:p>
        </w:tc>
        <w:tc>
          <w:tcPr>
            <w:tcW w:w="930" w:type="pct"/>
            <w:shd w:val="clear" w:color="auto" w:fill="BFBFBF" w:themeFill="background1" w:themeFillShade="BF"/>
          </w:tcPr>
          <w:p w14:paraId="5669C9CE" w14:textId="77777777" w:rsidR="009B5B5A" w:rsidRPr="006670B3" w:rsidRDefault="009B5B5A" w:rsidP="000C5CD3">
            <w:pPr>
              <w:keepNext/>
              <w:spacing w:before="60" w:after="60"/>
              <w:rPr>
                <w:b/>
                <w:sz w:val="22"/>
                <w:szCs w:val="22"/>
              </w:rPr>
            </w:pPr>
            <w:r w:rsidRPr="006670B3">
              <w:rPr>
                <w:b/>
                <w:sz w:val="22"/>
                <w:szCs w:val="22"/>
              </w:rPr>
              <w:t>Annual Burden Hours</w:t>
            </w:r>
          </w:p>
        </w:tc>
        <w:tc>
          <w:tcPr>
            <w:tcW w:w="682" w:type="pct"/>
            <w:shd w:val="clear" w:color="auto" w:fill="BFBFBF" w:themeFill="background1" w:themeFillShade="BF"/>
          </w:tcPr>
          <w:p w14:paraId="336FB62F" w14:textId="77777777" w:rsidR="009B5B5A" w:rsidRPr="006670B3" w:rsidRDefault="009B5B5A" w:rsidP="000C5CD3">
            <w:pPr>
              <w:keepNext/>
              <w:spacing w:before="60" w:after="60"/>
              <w:rPr>
                <w:b/>
                <w:sz w:val="22"/>
                <w:szCs w:val="22"/>
              </w:rPr>
            </w:pPr>
            <w:r w:rsidRPr="006670B3">
              <w:rPr>
                <w:b/>
                <w:sz w:val="22"/>
                <w:szCs w:val="22"/>
              </w:rPr>
              <w:t>Hourly Wage Rate</w:t>
            </w:r>
          </w:p>
        </w:tc>
        <w:tc>
          <w:tcPr>
            <w:tcW w:w="1043" w:type="pct"/>
            <w:shd w:val="clear" w:color="auto" w:fill="BFBFBF" w:themeFill="background1" w:themeFillShade="BF"/>
          </w:tcPr>
          <w:p w14:paraId="5FACF473" w14:textId="77777777" w:rsidR="009B5B5A" w:rsidRPr="006670B3" w:rsidRDefault="009B5B5A" w:rsidP="000C5CD3">
            <w:pPr>
              <w:keepNext/>
              <w:spacing w:before="60" w:after="60"/>
              <w:rPr>
                <w:b/>
                <w:sz w:val="22"/>
                <w:szCs w:val="22"/>
              </w:rPr>
            </w:pPr>
            <w:r w:rsidRPr="006670B3">
              <w:rPr>
                <w:b/>
                <w:sz w:val="22"/>
                <w:szCs w:val="22"/>
              </w:rPr>
              <w:t>Total Cost</w:t>
            </w:r>
          </w:p>
        </w:tc>
      </w:tr>
      <w:tr w:rsidR="006670B3" w:rsidRPr="006670B3" w14:paraId="6F364271" w14:textId="77777777" w:rsidTr="006670B3">
        <w:tc>
          <w:tcPr>
            <w:tcW w:w="1025" w:type="pct"/>
            <w:vAlign w:val="center"/>
          </w:tcPr>
          <w:p w14:paraId="4B52C3B4" w14:textId="1C7B31CF" w:rsidR="006670B3" w:rsidRPr="006670B3" w:rsidRDefault="006670B3" w:rsidP="006344D8">
            <w:pPr>
              <w:spacing w:before="60" w:after="60"/>
            </w:pPr>
            <w:r w:rsidRPr="006670B3">
              <w:t>Screened Youth</w:t>
            </w:r>
          </w:p>
        </w:tc>
        <w:tc>
          <w:tcPr>
            <w:tcW w:w="1320" w:type="pct"/>
            <w:vAlign w:val="center"/>
          </w:tcPr>
          <w:p w14:paraId="412AA309" w14:textId="77777777" w:rsidR="006670B3" w:rsidRPr="006670B3" w:rsidRDefault="006670B3" w:rsidP="000C5CD3">
            <w:pPr>
              <w:spacing w:before="60" w:after="60"/>
            </w:pPr>
            <w:r w:rsidRPr="006670B3">
              <w:t>Screener completion</w:t>
            </w:r>
          </w:p>
        </w:tc>
        <w:tc>
          <w:tcPr>
            <w:tcW w:w="930" w:type="pct"/>
            <w:vAlign w:val="center"/>
          </w:tcPr>
          <w:p w14:paraId="1BBD7786" w14:textId="3842EB9C" w:rsidR="006670B3" w:rsidRPr="00794941" w:rsidRDefault="006670B3" w:rsidP="00CA18F8">
            <w:pPr>
              <w:autoSpaceDE w:val="0"/>
              <w:autoSpaceDN w:val="0"/>
              <w:adjustRightInd w:val="0"/>
              <w:spacing w:before="200" w:after="80"/>
              <w:ind w:left="547" w:hanging="547"/>
              <w:jc w:val="center"/>
              <w:outlineLvl w:val="3"/>
            </w:pPr>
            <w:r w:rsidRPr="006670B3">
              <w:t>1,</w:t>
            </w:r>
            <w:r w:rsidR="00B66991" w:rsidRPr="006670B3">
              <w:t>0</w:t>
            </w:r>
            <w:r w:rsidR="00B66991">
              <w:t>41</w:t>
            </w:r>
          </w:p>
        </w:tc>
        <w:tc>
          <w:tcPr>
            <w:tcW w:w="682" w:type="pct"/>
            <w:vAlign w:val="center"/>
          </w:tcPr>
          <w:p w14:paraId="4E9F0EB2" w14:textId="77777777" w:rsidR="006670B3" w:rsidRPr="006670B3" w:rsidRDefault="006670B3" w:rsidP="000C5CD3">
            <w:pPr>
              <w:autoSpaceDE w:val="0"/>
              <w:autoSpaceDN w:val="0"/>
              <w:adjustRightInd w:val="0"/>
              <w:jc w:val="center"/>
            </w:pPr>
            <w:r w:rsidRPr="006670B3">
              <w:t>$7.25</w:t>
            </w:r>
          </w:p>
        </w:tc>
        <w:tc>
          <w:tcPr>
            <w:tcW w:w="1043" w:type="pct"/>
            <w:vAlign w:val="center"/>
          </w:tcPr>
          <w:p w14:paraId="47039349" w14:textId="3F70B976" w:rsidR="006670B3" w:rsidRPr="00794941" w:rsidRDefault="006670B3" w:rsidP="00CA18F8">
            <w:pPr>
              <w:autoSpaceDE w:val="0"/>
              <w:autoSpaceDN w:val="0"/>
              <w:adjustRightInd w:val="0"/>
              <w:jc w:val="center"/>
            </w:pPr>
            <w:r w:rsidRPr="00794941">
              <w:t>$7,</w:t>
            </w:r>
            <w:r w:rsidR="00B66991" w:rsidRPr="00794941">
              <w:t>5</w:t>
            </w:r>
            <w:r w:rsidR="00B66991">
              <w:t>47</w:t>
            </w:r>
            <w:r w:rsidRPr="00794941">
              <w:t>.25</w:t>
            </w:r>
          </w:p>
        </w:tc>
      </w:tr>
      <w:tr w:rsidR="006670B3" w:rsidRPr="006670B3" w14:paraId="32E9535B" w14:textId="77777777" w:rsidTr="006670B3">
        <w:tc>
          <w:tcPr>
            <w:tcW w:w="1025" w:type="pct"/>
            <w:vAlign w:val="center"/>
          </w:tcPr>
          <w:p w14:paraId="0F9FCA9C" w14:textId="15BBDC13" w:rsidR="006670B3" w:rsidRPr="006670B3" w:rsidRDefault="006670B3" w:rsidP="006344D8">
            <w:pPr>
              <w:spacing w:before="60" w:after="60"/>
            </w:pPr>
            <w:r w:rsidRPr="006670B3">
              <w:t>Parents of Invited Youth</w:t>
            </w:r>
          </w:p>
        </w:tc>
        <w:tc>
          <w:tcPr>
            <w:tcW w:w="1320" w:type="pct"/>
            <w:vAlign w:val="center"/>
          </w:tcPr>
          <w:p w14:paraId="002C8955" w14:textId="76D2B978" w:rsidR="006670B3" w:rsidRPr="006670B3" w:rsidRDefault="006670B3" w:rsidP="000C5CD3">
            <w:pPr>
              <w:spacing w:before="60" w:after="60"/>
            </w:pPr>
            <w:r w:rsidRPr="006670B3">
              <w:t>Parental opt-out process</w:t>
            </w:r>
          </w:p>
        </w:tc>
        <w:tc>
          <w:tcPr>
            <w:tcW w:w="930" w:type="pct"/>
            <w:vAlign w:val="center"/>
          </w:tcPr>
          <w:p w14:paraId="479D405E" w14:textId="6287C858" w:rsidR="006670B3" w:rsidRPr="00794941" w:rsidRDefault="00B66991" w:rsidP="00CA18F8">
            <w:pPr>
              <w:autoSpaceDE w:val="0"/>
              <w:autoSpaceDN w:val="0"/>
              <w:adjustRightInd w:val="0"/>
              <w:spacing w:before="200" w:after="80"/>
              <w:ind w:left="547" w:hanging="547"/>
              <w:jc w:val="center"/>
              <w:outlineLvl w:val="3"/>
            </w:pPr>
            <w:r>
              <w:t>66</w:t>
            </w:r>
          </w:p>
        </w:tc>
        <w:tc>
          <w:tcPr>
            <w:tcW w:w="682" w:type="pct"/>
            <w:vAlign w:val="center"/>
          </w:tcPr>
          <w:p w14:paraId="76BB42B8" w14:textId="2523AE50" w:rsidR="006670B3" w:rsidRPr="006670B3" w:rsidRDefault="006670B3" w:rsidP="000C5CD3">
            <w:pPr>
              <w:autoSpaceDE w:val="0"/>
              <w:autoSpaceDN w:val="0"/>
              <w:adjustRightInd w:val="0"/>
              <w:jc w:val="center"/>
            </w:pPr>
            <w:r w:rsidRPr="006670B3">
              <w:t>$23.86</w:t>
            </w:r>
          </w:p>
        </w:tc>
        <w:tc>
          <w:tcPr>
            <w:tcW w:w="1043" w:type="pct"/>
            <w:vAlign w:val="center"/>
          </w:tcPr>
          <w:p w14:paraId="08FB7CA4" w14:textId="2790DD77" w:rsidR="006670B3" w:rsidRPr="00794941" w:rsidRDefault="00CA18F8" w:rsidP="001A1F1A">
            <w:pPr>
              <w:autoSpaceDE w:val="0"/>
              <w:autoSpaceDN w:val="0"/>
              <w:adjustRightInd w:val="0"/>
              <w:jc w:val="center"/>
            </w:pPr>
            <w:r>
              <w:t>$1,</w:t>
            </w:r>
            <w:r w:rsidR="00B66991">
              <w:t>574</w:t>
            </w:r>
            <w:r w:rsidR="001A1F1A">
              <w:t>.</w:t>
            </w:r>
            <w:r w:rsidR="00B66991">
              <w:t>76</w:t>
            </w:r>
          </w:p>
        </w:tc>
      </w:tr>
      <w:tr w:rsidR="006670B3" w:rsidRPr="006670B3" w14:paraId="72B0853A" w14:textId="77777777" w:rsidTr="006670B3">
        <w:tc>
          <w:tcPr>
            <w:tcW w:w="1025" w:type="pct"/>
            <w:vMerge w:val="restart"/>
            <w:vAlign w:val="center"/>
          </w:tcPr>
          <w:p w14:paraId="3C2F913E" w14:textId="77777777" w:rsidR="006670B3" w:rsidRPr="006670B3" w:rsidRDefault="006670B3" w:rsidP="000C5CD3">
            <w:pPr>
              <w:spacing w:before="60" w:after="60"/>
            </w:pPr>
            <w:r w:rsidRPr="006670B3">
              <w:t>Participants</w:t>
            </w:r>
          </w:p>
        </w:tc>
        <w:tc>
          <w:tcPr>
            <w:tcW w:w="1320" w:type="pct"/>
            <w:vAlign w:val="center"/>
          </w:tcPr>
          <w:p w14:paraId="07E3C06F" w14:textId="1A3C8680" w:rsidR="006670B3" w:rsidRPr="006670B3" w:rsidRDefault="006670B3" w:rsidP="000C5CD3">
            <w:pPr>
              <w:keepNext/>
              <w:spacing w:before="60" w:after="60"/>
            </w:pPr>
            <w:r w:rsidRPr="006670B3">
              <w:t>Youth assent/consent</w:t>
            </w:r>
          </w:p>
        </w:tc>
        <w:tc>
          <w:tcPr>
            <w:tcW w:w="930" w:type="pct"/>
            <w:vAlign w:val="center"/>
          </w:tcPr>
          <w:p w14:paraId="475A0BAF" w14:textId="53169E5C" w:rsidR="006670B3" w:rsidRPr="00794941" w:rsidRDefault="00F512DD" w:rsidP="006344D8">
            <w:pPr>
              <w:autoSpaceDE w:val="0"/>
              <w:autoSpaceDN w:val="0"/>
              <w:adjustRightInd w:val="0"/>
              <w:jc w:val="center"/>
            </w:pPr>
            <w:r>
              <w:t>5</w:t>
            </w:r>
            <w:r w:rsidR="00B66991">
              <w:t>9</w:t>
            </w:r>
          </w:p>
        </w:tc>
        <w:tc>
          <w:tcPr>
            <w:tcW w:w="682" w:type="pct"/>
            <w:vAlign w:val="center"/>
          </w:tcPr>
          <w:p w14:paraId="647F1C9A" w14:textId="77777777" w:rsidR="006670B3" w:rsidRPr="006670B3" w:rsidRDefault="006670B3" w:rsidP="000C5CD3">
            <w:pPr>
              <w:autoSpaceDE w:val="0"/>
              <w:autoSpaceDN w:val="0"/>
              <w:adjustRightInd w:val="0"/>
              <w:jc w:val="center"/>
            </w:pPr>
            <w:r w:rsidRPr="006670B3">
              <w:t>$7.25</w:t>
            </w:r>
          </w:p>
        </w:tc>
        <w:tc>
          <w:tcPr>
            <w:tcW w:w="1043" w:type="pct"/>
            <w:vAlign w:val="center"/>
          </w:tcPr>
          <w:p w14:paraId="7B792C97" w14:textId="3B15ED3A" w:rsidR="006670B3" w:rsidRPr="006670B3" w:rsidRDefault="006670B3" w:rsidP="001A1F1A">
            <w:pPr>
              <w:autoSpaceDE w:val="0"/>
              <w:autoSpaceDN w:val="0"/>
              <w:adjustRightInd w:val="0"/>
              <w:jc w:val="center"/>
            </w:pPr>
            <w:r w:rsidRPr="006670B3">
              <w:t>$</w:t>
            </w:r>
            <w:r w:rsidR="00F512DD">
              <w:t>427.75</w:t>
            </w:r>
          </w:p>
        </w:tc>
      </w:tr>
      <w:tr w:rsidR="006670B3" w:rsidRPr="006670B3" w14:paraId="5A064812" w14:textId="77777777" w:rsidTr="006670B3">
        <w:tc>
          <w:tcPr>
            <w:tcW w:w="1025" w:type="pct"/>
            <w:vMerge/>
            <w:vAlign w:val="center"/>
          </w:tcPr>
          <w:p w14:paraId="78F40352" w14:textId="77777777" w:rsidR="006670B3" w:rsidRPr="006670B3" w:rsidRDefault="006670B3" w:rsidP="000C5CD3">
            <w:pPr>
              <w:spacing w:before="60" w:after="60"/>
            </w:pPr>
          </w:p>
        </w:tc>
        <w:tc>
          <w:tcPr>
            <w:tcW w:w="1320" w:type="pct"/>
            <w:vAlign w:val="center"/>
          </w:tcPr>
          <w:p w14:paraId="4430475E" w14:textId="77777777" w:rsidR="006670B3" w:rsidRPr="006670B3" w:rsidDel="00841491" w:rsidRDefault="006670B3" w:rsidP="000C5CD3">
            <w:pPr>
              <w:keepNext/>
              <w:spacing w:before="60" w:after="60"/>
            </w:pPr>
            <w:r w:rsidRPr="006670B3">
              <w:t>Questionnaire completion (ad-viewing group)</w:t>
            </w:r>
          </w:p>
        </w:tc>
        <w:tc>
          <w:tcPr>
            <w:tcW w:w="930" w:type="pct"/>
            <w:vAlign w:val="center"/>
          </w:tcPr>
          <w:p w14:paraId="0B2EAE41" w14:textId="676ED3D1" w:rsidR="006670B3" w:rsidRPr="00794941" w:rsidRDefault="006670B3" w:rsidP="006344D8">
            <w:pPr>
              <w:autoSpaceDE w:val="0"/>
              <w:autoSpaceDN w:val="0"/>
              <w:adjustRightInd w:val="0"/>
              <w:jc w:val="center"/>
            </w:pPr>
            <w:r w:rsidRPr="006670B3">
              <w:t>185</w:t>
            </w:r>
          </w:p>
        </w:tc>
        <w:tc>
          <w:tcPr>
            <w:tcW w:w="682" w:type="pct"/>
            <w:vAlign w:val="center"/>
          </w:tcPr>
          <w:p w14:paraId="18DFA392" w14:textId="77777777" w:rsidR="006670B3" w:rsidRPr="006670B3" w:rsidRDefault="006670B3" w:rsidP="000C5CD3">
            <w:pPr>
              <w:autoSpaceDE w:val="0"/>
              <w:autoSpaceDN w:val="0"/>
              <w:adjustRightInd w:val="0"/>
              <w:jc w:val="center"/>
            </w:pPr>
            <w:r w:rsidRPr="006670B3">
              <w:t>$7.25</w:t>
            </w:r>
          </w:p>
        </w:tc>
        <w:tc>
          <w:tcPr>
            <w:tcW w:w="1043" w:type="pct"/>
            <w:vAlign w:val="center"/>
          </w:tcPr>
          <w:p w14:paraId="5692D51B" w14:textId="7F7EE28F" w:rsidR="006670B3" w:rsidRPr="006670B3" w:rsidRDefault="006670B3" w:rsidP="006670B3">
            <w:pPr>
              <w:autoSpaceDE w:val="0"/>
              <w:autoSpaceDN w:val="0"/>
              <w:adjustRightInd w:val="0"/>
              <w:jc w:val="center"/>
            </w:pPr>
            <w:r w:rsidRPr="006670B3">
              <w:t>$1,341.25</w:t>
            </w:r>
          </w:p>
        </w:tc>
      </w:tr>
      <w:tr w:rsidR="006670B3" w:rsidRPr="006670B3" w14:paraId="2BB5A647" w14:textId="77777777" w:rsidTr="006670B3">
        <w:tc>
          <w:tcPr>
            <w:tcW w:w="1025" w:type="pct"/>
            <w:vMerge/>
            <w:vAlign w:val="center"/>
          </w:tcPr>
          <w:p w14:paraId="0984AC5C" w14:textId="77777777" w:rsidR="006670B3" w:rsidRPr="00794941" w:rsidRDefault="006670B3" w:rsidP="000C5CD3">
            <w:pPr>
              <w:spacing w:before="60" w:after="60"/>
            </w:pPr>
          </w:p>
        </w:tc>
        <w:tc>
          <w:tcPr>
            <w:tcW w:w="1320" w:type="pct"/>
            <w:vAlign w:val="center"/>
          </w:tcPr>
          <w:p w14:paraId="41D4ED49" w14:textId="72B8C76F" w:rsidR="006670B3" w:rsidRPr="006670B3" w:rsidRDefault="006670B3" w:rsidP="000C5CD3">
            <w:pPr>
              <w:keepNext/>
              <w:spacing w:before="60" w:after="60"/>
            </w:pPr>
            <w:r w:rsidRPr="006670B3">
              <w:t>Questionnaire completion (control group)</w:t>
            </w:r>
          </w:p>
        </w:tc>
        <w:tc>
          <w:tcPr>
            <w:tcW w:w="930" w:type="pct"/>
            <w:vAlign w:val="center"/>
          </w:tcPr>
          <w:p w14:paraId="209FD546" w14:textId="41C68036" w:rsidR="006670B3" w:rsidRPr="00794941" w:rsidRDefault="006670B3" w:rsidP="006344D8">
            <w:pPr>
              <w:autoSpaceDE w:val="0"/>
              <w:autoSpaceDN w:val="0"/>
              <w:adjustRightInd w:val="0"/>
              <w:jc w:val="center"/>
            </w:pPr>
            <w:r w:rsidRPr="006670B3">
              <w:t>25</w:t>
            </w:r>
          </w:p>
        </w:tc>
        <w:tc>
          <w:tcPr>
            <w:tcW w:w="682" w:type="pct"/>
            <w:vAlign w:val="center"/>
          </w:tcPr>
          <w:p w14:paraId="2EC5AA69" w14:textId="02516FA1" w:rsidR="006670B3" w:rsidRPr="006670B3" w:rsidRDefault="006670B3" w:rsidP="000C5CD3">
            <w:pPr>
              <w:autoSpaceDE w:val="0"/>
              <w:autoSpaceDN w:val="0"/>
              <w:adjustRightInd w:val="0"/>
              <w:jc w:val="center"/>
            </w:pPr>
            <w:r w:rsidRPr="006670B3">
              <w:t>$7.25</w:t>
            </w:r>
          </w:p>
        </w:tc>
        <w:tc>
          <w:tcPr>
            <w:tcW w:w="1043" w:type="pct"/>
            <w:vAlign w:val="center"/>
          </w:tcPr>
          <w:p w14:paraId="702738A9" w14:textId="77315F9F" w:rsidR="006670B3" w:rsidRPr="006670B3" w:rsidRDefault="006670B3" w:rsidP="003C3236">
            <w:pPr>
              <w:autoSpaceDE w:val="0"/>
              <w:autoSpaceDN w:val="0"/>
              <w:adjustRightInd w:val="0"/>
              <w:jc w:val="center"/>
            </w:pPr>
            <w:r w:rsidRPr="006670B3">
              <w:t>$181.25</w:t>
            </w:r>
          </w:p>
        </w:tc>
      </w:tr>
      <w:tr w:rsidR="006670B3" w:rsidRPr="006670B3" w14:paraId="2E9F1164" w14:textId="77777777" w:rsidTr="006670B3">
        <w:tc>
          <w:tcPr>
            <w:tcW w:w="1025" w:type="pct"/>
            <w:vAlign w:val="center"/>
          </w:tcPr>
          <w:p w14:paraId="3E07BD85" w14:textId="77777777" w:rsidR="006670B3" w:rsidRPr="00794941" w:rsidRDefault="006670B3" w:rsidP="000C5CD3">
            <w:pPr>
              <w:spacing w:before="60" w:after="60"/>
              <w:rPr>
                <w:b/>
                <w:sz w:val="22"/>
                <w:szCs w:val="22"/>
              </w:rPr>
            </w:pPr>
            <w:r w:rsidRPr="006670B3">
              <w:rPr>
                <w:b/>
                <w:sz w:val="22"/>
                <w:szCs w:val="22"/>
              </w:rPr>
              <w:t>Total</w:t>
            </w:r>
          </w:p>
        </w:tc>
        <w:tc>
          <w:tcPr>
            <w:tcW w:w="1320" w:type="pct"/>
            <w:vAlign w:val="center"/>
          </w:tcPr>
          <w:p w14:paraId="49FE6F22" w14:textId="77777777" w:rsidR="006670B3" w:rsidRPr="006670B3" w:rsidRDefault="006670B3" w:rsidP="000C5CD3">
            <w:pPr>
              <w:keepNext/>
              <w:spacing w:before="60" w:after="60" w:line="480" w:lineRule="auto"/>
              <w:ind w:left="360"/>
              <w:rPr>
                <w:b/>
                <w:sz w:val="22"/>
                <w:szCs w:val="22"/>
              </w:rPr>
            </w:pPr>
          </w:p>
        </w:tc>
        <w:tc>
          <w:tcPr>
            <w:tcW w:w="930" w:type="pct"/>
            <w:vAlign w:val="center"/>
          </w:tcPr>
          <w:p w14:paraId="40FA40B2" w14:textId="2CBC8ADB" w:rsidR="006670B3" w:rsidRPr="00794941" w:rsidRDefault="006670B3" w:rsidP="00107F73">
            <w:pPr>
              <w:autoSpaceDE w:val="0"/>
              <w:autoSpaceDN w:val="0"/>
              <w:adjustRightInd w:val="0"/>
              <w:jc w:val="center"/>
              <w:rPr>
                <w:b/>
                <w:sz w:val="22"/>
                <w:szCs w:val="22"/>
              </w:rPr>
            </w:pPr>
            <w:r w:rsidRPr="006670B3">
              <w:rPr>
                <w:b/>
                <w:sz w:val="22"/>
                <w:szCs w:val="22"/>
              </w:rPr>
              <w:t>1,</w:t>
            </w:r>
            <w:r w:rsidR="00B66991" w:rsidRPr="006670B3">
              <w:rPr>
                <w:b/>
                <w:sz w:val="22"/>
                <w:szCs w:val="22"/>
              </w:rPr>
              <w:t>3</w:t>
            </w:r>
            <w:r w:rsidR="00F512DD">
              <w:rPr>
                <w:b/>
                <w:sz w:val="22"/>
                <w:szCs w:val="22"/>
              </w:rPr>
              <w:t>7</w:t>
            </w:r>
            <w:r w:rsidR="00B66991">
              <w:rPr>
                <w:b/>
                <w:sz w:val="22"/>
                <w:szCs w:val="22"/>
              </w:rPr>
              <w:t>6</w:t>
            </w:r>
          </w:p>
        </w:tc>
        <w:tc>
          <w:tcPr>
            <w:tcW w:w="682" w:type="pct"/>
            <w:vAlign w:val="center"/>
          </w:tcPr>
          <w:p w14:paraId="5B90C23B" w14:textId="77777777" w:rsidR="006670B3" w:rsidRPr="006670B3" w:rsidRDefault="006670B3" w:rsidP="000C5CD3">
            <w:pPr>
              <w:autoSpaceDE w:val="0"/>
              <w:autoSpaceDN w:val="0"/>
              <w:adjustRightInd w:val="0"/>
              <w:spacing w:after="120" w:line="480" w:lineRule="auto"/>
              <w:ind w:left="360"/>
              <w:jc w:val="center"/>
              <w:rPr>
                <w:b/>
                <w:sz w:val="22"/>
                <w:szCs w:val="22"/>
              </w:rPr>
            </w:pPr>
          </w:p>
        </w:tc>
        <w:tc>
          <w:tcPr>
            <w:tcW w:w="1043" w:type="pct"/>
            <w:vAlign w:val="center"/>
          </w:tcPr>
          <w:p w14:paraId="5B783BE8" w14:textId="2C3776A1" w:rsidR="006670B3" w:rsidRPr="006670B3" w:rsidRDefault="00F512DD" w:rsidP="00A57B10">
            <w:pPr>
              <w:autoSpaceDE w:val="0"/>
              <w:autoSpaceDN w:val="0"/>
              <w:adjustRightInd w:val="0"/>
              <w:rPr>
                <w:b/>
                <w:sz w:val="22"/>
                <w:szCs w:val="22"/>
              </w:rPr>
            </w:pPr>
            <w:r>
              <w:rPr>
                <w:b/>
                <w:sz w:val="22"/>
                <w:szCs w:val="22"/>
              </w:rPr>
              <w:t>$11,072.26</w:t>
            </w:r>
          </w:p>
        </w:tc>
      </w:tr>
    </w:tbl>
    <w:p w14:paraId="503450FB" w14:textId="77777777" w:rsidR="009B5B5A" w:rsidRPr="006670B3" w:rsidRDefault="009B5B5A" w:rsidP="009C6AAC">
      <w:pPr>
        <w:spacing w:before="100" w:beforeAutospacing="1" w:after="240"/>
        <w:ind w:left="360"/>
        <w:rPr>
          <w:rFonts w:ascii="Times New Roman" w:hAnsi="Times New Roman" w:cs="Times New Roman"/>
          <w:u w:val="single"/>
        </w:rPr>
      </w:pPr>
      <w:r w:rsidRPr="006670B3">
        <w:rPr>
          <w:rFonts w:ascii="Times New Roman" w:hAnsi="Times New Roman" w:cs="Times New Roman"/>
          <w:u w:val="single"/>
        </w:rPr>
        <w:t>13. Estimates of Other Total Annual Costs to Respondents and/or Recordkeepers/Capital Costs</w:t>
      </w:r>
    </w:p>
    <w:p w14:paraId="021390C4" w14:textId="77777777" w:rsidR="009B5B5A" w:rsidRPr="00BE5651" w:rsidRDefault="009B5B5A" w:rsidP="009C6AAC">
      <w:pPr>
        <w:spacing w:after="240"/>
        <w:ind w:left="720"/>
        <w:rPr>
          <w:rFonts w:ascii="Times New Roman" w:hAnsi="Times New Roman" w:cs="Times New Roman"/>
          <w:u w:val="single"/>
        </w:rPr>
      </w:pPr>
      <w:r w:rsidRPr="006670B3">
        <w:rPr>
          <w:rFonts w:ascii="Times New Roman" w:hAnsi="Times New Roman" w:cs="Times New Roman"/>
        </w:rPr>
        <w:t>There are no capital, start-up, operating, or maintenance costs associated with this information collection.</w:t>
      </w:r>
    </w:p>
    <w:p w14:paraId="43A5720A" w14:textId="77777777" w:rsidR="009B5B5A" w:rsidRPr="00F97D8F" w:rsidRDefault="009B5B5A" w:rsidP="009C6AAC">
      <w:pPr>
        <w:spacing w:before="100" w:beforeAutospacing="1" w:after="240"/>
        <w:ind w:left="360"/>
        <w:rPr>
          <w:rFonts w:ascii="Times New Roman" w:hAnsi="Times New Roman" w:cs="Times New Roman"/>
          <w:u w:val="single"/>
        </w:rPr>
      </w:pPr>
      <w:r w:rsidRPr="00F97D8F">
        <w:rPr>
          <w:rFonts w:ascii="Times New Roman" w:hAnsi="Times New Roman" w:cs="Times New Roman"/>
          <w:u w:val="single"/>
        </w:rPr>
        <w:t>14. Annualized Cost to the Federal Government</w:t>
      </w:r>
    </w:p>
    <w:p w14:paraId="3D14C460" w14:textId="2158FF3E" w:rsidR="009B5B5A" w:rsidRPr="00BE5651" w:rsidRDefault="009B5B5A" w:rsidP="009C6AAC">
      <w:pPr>
        <w:spacing w:after="240"/>
        <w:ind w:left="720"/>
        <w:rPr>
          <w:rFonts w:ascii="Times New Roman" w:hAnsi="Times New Roman" w:cs="Times New Roman"/>
        </w:rPr>
      </w:pPr>
      <w:r w:rsidRPr="004018EB">
        <w:rPr>
          <w:rFonts w:ascii="Times New Roman" w:hAnsi="Times New Roman" w:cs="Times New Roman"/>
        </w:rPr>
        <w:t>This information collection is funded through a contract with Rescue. The total estimated costs attributable to this data collecti</w:t>
      </w:r>
      <w:r w:rsidR="00E63AE6" w:rsidRPr="004018EB">
        <w:rPr>
          <w:rFonts w:ascii="Times New Roman" w:hAnsi="Times New Roman" w:cs="Times New Roman"/>
        </w:rPr>
        <w:t xml:space="preserve">on </w:t>
      </w:r>
      <w:r w:rsidR="00E63AE6" w:rsidRPr="00E22715">
        <w:rPr>
          <w:rFonts w:ascii="Times New Roman" w:hAnsi="Times New Roman" w:cs="Times New Roman"/>
        </w:rPr>
        <w:t>are $</w:t>
      </w:r>
      <w:r w:rsidR="00E22715" w:rsidRPr="00E22715">
        <w:rPr>
          <w:rFonts w:ascii="Times New Roman" w:hAnsi="Times New Roman" w:cs="Times New Roman"/>
        </w:rPr>
        <w:t>89</w:t>
      </w:r>
      <w:r w:rsidR="00BB6E28">
        <w:rPr>
          <w:rFonts w:ascii="Times New Roman" w:hAnsi="Times New Roman" w:cs="Times New Roman"/>
        </w:rPr>
        <w:t xml:space="preserve">9,219.40 </w:t>
      </w:r>
      <w:r w:rsidRPr="00E22715">
        <w:rPr>
          <w:rFonts w:ascii="Times New Roman" w:hAnsi="Times New Roman" w:cs="Times New Roman"/>
        </w:rPr>
        <w:t>(Exhibit</w:t>
      </w:r>
      <w:r w:rsidR="00D11F21" w:rsidRPr="00E22715">
        <w:rPr>
          <w:rFonts w:ascii="Times New Roman" w:hAnsi="Times New Roman" w:cs="Times New Roman"/>
        </w:rPr>
        <w:t xml:space="preserve"> </w:t>
      </w:r>
      <w:r w:rsidR="00962D75" w:rsidRPr="00E22715">
        <w:rPr>
          <w:rFonts w:ascii="Times New Roman" w:hAnsi="Times New Roman" w:cs="Times New Roman"/>
        </w:rPr>
        <w:t>3</w:t>
      </w:r>
      <w:r w:rsidRPr="00E22715">
        <w:rPr>
          <w:rFonts w:ascii="Times New Roman" w:hAnsi="Times New Roman" w:cs="Times New Roman"/>
        </w:rPr>
        <w:t>). There are additional contract-funded activities occurring before and after this data collection that include project planning and data analysis. Other activities outside</w:t>
      </w:r>
      <w:r w:rsidRPr="004018EB">
        <w:rPr>
          <w:rFonts w:ascii="Times New Roman" w:hAnsi="Times New Roman" w:cs="Times New Roman"/>
        </w:rPr>
        <w:t xml:space="preserve"> this data collection include coordination with FDA, data collection plan development, instrument development, reporting, IRB, and progress reporting and project management. This information collection will occur in </w:t>
      </w:r>
      <w:r w:rsidR="004E3A9A" w:rsidRPr="004018EB">
        <w:rPr>
          <w:rFonts w:ascii="Times New Roman" w:hAnsi="Times New Roman" w:cs="Times New Roman"/>
        </w:rPr>
        <w:t>2018</w:t>
      </w:r>
      <w:r w:rsidRPr="004018EB">
        <w:rPr>
          <w:rFonts w:ascii="Times New Roman" w:hAnsi="Times New Roman" w:cs="Times New Roman"/>
        </w:rPr>
        <w:t>.</w:t>
      </w:r>
    </w:p>
    <w:p w14:paraId="60BE6014" w14:textId="11EED34F" w:rsidR="009B5B5A" w:rsidRPr="00F029F7" w:rsidRDefault="009B5B5A" w:rsidP="00F029F7">
      <w:pPr>
        <w:ind w:left="720"/>
        <w:rPr>
          <w:rFonts w:ascii="Times New Roman" w:hAnsi="Times New Roman" w:cs="Times New Roman"/>
          <w:b/>
        </w:rPr>
      </w:pPr>
      <w:r w:rsidRPr="00F029F7">
        <w:rPr>
          <w:rFonts w:ascii="Times New Roman" w:hAnsi="Times New Roman" w:cs="Times New Roman"/>
          <w:b/>
        </w:rPr>
        <w:t>E</w:t>
      </w:r>
      <w:r w:rsidR="00D11F21" w:rsidRPr="00F029F7">
        <w:rPr>
          <w:rFonts w:ascii="Times New Roman" w:hAnsi="Times New Roman" w:cs="Times New Roman"/>
          <w:b/>
        </w:rPr>
        <w:t xml:space="preserve">xhibit </w:t>
      </w:r>
      <w:r w:rsidR="00962D75">
        <w:rPr>
          <w:rFonts w:ascii="Times New Roman" w:hAnsi="Times New Roman" w:cs="Times New Roman"/>
          <w:b/>
        </w:rPr>
        <w:t>3</w:t>
      </w:r>
      <w:r w:rsidRPr="00F029F7">
        <w:rPr>
          <w:rFonts w:ascii="Times New Roman" w:hAnsi="Times New Roman" w:cs="Times New Roman"/>
          <w:b/>
        </w:rPr>
        <w:t>. Itemized Cost to the Federal Government</w:t>
      </w:r>
    </w:p>
    <w:tbl>
      <w:tblPr>
        <w:tblStyle w:val="TableGrid"/>
        <w:tblW w:w="4619" w:type="pct"/>
        <w:tblInd w:w="715" w:type="dxa"/>
        <w:tblCellMar>
          <w:left w:w="115" w:type="dxa"/>
          <w:right w:w="115" w:type="dxa"/>
        </w:tblCellMar>
        <w:tblLook w:val="04A0" w:firstRow="1" w:lastRow="0" w:firstColumn="1" w:lastColumn="0" w:noHBand="0" w:noVBand="1"/>
      </w:tblPr>
      <w:tblGrid>
        <w:gridCol w:w="2031"/>
        <w:gridCol w:w="2108"/>
        <w:gridCol w:w="2691"/>
        <w:gridCol w:w="2029"/>
      </w:tblGrid>
      <w:tr w:rsidR="008D743F" w:rsidRPr="00BE5651" w14:paraId="169A055D" w14:textId="77777777" w:rsidTr="00F029F7">
        <w:trPr>
          <w:trHeight w:val="107"/>
        </w:trPr>
        <w:tc>
          <w:tcPr>
            <w:tcW w:w="1146" w:type="pct"/>
            <w:shd w:val="clear" w:color="auto" w:fill="BFBFBF" w:themeFill="background1" w:themeFillShade="BF"/>
            <w:hideMark/>
          </w:tcPr>
          <w:p w14:paraId="0278CADE" w14:textId="77777777" w:rsidR="009B5B5A" w:rsidRPr="00BE5651" w:rsidRDefault="009B5B5A" w:rsidP="000C5CD3">
            <w:pPr>
              <w:pStyle w:val="FigureTitle"/>
              <w:spacing w:before="0" w:after="120"/>
              <w:ind w:hanging="24"/>
              <w:outlineLvl w:val="3"/>
              <w:rPr>
                <w:sz w:val="24"/>
                <w:szCs w:val="24"/>
              </w:rPr>
            </w:pPr>
            <w:r w:rsidRPr="00BE5651">
              <w:rPr>
                <w:sz w:val="24"/>
                <w:szCs w:val="24"/>
              </w:rPr>
              <w:t>Government Personnel</w:t>
            </w:r>
          </w:p>
        </w:tc>
        <w:tc>
          <w:tcPr>
            <w:tcW w:w="1190" w:type="pct"/>
            <w:shd w:val="clear" w:color="auto" w:fill="BFBFBF" w:themeFill="background1" w:themeFillShade="BF"/>
            <w:hideMark/>
          </w:tcPr>
          <w:p w14:paraId="6F0B53D4" w14:textId="77777777" w:rsidR="009B5B5A" w:rsidRPr="00BE5651" w:rsidRDefault="009B5B5A" w:rsidP="000C5CD3">
            <w:pPr>
              <w:pStyle w:val="FigureTitle"/>
              <w:spacing w:before="0" w:after="120"/>
              <w:ind w:left="45" w:hanging="52"/>
              <w:outlineLvl w:val="3"/>
              <w:rPr>
                <w:sz w:val="24"/>
                <w:szCs w:val="24"/>
              </w:rPr>
            </w:pPr>
            <w:r w:rsidRPr="00BE5651">
              <w:rPr>
                <w:sz w:val="24"/>
                <w:szCs w:val="24"/>
              </w:rPr>
              <w:t>Time Commitment</w:t>
            </w:r>
          </w:p>
        </w:tc>
        <w:tc>
          <w:tcPr>
            <w:tcW w:w="1519" w:type="pct"/>
            <w:shd w:val="clear" w:color="auto" w:fill="BFBFBF" w:themeFill="background1" w:themeFillShade="BF"/>
            <w:hideMark/>
          </w:tcPr>
          <w:p w14:paraId="209BDA2A" w14:textId="77777777" w:rsidR="009B5B5A" w:rsidRPr="00BE5651" w:rsidRDefault="009B5B5A" w:rsidP="000C5CD3">
            <w:pPr>
              <w:pStyle w:val="FigureTitle"/>
              <w:spacing w:before="0" w:after="120"/>
              <w:ind w:hanging="13"/>
              <w:outlineLvl w:val="3"/>
              <w:rPr>
                <w:sz w:val="24"/>
                <w:szCs w:val="24"/>
              </w:rPr>
            </w:pPr>
            <w:r w:rsidRPr="00BE5651">
              <w:rPr>
                <w:sz w:val="24"/>
                <w:szCs w:val="24"/>
              </w:rPr>
              <w:t>Average Annual Salary</w:t>
            </w:r>
          </w:p>
        </w:tc>
        <w:tc>
          <w:tcPr>
            <w:tcW w:w="1145" w:type="pct"/>
            <w:shd w:val="clear" w:color="auto" w:fill="BFBFBF" w:themeFill="background1" w:themeFillShade="BF"/>
            <w:hideMark/>
          </w:tcPr>
          <w:p w14:paraId="160D4844" w14:textId="77777777" w:rsidR="009B5B5A" w:rsidRPr="00BE5651" w:rsidRDefault="009B5B5A" w:rsidP="000C5CD3">
            <w:pPr>
              <w:pStyle w:val="FigureTitle"/>
              <w:spacing w:before="0" w:after="120"/>
              <w:ind w:hanging="9"/>
              <w:outlineLvl w:val="3"/>
              <w:rPr>
                <w:sz w:val="24"/>
                <w:szCs w:val="24"/>
              </w:rPr>
            </w:pPr>
            <w:r w:rsidRPr="00BE5651">
              <w:rPr>
                <w:sz w:val="24"/>
                <w:szCs w:val="24"/>
              </w:rPr>
              <w:t>Total</w:t>
            </w:r>
          </w:p>
        </w:tc>
      </w:tr>
      <w:tr w:rsidR="008D743F" w:rsidRPr="00BE5651" w14:paraId="23D53B1B" w14:textId="77777777" w:rsidTr="00F029F7">
        <w:trPr>
          <w:trHeight w:val="288"/>
        </w:trPr>
        <w:tc>
          <w:tcPr>
            <w:tcW w:w="1146" w:type="pct"/>
            <w:hideMark/>
          </w:tcPr>
          <w:p w14:paraId="2DCC7E27" w14:textId="77777777" w:rsidR="009B5B5A" w:rsidRPr="00BB6E28" w:rsidRDefault="009B5B5A" w:rsidP="009C6AAC">
            <w:pPr>
              <w:pStyle w:val="FigureTitle"/>
              <w:spacing w:before="0" w:after="60"/>
              <w:jc w:val="center"/>
              <w:rPr>
                <w:b w:val="0"/>
                <w:sz w:val="24"/>
                <w:szCs w:val="24"/>
              </w:rPr>
            </w:pPr>
            <w:r w:rsidRPr="00BB6E28">
              <w:rPr>
                <w:b w:val="0"/>
                <w:bCs/>
                <w:szCs w:val="24"/>
              </w:rPr>
              <w:t>GS-13</w:t>
            </w:r>
          </w:p>
        </w:tc>
        <w:tc>
          <w:tcPr>
            <w:tcW w:w="1190" w:type="pct"/>
            <w:hideMark/>
          </w:tcPr>
          <w:p w14:paraId="19106EF2" w14:textId="77777777" w:rsidR="009B5B5A" w:rsidRPr="00BB6E28" w:rsidRDefault="009B5B5A" w:rsidP="009C6AAC">
            <w:pPr>
              <w:pStyle w:val="FigureTitle"/>
              <w:spacing w:before="0" w:after="60"/>
              <w:jc w:val="center"/>
              <w:rPr>
                <w:b w:val="0"/>
                <w:sz w:val="24"/>
                <w:szCs w:val="24"/>
              </w:rPr>
            </w:pPr>
            <w:r w:rsidRPr="00BB6E28">
              <w:rPr>
                <w:b w:val="0"/>
                <w:bCs/>
                <w:szCs w:val="24"/>
              </w:rPr>
              <w:t>5%</w:t>
            </w:r>
          </w:p>
        </w:tc>
        <w:tc>
          <w:tcPr>
            <w:tcW w:w="1519" w:type="pct"/>
            <w:hideMark/>
          </w:tcPr>
          <w:p w14:paraId="267CE60C" w14:textId="63059F5B" w:rsidR="009B5B5A" w:rsidRPr="00BB6E28" w:rsidRDefault="009B5B5A" w:rsidP="00BB6E28">
            <w:pPr>
              <w:pStyle w:val="FigureTitle"/>
              <w:spacing w:before="0" w:after="60"/>
              <w:jc w:val="right"/>
              <w:rPr>
                <w:b w:val="0"/>
                <w:sz w:val="24"/>
                <w:szCs w:val="24"/>
              </w:rPr>
            </w:pPr>
            <w:r w:rsidRPr="00BB6E28">
              <w:rPr>
                <w:b w:val="0"/>
                <w:bCs/>
                <w:szCs w:val="24"/>
              </w:rPr>
              <w:t xml:space="preserve">$ </w:t>
            </w:r>
            <w:r w:rsidR="00BB6E28" w:rsidRPr="00BB6E28">
              <w:rPr>
                <w:b w:val="0"/>
                <w:bCs/>
                <w:szCs w:val="24"/>
              </w:rPr>
              <w:t>94,796</w:t>
            </w:r>
          </w:p>
        </w:tc>
        <w:tc>
          <w:tcPr>
            <w:tcW w:w="1145" w:type="pct"/>
            <w:hideMark/>
          </w:tcPr>
          <w:p w14:paraId="209233AD" w14:textId="1874F850" w:rsidR="009B5B5A" w:rsidRPr="00BB6E28" w:rsidRDefault="00BB6E28" w:rsidP="009C6AAC">
            <w:pPr>
              <w:pStyle w:val="FigureTitle"/>
              <w:spacing w:before="0" w:after="60"/>
              <w:jc w:val="right"/>
              <w:rPr>
                <w:b w:val="0"/>
                <w:sz w:val="24"/>
                <w:szCs w:val="24"/>
              </w:rPr>
            </w:pPr>
            <w:r w:rsidRPr="00BB6E28">
              <w:rPr>
                <w:b w:val="0"/>
                <w:bCs/>
                <w:szCs w:val="24"/>
              </w:rPr>
              <w:t>4,739.80</w:t>
            </w:r>
          </w:p>
        </w:tc>
      </w:tr>
      <w:tr w:rsidR="00BB6E28" w:rsidRPr="00BE5651" w14:paraId="09715026" w14:textId="77777777" w:rsidTr="00F029F7">
        <w:trPr>
          <w:trHeight w:val="288"/>
        </w:trPr>
        <w:tc>
          <w:tcPr>
            <w:tcW w:w="1146" w:type="pct"/>
            <w:hideMark/>
          </w:tcPr>
          <w:p w14:paraId="46494AAF" w14:textId="77777777" w:rsidR="00BB6E28" w:rsidRPr="00BB6E28" w:rsidRDefault="00BB6E28" w:rsidP="009C6AAC">
            <w:pPr>
              <w:pStyle w:val="FigureTitle"/>
              <w:spacing w:before="0" w:after="60"/>
              <w:jc w:val="center"/>
              <w:rPr>
                <w:b w:val="0"/>
                <w:sz w:val="24"/>
                <w:szCs w:val="24"/>
              </w:rPr>
            </w:pPr>
            <w:r w:rsidRPr="00BB6E28">
              <w:rPr>
                <w:b w:val="0"/>
                <w:bCs/>
                <w:szCs w:val="24"/>
              </w:rPr>
              <w:t>GS-13</w:t>
            </w:r>
          </w:p>
        </w:tc>
        <w:tc>
          <w:tcPr>
            <w:tcW w:w="1190" w:type="pct"/>
            <w:hideMark/>
          </w:tcPr>
          <w:p w14:paraId="04C2E72E" w14:textId="77777777" w:rsidR="00BB6E28" w:rsidRPr="00BB6E28" w:rsidRDefault="00BB6E28" w:rsidP="009C6AAC">
            <w:pPr>
              <w:pStyle w:val="FigureTitle"/>
              <w:spacing w:before="0" w:after="60"/>
              <w:jc w:val="center"/>
              <w:rPr>
                <w:b w:val="0"/>
                <w:sz w:val="24"/>
                <w:szCs w:val="24"/>
              </w:rPr>
            </w:pPr>
            <w:r w:rsidRPr="00BB6E28">
              <w:rPr>
                <w:b w:val="0"/>
                <w:bCs/>
                <w:szCs w:val="24"/>
              </w:rPr>
              <w:t>10%</w:t>
            </w:r>
          </w:p>
        </w:tc>
        <w:tc>
          <w:tcPr>
            <w:tcW w:w="1519" w:type="pct"/>
            <w:hideMark/>
          </w:tcPr>
          <w:p w14:paraId="442B8DC0" w14:textId="5531705D" w:rsidR="00BB6E28" w:rsidRPr="00BB6E28" w:rsidRDefault="00BB6E28" w:rsidP="009C6AAC">
            <w:pPr>
              <w:pStyle w:val="FigureTitle"/>
              <w:spacing w:before="0" w:after="60"/>
              <w:jc w:val="right"/>
              <w:rPr>
                <w:b w:val="0"/>
                <w:sz w:val="24"/>
                <w:szCs w:val="24"/>
              </w:rPr>
            </w:pPr>
            <w:r w:rsidRPr="00BB6E28">
              <w:rPr>
                <w:b w:val="0"/>
                <w:bCs/>
                <w:szCs w:val="24"/>
              </w:rPr>
              <w:t>$ 94,796</w:t>
            </w:r>
          </w:p>
        </w:tc>
        <w:tc>
          <w:tcPr>
            <w:tcW w:w="1145" w:type="pct"/>
            <w:hideMark/>
          </w:tcPr>
          <w:p w14:paraId="55E9E7E0" w14:textId="073A8E40" w:rsidR="00BB6E28" w:rsidRPr="00BB6E28" w:rsidRDefault="00BB6E28" w:rsidP="009C6AAC">
            <w:pPr>
              <w:pStyle w:val="FigureTitle"/>
              <w:spacing w:before="0" w:after="60"/>
              <w:jc w:val="right"/>
              <w:rPr>
                <w:b w:val="0"/>
                <w:sz w:val="24"/>
                <w:szCs w:val="24"/>
              </w:rPr>
            </w:pPr>
            <w:r w:rsidRPr="00BB6E28">
              <w:rPr>
                <w:b w:val="0"/>
                <w:bCs/>
                <w:szCs w:val="24"/>
              </w:rPr>
              <w:t>9,479.60</w:t>
            </w:r>
          </w:p>
        </w:tc>
      </w:tr>
      <w:tr w:rsidR="008D743F" w:rsidRPr="00BE5651" w14:paraId="7EA2DE5E" w14:textId="77777777" w:rsidTr="00F029F7">
        <w:trPr>
          <w:trHeight w:val="288"/>
        </w:trPr>
        <w:tc>
          <w:tcPr>
            <w:tcW w:w="1146" w:type="pct"/>
          </w:tcPr>
          <w:p w14:paraId="5B1C7820" w14:textId="77777777" w:rsidR="009B5B5A" w:rsidRPr="00BB6E28" w:rsidRDefault="009B5B5A" w:rsidP="009C6AAC">
            <w:pPr>
              <w:pStyle w:val="FigureTitle"/>
              <w:spacing w:before="0" w:after="60"/>
              <w:ind w:left="360"/>
              <w:rPr>
                <w:b w:val="0"/>
                <w:sz w:val="24"/>
                <w:szCs w:val="24"/>
              </w:rPr>
            </w:pPr>
          </w:p>
        </w:tc>
        <w:tc>
          <w:tcPr>
            <w:tcW w:w="1190" w:type="pct"/>
          </w:tcPr>
          <w:p w14:paraId="6E3957E9" w14:textId="77777777" w:rsidR="009B5B5A" w:rsidRPr="00BB6E28" w:rsidRDefault="009B5B5A" w:rsidP="005D405F">
            <w:pPr>
              <w:pStyle w:val="FigureTitle"/>
              <w:spacing w:before="0" w:after="60"/>
              <w:rPr>
                <w:b w:val="0"/>
                <w:sz w:val="24"/>
                <w:szCs w:val="24"/>
              </w:rPr>
            </w:pPr>
          </w:p>
        </w:tc>
        <w:tc>
          <w:tcPr>
            <w:tcW w:w="1519" w:type="pct"/>
          </w:tcPr>
          <w:p w14:paraId="28EE8241" w14:textId="77777777" w:rsidR="009B5B5A" w:rsidRPr="00BB6E28" w:rsidRDefault="009B5B5A" w:rsidP="009C6AAC">
            <w:pPr>
              <w:pStyle w:val="FigureTitle"/>
              <w:spacing w:before="0" w:after="60"/>
              <w:ind w:left="360"/>
              <w:rPr>
                <w:b w:val="0"/>
                <w:sz w:val="24"/>
                <w:szCs w:val="24"/>
              </w:rPr>
            </w:pPr>
          </w:p>
        </w:tc>
        <w:tc>
          <w:tcPr>
            <w:tcW w:w="1145" w:type="pct"/>
          </w:tcPr>
          <w:p w14:paraId="6107ADC9" w14:textId="77777777" w:rsidR="009B5B5A" w:rsidRPr="00BB6E28" w:rsidRDefault="009B5B5A" w:rsidP="009C6AAC">
            <w:pPr>
              <w:pStyle w:val="FigureTitle"/>
              <w:spacing w:before="0" w:after="60"/>
              <w:ind w:left="360"/>
              <w:rPr>
                <w:b w:val="0"/>
                <w:sz w:val="24"/>
                <w:szCs w:val="24"/>
              </w:rPr>
            </w:pPr>
          </w:p>
        </w:tc>
      </w:tr>
      <w:tr w:rsidR="008D743F" w:rsidRPr="00BE5651" w14:paraId="69BFC354" w14:textId="77777777" w:rsidTr="00F029F7">
        <w:trPr>
          <w:trHeight w:val="288"/>
        </w:trPr>
        <w:tc>
          <w:tcPr>
            <w:tcW w:w="1146" w:type="pct"/>
          </w:tcPr>
          <w:p w14:paraId="4939C0FF" w14:textId="77777777" w:rsidR="009B5B5A" w:rsidRPr="00BB6E28" w:rsidRDefault="009B5B5A" w:rsidP="009C6AAC">
            <w:pPr>
              <w:pStyle w:val="FigureTitle"/>
              <w:spacing w:before="0" w:after="60"/>
              <w:ind w:left="360"/>
              <w:rPr>
                <w:b w:val="0"/>
                <w:sz w:val="24"/>
                <w:szCs w:val="24"/>
              </w:rPr>
            </w:pPr>
          </w:p>
        </w:tc>
        <w:tc>
          <w:tcPr>
            <w:tcW w:w="1190" w:type="pct"/>
          </w:tcPr>
          <w:p w14:paraId="47ADD26C" w14:textId="77777777" w:rsidR="009B5B5A" w:rsidRPr="00BB6E28" w:rsidRDefault="009B5B5A" w:rsidP="009C6AAC">
            <w:pPr>
              <w:pStyle w:val="FigureTitle"/>
              <w:spacing w:before="0" w:after="60"/>
              <w:ind w:left="360"/>
              <w:rPr>
                <w:b w:val="0"/>
                <w:sz w:val="24"/>
                <w:szCs w:val="24"/>
              </w:rPr>
            </w:pPr>
          </w:p>
        </w:tc>
        <w:tc>
          <w:tcPr>
            <w:tcW w:w="1519" w:type="pct"/>
            <w:hideMark/>
          </w:tcPr>
          <w:p w14:paraId="726E66A0" w14:textId="77777777" w:rsidR="009B5B5A" w:rsidRPr="00BB6E28" w:rsidRDefault="009B5B5A" w:rsidP="009C6AAC">
            <w:pPr>
              <w:pStyle w:val="FigureTitle"/>
              <w:spacing w:before="0" w:after="60"/>
              <w:jc w:val="right"/>
              <w:rPr>
                <w:sz w:val="24"/>
                <w:szCs w:val="24"/>
              </w:rPr>
            </w:pPr>
            <w:r w:rsidRPr="00BB6E28">
              <w:rPr>
                <w:szCs w:val="24"/>
              </w:rPr>
              <w:t>Total Salary Costs</w:t>
            </w:r>
          </w:p>
        </w:tc>
        <w:tc>
          <w:tcPr>
            <w:tcW w:w="1145" w:type="pct"/>
            <w:hideMark/>
          </w:tcPr>
          <w:p w14:paraId="10640FD3" w14:textId="204EC2F2" w:rsidR="009B5B5A" w:rsidRPr="00BB6E28" w:rsidRDefault="009B5B5A" w:rsidP="00BB6E28">
            <w:pPr>
              <w:pStyle w:val="FigureTitle"/>
              <w:spacing w:before="0" w:after="60"/>
              <w:jc w:val="right"/>
              <w:rPr>
                <w:b w:val="0"/>
                <w:sz w:val="24"/>
                <w:szCs w:val="24"/>
              </w:rPr>
            </w:pPr>
            <w:r w:rsidRPr="00BB6E28">
              <w:rPr>
                <w:b w:val="0"/>
                <w:bCs/>
                <w:szCs w:val="24"/>
              </w:rPr>
              <w:t>$1</w:t>
            </w:r>
            <w:r w:rsidR="00BB6E28" w:rsidRPr="00BB6E28">
              <w:rPr>
                <w:b w:val="0"/>
                <w:bCs/>
                <w:szCs w:val="24"/>
              </w:rPr>
              <w:t>4,219.40</w:t>
            </w:r>
          </w:p>
        </w:tc>
      </w:tr>
      <w:tr w:rsidR="008D743F" w:rsidRPr="00BE5651" w14:paraId="6FF95873" w14:textId="77777777" w:rsidTr="00F029F7">
        <w:trPr>
          <w:trHeight w:val="288"/>
        </w:trPr>
        <w:tc>
          <w:tcPr>
            <w:tcW w:w="3855" w:type="pct"/>
            <w:gridSpan w:val="3"/>
            <w:hideMark/>
          </w:tcPr>
          <w:p w14:paraId="7CB557C3" w14:textId="77777777" w:rsidR="009B5B5A" w:rsidRPr="00BB6E28" w:rsidRDefault="009B5B5A" w:rsidP="009C6AAC">
            <w:pPr>
              <w:pStyle w:val="FigureTitle"/>
              <w:spacing w:before="0" w:after="60"/>
              <w:jc w:val="right"/>
              <w:rPr>
                <w:sz w:val="24"/>
                <w:szCs w:val="24"/>
              </w:rPr>
            </w:pPr>
            <w:r w:rsidRPr="00BB6E28">
              <w:rPr>
                <w:sz w:val="24"/>
                <w:szCs w:val="24"/>
              </w:rPr>
              <w:t>Contract Cost</w:t>
            </w:r>
          </w:p>
        </w:tc>
        <w:tc>
          <w:tcPr>
            <w:tcW w:w="1145" w:type="pct"/>
          </w:tcPr>
          <w:p w14:paraId="53F4C368" w14:textId="122D3320" w:rsidR="009B5B5A" w:rsidRPr="00BB6E28" w:rsidRDefault="009B5B5A" w:rsidP="009C6AAC">
            <w:pPr>
              <w:pStyle w:val="FigureTitle"/>
              <w:spacing w:before="0" w:after="60"/>
              <w:jc w:val="right"/>
              <w:rPr>
                <w:b w:val="0"/>
                <w:sz w:val="24"/>
                <w:szCs w:val="24"/>
              </w:rPr>
            </w:pPr>
            <w:r w:rsidRPr="00BB6E28">
              <w:rPr>
                <w:b w:val="0"/>
                <w:szCs w:val="24"/>
              </w:rPr>
              <w:t>$</w:t>
            </w:r>
            <w:r w:rsidR="00E22715" w:rsidRPr="00BB6E28">
              <w:rPr>
                <w:b w:val="0"/>
                <w:szCs w:val="24"/>
              </w:rPr>
              <w:t>885,000.00</w:t>
            </w:r>
          </w:p>
        </w:tc>
      </w:tr>
      <w:tr w:rsidR="008D743F" w:rsidRPr="00BE5651" w14:paraId="7F3764F6" w14:textId="77777777" w:rsidTr="00F029F7">
        <w:trPr>
          <w:trHeight w:val="288"/>
        </w:trPr>
        <w:tc>
          <w:tcPr>
            <w:tcW w:w="3855" w:type="pct"/>
            <w:gridSpan w:val="3"/>
            <w:hideMark/>
          </w:tcPr>
          <w:p w14:paraId="4BC334A7" w14:textId="77777777" w:rsidR="009B5B5A" w:rsidRPr="00BE5651" w:rsidRDefault="009B5B5A" w:rsidP="009C6AAC">
            <w:pPr>
              <w:pStyle w:val="FigureTitle"/>
              <w:spacing w:before="0" w:after="60"/>
              <w:jc w:val="right"/>
              <w:rPr>
                <w:sz w:val="24"/>
                <w:szCs w:val="24"/>
              </w:rPr>
            </w:pPr>
            <w:r w:rsidRPr="00BE5651">
              <w:rPr>
                <w:sz w:val="24"/>
                <w:szCs w:val="24"/>
              </w:rPr>
              <w:t>Total</w:t>
            </w:r>
          </w:p>
        </w:tc>
        <w:tc>
          <w:tcPr>
            <w:tcW w:w="1145" w:type="pct"/>
            <w:hideMark/>
          </w:tcPr>
          <w:p w14:paraId="1AC7D4B2" w14:textId="5968C920" w:rsidR="009B5B5A" w:rsidRPr="00E22715" w:rsidRDefault="009B5B5A" w:rsidP="00E22715">
            <w:pPr>
              <w:pStyle w:val="FigureTitle"/>
              <w:spacing w:before="0" w:after="60"/>
              <w:jc w:val="right"/>
              <w:rPr>
                <w:sz w:val="24"/>
                <w:szCs w:val="24"/>
              </w:rPr>
            </w:pPr>
            <w:r w:rsidRPr="00E22715">
              <w:rPr>
                <w:szCs w:val="24"/>
              </w:rPr>
              <w:t>$</w:t>
            </w:r>
            <w:r w:rsidR="00BB6E28">
              <w:rPr>
                <w:szCs w:val="24"/>
              </w:rPr>
              <w:t>899,219.40</w:t>
            </w:r>
          </w:p>
        </w:tc>
      </w:tr>
    </w:tbl>
    <w:p w14:paraId="24EAE6E0" w14:textId="77777777" w:rsidR="0079195C" w:rsidRDefault="0079195C" w:rsidP="009C6AAC">
      <w:pPr>
        <w:spacing w:before="100" w:beforeAutospacing="1" w:after="240"/>
        <w:ind w:left="360"/>
        <w:rPr>
          <w:rFonts w:ascii="Times New Roman" w:eastAsia="Times New Roman" w:hAnsi="Times New Roman" w:cs="Times New Roman"/>
        </w:rPr>
      </w:pPr>
    </w:p>
    <w:p w14:paraId="2264C24B" w14:textId="77777777" w:rsidR="00C82D5C" w:rsidRPr="00BE5651" w:rsidRDefault="00C82D5C" w:rsidP="009C6AAC">
      <w:pPr>
        <w:spacing w:before="100" w:beforeAutospacing="1" w:after="240"/>
        <w:ind w:left="360"/>
        <w:rPr>
          <w:rFonts w:ascii="Times New Roman" w:hAnsi="Times New Roman" w:cs="Times New Roman"/>
          <w:u w:val="single"/>
        </w:rPr>
      </w:pPr>
      <w:r w:rsidRPr="00BE5651">
        <w:rPr>
          <w:rFonts w:ascii="Times New Roman" w:eastAsia="Times New Roman" w:hAnsi="Times New Roman" w:cs="Times New Roman"/>
        </w:rPr>
        <w:t xml:space="preserve">15. </w:t>
      </w:r>
      <w:r w:rsidRPr="00BE5651">
        <w:rPr>
          <w:rFonts w:ascii="Times New Roman" w:hAnsi="Times New Roman" w:cs="Times New Roman"/>
          <w:u w:val="single"/>
        </w:rPr>
        <w:t>Explanation for Program Changes or Adjustments</w:t>
      </w:r>
    </w:p>
    <w:p w14:paraId="0E7E8C4C" w14:textId="58C5F57A" w:rsidR="00C82D5C" w:rsidRPr="00BE5651" w:rsidRDefault="00C82D5C" w:rsidP="009E75BD">
      <w:pPr>
        <w:pStyle w:val="BodyTextIndent"/>
        <w:spacing w:after="240"/>
        <w:ind w:left="720"/>
      </w:pPr>
      <w:r w:rsidRPr="00BE5651">
        <w:t xml:space="preserve">This is a new </w:t>
      </w:r>
      <w:r w:rsidR="001B64F3">
        <w:t xml:space="preserve">individual generic </w:t>
      </w:r>
      <w:r w:rsidRPr="00BE5651">
        <w:t>data collection.</w:t>
      </w:r>
    </w:p>
    <w:p w14:paraId="4793B471" w14:textId="4759FAA4" w:rsidR="00C82D5C" w:rsidRPr="00BE5651" w:rsidRDefault="00C82D5C" w:rsidP="009C6AAC">
      <w:pPr>
        <w:pStyle w:val="BodyTextIndent"/>
        <w:spacing w:after="240"/>
      </w:pPr>
      <w:r w:rsidRPr="00BE5651">
        <w:t xml:space="preserve">16. </w:t>
      </w:r>
      <w:r w:rsidRPr="00BE5651">
        <w:rPr>
          <w:u w:val="single"/>
        </w:rPr>
        <w:t>Plans for Tabulation and Publication and Project Time Schedule</w:t>
      </w:r>
    </w:p>
    <w:p w14:paraId="58516183" w14:textId="423037E0" w:rsidR="00873D51" w:rsidRPr="00BE5651" w:rsidRDefault="00873D51" w:rsidP="009C6AAC">
      <w:pPr>
        <w:spacing w:before="100" w:beforeAutospacing="1" w:after="240"/>
        <w:ind w:left="720"/>
        <w:rPr>
          <w:rFonts w:ascii="Times New Roman" w:hAnsi="Times New Roman" w:cs="Times New Roman"/>
        </w:rPr>
      </w:pPr>
      <w:r w:rsidRPr="00BE5651">
        <w:rPr>
          <w:rFonts w:ascii="Times New Roman" w:hAnsi="Times New Roman" w:cs="Times New Roman"/>
        </w:rPr>
        <w:t>The analysis will examine perceived effectiveness scores by ad, and knowledge, attitudes, and beliefs about tobacco use. Perceived effectiveness scores will be analyzed for all viewers of each a</w:t>
      </w:r>
      <w:r w:rsidR="00F47E76" w:rsidRPr="00BE5651">
        <w:rPr>
          <w:rFonts w:ascii="Times New Roman" w:hAnsi="Times New Roman" w:cs="Times New Roman"/>
        </w:rPr>
        <w:t>d, and may also be analyzed by</w:t>
      </w:r>
      <w:r w:rsidRPr="00BE5651">
        <w:rPr>
          <w:rFonts w:ascii="Times New Roman" w:hAnsi="Times New Roman" w:cs="Times New Roman"/>
        </w:rPr>
        <w:t xml:space="preserve"> demographic characteristics (i.e. gender, race/ethnicity). Responses to the knowledge, attitude, and belief questions will be compared between ad-viewing and control participants to identify any statistically significant differences. Findings from these analyses will be used to optimize video ads fo</w:t>
      </w:r>
      <w:r w:rsidR="00F47E76" w:rsidRPr="00BE5651">
        <w:rPr>
          <w:rFonts w:ascii="Times New Roman" w:hAnsi="Times New Roman" w:cs="Times New Roman"/>
        </w:rPr>
        <w:t>r FDA’s Multicultural Campaign</w:t>
      </w:r>
      <w:r w:rsidRPr="00BE5651">
        <w:rPr>
          <w:rFonts w:ascii="Times New Roman" w:hAnsi="Times New Roman" w:cs="Times New Roman"/>
        </w:rPr>
        <w:t>.</w:t>
      </w:r>
    </w:p>
    <w:p w14:paraId="7AAB823B" w14:textId="20B019E1" w:rsidR="00F47E76" w:rsidRPr="009C6AAC" w:rsidRDefault="00F47E76" w:rsidP="009C6AAC">
      <w:pPr>
        <w:spacing w:before="100" w:beforeAutospacing="1" w:after="240"/>
        <w:ind w:left="720"/>
        <w:rPr>
          <w:rFonts w:ascii="Times New Roman" w:hAnsi="Times New Roman" w:cs="Times New Roman"/>
          <w:u w:val="single"/>
        </w:rPr>
      </w:pPr>
      <w:r w:rsidRPr="00AC373E">
        <w:rPr>
          <w:rFonts w:ascii="Times New Roman" w:hAnsi="Times New Roman" w:cs="Times New Roman"/>
          <w:u w:val="single"/>
        </w:rPr>
        <w:t>Reporting</w:t>
      </w:r>
    </w:p>
    <w:p w14:paraId="2D4CCE9F" w14:textId="79517ED3" w:rsidR="00F47E76" w:rsidRPr="009C6AAC" w:rsidRDefault="00F47E76" w:rsidP="009C6AAC">
      <w:pPr>
        <w:spacing w:before="100" w:beforeAutospacing="1" w:after="240"/>
        <w:ind w:left="720"/>
        <w:rPr>
          <w:rFonts w:ascii="Times New Roman" w:hAnsi="Times New Roman" w:cs="Times New Roman"/>
        </w:rPr>
      </w:pPr>
      <w:r w:rsidRPr="009C6AAC">
        <w:rPr>
          <w:rFonts w:ascii="Times New Roman" w:hAnsi="Times New Roman" w:cs="Times New Roman"/>
        </w:rPr>
        <w:t>The reporting and dissemination mechanism will consist of one primary component: summary statistics (in the form of PowerPoint presentations and other b</w:t>
      </w:r>
      <w:r w:rsidR="001E2B60" w:rsidRPr="009C6AAC">
        <w:rPr>
          <w:rFonts w:ascii="Times New Roman" w:hAnsi="Times New Roman" w:cs="Times New Roman"/>
        </w:rPr>
        <w:t xml:space="preserve">riefings) on </w:t>
      </w:r>
      <w:r w:rsidR="008D743F" w:rsidRPr="009C6AAC">
        <w:rPr>
          <w:rFonts w:ascii="Times New Roman" w:hAnsi="Times New Roman" w:cs="Times New Roman"/>
        </w:rPr>
        <w:t>participant</w:t>
      </w:r>
      <w:r w:rsidR="001E2B60" w:rsidRPr="009C6AAC">
        <w:rPr>
          <w:rFonts w:ascii="Times New Roman" w:hAnsi="Times New Roman" w:cs="Times New Roman"/>
        </w:rPr>
        <w:t xml:space="preserve"> reactions to </w:t>
      </w:r>
      <w:r w:rsidRPr="009C6AAC">
        <w:rPr>
          <w:rFonts w:ascii="Times New Roman" w:hAnsi="Times New Roman" w:cs="Times New Roman"/>
        </w:rPr>
        <w:t>video ads and potential unintended consequences. The key events and reports to be prepared are listed in Exhibit </w:t>
      </w:r>
      <w:r w:rsidR="00962D75">
        <w:rPr>
          <w:rFonts w:ascii="Times New Roman" w:hAnsi="Times New Roman" w:cs="Times New Roman"/>
        </w:rPr>
        <w:t>4</w:t>
      </w:r>
      <w:r w:rsidRPr="009C6AAC">
        <w:rPr>
          <w:rFonts w:ascii="Times New Roman" w:hAnsi="Times New Roman" w:cs="Times New Roman"/>
        </w:rPr>
        <w:t>.</w:t>
      </w:r>
    </w:p>
    <w:p w14:paraId="79C92B3A" w14:textId="467B4EE7" w:rsidR="00F47E76" w:rsidRPr="00BE5651" w:rsidRDefault="00F47E76" w:rsidP="009C6AAC">
      <w:pPr>
        <w:spacing w:before="100" w:beforeAutospacing="1" w:after="240"/>
        <w:ind w:left="720"/>
        <w:rPr>
          <w:rFonts w:ascii="Times New Roman" w:hAnsi="Times New Roman" w:cs="Times New Roman"/>
        </w:rPr>
      </w:pPr>
      <w:bookmarkStart w:id="3" w:name="_Ref216592722"/>
      <w:bookmarkStart w:id="4" w:name="_Toc66689102"/>
      <w:bookmarkStart w:id="5" w:name="_Toc140476560"/>
      <w:bookmarkStart w:id="6" w:name="_Toc216595340"/>
      <w:bookmarkStart w:id="7" w:name="_Toc361824172"/>
      <w:r w:rsidRPr="009C6AAC">
        <w:rPr>
          <w:rFonts w:ascii="Times New Roman" w:hAnsi="Times New Roman" w:cs="Times New Roman"/>
          <w:b/>
        </w:rPr>
        <w:t xml:space="preserve">Exhibit </w:t>
      </w:r>
      <w:bookmarkEnd w:id="3"/>
      <w:r w:rsidR="00962D75">
        <w:rPr>
          <w:rFonts w:ascii="Times New Roman" w:hAnsi="Times New Roman" w:cs="Times New Roman"/>
          <w:b/>
        </w:rPr>
        <w:t>4</w:t>
      </w:r>
      <w:r w:rsidRPr="009C6AAC">
        <w:rPr>
          <w:rFonts w:ascii="Times New Roman" w:hAnsi="Times New Roman" w:cs="Times New Roman"/>
          <w:b/>
        </w:rPr>
        <w:t>.</w:t>
      </w:r>
      <w:bookmarkEnd w:id="4"/>
      <w:bookmarkEnd w:id="5"/>
      <w:bookmarkEnd w:id="6"/>
      <w:r w:rsidRPr="009C6AAC">
        <w:rPr>
          <w:rFonts w:ascii="Times New Roman" w:hAnsi="Times New Roman" w:cs="Times New Roman"/>
          <w:b/>
        </w:rPr>
        <w:t xml:space="preserve"> Project Schedule</w:t>
      </w:r>
      <w:bookmarkEnd w:id="7"/>
    </w:p>
    <w:tbl>
      <w:tblPr>
        <w:tblStyle w:val="TableGrid"/>
        <w:tblW w:w="7905" w:type="dxa"/>
        <w:tblInd w:w="715" w:type="dxa"/>
        <w:tblLayout w:type="fixed"/>
        <w:tblLook w:val="01E0" w:firstRow="1" w:lastRow="1" w:firstColumn="1" w:lastColumn="1" w:noHBand="0" w:noVBand="0"/>
      </w:tblPr>
      <w:tblGrid>
        <w:gridCol w:w="2970"/>
        <w:gridCol w:w="4935"/>
      </w:tblGrid>
      <w:tr w:rsidR="008D743F" w:rsidRPr="00BE5651" w14:paraId="0BE1D752" w14:textId="77777777" w:rsidTr="008D743F">
        <w:tc>
          <w:tcPr>
            <w:tcW w:w="2970" w:type="dxa"/>
            <w:shd w:val="clear" w:color="auto" w:fill="BFBFBF" w:themeFill="background1" w:themeFillShade="BF"/>
          </w:tcPr>
          <w:p w14:paraId="358C3680" w14:textId="77777777" w:rsidR="00F47E76" w:rsidRPr="00BE5651" w:rsidRDefault="00F47E76" w:rsidP="000C5CD3">
            <w:pPr>
              <w:rPr>
                <w:b/>
                <w:sz w:val="24"/>
                <w:szCs w:val="24"/>
              </w:rPr>
            </w:pPr>
            <w:r w:rsidRPr="00BE5651">
              <w:rPr>
                <w:b/>
                <w:sz w:val="24"/>
                <w:szCs w:val="24"/>
              </w:rPr>
              <w:t>Project Activity</w:t>
            </w:r>
          </w:p>
        </w:tc>
        <w:tc>
          <w:tcPr>
            <w:tcW w:w="4935" w:type="dxa"/>
            <w:shd w:val="clear" w:color="auto" w:fill="BFBFBF" w:themeFill="background1" w:themeFillShade="BF"/>
          </w:tcPr>
          <w:p w14:paraId="5F138BAA" w14:textId="77777777" w:rsidR="00F47E76" w:rsidRPr="00BE5651" w:rsidRDefault="00F47E76" w:rsidP="000C5CD3">
            <w:pPr>
              <w:rPr>
                <w:b/>
                <w:sz w:val="24"/>
                <w:szCs w:val="24"/>
              </w:rPr>
            </w:pPr>
            <w:r w:rsidRPr="00BE5651">
              <w:rPr>
                <w:b/>
                <w:sz w:val="24"/>
                <w:szCs w:val="24"/>
              </w:rPr>
              <w:t>Date</w:t>
            </w:r>
          </w:p>
        </w:tc>
      </w:tr>
      <w:tr w:rsidR="00F47E76" w:rsidRPr="00BE5651" w14:paraId="0E009D5E" w14:textId="77777777" w:rsidTr="002F1E96">
        <w:tc>
          <w:tcPr>
            <w:tcW w:w="2970" w:type="dxa"/>
          </w:tcPr>
          <w:p w14:paraId="720E211B" w14:textId="77777777" w:rsidR="00F47E76" w:rsidRPr="00BE5651" w:rsidRDefault="00F47E76" w:rsidP="000C5CD3">
            <w:pPr>
              <w:rPr>
                <w:sz w:val="24"/>
                <w:szCs w:val="24"/>
              </w:rPr>
            </w:pPr>
            <w:r w:rsidRPr="00BE5651">
              <w:rPr>
                <w:sz w:val="24"/>
                <w:szCs w:val="24"/>
              </w:rPr>
              <w:t>Survey</w:t>
            </w:r>
          </w:p>
        </w:tc>
        <w:tc>
          <w:tcPr>
            <w:tcW w:w="4935" w:type="dxa"/>
          </w:tcPr>
          <w:p w14:paraId="2318EB1E" w14:textId="038EBD20" w:rsidR="00F47E76" w:rsidRPr="00BE5651" w:rsidRDefault="009E7C1C" w:rsidP="009E7C1C">
            <w:pPr>
              <w:rPr>
                <w:sz w:val="24"/>
                <w:szCs w:val="24"/>
              </w:rPr>
            </w:pPr>
            <w:r>
              <w:rPr>
                <w:sz w:val="24"/>
                <w:szCs w:val="24"/>
              </w:rPr>
              <w:t xml:space="preserve">May </w:t>
            </w:r>
            <w:r w:rsidR="001B01AA">
              <w:rPr>
                <w:sz w:val="24"/>
                <w:szCs w:val="24"/>
              </w:rPr>
              <w:t>2018</w:t>
            </w:r>
            <w:r w:rsidR="00F47E76" w:rsidRPr="00BE5651">
              <w:rPr>
                <w:sz w:val="24"/>
                <w:szCs w:val="24"/>
              </w:rPr>
              <w:t xml:space="preserve"> </w:t>
            </w:r>
            <w:r w:rsidR="006E0330">
              <w:rPr>
                <w:sz w:val="24"/>
                <w:szCs w:val="24"/>
              </w:rPr>
              <w:t xml:space="preserve">to July 2018 </w:t>
            </w:r>
            <w:r w:rsidR="00F47E76" w:rsidRPr="00BE5651">
              <w:rPr>
                <w:sz w:val="24"/>
                <w:szCs w:val="24"/>
              </w:rPr>
              <w:t>(Approximate)</w:t>
            </w:r>
          </w:p>
        </w:tc>
      </w:tr>
      <w:tr w:rsidR="00F47E76" w:rsidRPr="00BE5651" w14:paraId="6F9532EA" w14:textId="77777777" w:rsidTr="002F1E96">
        <w:tc>
          <w:tcPr>
            <w:tcW w:w="2970" w:type="dxa"/>
          </w:tcPr>
          <w:p w14:paraId="48A1CCDB" w14:textId="77777777" w:rsidR="00F47E76" w:rsidRPr="00BE5651" w:rsidRDefault="00F47E76" w:rsidP="000C5CD3">
            <w:pPr>
              <w:rPr>
                <w:sz w:val="24"/>
                <w:szCs w:val="24"/>
              </w:rPr>
            </w:pPr>
            <w:r w:rsidRPr="00BE5651">
              <w:rPr>
                <w:sz w:val="24"/>
                <w:szCs w:val="24"/>
              </w:rPr>
              <w:t>Data analysis</w:t>
            </w:r>
          </w:p>
        </w:tc>
        <w:tc>
          <w:tcPr>
            <w:tcW w:w="4935" w:type="dxa"/>
          </w:tcPr>
          <w:p w14:paraId="023CBFC2" w14:textId="3B8A8078" w:rsidR="00F47E76" w:rsidRPr="00BE5651" w:rsidRDefault="006E0330" w:rsidP="006E0330">
            <w:pPr>
              <w:rPr>
                <w:sz w:val="24"/>
                <w:szCs w:val="24"/>
              </w:rPr>
            </w:pPr>
            <w:r>
              <w:rPr>
                <w:sz w:val="24"/>
                <w:szCs w:val="24"/>
              </w:rPr>
              <w:t>July</w:t>
            </w:r>
            <w:r w:rsidR="00F26D73">
              <w:rPr>
                <w:sz w:val="24"/>
                <w:szCs w:val="24"/>
              </w:rPr>
              <w:t xml:space="preserve"> </w:t>
            </w:r>
            <w:r w:rsidR="00314390">
              <w:rPr>
                <w:sz w:val="24"/>
                <w:szCs w:val="24"/>
              </w:rPr>
              <w:t xml:space="preserve">2018 to </w:t>
            </w:r>
            <w:r>
              <w:rPr>
                <w:sz w:val="24"/>
                <w:szCs w:val="24"/>
              </w:rPr>
              <w:t xml:space="preserve">August </w:t>
            </w:r>
            <w:r w:rsidR="00314390">
              <w:rPr>
                <w:sz w:val="24"/>
                <w:szCs w:val="24"/>
              </w:rPr>
              <w:t xml:space="preserve">2018 </w:t>
            </w:r>
            <w:r w:rsidR="00F47E76" w:rsidRPr="00BE5651">
              <w:rPr>
                <w:sz w:val="24"/>
                <w:szCs w:val="24"/>
              </w:rPr>
              <w:t>(Approximate)</w:t>
            </w:r>
          </w:p>
        </w:tc>
      </w:tr>
      <w:tr w:rsidR="00F47E76" w:rsidRPr="00BE5651" w14:paraId="7749CBA1" w14:textId="77777777" w:rsidTr="002F1E96">
        <w:tc>
          <w:tcPr>
            <w:tcW w:w="2970" w:type="dxa"/>
          </w:tcPr>
          <w:p w14:paraId="49CF391D" w14:textId="77777777" w:rsidR="00F47E76" w:rsidRPr="00BE5651" w:rsidRDefault="00F47E76" w:rsidP="000C5CD3">
            <w:pPr>
              <w:rPr>
                <w:sz w:val="24"/>
                <w:szCs w:val="24"/>
              </w:rPr>
            </w:pPr>
            <w:r w:rsidRPr="00BE5651">
              <w:rPr>
                <w:sz w:val="24"/>
                <w:szCs w:val="24"/>
              </w:rPr>
              <w:t>Presentation of findings</w:t>
            </w:r>
          </w:p>
        </w:tc>
        <w:tc>
          <w:tcPr>
            <w:tcW w:w="4935" w:type="dxa"/>
          </w:tcPr>
          <w:p w14:paraId="2DCEF2EA" w14:textId="4B6F4360" w:rsidR="00F47E76" w:rsidRPr="00BE5651" w:rsidRDefault="006E0330" w:rsidP="000C5CD3">
            <w:pPr>
              <w:rPr>
                <w:sz w:val="24"/>
                <w:szCs w:val="24"/>
              </w:rPr>
            </w:pPr>
            <w:r>
              <w:rPr>
                <w:sz w:val="24"/>
                <w:szCs w:val="24"/>
              </w:rPr>
              <w:t xml:space="preserve">August </w:t>
            </w:r>
            <w:r w:rsidR="00314390">
              <w:rPr>
                <w:sz w:val="24"/>
                <w:szCs w:val="24"/>
              </w:rPr>
              <w:t>2018 to September 2018</w:t>
            </w:r>
            <w:r w:rsidR="00F47E76" w:rsidRPr="00BE5651">
              <w:rPr>
                <w:sz w:val="24"/>
                <w:szCs w:val="24"/>
              </w:rPr>
              <w:t xml:space="preserve"> (Approximate)</w:t>
            </w:r>
          </w:p>
        </w:tc>
      </w:tr>
    </w:tbl>
    <w:p w14:paraId="71B7E7B5" w14:textId="77777777" w:rsidR="00BE5651" w:rsidRPr="00BE5651" w:rsidRDefault="00BE5651" w:rsidP="000C5CD3">
      <w:pPr>
        <w:spacing w:before="100" w:beforeAutospacing="1" w:after="100" w:afterAutospacing="1"/>
        <w:ind w:firstLine="360"/>
        <w:rPr>
          <w:rFonts w:ascii="Times New Roman" w:hAnsi="Times New Roman" w:cs="Times New Roman"/>
          <w:u w:val="single"/>
        </w:rPr>
      </w:pPr>
      <w:r w:rsidRPr="00BE5651">
        <w:rPr>
          <w:rFonts w:ascii="Times New Roman" w:eastAsia="Times New Roman" w:hAnsi="Times New Roman" w:cs="Times New Roman"/>
        </w:rPr>
        <w:t xml:space="preserve">17. </w:t>
      </w:r>
      <w:r w:rsidRPr="00BE5651">
        <w:rPr>
          <w:rFonts w:ascii="Times New Roman" w:hAnsi="Times New Roman" w:cs="Times New Roman"/>
          <w:u w:val="single"/>
        </w:rPr>
        <w:t>Reason(s) Display of OMB Expiration Date is Inappropriate</w:t>
      </w:r>
    </w:p>
    <w:p w14:paraId="5B19BDD7" w14:textId="77777777" w:rsidR="00BE5651" w:rsidRPr="00BE5651" w:rsidRDefault="00BE5651" w:rsidP="000C5CD3">
      <w:pPr>
        <w:ind w:left="720"/>
        <w:rPr>
          <w:rFonts w:ascii="Times New Roman" w:hAnsi="Times New Roman" w:cs="Times New Roman"/>
        </w:rPr>
      </w:pPr>
      <w:r w:rsidRPr="00BE5651">
        <w:rPr>
          <w:rFonts w:ascii="Times New Roman" w:hAnsi="Times New Roman" w:cs="Times New Roman"/>
        </w:rPr>
        <w:t>Not applicable. All data collection instruments will display the expiration date for OMB approval of the information collection.</w:t>
      </w:r>
    </w:p>
    <w:p w14:paraId="513EE9DC" w14:textId="5EF65DB4" w:rsidR="00BE5651" w:rsidRPr="00BE5651" w:rsidRDefault="00BE5651" w:rsidP="000C5CD3">
      <w:pPr>
        <w:spacing w:before="100" w:beforeAutospacing="1" w:after="100" w:afterAutospacing="1"/>
        <w:ind w:left="360"/>
        <w:rPr>
          <w:rFonts w:ascii="Times New Roman" w:hAnsi="Times New Roman" w:cs="Times New Roman"/>
        </w:rPr>
      </w:pPr>
      <w:r w:rsidRPr="00BE5651">
        <w:rPr>
          <w:rFonts w:ascii="Times New Roman" w:hAnsi="Times New Roman" w:cs="Times New Roman"/>
        </w:rPr>
        <w:t xml:space="preserve">18. </w:t>
      </w:r>
      <w:r w:rsidRPr="00BE5651">
        <w:rPr>
          <w:rFonts w:ascii="Times New Roman" w:hAnsi="Times New Roman" w:cs="Times New Roman"/>
          <w:u w:val="single"/>
        </w:rPr>
        <w:t>Exceptions to Certification for Paperwork Reduction Act Submissions</w:t>
      </w:r>
    </w:p>
    <w:p w14:paraId="458003AC" w14:textId="77F5A2F3" w:rsidR="00C07CE6" w:rsidRDefault="00BE5651" w:rsidP="00F029F7">
      <w:pPr>
        <w:spacing w:before="100" w:beforeAutospacing="1" w:after="100" w:afterAutospacing="1"/>
        <w:ind w:left="720"/>
        <w:rPr>
          <w:rFonts w:ascii="Times New Roman" w:hAnsi="Times New Roman" w:cs="Times New Roman"/>
          <w:u w:val="single"/>
        </w:rPr>
      </w:pPr>
      <w:r w:rsidRPr="00BE5651">
        <w:rPr>
          <w:rFonts w:ascii="Times New Roman" w:hAnsi="Times New Roman" w:cs="Times New Roman"/>
        </w:rPr>
        <w:t>Not applicable. There are no exceptions to the certification statement.</w:t>
      </w:r>
      <w:r w:rsidR="00C07CE6">
        <w:rPr>
          <w:rFonts w:ascii="Times New Roman" w:hAnsi="Times New Roman" w:cs="Times New Roman"/>
          <w:u w:val="single"/>
        </w:rPr>
        <w:br w:type="page"/>
      </w:r>
    </w:p>
    <w:p w14:paraId="393264ED" w14:textId="61683C32" w:rsidR="00BE5651" w:rsidRDefault="00C07CE6" w:rsidP="009C6AAC">
      <w:pPr>
        <w:spacing w:before="100" w:beforeAutospacing="1" w:after="240"/>
        <w:rPr>
          <w:rFonts w:ascii="Times New Roman" w:hAnsi="Times New Roman" w:cs="Times New Roman"/>
          <w:b/>
        </w:rPr>
      </w:pPr>
      <w:r>
        <w:rPr>
          <w:rFonts w:ascii="Times New Roman" w:hAnsi="Times New Roman" w:cs="Times New Roman"/>
          <w:b/>
        </w:rPr>
        <w:t>References</w:t>
      </w:r>
    </w:p>
    <w:p w14:paraId="45C4FE31" w14:textId="77777777" w:rsidR="00740E83" w:rsidRDefault="00740E83" w:rsidP="009C6AAC">
      <w:pPr>
        <w:spacing w:after="240"/>
        <w:rPr>
          <w:rFonts w:ascii="Times New Roman" w:eastAsia="Times New Roman" w:hAnsi="Times New Roman" w:cs="Times New Roman"/>
          <w:color w:val="000000" w:themeColor="text1"/>
          <w:shd w:val="clear" w:color="auto" w:fill="FFFFFF"/>
        </w:rPr>
      </w:pPr>
      <w:r w:rsidRPr="00BF0CD4">
        <w:rPr>
          <w:rFonts w:ascii="Times New Roman" w:eastAsia="Times New Roman" w:hAnsi="Times New Roman" w:cs="Times New Roman"/>
          <w:color w:val="000000" w:themeColor="text1"/>
          <w:shd w:val="clear" w:color="auto" w:fill="FFFFFF"/>
        </w:rPr>
        <w:t>Abreu, D. A., &amp; Winters, F.</w:t>
      </w:r>
      <w:r>
        <w:rPr>
          <w:rFonts w:ascii="Times New Roman" w:eastAsia="Times New Roman" w:hAnsi="Times New Roman" w:cs="Times New Roman"/>
          <w:color w:val="000000" w:themeColor="text1"/>
          <w:shd w:val="clear" w:color="auto" w:fill="FFFFFF"/>
        </w:rPr>
        <w:t xml:space="preserve"> (1999).</w:t>
      </w:r>
      <w:r w:rsidRPr="00BF0CD4">
        <w:rPr>
          <w:rFonts w:ascii="Times New Roman" w:eastAsia="Times New Roman" w:hAnsi="Times New Roman" w:cs="Times New Roman"/>
          <w:color w:val="000000" w:themeColor="text1"/>
          <w:shd w:val="clear" w:color="auto" w:fill="FFFFFF"/>
        </w:rPr>
        <w:t xml:space="preserve"> Using monetary incentives to reduce attrition in the survey of income and program participation. In: U.S. Census Bureau. </w:t>
      </w:r>
      <w:r w:rsidRPr="00BF0CD4">
        <w:rPr>
          <w:rFonts w:ascii="Times New Roman" w:eastAsia="Times New Roman" w:hAnsi="Times New Roman" w:cs="Times New Roman"/>
          <w:i/>
          <w:iCs/>
          <w:color w:val="000000" w:themeColor="text1"/>
          <w:shd w:val="clear" w:color="auto" w:fill="FFFFFF"/>
        </w:rPr>
        <w:t>Proceedings of the Survey Research Methods</w:t>
      </w:r>
      <w:r>
        <w:rPr>
          <w:rFonts w:ascii="Times New Roman" w:eastAsia="Times New Roman" w:hAnsi="Times New Roman" w:cs="Times New Roman"/>
          <w:iCs/>
          <w:color w:val="000000" w:themeColor="text1"/>
          <w:shd w:val="clear" w:color="auto" w:fill="FFFFFF"/>
        </w:rPr>
        <w:t>,</w:t>
      </w:r>
      <w:r w:rsidRPr="00BF0CD4" w:rsidDel="00906383">
        <w:rPr>
          <w:rFonts w:ascii="Times New Roman" w:eastAsia="Times New Roman" w:hAnsi="Times New Roman" w:cs="Times New Roman"/>
          <w:iCs/>
          <w:color w:val="000000" w:themeColor="text1"/>
          <w:shd w:val="clear" w:color="auto" w:fill="FFFFFF"/>
        </w:rPr>
        <w:t xml:space="preserve"> </w:t>
      </w:r>
      <w:r w:rsidRPr="00BF0CD4">
        <w:rPr>
          <w:rFonts w:ascii="Times New Roman" w:eastAsia="Times New Roman" w:hAnsi="Times New Roman" w:cs="Times New Roman"/>
          <w:color w:val="000000" w:themeColor="text1"/>
          <w:shd w:val="clear" w:color="auto" w:fill="FFFFFF"/>
        </w:rPr>
        <w:t>533-538</w:t>
      </w:r>
      <w:r w:rsidRPr="001744B7">
        <w:rPr>
          <w:rFonts w:ascii="Times New Roman" w:eastAsia="Times New Roman" w:hAnsi="Times New Roman" w:cs="Times New Roman"/>
          <w:color w:val="000000" w:themeColor="text1"/>
          <w:shd w:val="clear" w:color="auto" w:fill="FFFFFF"/>
        </w:rPr>
        <w:t>.</w:t>
      </w:r>
    </w:p>
    <w:p w14:paraId="3FE194DD" w14:textId="7293B6DD" w:rsidR="00B83DB4" w:rsidRPr="00B83DB4" w:rsidRDefault="00B83DB4" w:rsidP="009C6AAC">
      <w:pPr>
        <w:spacing w:after="240"/>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Booker, C.L., Harding, S., Benzeval, M. (2011). A systematic review of the effect of retention methods in population-based cohort studies. </w:t>
      </w:r>
      <w:r>
        <w:rPr>
          <w:rFonts w:ascii="Times New Roman" w:eastAsia="Times New Roman" w:hAnsi="Times New Roman" w:cs="Times New Roman"/>
          <w:i/>
          <w:color w:val="000000" w:themeColor="text1"/>
          <w:shd w:val="clear" w:color="auto" w:fill="FFFFFF"/>
        </w:rPr>
        <w:t>BMC Public Health, 11</w:t>
      </w:r>
      <w:r>
        <w:rPr>
          <w:rFonts w:ascii="Times New Roman" w:eastAsia="Times New Roman" w:hAnsi="Times New Roman" w:cs="Times New Roman"/>
          <w:color w:val="000000" w:themeColor="text1"/>
          <w:shd w:val="clear" w:color="auto" w:fill="FFFFFF"/>
        </w:rPr>
        <w:t>, 249.</w:t>
      </w:r>
    </w:p>
    <w:p w14:paraId="528A8F54" w14:textId="72C2FBA6" w:rsidR="00B83DB4" w:rsidRPr="00B83DB4" w:rsidRDefault="00B83DB4" w:rsidP="009C6AAC">
      <w:pPr>
        <w:spacing w:after="240"/>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Caldwell, P.H., Hamilton, S., Tan, A., &amp; Craig, J.C. (2010). Strategies for increasing recruitment to randomised controlled trials: Systematic review. </w:t>
      </w:r>
      <w:r>
        <w:rPr>
          <w:rFonts w:ascii="Times New Roman" w:eastAsia="Times New Roman" w:hAnsi="Times New Roman" w:cs="Times New Roman"/>
          <w:i/>
          <w:color w:val="000000" w:themeColor="text1"/>
          <w:shd w:val="clear" w:color="auto" w:fill="FFFFFF"/>
        </w:rPr>
        <w:t>PLoS Medicine, 7</w:t>
      </w:r>
      <w:r>
        <w:rPr>
          <w:rFonts w:ascii="Times New Roman" w:eastAsia="Times New Roman" w:hAnsi="Times New Roman" w:cs="Times New Roman"/>
          <w:color w:val="000000" w:themeColor="text1"/>
          <w:shd w:val="clear" w:color="auto" w:fill="FFFFFF"/>
        </w:rPr>
        <w:t>(11), e1000368.</w:t>
      </w:r>
    </w:p>
    <w:p w14:paraId="0AE22D0C" w14:textId="6732D44C" w:rsidR="00BF0CD4" w:rsidRPr="00BF0CD4" w:rsidRDefault="00BF0CD4" w:rsidP="009C6AAC">
      <w:pPr>
        <w:spacing w:after="240"/>
        <w:rPr>
          <w:rFonts w:ascii="Times New Roman" w:eastAsia="Times New Roman" w:hAnsi="Times New Roman" w:cs="Times New Roman"/>
          <w:color w:val="000000" w:themeColor="text1"/>
          <w:shd w:val="clear" w:color="auto" w:fill="FFFFFF"/>
        </w:rPr>
      </w:pPr>
      <w:r w:rsidRPr="00BF0CD4">
        <w:rPr>
          <w:rFonts w:ascii="Times New Roman" w:eastAsia="Times New Roman" w:hAnsi="Times New Roman" w:cs="Times New Roman"/>
          <w:color w:val="000000" w:themeColor="text1"/>
          <w:shd w:val="clear" w:color="auto" w:fill="FFFFFF"/>
        </w:rPr>
        <w:t>Castiglioni, L., Pforr, K., Krieger, U.</w:t>
      </w:r>
      <w:r w:rsidR="00740E83">
        <w:rPr>
          <w:rFonts w:ascii="Times New Roman" w:eastAsia="Times New Roman" w:hAnsi="Times New Roman" w:cs="Times New Roman"/>
          <w:color w:val="000000" w:themeColor="text1"/>
          <w:shd w:val="clear" w:color="auto" w:fill="FFFFFF"/>
        </w:rPr>
        <w:t xml:space="preserve"> (2008). </w:t>
      </w:r>
      <w:r w:rsidRPr="00BF0CD4">
        <w:rPr>
          <w:rFonts w:ascii="Times New Roman" w:eastAsia="Times New Roman" w:hAnsi="Times New Roman" w:cs="Times New Roman"/>
          <w:color w:val="000000" w:themeColor="text1"/>
          <w:shd w:val="clear" w:color="auto" w:fill="FFFFFF"/>
        </w:rPr>
        <w:t>The effect of incentives on response rates and panel attrition: Results of a controlled experiment.</w:t>
      </w:r>
      <w:r w:rsidRPr="00BF0CD4" w:rsidDel="00D42CBC">
        <w:rPr>
          <w:rFonts w:ascii="Times New Roman" w:eastAsia="Times New Roman" w:hAnsi="Times New Roman" w:cs="Times New Roman"/>
          <w:color w:val="000000" w:themeColor="text1"/>
          <w:shd w:val="clear" w:color="auto" w:fill="FFFFFF"/>
        </w:rPr>
        <w:t xml:space="preserve"> </w:t>
      </w:r>
      <w:r w:rsidRPr="00BF0CD4">
        <w:rPr>
          <w:rFonts w:ascii="Times New Roman" w:eastAsia="Times New Roman" w:hAnsi="Times New Roman" w:cs="Times New Roman"/>
          <w:i/>
          <w:iCs/>
          <w:color w:val="000000" w:themeColor="text1"/>
          <w:shd w:val="clear" w:color="auto" w:fill="FFFFFF"/>
        </w:rPr>
        <w:t>Surv</w:t>
      </w:r>
      <w:r w:rsidR="00740E83">
        <w:rPr>
          <w:rFonts w:ascii="Times New Roman" w:eastAsia="Times New Roman" w:hAnsi="Times New Roman" w:cs="Times New Roman"/>
          <w:i/>
          <w:iCs/>
          <w:color w:val="000000" w:themeColor="text1"/>
          <w:shd w:val="clear" w:color="auto" w:fill="FFFFFF"/>
        </w:rPr>
        <w:t>ey</w:t>
      </w:r>
      <w:r w:rsidRPr="00BF0CD4">
        <w:rPr>
          <w:rFonts w:ascii="Times New Roman" w:eastAsia="Times New Roman" w:hAnsi="Times New Roman" w:cs="Times New Roman"/>
          <w:i/>
          <w:iCs/>
          <w:color w:val="000000" w:themeColor="text1"/>
          <w:shd w:val="clear" w:color="auto" w:fill="FFFFFF"/>
        </w:rPr>
        <w:t xml:space="preserve"> Res</w:t>
      </w:r>
      <w:r w:rsidR="00740E83">
        <w:rPr>
          <w:rFonts w:ascii="Times New Roman" w:eastAsia="Times New Roman" w:hAnsi="Times New Roman" w:cs="Times New Roman"/>
          <w:i/>
          <w:iCs/>
          <w:color w:val="000000" w:themeColor="text1"/>
          <w:shd w:val="clear" w:color="auto" w:fill="FFFFFF"/>
        </w:rPr>
        <w:t xml:space="preserve">earch Methods, </w:t>
      </w:r>
      <w:r w:rsidRPr="00740E83">
        <w:rPr>
          <w:rFonts w:ascii="Times New Roman" w:eastAsia="Times New Roman" w:hAnsi="Times New Roman" w:cs="Times New Roman"/>
          <w:i/>
          <w:color w:val="000000" w:themeColor="text1"/>
          <w:shd w:val="clear" w:color="auto" w:fill="FFFFFF"/>
        </w:rPr>
        <w:t>2</w:t>
      </w:r>
      <w:r w:rsidR="00740E83">
        <w:rPr>
          <w:rFonts w:ascii="Times New Roman" w:eastAsia="Times New Roman" w:hAnsi="Times New Roman" w:cs="Times New Roman"/>
          <w:color w:val="000000" w:themeColor="text1"/>
          <w:shd w:val="clear" w:color="auto" w:fill="FFFFFF"/>
        </w:rPr>
        <w:t xml:space="preserve">(3), </w:t>
      </w:r>
      <w:r w:rsidRPr="00BF0CD4">
        <w:rPr>
          <w:rFonts w:ascii="Times New Roman" w:eastAsia="Times New Roman" w:hAnsi="Times New Roman" w:cs="Times New Roman"/>
          <w:color w:val="000000" w:themeColor="text1"/>
          <w:shd w:val="clear" w:color="auto" w:fill="FFFFFF"/>
        </w:rPr>
        <w:t>151-158.</w:t>
      </w:r>
    </w:p>
    <w:p w14:paraId="21E6D88A" w14:textId="77777777" w:rsidR="00BF0CD4" w:rsidRPr="001744B7" w:rsidRDefault="00BF0CD4" w:rsidP="009C6AAC">
      <w:pPr>
        <w:spacing w:after="240"/>
        <w:rPr>
          <w:rFonts w:ascii="Times New Roman" w:eastAsia="Times New Roman" w:hAnsi="Times New Roman" w:cs="Times New Roman"/>
          <w:color w:val="000000" w:themeColor="text1"/>
          <w:lang w:bidi="en-US"/>
        </w:rPr>
      </w:pPr>
      <w:r w:rsidRPr="00BF0CD4">
        <w:rPr>
          <w:rFonts w:ascii="Times New Roman" w:eastAsia="Times New Roman" w:hAnsi="Times New Roman" w:cs="Times New Roman"/>
          <w:color w:val="000000" w:themeColor="text1"/>
          <w:lang w:bidi="en-US"/>
        </w:rPr>
        <w:t xml:space="preserve">Centers for Disease Control (CDC). (2010). Tobacco Use Among Middle and High School Students-United States, 2000-2009. </w:t>
      </w:r>
      <w:r w:rsidRPr="00BF0CD4">
        <w:rPr>
          <w:rFonts w:ascii="Times New Roman" w:eastAsia="Times New Roman" w:hAnsi="Times New Roman" w:cs="Times New Roman"/>
          <w:i/>
          <w:color w:val="000000" w:themeColor="text1"/>
          <w:lang w:bidi="en-US"/>
        </w:rPr>
        <w:t>Morbidity and Mortality Weekly Report, 59</w:t>
      </w:r>
      <w:r w:rsidRPr="00BF0CD4">
        <w:rPr>
          <w:rFonts w:ascii="Times New Roman" w:eastAsia="Times New Roman" w:hAnsi="Times New Roman" w:cs="Times New Roman"/>
          <w:color w:val="000000" w:themeColor="text1"/>
          <w:lang w:bidi="en-US"/>
        </w:rPr>
        <w:t>(33), 1063-1068.</w:t>
      </w:r>
    </w:p>
    <w:p w14:paraId="5DF0BE24" w14:textId="5460A3C0" w:rsidR="00982ACA" w:rsidRPr="00701D8A" w:rsidRDefault="00982ACA" w:rsidP="00083088">
      <w:pPr>
        <w:widowControl w:val="0"/>
        <w:autoSpaceDE w:val="0"/>
        <w:autoSpaceDN w:val="0"/>
        <w:adjustRightInd w:val="0"/>
        <w:spacing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Giuliano, A.R., Mokuau, N., Hughes, C., Tortolero-Luna, G., Risendal, B., Ho, R.C.S.,</w:t>
      </w:r>
      <w:r w:rsidR="00701D8A">
        <w:rPr>
          <w:rFonts w:ascii="Times New Roman" w:eastAsia="Times New Roman" w:hAnsi="Times New Roman" w:cs="Times New Roman"/>
          <w:color w:val="000000" w:themeColor="text1"/>
        </w:rPr>
        <w:t xml:space="preserve"> … McCaskill-Stevens, W.J. (2000). Participation of miniorities in cancer research. </w:t>
      </w:r>
      <w:r w:rsidR="00701D8A">
        <w:rPr>
          <w:rFonts w:ascii="Times New Roman" w:eastAsia="Times New Roman" w:hAnsi="Times New Roman" w:cs="Times New Roman"/>
          <w:i/>
          <w:color w:val="000000" w:themeColor="text1"/>
        </w:rPr>
        <w:t>Annals of Epidemiology, 10</w:t>
      </w:r>
      <w:r w:rsidR="00701D8A">
        <w:rPr>
          <w:rFonts w:ascii="Times New Roman" w:eastAsia="Times New Roman" w:hAnsi="Times New Roman" w:cs="Times New Roman"/>
          <w:color w:val="000000" w:themeColor="text1"/>
        </w:rPr>
        <w:t>(8 Suppl 1), S22-S34.</w:t>
      </w:r>
    </w:p>
    <w:p w14:paraId="5C2E5B04" w14:textId="76CC6BA5" w:rsidR="00F26D73" w:rsidRPr="00F26D73" w:rsidRDefault="00F26D73" w:rsidP="00083088">
      <w:pPr>
        <w:widowControl w:val="0"/>
        <w:autoSpaceDE w:val="0"/>
        <w:autoSpaceDN w:val="0"/>
        <w:adjustRightInd w:val="0"/>
        <w:spacing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Hooven, C., Walsh, E., Willgerodt, M., &amp; Salazar, A. (2011). Increasing participation in prevention research: Strategies for youth, parents, and schools. </w:t>
      </w:r>
      <w:r>
        <w:rPr>
          <w:rFonts w:ascii="Times New Roman" w:eastAsia="Times New Roman" w:hAnsi="Times New Roman" w:cs="Times New Roman"/>
          <w:i/>
          <w:color w:val="000000" w:themeColor="text1"/>
        </w:rPr>
        <w:t>Journal of Child and Adolescent Psychiatric Nursing, 24</w:t>
      </w:r>
      <w:r>
        <w:rPr>
          <w:rFonts w:ascii="Times New Roman" w:eastAsia="Times New Roman" w:hAnsi="Times New Roman" w:cs="Times New Roman"/>
          <w:color w:val="000000" w:themeColor="text1"/>
        </w:rPr>
        <w:t>(3), 137-149.</w:t>
      </w:r>
    </w:p>
    <w:p w14:paraId="1EBB2356" w14:textId="32D48682" w:rsidR="00BF0CD4" w:rsidRPr="001744B7" w:rsidRDefault="00BF0CD4" w:rsidP="009C6AAC">
      <w:pPr>
        <w:spacing w:after="240"/>
        <w:rPr>
          <w:rFonts w:ascii="Times New Roman" w:eastAsia="Times New Roman" w:hAnsi="Times New Roman" w:cs="Times New Roman"/>
          <w:color w:val="000000" w:themeColor="text1"/>
          <w:shd w:val="clear" w:color="auto" w:fill="FFFFFF"/>
        </w:rPr>
      </w:pPr>
      <w:r w:rsidRPr="00BF0CD4">
        <w:rPr>
          <w:rFonts w:ascii="Times New Roman" w:eastAsia="Times New Roman" w:hAnsi="Times New Roman" w:cs="Times New Roman"/>
          <w:color w:val="000000" w:themeColor="text1"/>
          <w:shd w:val="clear" w:color="auto" w:fill="FFFFFF"/>
        </w:rPr>
        <w:t xml:space="preserve">Jäckle, A., &amp; Lynn, P. </w:t>
      </w:r>
      <w:r w:rsidR="00740E83">
        <w:rPr>
          <w:rFonts w:ascii="Times New Roman" w:eastAsia="Times New Roman" w:hAnsi="Times New Roman" w:cs="Times New Roman"/>
          <w:color w:val="000000" w:themeColor="text1"/>
          <w:shd w:val="clear" w:color="auto" w:fill="FFFFFF"/>
        </w:rPr>
        <w:t xml:space="preserve">(2008). </w:t>
      </w:r>
      <w:r w:rsidRPr="00BF0CD4">
        <w:rPr>
          <w:rFonts w:ascii="Times New Roman" w:eastAsia="Times New Roman" w:hAnsi="Times New Roman" w:cs="Times New Roman"/>
          <w:color w:val="000000" w:themeColor="text1"/>
          <w:shd w:val="clear" w:color="auto" w:fill="FFFFFF"/>
        </w:rPr>
        <w:t>Offre de primes d’encouragement aux répondants dans une enquête par panel multimodes: effets cumulatifs sur la non-réponse et le biais. </w:t>
      </w:r>
      <w:r w:rsidRPr="00BF0CD4">
        <w:rPr>
          <w:rFonts w:ascii="Times New Roman" w:eastAsia="Times New Roman" w:hAnsi="Times New Roman" w:cs="Times New Roman"/>
          <w:i/>
          <w:iCs/>
          <w:color w:val="000000" w:themeColor="text1"/>
          <w:shd w:val="clear" w:color="auto" w:fill="FFFFFF"/>
        </w:rPr>
        <w:t>Techniques d’enquête</w:t>
      </w:r>
      <w:r w:rsidR="00740E83">
        <w:rPr>
          <w:rFonts w:ascii="Times New Roman" w:eastAsia="Times New Roman" w:hAnsi="Times New Roman" w:cs="Times New Roman"/>
          <w:color w:val="000000" w:themeColor="text1"/>
          <w:shd w:val="clear" w:color="auto" w:fill="FFFFFF"/>
        </w:rPr>
        <w:t xml:space="preserve">, </w:t>
      </w:r>
      <w:r w:rsidRPr="00BF0CD4">
        <w:rPr>
          <w:rFonts w:ascii="Times New Roman" w:eastAsia="Times New Roman" w:hAnsi="Times New Roman" w:cs="Times New Roman"/>
          <w:i/>
          <w:iCs/>
          <w:color w:val="000000" w:themeColor="text1"/>
          <w:shd w:val="clear" w:color="auto" w:fill="FFFFFF"/>
        </w:rPr>
        <w:t>34</w:t>
      </w:r>
      <w:r w:rsidR="00740E83">
        <w:rPr>
          <w:rFonts w:ascii="Times New Roman" w:eastAsia="Times New Roman" w:hAnsi="Times New Roman" w:cs="Times New Roman"/>
          <w:color w:val="000000" w:themeColor="text1"/>
          <w:shd w:val="clear" w:color="auto" w:fill="FFFFFF"/>
        </w:rPr>
        <w:t>(1),</w:t>
      </w:r>
      <w:r w:rsidRPr="00BF0CD4">
        <w:rPr>
          <w:rFonts w:ascii="Times New Roman" w:eastAsia="Times New Roman" w:hAnsi="Times New Roman" w:cs="Times New Roman"/>
          <w:color w:val="000000" w:themeColor="text1"/>
          <w:shd w:val="clear" w:color="auto" w:fill="FFFFFF"/>
        </w:rPr>
        <w:t xml:space="preserve"> 115-130.</w:t>
      </w:r>
    </w:p>
    <w:p w14:paraId="4948D8B6" w14:textId="6869F3C4" w:rsidR="001744B7" w:rsidRDefault="001744B7" w:rsidP="00083088">
      <w:pPr>
        <w:widowControl w:val="0"/>
        <w:autoSpaceDE w:val="0"/>
        <w:autoSpaceDN w:val="0"/>
        <w:adjustRightInd w:val="0"/>
        <w:spacing w:after="240"/>
        <w:rPr>
          <w:rFonts w:ascii="Times New Roman" w:eastAsia="Times New Roman" w:hAnsi="Times New Roman" w:cs="Times New Roman"/>
          <w:color w:val="000000" w:themeColor="text1"/>
        </w:rPr>
      </w:pPr>
      <w:r w:rsidRPr="001744B7">
        <w:rPr>
          <w:rFonts w:ascii="Times New Roman" w:eastAsia="Times New Roman" w:hAnsi="Times New Roman" w:cs="Times New Roman"/>
          <w:color w:val="000000" w:themeColor="text1"/>
        </w:rPr>
        <w:t xml:space="preserve">Jamal, A., Gentzke, A., Hu, S.S., Cullen, K.A., Apelberg, B.J., Homa, D.M., &amp; King, B.A. (2017). Tobacco Use Among Middle and High School Students – United States, 2011-2016. </w:t>
      </w:r>
      <w:r w:rsidRPr="001744B7">
        <w:rPr>
          <w:rFonts w:ascii="Times New Roman" w:eastAsia="Times New Roman" w:hAnsi="Times New Roman" w:cs="Times New Roman"/>
          <w:i/>
          <w:color w:val="000000" w:themeColor="text1"/>
        </w:rPr>
        <w:t>Morbidity and Mortality Weekly Report, 66</w:t>
      </w:r>
      <w:r w:rsidRPr="001744B7">
        <w:rPr>
          <w:rFonts w:ascii="Times New Roman" w:eastAsia="Times New Roman" w:hAnsi="Times New Roman" w:cs="Times New Roman"/>
          <w:color w:val="000000" w:themeColor="text1"/>
        </w:rPr>
        <w:t>(23), 597-603.</w:t>
      </w:r>
    </w:p>
    <w:p w14:paraId="2818AFA0" w14:textId="033B6B77" w:rsidR="00A15A39" w:rsidRPr="002E1828" w:rsidRDefault="00A15A39" w:rsidP="00083088">
      <w:pPr>
        <w:widowControl w:val="0"/>
        <w:autoSpaceDE w:val="0"/>
        <w:autoSpaceDN w:val="0"/>
        <w:adjustRightInd w:val="0"/>
        <w:spacing w:after="240"/>
        <w:rPr>
          <w:rFonts w:ascii="Times New Roman" w:hAnsi="Times New Roman" w:cs="Times New Roman"/>
        </w:rPr>
      </w:pPr>
      <w:r w:rsidRPr="002E1828">
        <w:rPr>
          <w:rFonts w:ascii="Times New Roman" w:hAnsi="Times New Roman" w:cs="Times New Roman"/>
        </w:rPr>
        <w:t>Jordan, J.W., Stalgaitis, C.A., Charles, J., Madden, P.A., Radhakrishnan, A.G., &amp; Saggese, D. (201</w:t>
      </w:r>
      <w:r w:rsidR="00F32573">
        <w:rPr>
          <w:rFonts w:ascii="Times New Roman" w:hAnsi="Times New Roman" w:cs="Times New Roman"/>
        </w:rPr>
        <w:t>8</w:t>
      </w:r>
      <w:r w:rsidRPr="002E1828">
        <w:rPr>
          <w:rFonts w:ascii="Times New Roman" w:hAnsi="Times New Roman" w:cs="Times New Roman"/>
        </w:rPr>
        <w:t>). Peer crowd</w:t>
      </w:r>
      <w:r w:rsidR="00504B03">
        <w:rPr>
          <w:rFonts w:ascii="Times New Roman" w:hAnsi="Times New Roman" w:cs="Times New Roman"/>
        </w:rPr>
        <w:t>s</w:t>
      </w:r>
      <w:r w:rsidRPr="002E1828">
        <w:rPr>
          <w:rFonts w:ascii="Times New Roman" w:hAnsi="Times New Roman" w:cs="Times New Roman"/>
        </w:rPr>
        <w:t xml:space="preserve"> and adolescent health behaviors: Results from a statewide representative study. </w:t>
      </w:r>
      <w:r w:rsidR="00F32573">
        <w:rPr>
          <w:rFonts w:ascii="Times New Roman" w:hAnsi="Times New Roman" w:cs="Times New Roman"/>
          <w:i/>
        </w:rPr>
        <w:t xml:space="preserve">Health Education &amp; Behavior. </w:t>
      </w:r>
      <w:r w:rsidR="00F32573" w:rsidRPr="00F32573">
        <w:rPr>
          <w:rFonts w:ascii="Times New Roman" w:hAnsi="Times New Roman" w:cs="Times New Roman"/>
        </w:rPr>
        <w:t>Advance online publication. doi: https://doi.org/10.1177/1090198118759148</w:t>
      </w:r>
      <w:r w:rsidR="00F32573">
        <w:rPr>
          <w:rFonts w:ascii="Times New Roman" w:hAnsi="Times New Roman" w:cs="Times New Roman"/>
          <w:i/>
        </w:rPr>
        <w:t xml:space="preserve"> </w:t>
      </w:r>
      <w:r w:rsidRPr="002E1828">
        <w:rPr>
          <w:rFonts w:ascii="Times New Roman" w:hAnsi="Times New Roman" w:cs="Times New Roman"/>
        </w:rPr>
        <w:t>.</w:t>
      </w:r>
    </w:p>
    <w:p w14:paraId="0C4766F9" w14:textId="77777777" w:rsidR="00BF0CD4" w:rsidRPr="00BF0CD4" w:rsidRDefault="00BF0CD4" w:rsidP="00083088">
      <w:pPr>
        <w:widowControl w:val="0"/>
        <w:autoSpaceDE w:val="0"/>
        <w:autoSpaceDN w:val="0"/>
        <w:adjustRightInd w:val="0"/>
        <w:spacing w:after="240"/>
        <w:rPr>
          <w:rFonts w:ascii="Times New Roman" w:eastAsia="Times New Roman" w:hAnsi="Times New Roman" w:cs="Times New Roman"/>
          <w:color w:val="000000" w:themeColor="text1"/>
        </w:rPr>
      </w:pPr>
      <w:r w:rsidRPr="00BF0CD4">
        <w:rPr>
          <w:rFonts w:ascii="Times New Roman" w:eastAsia="Times New Roman" w:hAnsi="Times New Roman" w:cs="Times New Roman"/>
          <w:color w:val="000000" w:themeColor="text1"/>
        </w:rPr>
        <w:t xml:space="preserve">Lee, Y. O., Jordan, J. W., Djakaria, M., &amp; Ling, P. M. (2014). Using peer crowds to segment Black youth for smoking intervention. </w:t>
      </w:r>
      <w:r w:rsidRPr="00BF0CD4">
        <w:rPr>
          <w:rFonts w:ascii="Times New Roman" w:eastAsia="Times New Roman" w:hAnsi="Times New Roman" w:cs="Times New Roman"/>
          <w:i/>
          <w:iCs/>
          <w:color w:val="000000" w:themeColor="text1"/>
        </w:rPr>
        <w:t>Health Promotion Practice</w:t>
      </w:r>
      <w:r w:rsidRPr="00BF0CD4">
        <w:rPr>
          <w:rFonts w:ascii="Times New Roman" w:eastAsia="Times New Roman" w:hAnsi="Times New Roman" w:cs="Times New Roman"/>
          <w:i/>
          <w:color w:val="000000" w:themeColor="text1"/>
        </w:rPr>
        <w:t>, 15</w:t>
      </w:r>
      <w:r w:rsidRPr="00BF0CD4">
        <w:rPr>
          <w:rFonts w:ascii="Times New Roman" w:eastAsia="Times New Roman" w:hAnsi="Times New Roman" w:cs="Times New Roman"/>
          <w:color w:val="000000" w:themeColor="text1"/>
        </w:rPr>
        <w:t>(4), 530-537.</w:t>
      </w:r>
    </w:p>
    <w:p w14:paraId="05437A10" w14:textId="5AC6D0EB" w:rsidR="000B6659" w:rsidRPr="000B6659" w:rsidRDefault="000B6659" w:rsidP="00083088">
      <w:pPr>
        <w:widowControl w:val="0"/>
        <w:autoSpaceDE w:val="0"/>
        <w:autoSpaceDN w:val="0"/>
        <w:adjustRightInd w:val="0"/>
        <w:spacing w:after="240"/>
        <w:rPr>
          <w:rFonts w:ascii="Times New Roman" w:hAnsi="Times New Roman" w:cs="Times New Roman"/>
          <w:color w:val="000000" w:themeColor="text1"/>
        </w:rPr>
      </w:pPr>
      <w:r>
        <w:rPr>
          <w:rFonts w:ascii="Times New Roman" w:hAnsi="Times New Roman" w:cs="Times New Roman"/>
          <w:color w:val="000000" w:themeColor="text1"/>
        </w:rPr>
        <w:t xml:space="preserve">Martinson, B.C., Lazovich, D., Lando, H.A., Perry, C.L., McGovern, P.G., &amp; Boyle, R.G. (2000). Effectiveness of monetary incentives for recruiting adolescents to an intervention trial to reduce smoking. </w:t>
      </w:r>
      <w:r>
        <w:rPr>
          <w:rFonts w:ascii="Times New Roman" w:hAnsi="Times New Roman" w:cs="Times New Roman"/>
          <w:i/>
          <w:color w:val="000000" w:themeColor="text1"/>
        </w:rPr>
        <w:t>Preventive Medicine, 31</w:t>
      </w:r>
      <w:r>
        <w:rPr>
          <w:rFonts w:ascii="Times New Roman" w:hAnsi="Times New Roman" w:cs="Times New Roman"/>
          <w:color w:val="000000" w:themeColor="text1"/>
        </w:rPr>
        <w:t>(6), 706-713.</w:t>
      </w:r>
    </w:p>
    <w:p w14:paraId="093416DD" w14:textId="18587B86" w:rsidR="00701D8A" w:rsidRPr="00701D8A" w:rsidRDefault="00701D8A" w:rsidP="00083088">
      <w:pPr>
        <w:widowControl w:val="0"/>
        <w:autoSpaceDE w:val="0"/>
        <w:autoSpaceDN w:val="0"/>
        <w:adjustRightInd w:val="0"/>
        <w:spacing w:after="240"/>
        <w:rPr>
          <w:rFonts w:ascii="Times New Roman" w:hAnsi="Times New Roman" w:cs="Times New Roman"/>
          <w:color w:val="000000" w:themeColor="text1"/>
        </w:rPr>
      </w:pPr>
      <w:r>
        <w:rPr>
          <w:rFonts w:ascii="Times New Roman" w:hAnsi="Times New Roman" w:cs="Times New Roman"/>
          <w:color w:val="000000" w:themeColor="text1"/>
        </w:rPr>
        <w:t xml:space="preserve">Murthy, V.H., Krumholz, H.M., &amp; Gross, C.P. (2004). Participation in cancer clinical trials: Race-, sex-, and age-based disparities. </w:t>
      </w:r>
      <w:r>
        <w:rPr>
          <w:rFonts w:ascii="Times New Roman" w:hAnsi="Times New Roman" w:cs="Times New Roman"/>
          <w:i/>
          <w:color w:val="000000" w:themeColor="text1"/>
        </w:rPr>
        <w:t>Journal of the American Medical Association, 291</w:t>
      </w:r>
      <w:r>
        <w:rPr>
          <w:rFonts w:ascii="Times New Roman" w:hAnsi="Times New Roman" w:cs="Times New Roman"/>
          <w:color w:val="000000" w:themeColor="text1"/>
        </w:rPr>
        <w:t>(22), 2720-2726.</w:t>
      </w:r>
    </w:p>
    <w:p w14:paraId="6826E0B1" w14:textId="0B846B25" w:rsidR="00B83DB4" w:rsidRPr="00B83DB4" w:rsidRDefault="00B83DB4" w:rsidP="00083088">
      <w:pPr>
        <w:widowControl w:val="0"/>
        <w:autoSpaceDE w:val="0"/>
        <w:autoSpaceDN w:val="0"/>
        <w:adjustRightInd w:val="0"/>
        <w:spacing w:after="240"/>
        <w:rPr>
          <w:rFonts w:ascii="Times New Roman" w:hAnsi="Times New Roman" w:cs="Times New Roman"/>
          <w:color w:val="000000" w:themeColor="text1"/>
        </w:rPr>
      </w:pPr>
      <w:r>
        <w:rPr>
          <w:rFonts w:ascii="Times New Roman" w:hAnsi="Times New Roman" w:cs="Times New Roman"/>
          <w:color w:val="000000" w:themeColor="text1"/>
        </w:rPr>
        <w:t xml:space="preserve">Patel, M.X., Doku, V., Tennakoon, L. (2003). Challenges in recruitment of research participants. </w:t>
      </w:r>
      <w:r>
        <w:rPr>
          <w:rFonts w:ascii="Times New Roman" w:hAnsi="Times New Roman" w:cs="Times New Roman"/>
          <w:i/>
          <w:color w:val="000000" w:themeColor="text1"/>
        </w:rPr>
        <w:t>Advances in Psychiatric Treathment, 9</w:t>
      </w:r>
      <w:r>
        <w:rPr>
          <w:rFonts w:ascii="Times New Roman" w:hAnsi="Times New Roman" w:cs="Times New Roman"/>
          <w:color w:val="000000" w:themeColor="text1"/>
        </w:rPr>
        <w:t>(3), 229-238.</w:t>
      </w:r>
    </w:p>
    <w:p w14:paraId="5D0A9DFC" w14:textId="652E68CE" w:rsidR="00B83DB4" w:rsidRPr="00B83DB4" w:rsidRDefault="00B83DB4" w:rsidP="00083088">
      <w:pPr>
        <w:widowControl w:val="0"/>
        <w:autoSpaceDE w:val="0"/>
        <w:autoSpaceDN w:val="0"/>
        <w:adjustRightInd w:val="0"/>
        <w:spacing w:after="240"/>
        <w:rPr>
          <w:rFonts w:ascii="Times New Roman" w:hAnsi="Times New Roman" w:cs="Times New Roman"/>
          <w:color w:val="000000" w:themeColor="text1"/>
        </w:rPr>
      </w:pPr>
      <w:r>
        <w:rPr>
          <w:rFonts w:ascii="Times New Roman" w:hAnsi="Times New Roman" w:cs="Times New Roman"/>
          <w:color w:val="000000" w:themeColor="text1"/>
        </w:rPr>
        <w:t xml:space="preserve">Post, A., Gilljam, H., Bremberg, S., &amp; Galanti, M.R. (2012). Psychosocial determinants of attrition in a longitudinal study of tobacco use in youth. </w:t>
      </w:r>
      <w:r>
        <w:rPr>
          <w:rFonts w:ascii="Times New Roman" w:hAnsi="Times New Roman" w:cs="Times New Roman"/>
          <w:i/>
          <w:color w:val="000000" w:themeColor="text1"/>
        </w:rPr>
        <w:t>Scientific World Journal, 2012</w:t>
      </w:r>
      <w:r>
        <w:rPr>
          <w:rFonts w:ascii="Times New Roman" w:hAnsi="Times New Roman" w:cs="Times New Roman"/>
          <w:color w:val="000000" w:themeColor="text1"/>
        </w:rPr>
        <w:t>, 654030.</w:t>
      </w:r>
    </w:p>
    <w:p w14:paraId="758CA9C0" w14:textId="0082E93D" w:rsidR="00B83DB4" w:rsidRPr="00B83DB4" w:rsidRDefault="00B83DB4" w:rsidP="009C6AAC">
      <w:pPr>
        <w:spacing w:after="240"/>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Siddiqui, O., Flay, B.R., &amp; Hu, F.B. (1996). Factors affecting attrition in a longitudinal smoking prevention study. </w:t>
      </w:r>
      <w:r>
        <w:rPr>
          <w:rFonts w:ascii="Times New Roman" w:eastAsia="Times New Roman" w:hAnsi="Times New Roman" w:cs="Times New Roman"/>
          <w:i/>
          <w:color w:val="000000" w:themeColor="text1"/>
          <w:shd w:val="clear" w:color="auto" w:fill="FFFFFF"/>
        </w:rPr>
        <w:t>Preventive Medicine, 25</w:t>
      </w:r>
      <w:r>
        <w:rPr>
          <w:rFonts w:ascii="Times New Roman" w:eastAsia="Times New Roman" w:hAnsi="Times New Roman" w:cs="Times New Roman"/>
          <w:color w:val="000000" w:themeColor="text1"/>
          <w:shd w:val="clear" w:color="auto" w:fill="FFFFFF"/>
        </w:rPr>
        <w:t>(5), 554-560.</w:t>
      </w:r>
    </w:p>
    <w:p w14:paraId="2A4611EF" w14:textId="1E737CB7" w:rsidR="00BF0CD4" w:rsidRPr="00BF0CD4" w:rsidRDefault="00BF0CD4" w:rsidP="009C6AAC">
      <w:pPr>
        <w:spacing w:after="240"/>
        <w:rPr>
          <w:rFonts w:ascii="Times New Roman" w:eastAsia="Times New Roman" w:hAnsi="Times New Roman" w:cs="Times New Roman"/>
          <w:color w:val="000000" w:themeColor="text1"/>
          <w:shd w:val="clear" w:color="auto" w:fill="FFFFFF"/>
        </w:rPr>
      </w:pPr>
      <w:r w:rsidRPr="00BF0CD4">
        <w:rPr>
          <w:rFonts w:ascii="Times New Roman" w:eastAsia="Times New Roman" w:hAnsi="Times New Roman" w:cs="Times New Roman"/>
          <w:color w:val="000000" w:themeColor="text1"/>
          <w:shd w:val="clear" w:color="auto" w:fill="FFFFFF"/>
        </w:rPr>
        <w:t>Singer, E.</w:t>
      </w:r>
      <w:r w:rsidR="00740E83">
        <w:rPr>
          <w:rFonts w:ascii="Times New Roman" w:eastAsia="Times New Roman" w:hAnsi="Times New Roman" w:cs="Times New Roman"/>
          <w:color w:val="000000" w:themeColor="text1"/>
          <w:shd w:val="clear" w:color="auto" w:fill="FFFFFF"/>
        </w:rPr>
        <w:t xml:space="preserve"> (2002).</w:t>
      </w:r>
      <w:r w:rsidRPr="00BF0CD4">
        <w:rPr>
          <w:rFonts w:ascii="Times New Roman" w:eastAsia="Times New Roman" w:hAnsi="Times New Roman" w:cs="Times New Roman"/>
          <w:color w:val="000000" w:themeColor="text1"/>
          <w:shd w:val="clear" w:color="auto" w:fill="FFFFFF"/>
        </w:rPr>
        <w:t xml:space="preserve"> The use of incentives to reduce nonresponse in household surveys. In: Wiley, ed. </w:t>
      </w:r>
      <w:r w:rsidRPr="00BF0CD4">
        <w:rPr>
          <w:rFonts w:ascii="Times New Roman" w:eastAsia="Times New Roman" w:hAnsi="Times New Roman" w:cs="Times New Roman"/>
          <w:i/>
          <w:iCs/>
          <w:color w:val="000000" w:themeColor="text1"/>
          <w:shd w:val="clear" w:color="auto" w:fill="FFFFFF"/>
        </w:rPr>
        <w:t>Survey nonresponse</w:t>
      </w:r>
      <w:r w:rsidR="00740E83">
        <w:rPr>
          <w:rFonts w:ascii="Times New Roman" w:eastAsia="Times New Roman" w:hAnsi="Times New Roman" w:cs="Times New Roman"/>
          <w:color w:val="000000" w:themeColor="text1"/>
          <w:shd w:val="clear" w:color="auto" w:fill="FFFFFF"/>
        </w:rPr>
        <w:t>,</w:t>
      </w:r>
      <w:r w:rsidRPr="00BF0CD4">
        <w:rPr>
          <w:rFonts w:ascii="Times New Roman" w:eastAsia="Times New Roman" w:hAnsi="Times New Roman" w:cs="Times New Roman"/>
          <w:color w:val="000000" w:themeColor="text1"/>
          <w:shd w:val="clear" w:color="auto" w:fill="FFFFFF"/>
        </w:rPr>
        <w:t> </w:t>
      </w:r>
      <w:r w:rsidRPr="00BF0CD4">
        <w:rPr>
          <w:rFonts w:ascii="Times New Roman" w:eastAsia="Times New Roman" w:hAnsi="Times New Roman" w:cs="Times New Roman"/>
          <w:i/>
          <w:iCs/>
          <w:color w:val="000000" w:themeColor="text1"/>
          <w:shd w:val="clear" w:color="auto" w:fill="FFFFFF"/>
        </w:rPr>
        <w:t>51</w:t>
      </w:r>
      <w:r w:rsidR="00740E83">
        <w:rPr>
          <w:rFonts w:ascii="Times New Roman" w:eastAsia="Times New Roman" w:hAnsi="Times New Roman" w:cs="Times New Roman"/>
          <w:color w:val="000000" w:themeColor="text1"/>
          <w:shd w:val="clear" w:color="auto" w:fill="FFFFFF"/>
        </w:rPr>
        <w:t xml:space="preserve">, </w:t>
      </w:r>
      <w:r w:rsidRPr="00BF0CD4">
        <w:rPr>
          <w:rFonts w:ascii="Times New Roman" w:eastAsia="Times New Roman" w:hAnsi="Times New Roman" w:cs="Times New Roman"/>
          <w:color w:val="000000" w:themeColor="text1"/>
          <w:shd w:val="clear" w:color="auto" w:fill="FFFFFF"/>
        </w:rPr>
        <w:t>163-177.</w:t>
      </w:r>
    </w:p>
    <w:p w14:paraId="1F5C0F0D" w14:textId="65DACA58" w:rsidR="00BF0CD4" w:rsidRPr="001744B7" w:rsidRDefault="00BF0CD4" w:rsidP="009C6AAC">
      <w:pPr>
        <w:spacing w:after="240"/>
        <w:rPr>
          <w:rFonts w:ascii="Times New Roman" w:eastAsia="Times New Roman" w:hAnsi="Times New Roman" w:cs="Times New Roman"/>
          <w:color w:val="000000" w:themeColor="text1"/>
          <w:shd w:val="clear" w:color="auto" w:fill="FFFFFF"/>
        </w:rPr>
      </w:pPr>
      <w:r w:rsidRPr="00BF0CD4">
        <w:rPr>
          <w:rFonts w:ascii="Times New Roman" w:eastAsia="Times New Roman" w:hAnsi="Times New Roman" w:cs="Times New Roman"/>
          <w:color w:val="000000" w:themeColor="text1"/>
          <w:shd w:val="clear" w:color="auto" w:fill="FFFFFF"/>
        </w:rPr>
        <w:t>Shettle, C., &amp; Mooney, G.</w:t>
      </w:r>
      <w:r w:rsidR="00740E83">
        <w:rPr>
          <w:rFonts w:ascii="Times New Roman" w:eastAsia="Times New Roman" w:hAnsi="Times New Roman" w:cs="Times New Roman"/>
          <w:color w:val="000000" w:themeColor="text1"/>
          <w:shd w:val="clear" w:color="auto" w:fill="FFFFFF"/>
        </w:rPr>
        <w:t xml:space="preserve"> (1999).</w:t>
      </w:r>
      <w:r w:rsidRPr="00BF0CD4">
        <w:rPr>
          <w:rFonts w:ascii="Times New Roman" w:eastAsia="Times New Roman" w:hAnsi="Times New Roman" w:cs="Times New Roman"/>
          <w:color w:val="000000" w:themeColor="text1"/>
          <w:shd w:val="clear" w:color="auto" w:fill="FFFFFF"/>
        </w:rPr>
        <w:t xml:space="preserve"> Monetary incentives in US government surveys. </w:t>
      </w:r>
      <w:r w:rsidRPr="00BF0CD4">
        <w:rPr>
          <w:rFonts w:ascii="Times New Roman" w:eastAsia="Times New Roman" w:hAnsi="Times New Roman" w:cs="Times New Roman"/>
          <w:i/>
          <w:iCs/>
          <w:color w:val="000000" w:themeColor="text1"/>
          <w:shd w:val="clear" w:color="auto" w:fill="FFFFFF"/>
        </w:rPr>
        <w:t>J</w:t>
      </w:r>
      <w:r w:rsidR="00740E83">
        <w:rPr>
          <w:rFonts w:ascii="Times New Roman" w:eastAsia="Times New Roman" w:hAnsi="Times New Roman" w:cs="Times New Roman"/>
          <w:i/>
          <w:iCs/>
          <w:color w:val="000000" w:themeColor="text1"/>
          <w:shd w:val="clear" w:color="auto" w:fill="FFFFFF"/>
        </w:rPr>
        <w:t>ournal of</w:t>
      </w:r>
      <w:r w:rsidRPr="00BF0CD4">
        <w:rPr>
          <w:rFonts w:ascii="Times New Roman" w:eastAsia="Times New Roman" w:hAnsi="Times New Roman" w:cs="Times New Roman"/>
          <w:i/>
          <w:iCs/>
          <w:color w:val="000000" w:themeColor="text1"/>
          <w:shd w:val="clear" w:color="auto" w:fill="FFFFFF"/>
        </w:rPr>
        <w:t xml:space="preserve"> Off</w:t>
      </w:r>
      <w:r w:rsidR="00740E83">
        <w:rPr>
          <w:rFonts w:ascii="Times New Roman" w:eastAsia="Times New Roman" w:hAnsi="Times New Roman" w:cs="Times New Roman"/>
          <w:i/>
          <w:iCs/>
          <w:color w:val="000000" w:themeColor="text1"/>
          <w:shd w:val="clear" w:color="auto" w:fill="FFFFFF"/>
        </w:rPr>
        <w:t>icial</w:t>
      </w:r>
      <w:r w:rsidRPr="00BF0CD4">
        <w:rPr>
          <w:rFonts w:ascii="Times New Roman" w:eastAsia="Times New Roman" w:hAnsi="Times New Roman" w:cs="Times New Roman"/>
          <w:i/>
          <w:iCs/>
          <w:color w:val="000000" w:themeColor="text1"/>
          <w:shd w:val="clear" w:color="auto" w:fill="FFFFFF"/>
        </w:rPr>
        <w:t xml:space="preserve"> Stat</w:t>
      </w:r>
      <w:r w:rsidR="00740E83">
        <w:rPr>
          <w:rFonts w:ascii="Times New Roman" w:eastAsia="Times New Roman" w:hAnsi="Times New Roman" w:cs="Times New Roman"/>
          <w:i/>
          <w:iCs/>
          <w:color w:val="000000" w:themeColor="text1"/>
          <w:shd w:val="clear" w:color="auto" w:fill="FFFFFF"/>
        </w:rPr>
        <w:t xml:space="preserve">istics, </w:t>
      </w:r>
      <w:r w:rsidRPr="00BF0CD4">
        <w:rPr>
          <w:rFonts w:ascii="Times New Roman" w:eastAsia="Times New Roman" w:hAnsi="Times New Roman" w:cs="Times New Roman"/>
          <w:i/>
          <w:iCs/>
          <w:color w:val="000000" w:themeColor="text1"/>
          <w:shd w:val="clear" w:color="auto" w:fill="FFFFFF"/>
        </w:rPr>
        <w:t>15</w:t>
      </w:r>
      <w:r w:rsidR="00740E83">
        <w:rPr>
          <w:rFonts w:ascii="Times New Roman" w:eastAsia="Times New Roman" w:hAnsi="Times New Roman" w:cs="Times New Roman"/>
          <w:color w:val="000000" w:themeColor="text1"/>
          <w:shd w:val="clear" w:color="auto" w:fill="FFFFFF"/>
        </w:rPr>
        <w:t>(2),</w:t>
      </w:r>
      <w:r w:rsidRPr="00BF0CD4">
        <w:rPr>
          <w:rFonts w:ascii="Times New Roman" w:eastAsia="Times New Roman" w:hAnsi="Times New Roman" w:cs="Times New Roman"/>
          <w:color w:val="000000" w:themeColor="text1"/>
          <w:shd w:val="clear" w:color="auto" w:fill="FFFFFF"/>
        </w:rPr>
        <w:t xml:space="preserve"> 231.</w:t>
      </w:r>
    </w:p>
    <w:p w14:paraId="2C1BA7AF" w14:textId="77777777" w:rsidR="00BF0CD4" w:rsidRPr="001744B7" w:rsidRDefault="00BF0CD4" w:rsidP="009C6AAC">
      <w:pPr>
        <w:spacing w:after="240"/>
        <w:rPr>
          <w:rFonts w:ascii="Times New Roman" w:eastAsia="Times New Roman" w:hAnsi="Times New Roman" w:cs="Times New Roman"/>
          <w:color w:val="000000" w:themeColor="text1"/>
          <w:shd w:val="clear" w:color="auto" w:fill="FFFFFF"/>
        </w:rPr>
      </w:pPr>
      <w:r w:rsidRPr="00BF0CD4">
        <w:rPr>
          <w:rFonts w:ascii="Times New Roman" w:eastAsia="Times New Roman" w:hAnsi="Times New Roman" w:cs="Times New Roman"/>
          <w:color w:val="000000" w:themeColor="text1"/>
          <w:shd w:val="clear" w:color="auto" w:fill="FFFFFF"/>
        </w:rPr>
        <w:t xml:space="preserve">U.S. Department of Health and Human Services (USDHHS). (2014). </w:t>
      </w:r>
      <w:r w:rsidRPr="00BF0CD4">
        <w:rPr>
          <w:rFonts w:ascii="Times New Roman" w:eastAsia="Times New Roman" w:hAnsi="Times New Roman" w:cs="Times New Roman"/>
          <w:i/>
          <w:iCs/>
          <w:color w:val="000000" w:themeColor="text1"/>
          <w:shd w:val="clear" w:color="auto" w:fill="FFFFFF"/>
        </w:rPr>
        <w:t>The Health Consequences of Smoking—50 Years of Progress: A Report of the Surgeon General</w:t>
      </w:r>
      <w:r w:rsidRPr="00BF0CD4">
        <w:rPr>
          <w:rFonts w:ascii="Times New Roman" w:eastAsia="Times New Roman" w:hAnsi="Times New Roman" w:cs="Times New Roman"/>
          <w:color w:val="000000" w:themeColor="text1"/>
          <w:shd w:val="clear" w:color="auto" w:fill="FFFFFF"/>
        </w:rPr>
        <w:t>. Atlanta, GA: U.S. Department of Health and Human Services, Centers for Disease Control and Prevention, National Center for Chronic Disease Prevention and Health Promotion, Office on Smoking and Health.</w:t>
      </w:r>
    </w:p>
    <w:p w14:paraId="1ACD79F5" w14:textId="77777777" w:rsidR="00BF0CD4" w:rsidRPr="00BF0CD4" w:rsidRDefault="00BF0CD4" w:rsidP="00083088">
      <w:pPr>
        <w:spacing w:after="240"/>
        <w:rPr>
          <w:rFonts w:ascii="Times New Roman" w:eastAsia="Times New Roman" w:hAnsi="Times New Roman" w:cs="Times New Roman"/>
          <w:color w:val="000000" w:themeColor="text1"/>
        </w:rPr>
      </w:pPr>
      <w:r w:rsidRPr="00BF0CD4">
        <w:rPr>
          <w:rFonts w:ascii="Times New Roman" w:eastAsia="Times New Roman" w:hAnsi="Times New Roman" w:cs="Times New Roman"/>
          <w:color w:val="000000" w:themeColor="text1"/>
        </w:rPr>
        <w:t xml:space="preserve">Van der Rijt, G. A., d’Haenens, L. S., &amp; van Straten, P. (2002). Smoking and other substance use as distinct features of teenage subcultures. </w:t>
      </w:r>
      <w:r w:rsidRPr="00BF0CD4">
        <w:rPr>
          <w:rFonts w:ascii="Times New Roman" w:eastAsia="Times New Roman" w:hAnsi="Times New Roman" w:cs="Times New Roman"/>
          <w:i/>
          <w:color w:val="000000" w:themeColor="text1"/>
        </w:rPr>
        <w:t>Journal of Adolescent Health, 31</w:t>
      </w:r>
      <w:r w:rsidRPr="00BF0CD4">
        <w:rPr>
          <w:rFonts w:ascii="Times New Roman" w:eastAsia="Times New Roman" w:hAnsi="Times New Roman" w:cs="Times New Roman"/>
          <w:color w:val="000000" w:themeColor="text1"/>
        </w:rPr>
        <w:t>(5), 433-435.</w:t>
      </w:r>
    </w:p>
    <w:p w14:paraId="17658409" w14:textId="157C33D8" w:rsidR="00701D8A" w:rsidRPr="00701D8A" w:rsidRDefault="00701D8A" w:rsidP="00083088">
      <w:pPr>
        <w:spacing w:after="240"/>
        <w:rPr>
          <w:rFonts w:ascii="Times New Roman" w:hAnsi="Times New Roman" w:cs="Times New Roman"/>
          <w:color w:val="000000" w:themeColor="text1"/>
        </w:rPr>
      </w:pPr>
      <w:r>
        <w:rPr>
          <w:rFonts w:ascii="Times New Roman" w:hAnsi="Times New Roman" w:cs="Times New Roman"/>
          <w:color w:val="000000" w:themeColor="text1"/>
        </w:rPr>
        <w:t xml:space="preserve">Walter, J.K., Burke, J.F., &amp; Davis, M.M. (2013). Research participation by low-income and racial/ethnic minority groups: How payment may change the balance. </w:t>
      </w:r>
      <w:r>
        <w:rPr>
          <w:rFonts w:ascii="Times New Roman" w:hAnsi="Times New Roman" w:cs="Times New Roman"/>
          <w:i/>
          <w:color w:val="000000" w:themeColor="text1"/>
        </w:rPr>
        <w:t>Clinical and Translational Science, 6</w:t>
      </w:r>
      <w:r>
        <w:rPr>
          <w:rFonts w:ascii="Times New Roman" w:hAnsi="Times New Roman" w:cs="Times New Roman"/>
          <w:color w:val="000000" w:themeColor="text1"/>
        </w:rPr>
        <w:t>, 363-371.</w:t>
      </w:r>
    </w:p>
    <w:p w14:paraId="51C83737" w14:textId="52554DCF" w:rsidR="00F26D73" w:rsidRPr="00356826" w:rsidRDefault="00F26D73" w:rsidP="00083088">
      <w:pPr>
        <w:spacing w:after="240"/>
        <w:rPr>
          <w:rFonts w:ascii="Times New Roman" w:hAnsi="Times New Roman" w:cs="Times New Roman"/>
          <w:color w:val="000000" w:themeColor="text1"/>
        </w:rPr>
      </w:pPr>
      <w:r>
        <w:rPr>
          <w:rFonts w:ascii="Times New Roman" w:hAnsi="Times New Roman" w:cs="Times New Roman"/>
          <w:color w:val="000000" w:themeColor="text1"/>
        </w:rPr>
        <w:t xml:space="preserve">Zand, D., Thomson, N.R., Budan, M., Braun, J.A., Holterman-Hommes, P., &amp; Hunter, P.L. (2006). Predictors of retention in </w:t>
      </w:r>
      <w:r w:rsidR="000B6659">
        <w:rPr>
          <w:rFonts w:ascii="Times New Roman" w:hAnsi="Times New Roman" w:cs="Times New Roman"/>
          <w:color w:val="000000" w:themeColor="text1"/>
        </w:rPr>
        <w:t xml:space="preserve">an </w:t>
      </w:r>
      <w:r>
        <w:rPr>
          <w:rFonts w:ascii="Times New Roman" w:hAnsi="Times New Roman" w:cs="Times New Roman"/>
          <w:color w:val="000000" w:themeColor="text1"/>
        </w:rPr>
        <w:t>alcohol, tobacco, and other</w:t>
      </w:r>
      <w:r w:rsidR="000B6659">
        <w:rPr>
          <w:rFonts w:ascii="Times New Roman" w:hAnsi="Times New Roman" w:cs="Times New Roman"/>
          <w:color w:val="000000" w:themeColor="text1"/>
        </w:rPr>
        <w:t xml:space="preserve"> drug prevention study. </w:t>
      </w:r>
      <w:r w:rsidR="000B6659">
        <w:rPr>
          <w:rFonts w:ascii="Times New Roman" w:hAnsi="Times New Roman" w:cs="Times New Roman"/>
          <w:i/>
          <w:color w:val="000000" w:themeColor="text1"/>
        </w:rPr>
        <w:t>Evaluation Review, 30</w:t>
      </w:r>
      <w:r w:rsidR="000B6659">
        <w:rPr>
          <w:rFonts w:ascii="Times New Roman" w:hAnsi="Times New Roman" w:cs="Times New Roman"/>
          <w:color w:val="000000" w:themeColor="text1"/>
        </w:rPr>
        <w:t>(2), 209-222.</w:t>
      </w:r>
    </w:p>
    <w:sectPr w:rsidR="00F26D73" w:rsidRPr="00356826" w:rsidSect="003551C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6F9B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8C8EB" w14:textId="77777777" w:rsidR="002478F7" w:rsidRDefault="002478F7" w:rsidP="00476B0B">
      <w:r>
        <w:separator/>
      </w:r>
    </w:p>
  </w:endnote>
  <w:endnote w:type="continuationSeparator" w:id="0">
    <w:p w14:paraId="6F5B595F" w14:textId="77777777" w:rsidR="002478F7" w:rsidRDefault="002478F7" w:rsidP="0047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BA13F" w14:textId="77777777" w:rsidR="008D4906" w:rsidRDefault="008D4906" w:rsidP="009C6AA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AE6535" w14:textId="77777777" w:rsidR="008D4906" w:rsidRDefault="008D4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5CAB9" w14:textId="05B60571" w:rsidR="008D4906" w:rsidRPr="009C6AAC" w:rsidRDefault="008D4906" w:rsidP="009C6AAC">
    <w:pPr>
      <w:pStyle w:val="Footer"/>
      <w:framePr w:wrap="none" w:vAnchor="text" w:hAnchor="margin" w:xAlign="center" w:y="1"/>
      <w:rPr>
        <w:rStyle w:val="PageNumber"/>
        <w:rFonts w:ascii="Times New Roman" w:hAnsi="Times New Roman" w:cs="Times New Roman"/>
      </w:rPr>
    </w:pPr>
    <w:r w:rsidRPr="009C6AAC">
      <w:rPr>
        <w:rStyle w:val="PageNumber"/>
        <w:rFonts w:ascii="Times New Roman" w:hAnsi="Times New Roman" w:cs="Times New Roman"/>
      </w:rPr>
      <w:fldChar w:fldCharType="begin"/>
    </w:r>
    <w:r w:rsidRPr="009C6AAC">
      <w:rPr>
        <w:rStyle w:val="PageNumber"/>
        <w:rFonts w:ascii="Times New Roman" w:hAnsi="Times New Roman" w:cs="Times New Roman"/>
      </w:rPr>
      <w:instrText xml:space="preserve">PAGE  </w:instrText>
    </w:r>
    <w:r w:rsidRPr="009C6AAC">
      <w:rPr>
        <w:rStyle w:val="PageNumber"/>
        <w:rFonts w:ascii="Times New Roman" w:hAnsi="Times New Roman" w:cs="Times New Roman"/>
      </w:rPr>
      <w:fldChar w:fldCharType="separate"/>
    </w:r>
    <w:r w:rsidR="00300296">
      <w:rPr>
        <w:rStyle w:val="PageNumber"/>
        <w:rFonts w:ascii="Times New Roman" w:hAnsi="Times New Roman" w:cs="Times New Roman"/>
        <w:noProof/>
      </w:rPr>
      <w:t>2</w:t>
    </w:r>
    <w:r w:rsidRPr="009C6AAC">
      <w:rPr>
        <w:rStyle w:val="PageNumber"/>
        <w:rFonts w:ascii="Times New Roman" w:hAnsi="Times New Roman" w:cs="Times New Roman"/>
      </w:rPr>
      <w:fldChar w:fldCharType="end"/>
    </w:r>
  </w:p>
  <w:p w14:paraId="0F1B756A" w14:textId="77777777" w:rsidR="008D4906" w:rsidRPr="009C6AAC" w:rsidRDefault="008D4906">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49250" w14:textId="4F6E095D" w:rsidR="008D4906" w:rsidRPr="009C6AAC" w:rsidRDefault="008D4906">
    <w:pPr>
      <w:pStyle w:val="Footer"/>
      <w:tabs>
        <w:tab w:val="clear" w:pos="4680"/>
        <w:tab w:val="clear" w:pos="9360"/>
      </w:tabs>
      <w:jc w:val="center"/>
      <w:rPr>
        <w:rFonts w:ascii="Times New Roman" w:hAnsi="Times New Roman" w:cs="Times New Roman"/>
        <w:caps/>
        <w:noProof/>
        <w:color w:val="000000" w:themeColor="text1"/>
      </w:rPr>
    </w:pPr>
    <w:r w:rsidRPr="009C6AAC">
      <w:rPr>
        <w:rFonts w:ascii="Times New Roman" w:hAnsi="Times New Roman" w:cs="Times New Roman"/>
        <w:caps/>
        <w:color w:val="000000" w:themeColor="text1"/>
      </w:rPr>
      <w:fldChar w:fldCharType="begin"/>
    </w:r>
    <w:r w:rsidRPr="009C6AAC">
      <w:rPr>
        <w:rFonts w:ascii="Times New Roman" w:hAnsi="Times New Roman" w:cs="Times New Roman"/>
        <w:caps/>
        <w:color w:val="000000" w:themeColor="text1"/>
      </w:rPr>
      <w:instrText xml:space="preserve"> PAGE   \* MERGEFORMAT </w:instrText>
    </w:r>
    <w:r w:rsidRPr="009C6AAC">
      <w:rPr>
        <w:rFonts w:ascii="Times New Roman" w:hAnsi="Times New Roman" w:cs="Times New Roman"/>
        <w:caps/>
        <w:color w:val="000000" w:themeColor="text1"/>
      </w:rPr>
      <w:fldChar w:fldCharType="separate"/>
    </w:r>
    <w:r w:rsidR="00300296">
      <w:rPr>
        <w:rFonts w:ascii="Times New Roman" w:hAnsi="Times New Roman" w:cs="Times New Roman"/>
        <w:caps/>
        <w:noProof/>
        <w:color w:val="000000" w:themeColor="text1"/>
      </w:rPr>
      <w:t>1</w:t>
    </w:r>
    <w:r w:rsidRPr="009C6AAC">
      <w:rPr>
        <w:rFonts w:ascii="Times New Roman" w:hAnsi="Times New Roman" w:cs="Times New Roman"/>
        <w:caps/>
        <w:noProof/>
        <w:color w:val="000000" w:themeColor="text1"/>
      </w:rPr>
      <w:fldChar w:fldCharType="end"/>
    </w:r>
  </w:p>
  <w:p w14:paraId="69DC9608" w14:textId="77777777" w:rsidR="008D4906" w:rsidRDefault="008D4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00E94" w14:textId="77777777" w:rsidR="002478F7" w:rsidRDefault="002478F7" w:rsidP="00476B0B">
      <w:r>
        <w:separator/>
      </w:r>
    </w:p>
  </w:footnote>
  <w:footnote w:type="continuationSeparator" w:id="0">
    <w:p w14:paraId="38862B57" w14:textId="77777777" w:rsidR="002478F7" w:rsidRDefault="002478F7" w:rsidP="00476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9BAD6" w14:textId="1221C4E1" w:rsidR="008D4906" w:rsidRPr="002F1E96" w:rsidRDefault="008D4906" w:rsidP="002F1E96">
    <w:pPr>
      <w:pStyle w:val="Header"/>
      <w:jc w:val="center"/>
      <w:rPr>
        <w:rFonts w:ascii="Times New Roman" w:hAnsi="Times New Roman" w:cs="Times New Roman"/>
        <w:b/>
        <w:color w:val="808080" w:themeColor="background1" w:themeShade="80"/>
      </w:rPr>
    </w:pPr>
    <w:r w:rsidRPr="005F52E3">
      <w:rPr>
        <w:rFonts w:ascii="Times New Roman" w:hAnsi="Times New Roman" w:cs="Times New Roman"/>
        <w:b/>
        <w:color w:val="808080" w:themeColor="background1" w:themeShade="80"/>
      </w:rPr>
      <w:t>SUPPORTING STATEMENT: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167E"/>
    <w:multiLevelType w:val="hybridMultilevel"/>
    <w:tmpl w:val="22C40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D70C62"/>
    <w:multiLevelType w:val="multilevel"/>
    <w:tmpl w:val="8A08D972"/>
    <w:lvl w:ilvl="0">
      <w:start w:val="1"/>
      <w:numFmt w:val="decimal"/>
      <w:lvlText w:val="%1."/>
      <w:lvlJc w:val="left"/>
      <w:pPr>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9F7D2F"/>
    <w:multiLevelType w:val="hybridMultilevel"/>
    <w:tmpl w:val="7180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D6C80"/>
    <w:multiLevelType w:val="hybridMultilevel"/>
    <w:tmpl w:val="82F6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99D09AB"/>
    <w:multiLevelType w:val="multilevel"/>
    <w:tmpl w:val="8A08D972"/>
    <w:lvl w:ilvl="0">
      <w:start w:val="1"/>
      <w:numFmt w:val="decimal"/>
      <w:lvlText w:val="%1."/>
      <w:lvlJc w:val="left"/>
      <w:pPr>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743241"/>
    <w:multiLevelType w:val="hybridMultilevel"/>
    <w:tmpl w:val="28BAD23E"/>
    <w:lvl w:ilvl="0" w:tplc="8CC602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702900"/>
    <w:multiLevelType w:val="hybridMultilevel"/>
    <w:tmpl w:val="1C820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431F63"/>
    <w:multiLevelType w:val="hybridMultilevel"/>
    <w:tmpl w:val="8AB6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8"/>
  </w:num>
  <w:num w:numId="5">
    <w:abstractNumId w:val="3"/>
  </w:num>
  <w:num w:numId="6">
    <w:abstractNumId w:val="5"/>
  </w:num>
  <w:num w:numId="7">
    <w:abstractNumId w:val="0"/>
  </w:num>
  <w:num w:numId="8">
    <w:abstractNumId w:val="6"/>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ttleson, Daniel">
    <w15:presenceInfo w15:providerId="AD" w15:userId="S-1-5-21-1078081533-606747145-839522115-55598"/>
  </w15:person>
  <w15:person w15:author="Mario Navarro">
    <w15:presenceInfo w15:providerId="None" w15:userId="Mario Navar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AE"/>
    <w:rsid w:val="000079B0"/>
    <w:rsid w:val="00011DD3"/>
    <w:rsid w:val="00012627"/>
    <w:rsid w:val="00023915"/>
    <w:rsid w:val="00024D98"/>
    <w:rsid w:val="00033A69"/>
    <w:rsid w:val="000465AB"/>
    <w:rsid w:val="00050F65"/>
    <w:rsid w:val="00051FD8"/>
    <w:rsid w:val="00052415"/>
    <w:rsid w:val="00052B80"/>
    <w:rsid w:val="00055FF7"/>
    <w:rsid w:val="00060783"/>
    <w:rsid w:val="00073644"/>
    <w:rsid w:val="00076C7F"/>
    <w:rsid w:val="00083088"/>
    <w:rsid w:val="000928AE"/>
    <w:rsid w:val="000B0C03"/>
    <w:rsid w:val="000B22EE"/>
    <w:rsid w:val="000B6659"/>
    <w:rsid w:val="000C1F27"/>
    <w:rsid w:val="000C2CC2"/>
    <w:rsid w:val="000C3C69"/>
    <w:rsid w:val="000C4E7F"/>
    <w:rsid w:val="000C5CD3"/>
    <w:rsid w:val="000D08A0"/>
    <w:rsid w:val="000D4DC6"/>
    <w:rsid w:val="000D56DA"/>
    <w:rsid w:val="000D64D4"/>
    <w:rsid w:val="000E2F14"/>
    <w:rsid w:val="000E52AD"/>
    <w:rsid w:val="000F0D74"/>
    <w:rsid w:val="000F18CF"/>
    <w:rsid w:val="000F1B31"/>
    <w:rsid w:val="00101ED4"/>
    <w:rsid w:val="00107F73"/>
    <w:rsid w:val="0012279F"/>
    <w:rsid w:val="00124223"/>
    <w:rsid w:val="00124FE4"/>
    <w:rsid w:val="00127AB5"/>
    <w:rsid w:val="00135481"/>
    <w:rsid w:val="001426A3"/>
    <w:rsid w:val="001446C2"/>
    <w:rsid w:val="001543EF"/>
    <w:rsid w:val="00154689"/>
    <w:rsid w:val="0015481A"/>
    <w:rsid w:val="00154C12"/>
    <w:rsid w:val="00154D57"/>
    <w:rsid w:val="001559F1"/>
    <w:rsid w:val="00157A94"/>
    <w:rsid w:val="00167CCB"/>
    <w:rsid w:val="001744B7"/>
    <w:rsid w:val="00174E04"/>
    <w:rsid w:val="0017712D"/>
    <w:rsid w:val="001838D8"/>
    <w:rsid w:val="0018523B"/>
    <w:rsid w:val="001A0F96"/>
    <w:rsid w:val="001A1F1A"/>
    <w:rsid w:val="001A293C"/>
    <w:rsid w:val="001A3402"/>
    <w:rsid w:val="001A3D57"/>
    <w:rsid w:val="001A6BF7"/>
    <w:rsid w:val="001A7750"/>
    <w:rsid w:val="001B01AA"/>
    <w:rsid w:val="001B4C28"/>
    <w:rsid w:val="001B53C4"/>
    <w:rsid w:val="001B64F3"/>
    <w:rsid w:val="001C2431"/>
    <w:rsid w:val="001C3BDF"/>
    <w:rsid w:val="001C45B9"/>
    <w:rsid w:val="001C6994"/>
    <w:rsid w:val="001D3F25"/>
    <w:rsid w:val="001E2B60"/>
    <w:rsid w:val="001F250F"/>
    <w:rsid w:val="001F2943"/>
    <w:rsid w:val="001F54D7"/>
    <w:rsid w:val="00200D51"/>
    <w:rsid w:val="0020147F"/>
    <w:rsid w:val="0020580F"/>
    <w:rsid w:val="002061B4"/>
    <w:rsid w:val="00220260"/>
    <w:rsid w:val="0023124A"/>
    <w:rsid w:val="00231647"/>
    <w:rsid w:val="002324AB"/>
    <w:rsid w:val="00233559"/>
    <w:rsid w:val="00234AD5"/>
    <w:rsid w:val="00241A56"/>
    <w:rsid w:val="002478F7"/>
    <w:rsid w:val="00250617"/>
    <w:rsid w:val="00257D24"/>
    <w:rsid w:val="00262CD0"/>
    <w:rsid w:val="00264665"/>
    <w:rsid w:val="00265325"/>
    <w:rsid w:val="00270DAC"/>
    <w:rsid w:val="00271746"/>
    <w:rsid w:val="00273351"/>
    <w:rsid w:val="00285B00"/>
    <w:rsid w:val="00285DA8"/>
    <w:rsid w:val="00286FD1"/>
    <w:rsid w:val="002B2A81"/>
    <w:rsid w:val="002B4B43"/>
    <w:rsid w:val="002C415A"/>
    <w:rsid w:val="002E1828"/>
    <w:rsid w:val="002E2B25"/>
    <w:rsid w:val="002E7453"/>
    <w:rsid w:val="002F1E96"/>
    <w:rsid w:val="002F2C04"/>
    <w:rsid w:val="002F611C"/>
    <w:rsid w:val="002F6B82"/>
    <w:rsid w:val="00300296"/>
    <w:rsid w:val="0030045D"/>
    <w:rsid w:val="00303CD6"/>
    <w:rsid w:val="00306495"/>
    <w:rsid w:val="003122F3"/>
    <w:rsid w:val="00312D69"/>
    <w:rsid w:val="00314390"/>
    <w:rsid w:val="003150BC"/>
    <w:rsid w:val="00316BEC"/>
    <w:rsid w:val="0031786D"/>
    <w:rsid w:val="00327637"/>
    <w:rsid w:val="00330260"/>
    <w:rsid w:val="003311E3"/>
    <w:rsid w:val="003329B0"/>
    <w:rsid w:val="00335AB9"/>
    <w:rsid w:val="00340E8A"/>
    <w:rsid w:val="003418DA"/>
    <w:rsid w:val="00343FCA"/>
    <w:rsid w:val="0035072B"/>
    <w:rsid w:val="003508A0"/>
    <w:rsid w:val="00352D84"/>
    <w:rsid w:val="00353EBF"/>
    <w:rsid w:val="003551C5"/>
    <w:rsid w:val="00356826"/>
    <w:rsid w:val="00367E26"/>
    <w:rsid w:val="00371C89"/>
    <w:rsid w:val="0037511E"/>
    <w:rsid w:val="00387BB5"/>
    <w:rsid w:val="00390462"/>
    <w:rsid w:val="00397A3F"/>
    <w:rsid w:val="003A2F96"/>
    <w:rsid w:val="003A387E"/>
    <w:rsid w:val="003A7795"/>
    <w:rsid w:val="003B510E"/>
    <w:rsid w:val="003B57DE"/>
    <w:rsid w:val="003B7DA1"/>
    <w:rsid w:val="003C11F7"/>
    <w:rsid w:val="003C2832"/>
    <w:rsid w:val="003C2D47"/>
    <w:rsid w:val="003C3236"/>
    <w:rsid w:val="003C37FE"/>
    <w:rsid w:val="003C5103"/>
    <w:rsid w:val="003D14EA"/>
    <w:rsid w:val="003D3C3D"/>
    <w:rsid w:val="003D5431"/>
    <w:rsid w:val="003E09B5"/>
    <w:rsid w:val="003E1CD5"/>
    <w:rsid w:val="003F27DE"/>
    <w:rsid w:val="003F4239"/>
    <w:rsid w:val="003F642C"/>
    <w:rsid w:val="00401392"/>
    <w:rsid w:val="004018EB"/>
    <w:rsid w:val="0041184B"/>
    <w:rsid w:val="00411CC1"/>
    <w:rsid w:val="004213CB"/>
    <w:rsid w:val="00431315"/>
    <w:rsid w:val="00437758"/>
    <w:rsid w:val="00437AE3"/>
    <w:rsid w:val="00442BE8"/>
    <w:rsid w:val="00445CAC"/>
    <w:rsid w:val="0045543B"/>
    <w:rsid w:val="0046356B"/>
    <w:rsid w:val="00470921"/>
    <w:rsid w:val="004759BA"/>
    <w:rsid w:val="00476B0B"/>
    <w:rsid w:val="00477DDA"/>
    <w:rsid w:val="00486F14"/>
    <w:rsid w:val="0048711A"/>
    <w:rsid w:val="00492DC9"/>
    <w:rsid w:val="00496682"/>
    <w:rsid w:val="004A064C"/>
    <w:rsid w:val="004A3BA2"/>
    <w:rsid w:val="004A4B3A"/>
    <w:rsid w:val="004A70EC"/>
    <w:rsid w:val="004B2621"/>
    <w:rsid w:val="004C3B6E"/>
    <w:rsid w:val="004C78F0"/>
    <w:rsid w:val="004D2517"/>
    <w:rsid w:val="004D288F"/>
    <w:rsid w:val="004D7895"/>
    <w:rsid w:val="004E0D9B"/>
    <w:rsid w:val="004E3A9A"/>
    <w:rsid w:val="004E4369"/>
    <w:rsid w:val="004E6B20"/>
    <w:rsid w:val="004F2641"/>
    <w:rsid w:val="00504B03"/>
    <w:rsid w:val="00504F93"/>
    <w:rsid w:val="00504FDF"/>
    <w:rsid w:val="00505BCE"/>
    <w:rsid w:val="0051705B"/>
    <w:rsid w:val="005265C9"/>
    <w:rsid w:val="00537F1C"/>
    <w:rsid w:val="005435DB"/>
    <w:rsid w:val="00544D3E"/>
    <w:rsid w:val="00550DFC"/>
    <w:rsid w:val="00552C90"/>
    <w:rsid w:val="00552E27"/>
    <w:rsid w:val="0055534B"/>
    <w:rsid w:val="00561F65"/>
    <w:rsid w:val="0056506E"/>
    <w:rsid w:val="00572830"/>
    <w:rsid w:val="00586892"/>
    <w:rsid w:val="005917E1"/>
    <w:rsid w:val="005A137B"/>
    <w:rsid w:val="005A5DDB"/>
    <w:rsid w:val="005B23C7"/>
    <w:rsid w:val="005B4290"/>
    <w:rsid w:val="005B62A8"/>
    <w:rsid w:val="005B77A0"/>
    <w:rsid w:val="005C2B45"/>
    <w:rsid w:val="005C5B20"/>
    <w:rsid w:val="005D2BBC"/>
    <w:rsid w:val="005D405F"/>
    <w:rsid w:val="005D717A"/>
    <w:rsid w:val="005E37C8"/>
    <w:rsid w:val="005E4E8F"/>
    <w:rsid w:val="005E6C52"/>
    <w:rsid w:val="005E7607"/>
    <w:rsid w:val="005F65AB"/>
    <w:rsid w:val="00622BCF"/>
    <w:rsid w:val="00631079"/>
    <w:rsid w:val="00632ADF"/>
    <w:rsid w:val="00633049"/>
    <w:rsid w:val="006344D8"/>
    <w:rsid w:val="00636E15"/>
    <w:rsid w:val="00640299"/>
    <w:rsid w:val="00645358"/>
    <w:rsid w:val="006523DB"/>
    <w:rsid w:val="00655C1D"/>
    <w:rsid w:val="00657379"/>
    <w:rsid w:val="006630A4"/>
    <w:rsid w:val="0066352C"/>
    <w:rsid w:val="0066476C"/>
    <w:rsid w:val="006648E2"/>
    <w:rsid w:val="006670B3"/>
    <w:rsid w:val="0067552E"/>
    <w:rsid w:val="0067558E"/>
    <w:rsid w:val="006A2059"/>
    <w:rsid w:val="006A5837"/>
    <w:rsid w:val="006D3A5F"/>
    <w:rsid w:val="006E0330"/>
    <w:rsid w:val="006E3D95"/>
    <w:rsid w:val="006E3F94"/>
    <w:rsid w:val="006F181D"/>
    <w:rsid w:val="006F41F0"/>
    <w:rsid w:val="006F6904"/>
    <w:rsid w:val="00701D8A"/>
    <w:rsid w:val="00705F0A"/>
    <w:rsid w:val="007067AB"/>
    <w:rsid w:val="0071221A"/>
    <w:rsid w:val="00713923"/>
    <w:rsid w:val="00720190"/>
    <w:rsid w:val="00720DCD"/>
    <w:rsid w:val="0072348C"/>
    <w:rsid w:val="00724D56"/>
    <w:rsid w:val="0073001A"/>
    <w:rsid w:val="0073326D"/>
    <w:rsid w:val="007363C9"/>
    <w:rsid w:val="00740E83"/>
    <w:rsid w:val="00744DD6"/>
    <w:rsid w:val="00752573"/>
    <w:rsid w:val="00756CBF"/>
    <w:rsid w:val="00756E10"/>
    <w:rsid w:val="00757214"/>
    <w:rsid w:val="00762C2A"/>
    <w:rsid w:val="00773413"/>
    <w:rsid w:val="00774C76"/>
    <w:rsid w:val="00777BF8"/>
    <w:rsid w:val="00784CC7"/>
    <w:rsid w:val="0078537A"/>
    <w:rsid w:val="0079195C"/>
    <w:rsid w:val="0079425B"/>
    <w:rsid w:val="00794941"/>
    <w:rsid w:val="007965F6"/>
    <w:rsid w:val="007A0285"/>
    <w:rsid w:val="007B0D78"/>
    <w:rsid w:val="007B50D1"/>
    <w:rsid w:val="007B50F5"/>
    <w:rsid w:val="007C1ED3"/>
    <w:rsid w:val="007C405F"/>
    <w:rsid w:val="007D36A4"/>
    <w:rsid w:val="007D5B4D"/>
    <w:rsid w:val="007D769D"/>
    <w:rsid w:val="007E31CE"/>
    <w:rsid w:val="007E3BC1"/>
    <w:rsid w:val="007E5161"/>
    <w:rsid w:val="007F1F45"/>
    <w:rsid w:val="007F4C7A"/>
    <w:rsid w:val="00816C34"/>
    <w:rsid w:val="00817478"/>
    <w:rsid w:val="008179D7"/>
    <w:rsid w:val="00826FF9"/>
    <w:rsid w:val="008272C0"/>
    <w:rsid w:val="0083101B"/>
    <w:rsid w:val="008400C0"/>
    <w:rsid w:val="00854D08"/>
    <w:rsid w:val="00856530"/>
    <w:rsid w:val="008648B6"/>
    <w:rsid w:val="0087008A"/>
    <w:rsid w:val="00873D51"/>
    <w:rsid w:val="008770AF"/>
    <w:rsid w:val="0087758B"/>
    <w:rsid w:val="00882F17"/>
    <w:rsid w:val="00892F51"/>
    <w:rsid w:val="008A51E9"/>
    <w:rsid w:val="008A7737"/>
    <w:rsid w:val="008B07EF"/>
    <w:rsid w:val="008B1D2F"/>
    <w:rsid w:val="008D165B"/>
    <w:rsid w:val="008D400A"/>
    <w:rsid w:val="008D4906"/>
    <w:rsid w:val="008D5DCE"/>
    <w:rsid w:val="008D6DEF"/>
    <w:rsid w:val="008D743F"/>
    <w:rsid w:val="008E4EEC"/>
    <w:rsid w:val="008F2D6E"/>
    <w:rsid w:val="009049D4"/>
    <w:rsid w:val="0091413E"/>
    <w:rsid w:val="0092112B"/>
    <w:rsid w:val="00922D37"/>
    <w:rsid w:val="00923AD5"/>
    <w:rsid w:val="00934E96"/>
    <w:rsid w:val="009364A4"/>
    <w:rsid w:val="00940FAC"/>
    <w:rsid w:val="00953E6E"/>
    <w:rsid w:val="00955915"/>
    <w:rsid w:val="00956E69"/>
    <w:rsid w:val="00962D75"/>
    <w:rsid w:val="00963E62"/>
    <w:rsid w:val="00965AE2"/>
    <w:rsid w:val="009720E2"/>
    <w:rsid w:val="0097429F"/>
    <w:rsid w:val="00977A62"/>
    <w:rsid w:val="00982ACA"/>
    <w:rsid w:val="00987753"/>
    <w:rsid w:val="00990C6B"/>
    <w:rsid w:val="009A060F"/>
    <w:rsid w:val="009A7CF4"/>
    <w:rsid w:val="009B2FEB"/>
    <w:rsid w:val="009B46CC"/>
    <w:rsid w:val="009B5B5A"/>
    <w:rsid w:val="009C0979"/>
    <w:rsid w:val="009C6AAC"/>
    <w:rsid w:val="009C7022"/>
    <w:rsid w:val="009D0098"/>
    <w:rsid w:val="009D0FEE"/>
    <w:rsid w:val="009D5070"/>
    <w:rsid w:val="009D5DCF"/>
    <w:rsid w:val="009D5F97"/>
    <w:rsid w:val="009E0A14"/>
    <w:rsid w:val="009E75BD"/>
    <w:rsid w:val="009E7C1C"/>
    <w:rsid w:val="009F1152"/>
    <w:rsid w:val="009F1FDA"/>
    <w:rsid w:val="00A02991"/>
    <w:rsid w:val="00A14533"/>
    <w:rsid w:val="00A15A39"/>
    <w:rsid w:val="00A2081B"/>
    <w:rsid w:val="00A2337F"/>
    <w:rsid w:val="00A31F6D"/>
    <w:rsid w:val="00A32348"/>
    <w:rsid w:val="00A37E19"/>
    <w:rsid w:val="00A41140"/>
    <w:rsid w:val="00A41AD6"/>
    <w:rsid w:val="00A44A80"/>
    <w:rsid w:val="00A51D3A"/>
    <w:rsid w:val="00A53AA2"/>
    <w:rsid w:val="00A5450F"/>
    <w:rsid w:val="00A57B10"/>
    <w:rsid w:val="00A660D3"/>
    <w:rsid w:val="00A67A16"/>
    <w:rsid w:val="00A75FF8"/>
    <w:rsid w:val="00A847B2"/>
    <w:rsid w:val="00A93778"/>
    <w:rsid w:val="00A946D1"/>
    <w:rsid w:val="00AA2A92"/>
    <w:rsid w:val="00AA66A4"/>
    <w:rsid w:val="00AB0ADA"/>
    <w:rsid w:val="00AB21E6"/>
    <w:rsid w:val="00AC2144"/>
    <w:rsid w:val="00AC36F5"/>
    <w:rsid w:val="00AC373E"/>
    <w:rsid w:val="00AC4AFF"/>
    <w:rsid w:val="00AC79CB"/>
    <w:rsid w:val="00AD110E"/>
    <w:rsid w:val="00AD2978"/>
    <w:rsid w:val="00AD4C5C"/>
    <w:rsid w:val="00AD4D20"/>
    <w:rsid w:val="00AD7FB2"/>
    <w:rsid w:val="00AE3789"/>
    <w:rsid w:val="00AF43E9"/>
    <w:rsid w:val="00AF5CF0"/>
    <w:rsid w:val="00AF66CC"/>
    <w:rsid w:val="00B007C1"/>
    <w:rsid w:val="00B02589"/>
    <w:rsid w:val="00B05F79"/>
    <w:rsid w:val="00B15682"/>
    <w:rsid w:val="00B175B8"/>
    <w:rsid w:val="00B26E31"/>
    <w:rsid w:val="00B31993"/>
    <w:rsid w:val="00B32FC1"/>
    <w:rsid w:val="00B35F51"/>
    <w:rsid w:val="00B444F6"/>
    <w:rsid w:val="00B467CE"/>
    <w:rsid w:val="00B50FE4"/>
    <w:rsid w:val="00B53C9A"/>
    <w:rsid w:val="00B60BEC"/>
    <w:rsid w:val="00B60FEF"/>
    <w:rsid w:val="00B64A5D"/>
    <w:rsid w:val="00B6512C"/>
    <w:rsid w:val="00B65767"/>
    <w:rsid w:val="00B66991"/>
    <w:rsid w:val="00B71932"/>
    <w:rsid w:val="00B72462"/>
    <w:rsid w:val="00B73D5E"/>
    <w:rsid w:val="00B81496"/>
    <w:rsid w:val="00B83DB4"/>
    <w:rsid w:val="00B84544"/>
    <w:rsid w:val="00B864AF"/>
    <w:rsid w:val="00B91ADB"/>
    <w:rsid w:val="00B96C08"/>
    <w:rsid w:val="00BA0C35"/>
    <w:rsid w:val="00BA6873"/>
    <w:rsid w:val="00BA7A31"/>
    <w:rsid w:val="00BB44C4"/>
    <w:rsid w:val="00BB6E28"/>
    <w:rsid w:val="00BB754D"/>
    <w:rsid w:val="00BC0B9A"/>
    <w:rsid w:val="00BD3BB7"/>
    <w:rsid w:val="00BD4D87"/>
    <w:rsid w:val="00BD5741"/>
    <w:rsid w:val="00BD64BF"/>
    <w:rsid w:val="00BE1A7C"/>
    <w:rsid w:val="00BE5079"/>
    <w:rsid w:val="00BE5651"/>
    <w:rsid w:val="00BE7380"/>
    <w:rsid w:val="00BE789F"/>
    <w:rsid w:val="00BF0A1F"/>
    <w:rsid w:val="00BF0CD4"/>
    <w:rsid w:val="00C00DBB"/>
    <w:rsid w:val="00C02D25"/>
    <w:rsid w:val="00C04136"/>
    <w:rsid w:val="00C04866"/>
    <w:rsid w:val="00C059B3"/>
    <w:rsid w:val="00C07CE6"/>
    <w:rsid w:val="00C1519B"/>
    <w:rsid w:val="00C15E44"/>
    <w:rsid w:val="00C16F90"/>
    <w:rsid w:val="00C2259D"/>
    <w:rsid w:val="00C301C3"/>
    <w:rsid w:val="00C4132D"/>
    <w:rsid w:val="00C41FB2"/>
    <w:rsid w:val="00C45351"/>
    <w:rsid w:val="00C45B7D"/>
    <w:rsid w:val="00C5018E"/>
    <w:rsid w:val="00C514DB"/>
    <w:rsid w:val="00C51757"/>
    <w:rsid w:val="00C55E4A"/>
    <w:rsid w:val="00C57785"/>
    <w:rsid w:val="00C61ED6"/>
    <w:rsid w:val="00C6212D"/>
    <w:rsid w:val="00C62CCB"/>
    <w:rsid w:val="00C82D5C"/>
    <w:rsid w:val="00C833F6"/>
    <w:rsid w:val="00C87327"/>
    <w:rsid w:val="00C8775A"/>
    <w:rsid w:val="00C93B15"/>
    <w:rsid w:val="00CA18F8"/>
    <w:rsid w:val="00CA2C37"/>
    <w:rsid w:val="00CD2291"/>
    <w:rsid w:val="00CD340A"/>
    <w:rsid w:val="00CD7961"/>
    <w:rsid w:val="00CE1208"/>
    <w:rsid w:val="00CE2559"/>
    <w:rsid w:val="00CE3A45"/>
    <w:rsid w:val="00CE7B18"/>
    <w:rsid w:val="00CF085B"/>
    <w:rsid w:val="00D11F21"/>
    <w:rsid w:val="00D12C91"/>
    <w:rsid w:val="00D213B8"/>
    <w:rsid w:val="00D21661"/>
    <w:rsid w:val="00D23174"/>
    <w:rsid w:val="00D24F74"/>
    <w:rsid w:val="00D261EA"/>
    <w:rsid w:val="00D31952"/>
    <w:rsid w:val="00D36432"/>
    <w:rsid w:val="00D36A74"/>
    <w:rsid w:val="00D36E01"/>
    <w:rsid w:val="00D41476"/>
    <w:rsid w:val="00D43532"/>
    <w:rsid w:val="00D43C7C"/>
    <w:rsid w:val="00D446E3"/>
    <w:rsid w:val="00D719C7"/>
    <w:rsid w:val="00D85E64"/>
    <w:rsid w:val="00D9423D"/>
    <w:rsid w:val="00D966FE"/>
    <w:rsid w:val="00DA11D0"/>
    <w:rsid w:val="00DA1A69"/>
    <w:rsid w:val="00DA58D0"/>
    <w:rsid w:val="00DA7604"/>
    <w:rsid w:val="00DC1E38"/>
    <w:rsid w:val="00DC45EA"/>
    <w:rsid w:val="00DC4E9B"/>
    <w:rsid w:val="00DD7D19"/>
    <w:rsid w:val="00DE2BDE"/>
    <w:rsid w:val="00DE6683"/>
    <w:rsid w:val="00E0463F"/>
    <w:rsid w:val="00E06BEB"/>
    <w:rsid w:val="00E07508"/>
    <w:rsid w:val="00E161B3"/>
    <w:rsid w:val="00E16A3B"/>
    <w:rsid w:val="00E17483"/>
    <w:rsid w:val="00E175C8"/>
    <w:rsid w:val="00E22715"/>
    <w:rsid w:val="00E3135F"/>
    <w:rsid w:val="00E32BBA"/>
    <w:rsid w:val="00E368FE"/>
    <w:rsid w:val="00E377A9"/>
    <w:rsid w:val="00E37E4D"/>
    <w:rsid w:val="00E41F35"/>
    <w:rsid w:val="00E426BE"/>
    <w:rsid w:val="00E6181B"/>
    <w:rsid w:val="00E638BA"/>
    <w:rsid w:val="00E63A1D"/>
    <w:rsid w:val="00E63AE6"/>
    <w:rsid w:val="00E65699"/>
    <w:rsid w:val="00E66BD8"/>
    <w:rsid w:val="00E83AA9"/>
    <w:rsid w:val="00E84E25"/>
    <w:rsid w:val="00E85687"/>
    <w:rsid w:val="00E85F17"/>
    <w:rsid w:val="00E876B7"/>
    <w:rsid w:val="00E91A78"/>
    <w:rsid w:val="00E91EF3"/>
    <w:rsid w:val="00E95C2A"/>
    <w:rsid w:val="00EA6237"/>
    <w:rsid w:val="00EB16D9"/>
    <w:rsid w:val="00EB3270"/>
    <w:rsid w:val="00EB51AB"/>
    <w:rsid w:val="00EB742C"/>
    <w:rsid w:val="00EC4D46"/>
    <w:rsid w:val="00ED15F4"/>
    <w:rsid w:val="00ED5251"/>
    <w:rsid w:val="00ED7908"/>
    <w:rsid w:val="00EF5715"/>
    <w:rsid w:val="00EF5744"/>
    <w:rsid w:val="00EF7CB5"/>
    <w:rsid w:val="00F01359"/>
    <w:rsid w:val="00F029F7"/>
    <w:rsid w:val="00F072BD"/>
    <w:rsid w:val="00F11A74"/>
    <w:rsid w:val="00F147D0"/>
    <w:rsid w:val="00F20527"/>
    <w:rsid w:val="00F23925"/>
    <w:rsid w:val="00F23EA5"/>
    <w:rsid w:val="00F25650"/>
    <w:rsid w:val="00F26D73"/>
    <w:rsid w:val="00F26F36"/>
    <w:rsid w:val="00F271BA"/>
    <w:rsid w:val="00F32248"/>
    <w:rsid w:val="00F32573"/>
    <w:rsid w:val="00F3489D"/>
    <w:rsid w:val="00F40F48"/>
    <w:rsid w:val="00F4248C"/>
    <w:rsid w:val="00F42667"/>
    <w:rsid w:val="00F43199"/>
    <w:rsid w:val="00F443CA"/>
    <w:rsid w:val="00F47E76"/>
    <w:rsid w:val="00F47F7F"/>
    <w:rsid w:val="00F512DD"/>
    <w:rsid w:val="00F52B32"/>
    <w:rsid w:val="00F55D68"/>
    <w:rsid w:val="00F6224D"/>
    <w:rsid w:val="00F63285"/>
    <w:rsid w:val="00F65790"/>
    <w:rsid w:val="00F81EA1"/>
    <w:rsid w:val="00F86449"/>
    <w:rsid w:val="00F87217"/>
    <w:rsid w:val="00F90177"/>
    <w:rsid w:val="00F9213E"/>
    <w:rsid w:val="00F967AF"/>
    <w:rsid w:val="00F97C7F"/>
    <w:rsid w:val="00F97D8F"/>
    <w:rsid w:val="00FA0671"/>
    <w:rsid w:val="00FA4871"/>
    <w:rsid w:val="00FB3EDC"/>
    <w:rsid w:val="00FB77A6"/>
    <w:rsid w:val="00FC004F"/>
    <w:rsid w:val="00FC589F"/>
    <w:rsid w:val="00FC733D"/>
    <w:rsid w:val="00FD40CE"/>
    <w:rsid w:val="00FE1965"/>
    <w:rsid w:val="00FE1AE4"/>
    <w:rsid w:val="00FF0C62"/>
    <w:rsid w:val="00FF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9B6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28A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8AE"/>
    <w:pPr>
      <w:ind w:left="720"/>
      <w:contextualSpacing/>
    </w:pPr>
    <w:rPr>
      <w:rFonts w:ascii="Times New Roman" w:eastAsia="Calibri" w:hAnsi="Times New Roman" w:cs="Arial"/>
      <w:szCs w:val="22"/>
    </w:rPr>
  </w:style>
  <w:style w:type="character" w:styleId="CommentReference">
    <w:name w:val="annotation reference"/>
    <w:basedOn w:val="DefaultParagraphFont"/>
    <w:uiPriority w:val="99"/>
    <w:unhideWhenUsed/>
    <w:rsid w:val="00AD4C5C"/>
    <w:rPr>
      <w:sz w:val="18"/>
      <w:szCs w:val="18"/>
    </w:rPr>
  </w:style>
  <w:style w:type="paragraph" w:styleId="CommentText">
    <w:name w:val="annotation text"/>
    <w:basedOn w:val="Normal"/>
    <w:link w:val="CommentTextChar"/>
    <w:uiPriority w:val="99"/>
    <w:unhideWhenUsed/>
    <w:rsid w:val="00AD4C5C"/>
  </w:style>
  <w:style w:type="character" w:customStyle="1" w:styleId="CommentTextChar">
    <w:name w:val="Comment Text Char"/>
    <w:basedOn w:val="DefaultParagraphFont"/>
    <w:link w:val="CommentText"/>
    <w:uiPriority w:val="99"/>
    <w:rsid w:val="00AD4C5C"/>
  </w:style>
  <w:style w:type="paragraph" w:styleId="CommentSubject">
    <w:name w:val="annotation subject"/>
    <w:basedOn w:val="CommentText"/>
    <w:next w:val="CommentText"/>
    <w:link w:val="CommentSubjectChar"/>
    <w:uiPriority w:val="99"/>
    <w:semiHidden/>
    <w:unhideWhenUsed/>
    <w:rsid w:val="00AD4C5C"/>
    <w:rPr>
      <w:b/>
      <w:bCs/>
      <w:sz w:val="20"/>
      <w:szCs w:val="20"/>
    </w:rPr>
  </w:style>
  <w:style w:type="character" w:customStyle="1" w:styleId="CommentSubjectChar">
    <w:name w:val="Comment Subject Char"/>
    <w:basedOn w:val="CommentTextChar"/>
    <w:link w:val="CommentSubject"/>
    <w:uiPriority w:val="99"/>
    <w:semiHidden/>
    <w:rsid w:val="00AD4C5C"/>
    <w:rPr>
      <w:b/>
      <w:bCs/>
      <w:sz w:val="20"/>
      <w:szCs w:val="20"/>
    </w:rPr>
  </w:style>
  <w:style w:type="paragraph" w:styleId="BalloonText">
    <w:name w:val="Balloon Text"/>
    <w:basedOn w:val="Normal"/>
    <w:link w:val="BalloonTextChar"/>
    <w:uiPriority w:val="99"/>
    <w:semiHidden/>
    <w:unhideWhenUsed/>
    <w:rsid w:val="00AD4C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4C5C"/>
    <w:rPr>
      <w:rFonts w:ascii="Times New Roman" w:hAnsi="Times New Roman" w:cs="Times New Roman"/>
      <w:sz w:val="18"/>
      <w:szCs w:val="18"/>
    </w:rPr>
  </w:style>
  <w:style w:type="character" w:styleId="Hyperlink">
    <w:name w:val="Hyperlink"/>
    <w:basedOn w:val="DefaultParagraphFont"/>
    <w:uiPriority w:val="99"/>
    <w:unhideWhenUsed/>
    <w:rsid w:val="00B73D5E"/>
    <w:rPr>
      <w:color w:val="0563C1" w:themeColor="hyperlink"/>
      <w:u w:val="single"/>
    </w:rPr>
  </w:style>
  <w:style w:type="paragraph" w:customStyle="1" w:styleId="FigureTitle">
    <w:name w:val="Figure Title"/>
    <w:basedOn w:val="Normal"/>
    <w:uiPriority w:val="99"/>
    <w:rsid w:val="006A5837"/>
    <w:pPr>
      <w:keepNext/>
      <w:keepLines/>
      <w:spacing w:before="240" w:after="240"/>
    </w:pPr>
    <w:rPr>
      <w:rFonts w:ascii="Times New Roman" w:eastAsia="Times New Roman" w:hAnsi="Times New Roman" w:cs="Times New Roman"/>
      <w:b/>
      <w:szCs w:val="20"/>
    </w:rPr>
  </w:style>
  <w:style w:type="paragraph" w:styleId="BodyText2">
    <w:name w:val="Body Text 2"/>
    <w:basedOn w:val="Normal"/>
    <w:link w:val="BodyText2Char"/>
    <w:rsid w:val="009B5B5A"/>
    <w:rPr>
      <w:rFonts w:ascii="Times New Roman" w:eastAsia="Times New Roman" w:hAnsi="Times New Roman" w:cs="Times New Roman"/>
      <w:szCs w:val="20"/>
    </w:rPr>
  </w:style>
  <w:style w:type="character" w:customStyle="1" w:styleId="BodyText2Char">
    <w:name w:val="Body Text 2 Char"/>
    <w:basedOn w:val="DefaultParagraphFont"/>
    <w:link w:val="BodyText2"/>
    <w:rsid w:val="009B5B5A"/>
    <w:rPr>
      <w:rFonts w:ascii="Times New Roman" w:eastAsia="Times New Roman" w:hAnsi="Times New Roman" w:cs="Times New Roman"/>
      <w:szCs w:val="20"/>
    </w:rPr>
  </w:style>
  <w:style w:type="paragraph" w:styleId="BodyTextIndent">
    <w:name w:val="Body Text Indent"/>
    <w:basedOn w:val="Normal"/>
    <w:link w:val="BodyTextIndentChar"/>
    <w:rsid w:val="00C82D5C"/>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82D5C"/>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873D51"/>
  </w:style>
  <w:style w:type="paragraph" w:customStyle="1" w:styleId="BodyText1">
    <w:name w:val="Body Text1"/>
    <w:aliases w:val="bt,body tx,indent,flush,body text"/>
    <w:basedOn w:val="Normal"/>
    <w:link w:val="bodytextChar"/>
    <w:rsid w:val="00873D51"/>
    <w:pPr>
      <w:spacing w:after="120" w:line="360" w:lineRule="auto"/>
      <w:ind w:firstLine="720"/>
    </w:pPr>
  </w:style>
  <w:style w:type="paragraph" w:styleId="Header">
    <w:name w:val="header"/>
    <w:basedOn w:val="Normal"/>
    <w:link w:val="HeaderChar"/>
    <w:uiPriority w:val="99"/>
    <w:unhideWhenUsed/>
    <w:rsid w:val="00476B0B"/>
    <w:pPr>
      <w:tabs>
        <w:tab w:val="center" w:pos="4680"/>
        <w:tab w:val="right" w:pos="9360"/>
      </w:tabs>
    </w:pPr>
  </w:style>
  <w:style w:type="character" w:customStyle="1" w:styleId="HeaderChar">
    <w:name w:val="Header Char"/>
    <w:basedOn w:val="DefaultParagraphFont"/>
    <w:link w:val="Header"/>
    <w:uiPriority w:val="99"/>
    <w:rsid w:val="00476B0B"/>
  </w:style>
  <w:style w:type="paragraph" w:styleId="Footer">
    <w:name w:val="footer"/>
    <w:basedOn w:val="Normal"/>
    <w:link w:val="FooterChar"/>
    <w:uiPriority w:val="99"/>
    <w:unhideWhenUsed/>
    <w:rsid w:val="00476B0B"/>
    <w:pPr>
      <w:tabs>
        <w:tab w:val="center" w:pos="4680"/>
        <w:tab w:val="right" w:pos="9360"/>
      </w:tabs>
    </w:pPr>
  </w:style>
  <w:style w:type="character" w:customStyle="1" w:styleId="FooterChar">
    <w:name w:val="Footer Char"/>
    <w:basedOn w:val="DefaultParagraphFont"/>
    <w:link w:val="Footer"/>
    <w:uiPriority w:val="99"/>
    <w:rsid w:val="00476B0B"/>
  </w:style>
  <w:style w:type="paragraph" w:customStyle="1" w:styleId="Default">
    <w:name w:val="Default"/>
    <w:rsid w:val="00956E69"/>
    <w:pPr>
      <w:autoSpaceDE w:val="0"/>
      <w:autoSpaceDN w:val="0"/>
      <w:adjustRightInd w:val="0"/>
    </w:pPr>
    <w:rPr>
      <w:rFonts w:ascii="Calibri" w:hAnsi="Calibri" w:cs="Calibri"/>
      <w:color w:val="000000"/>
    </w:rPr>
  </w:style>
  <w:style w:type="paragraph" w:styleId="Revision">
    <w:name w:val="Revision"/>
    <w:hidden/>
    <w:uiPriority w:val="99"/>
    <w:semiHidden/>
    <w:rsid w:val="00B467CE"/>
  </w:style>
  <w:style w:type="character" w:styleId="PageNumber">
    <w:name w:val="page number"/>
    <w:basedOn w:val="DefaultParagraphFont"/>
    <w:uiPriority w:val="99"/>
    <w:semiHidden/>
    <w:unhideWhenUsed/>
    <w:rsid w:val="001446C2"/>
  </w:style>
  <w:style w:type="character" w:styleId="FollowedHyperlink">
    <w:name w:val="FollowedHyperlink"/>
    <w:basedOn w:val="DefaultParagraphFont"/>
    <w:uiPriority w:val="99"/>
    <w:semiHidden/>
    <w:unhideWhenUsed/>
    <w:rsid w:val="00437758"/>
    <w:rPr>
      <w:color w:val="954F72" w:themeColor="followedHyperlink"/>
      <w:u w:val="single"/>
    </w:rPr>
  </w:style>
  <w:style w:type="paragraph" w:styleId="DocumentMap">
    <w:name w:val="Document Map"/>
    <w:basedOn w:val="Normal"/>
    <w:link w:val="DocumentMapChar"/>
    <w:uiPriority w:val="99"/>
    <w:semiHidden/>
    <w:unhideWhenUsed/>
    <w:rsid w:val="00FD40CE"/>
    <w:rPr>
      <w:rFonts w:ascii="Times New Roman" w:hAnsi="Times New Roman" w:cs="Times New Roman"/>
    </w:rPr>
  </w:style>
  <w:style w:type="character" w:customStyle="1" w:styleId="DocumentMapChar">
    <w:name w:val="Document Map Char"/>
    <w:basedOn w:val="DefaultParagraphFont"/>
    <w:link w:val="DocumentMap"/>
    <w:uiPriority w:val="99"/>
    <w:semiHidden/>
    <w:rsid w:val="00FD40CE"/>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28A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8AE"/>
    <w:pPr>
      <w:ind w:left="720"/>
      <w:contextualSpacing/>
    </w:pPr>
    <w:rPr>
      <w:rFonts w:ascii="Times New Roman" w:eastAsia="Calibri" w:hAnsi="Times New Roman" w:cs="Arial"/>
      <w:szCs w:val="22"/>
    </w:rPr>
  </w:style>
  <w:style w:type="character" w:styleId="CommentReference">
    <w:name w:val="annotation reference"/>
    <w:basedOn w:val="DefaultParagraphFont"/>
    <w:uiPriority w:val="99"/>
    <w:unhideWhenUsed/>
    <w:rsid w:val="00AD4C5C"/>
    <w:rPr>
      <w:sz w:val="18"/>
      <w:szCs w:val="18"/>
    </w:rPr>
  </w:style>
  <w:style w:type="paragraph" w:styleId="CommentText">
    <w:name w:val="annotation text"/>
    <w:basedOn w:val="Normal"/>
    <w:link w:val="CommentTextChar"/>
    <w:uiPriority w:val="99"/>
    <w:unhideWhenUsed/>
    <w:rsid w:val="00AD4C5C"/>
  </w:style>
  <w:style w:type="character" w:customStyle="1" w:styleId="CommentTextChar">
    <w:name w:val="Comment Text Char"/>
    <w:basedOn w:val="DefaultParagraphFont"/>
    <w:link w:val="CommentText"/>
    <w:uiPriority w:val="99"/>
    <w:rsid w:val="00AD4C5C"/>
  </w:style>
  <w:style w:type="paragraph" w:styleId="CommentSubject">
    <w:name w:val="annotation subject"/>
    <w:basedOn w:val="CommentText"/>
    <w:next w:val="CommentText"/>
    <w:link w:val="CommentSubjectChar"/>
    <w:uiPriority w:val="99"/>
    <w:semiHidden/>
    <w:unhideWhenUsed/>
    <w:rsid w:val="00AD4C5C"/>
    <w:rPr>
      <w:b/>
      <w:bCs/>
      <w:sz w:val="20"/>
      <w:szCs w:val="20"/>
    </w:rPr>
  </w:style>
  <w:style w:type="character" w:customStyle="1" w:styleId="CommentSubjectChar">
    <w:name w:val="Comment Subject Char"/>
    <w:basedOn w:val="CommentTextChar"/>
    <w:link w:val="CommentSubject"/>
    <w:uiPriority w:val="99"/>
    <w:semiHidden/>
    <w:rsid w:val="00AD4C5C"/>
    <w:rPr>
      <w:b/>
      <w:bCs/>
      <w:sz w:val="20"/>
      <w:szCs w:val="20"/>
    </w:rPr>
  </w:style>
  <w:style w:type="paragraph" w:styleId="BalloonText">
    <w:name w:val="Balloon Text"/>
    <w:basedOn w:val="Normal"/>
    <w:link w:val="BalloonTextChar"/>
    <w:uiPriority w:val="99"/>
    <w:semiHidden/>
    <w:unhideWhenUsed/>
    <w:rsid w:val="00AD4C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4C5C"/>
    <w:rPr>
      <w:rFonts w:ascii="Times New Roman" w:hAnsi="Times New Roman" w:cs="Times New Roman"/>
      <w:sz w:val="18"/>
      <w:szCs w:val="18"/>
    </w:rPr>
  </w:style>
  <w:style w:type="character" w:styleId="Hyperlink">
    <w:name w:val="Hyperlink"/>
    <w:basedOn w:val="DefaultParagraphFont"/>
    <w:uiPriority w:val="99"/>
    <w:unhideWhenUsed/>
    <w:rsid w:val="00B73D5E"/>
    <w:rPr>
      <w:color w:val="0563C1" w:themeColor="hyperlink"/>
      <w:u w:val="single"/>
    </w:rPr>
  </w:style>
  <w:style w:type="paragraph" w:customStyle="1" w:styleId="FigureTitle">
    <w:name w:val="Figure Title"/>
    <w:basedOn w:val="Normal"/>
    <w:uiPriority w:val="99"/>
    <w:rsid w:val="006A5837"/>
    <w:pPr>
      <w:keepNext/>
      <w:keepLines/>
      <w:spacing w:before="240" w:after="240"/>
    </w:pPr>
    <w:rPr>
      <w:rFonts w:ascii="Times New Roman" w:eastAsia="Times New Roman" w:hAnsi="Times New Roman" w:cs="Times New Roman"/>
      <w:b/>
      <w:szCs w:val="20"/>
    </w:rPr>
  </w:style>
  <w:style w:type="paragraph" w:styleId="BodyText2">
    <w:name w:val="Body Text 2"/>
    <w:basedOn w:val="Normal"/>
    <w:link w:val="BodyText2Char"/>
    <w:rsid w:val="009B5B5A"/>
    <w:rPr>
      <w:rFonts w:ascii="Times New Roman" w:eastAsia="Times New Roman" w:hAnsi="Times New Roman" w:cs="Times New Roman"/>
      <w:szCs w:val="20"/>
    </w:rPr>
  </w:style>
  <w:style w:type="character" w:customStyle="1" w:styleId="BodyText2Char">
    <w:name w:val="Body Text 2 Char"/>
    <w:basedOn w:val="DefaultParagraphFont"/>
    <w:link w:val="BodyText2"/>
    <w:rsid w:val="009B5B5A"/>
    <w:rPr>
      <w:rFonts w:ascii="Times New Roman" w:eastAsia="Times New Roman" w:hAnsi="Times New Roman" w:cs="Times New Roman"/>
      <w:szCs w:val="20"/>
    </w:rPr>
  </w:style>
  <w:style w:type="paragraph" w:styleId="BodyTextIndent">
    <w:name w:val="Body Text Indent"/>
    <w:basedOn w:val="Normal"/>
    <w:link w:val="BodyTextIndentChar"/>
    <w:rsid w:val="00C82D5C"/>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82D5C"/>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873D51"/>
  </w:style>
  <w:style w:type="paragraph" w:customStyle="1" w:styleId="BodyText1">
    <w:name w:val="Body Text1"/>
    <w:aliases w:val="bt,body tx,indent,flush,body text"/>
    <w:basedOn w:val="Normal"/>
    <w:link w:val="bodytextChar"/>
    <w:rsid w:val="00873D51"/>
    <w:pPr>
      <w:spacing w:after="120" w:line="360" w:lineRule="auto"/>
      <w:ind w:firstLine="720"/>
    </w:pPr>
  </w:style>
  <w:style w:type="paragraph" w:styleId="Header">
    <w:name w:val="header"/>
    <w:basedOn w:val="Normal"/>
    <w:link w:val="HeaderChar"/>
    <w:uiPriority w:val="99"/>
    <w:unhideWhenUsed/>
    <w:rsid w:val="00476B0B"/>
    <w:pPr>
      <w:tabs>
        <w:tab w:val="center" w:pos="4680"/>
        <w:tab w:val="right" w:pos="9360"/>
      </w:tabs>
    </w:pPr>
  </w:style>
  <w:style w:type="character" w:customStyle="1" w:styleId="HeaderChar">
    <w:name w:val="Header Char"/>
    <w:basedOn w:val="DefaultParagraphFont"/>
    <w:link w:val="Header"/>
    <w:uiPriority w:val="99"/>
    <w:rsid w:val="00476B0B"/>
  </w:style>
  <w:style w:type="paragraph" w:styleId="Footer">
    <w:name w:val="footer"/>
    <w:basedOn w:val="Normal"/>
    <w:link w:val="FooterChar"/>
    <w:uiPriority w:val="99"/>
    <w:unhideWhenUsed/>
    <w:rsid w:val="00476B0B"/>
    <w:pPr>
      <w:tabs>
        <w:tab w:val="center" w:pos="4680"/>
        <w:tab w:val="right" w:pos="9360"/>
      </w:tabs>
    </w:pPr>
  </w:style>
  <w:style w:type="character" w:customStyle="1" w:styleId="FooterChar">
    <w:name w:val="Footer Char"/>
    <w:basedOn w:val="DefaultParagraphFont"/>
    <w:link w:val="Footer"/>
    <w:uiPriority w:val="99"/>
    <w:rsid w:val="00476B0B"/>
  </w:style>
  <w:style w:type="paragraph" w:customStyle="1" w:styleId="Default">
    <w:name w:val="Default"/>
    <w:rsid w:val="00956E69"/>
    <w:pPr>
      <w:autoSpaceDE w:val="0"/>
      <w:autoSpaceDN w:val="0"/>
      <w:adjustRightInd w:val="0"/>
    </w:pPr>
    <w:rPr>
      <w:rFonts w:ascii="Calibri" w:hAnsi="Calibri" w:cs="Calibri"/>
      <w:color w:val="000000"/>
    </w:rPr>
  </w:style>
  <w:style w:type="paragraph" w:styleId="Revision">
    <w:name w:val="Revision"/>
    <w:hidden/>
    <w:uiPriority w:val="99"/>
    <w:semiHidden/>
    <w:rsid w:val="00B467CE"/>
  </w:style>
  <w:style w:type="character" w:styleId="PageNumber">
    <w:name w:val="page number"/>
    <w:basedOn w:val="DefaultParagraphFont"/>
    <w:uiPriority w:val="99"/>
    <w:semiHidden/>
    <w:unhideWhenUsed/>
    <w:rsid w:val="001446C2"/>
  </w:style>
  <w:style w:type="character" w:styleId="FollowedHyperlink">
    <w:name w:val="FollowedHyperlink"/>
    <w:basedOn w:val="DefaultParagraphFont"/>
    <w:uiPriority w:val="99"/>
    <w:semiHidden/>
    <w:unhideWhenUsed/>
    <w:rsid w:val="00437758"/>
    <w:rPr>
      <w:color w:val="954F72" w:themeColor="followedHyperlink"/>
      <w:u w:val="single"/>
    </w:rPr>
  </w:style>
  <w:style w:type="paragraph" w:styleId="DocumentMap">
    <w:name w:val="Document Map"/>
    <w:basedOn w:val="Normal"/>
    <w:link w:val="DocumentMapChar"/>
    <w:uiPriority w:val="99"/>
    <w:semiHidden/>
    <w:unhideWhenUsed/>
    <w:rsid w:val="00FD40CE"/>
    <w:rPr>
      <w:rFonts w:ascii="Times New Roman" w:hAnsi="Times New Roman" w:cs="Times New Roman"/>
    </w:rPr>
  </w:style>
  <w:style w:type="character" w:customStyle="1" w:styleId="DocumentMapChar">
    <w:name w:val="Document Map Char"/>
    <w:basedOn w:val="DefaultParagraphFont"/>
    <w:link w:val="DocumentMap"/>
    <w:uiPriority w:val="99"/>
    <w:semiHidden/>
    <w:rsid w:val="00FD40C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20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rolyn@rescueagency.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ana@rescueagency.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thew.Walker@fda.hhs.gov" TargetMode="External"/><Relationship Id="rId5" Type="http://schemas.openxmlformats.org/officeDocument/2006/relationships/settings" Target="settings.xml"/><Relationship Id="rId15" Type="http://schemas.openxmlformats.org/officeDocument/2006/relationships/hyperlink" Target="http://www.whitehouse.gov/omb/fedreg/1997standards.html)" TargetMode="External"/><Relationship Id="rId23" Type="http://schemas.microsoft.com/office/2011/relationships/people" Target="people.xml"/><Relationship Id="rId10" Type="http://schemas.openxmlformats.org/officeDocument/2006/relationships/hyperlink" Target="mailto:Mario.Navarro@fda.hhs.go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Maria.Benoza@fda.hhs.gov" TargetMode="External"/><Relationship Id="rId14" Type="http://schemas.openxmlformats.org/officeDocument/2006/relationships/hyperlink" Target="mailto:xzhao3@gmu.edu"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A44C51-312A-4EAA-9B48-6688F54C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6490</Words>
  <Characters>36997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Anjana Radhakrishnan</dc:creator>
  <cp:lastModifiedBy>SYSTEM</cp:lastModifiedBy>
  <cp:revision>2</cp:revision>
  <dcterms:created xsi:type="dcterms:W3CDTF">2018-03-30T14:39:00Z</dcterms:created>
  <dcterms:modified xsi:type="dcterms:W3CDTF">2018-03-30T14:39:00Z</dcterms:modified>
</cp:coreProperties>
</file>