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D00" w:rsidRPr="005E01E6" w:rsidRDefault="005E01E6" w:rsidP="00834BDD">
      <w:pPr>
        <w:jc w:val="center"/>
      </w:pPr>
      <w:bookmarkStart w:id="0" w:name="_GoBack"/>
      <w:bookmarkEnd w:id="0"/>
      <w:r>
        <w:t>U.S. Food and Drug Administration</w:t>
      </w:r>
    </w:p>
    <w:p w:rsidR="00DD345B" w:rsidRDefault="002253BC" w:rsidP="00834BDD">
      <w:pPr>
        <w:jc w:val="center"/>
      </w:pPr>
      <w:r>
        <w:t xml:space="preserve">Dispute </w:t>
      </w:r>
      <w:r w:rsidR="00DD345B">
        <w:t>R</w:t>
      </w:r>
      <w:r>
        <w:t xml:space="preserve">esolution Procedures for Science-Based Decisions on Products </w:t>
      </w:r>
    </w:p>
    <w:p w:rsidR="002253BC" w:rsidRDefault="00DD345B" w:rsidP="00834BDD">
      <w:pPr>
        <w:jc w:val="center"/>
      </w:pPr>
      <w:r>
        <w:t xml:space="preserve">Regulated </w:t>
      </w:r>
      <w:r w:rsidR="002253BC">
        <w:t>by the Center for Veterinary Medicine</w:t>
      </w:r>
      <w:r w:rsidR="007B5F07">
        <w:t xml:space="preserve"> (CVM)</w:t>
      </w:r>
    </w:p>
    <w:p w:rsidR="00DD345B" w:rsidRPr="009A1674" w:rsidRDefault="00DD345B" w:rsidP="00834BDD">
      <w:pPr>
        <w:jc w:val="center"/>
      </w:pPr>
    </w:p>
    <w:p w:rsidR="00EB7538" w:rsidRPr="009A1674" w:rsidRDefault="00B03D00" w:rsidP="00834BDD">
      <w:pPr>
        <w:jc w:val="center"/>
      </w:pPr>
      <w:r>
        <w:t xml:space="preserve">OMB Control No. </w:t>
      </w:r>
      <w:r w:rsidR="00EB7538" w:rsidRPr="009A1674">
        <w:t>0910-</w:t>
      </w:r>
      <w:r w:rsidR="002253BC">
        <w:t>0566</w:t>
      </w:r>
      <w:r w:rsidR="00A35D42" w:rsidRPr="009A1674">
        <w:br/>
      </w:r>
    </w:p>
    <w:p w:rsidR="00EB7538" w:rsidRDefault="00EB7538" w:rsidP="004210C8">
      <w:pPr>
        <w:ind w:firstLine="720"/>
      </w:pPr>
      <w:r w:rsidRPr="009A1674">
        <w:t>SUPPORTING STATEMENT</w:t>
      </w:r>
      <w:r w:rsidR="005E01E6">
        <w:t xml:space="preserve"> </w:t>
      </w:r>
      <w:r w:rsidR="005E01E6" w:rsidRPr="007B5F07">
        <w:rPr>
          <w:b/>
        </w:rPr>
        <w:t>Part A:  Justification</w:t>
      </w:r>
    </w:p>
    <w:p w:rsidR="00834BDD" w:rsidRDefault="00834BDD" w:rsidP="00834BDD">
      <w:pPr>
        <w:numPr>
          <w:ilvl w:val="0"/>
          <w:numId w:val="41"/>
        </w:numPr>
        <w:spacing w:before="100" w:beforeAutospacing="1" w:after="100" w:afterAutospacing="1"/>
        <w:rPr>
          <w:u w:val="single"/>
        </w:rPr>
      </w:pPr>
      <w:r>
        <w:rPr>
          <w:u w:val="single"/>
        </w:rPr>
        <w:t xml:space="preserve"> </w:t>
      </w:r>
      <w:r w:rsidR="00EB7538" w:rsidRPr="002746DB">
        <w:rPr>
          <w:u w:val="single"/>
        </w:rPr>
        <w:t>Circumstances Making the Collection of Information Necessary</w:t>
      </w:r>
    </w:p>
    <w:p w:rsidR="00834BDD" w:rsidRDefault="002F2D81" w:rsidP="00834BDD">
      <w:pPr>
        <w:spacing w:before="100" w:beforeAutospacing="1" w:after="100" w:afterAutospacing="1"/>
        <w:ind w:left="720"/>
      </w:pPr>
      <w:r>
        <w:t xml:space="preserve">This information collection supports Food and Drug Administration (FDA) regulations and </w:t>
      </w:r>
      <w:r w:rsidR="007B5F07">
        <w:t xml:space="preserve">accompanying </w:t>
      </w:r>
      <w:r>
        <w:t xml:space="preserve">guidance.  Specifically, </w:t>
      </w:r>
      <w:r w:rsidR="007B5F07" w:rsidRPr="007B5F07">
        <w:t xml:space="preserve">Congress enacted section 562 of the Federal Food, Drug, and Cosmetic Act </w:t>
      </w:r>
      <w:r w:rsidR="007B5F07">
        <w:t>(FFDCA or the act)</w:t>
      </w:r>
      <w:r w:rsidR="007B5F07" w:rsidRPr="007B5F07">
        <w:t>(21 U.S.C. 360bbb-1), which directed the FDA to ensure that it had adequate dispute resolution procedures to provide for appropriate review of scientific controversies between the FDA and members of regulated industry, including possible review by a scientific advisory committee.  T</w:t>
      </w:r>
      <w:r w:rsidR="007B5F07">
        <w:t xml:space="preserve">o implement section 562, we </w:t>
      </w:r>
      <w:r w:rsidR="007B5F07" w:rsidRPr="007B5F07">
        <w:t>amended 21 CFR 10.75</w:t>
      </w:r>
      <w:r w:rsidR="007B5F07">
        <w:t xml:space="preserve"> </w:t>
      </w:r>
      <w:r w:rsidR="007B5F07" w:rsidRPr="00834BDD">
        <w:rPr>
          <w:i/>
        </w:rPr>
        <w:t>Internal agency review of decisions</w:t>
      </w:r>
      <w:r w:rsidR="007B5F07" w:rsidRPr="007B5F07">
        <w:t>, the general appeal regulation applicable across all FDA components, to provide for advisory commi</w:t>
      </w:r>
      <w:r w:rsidR="007B5F07">
        <w:t>ttee review (21 CFR 10.75(b)(2))</w:t>
      </w:r>
      <w:r w:rsidR="007B5F07" w:rsidRPr="007B5F07">
        <w:t>.</w:t>
      </w:r>
      <w:r w:rsidR="007B5F07">
        <w:t xml:space="preserve">  At the same time, we </w:t>
      </w:r>
      <w:r w:rsidR="007B5F07" w:rsidRPr="007B5F07">
        <w:t xml:space="preserve">adopted an individual, center-based approach to the specific implementation of section 562’s mandates, </w:t>
      </w:r>
      <w:r w:rsidR="007B5F07">
        <w:t xml:space="preserve">to </w:t>
      </w:r>
      <w:r w:rsidR="007B5F07" w:rsidRPr="007B5F07">
        <w:t>be detailed in center-issued guidances (</w:t>
      </w:r>
      <w:r w:rsidR="007B5F07">
        <w:t xml:space="preserve">see </w:t>
      </w:r>
      <w:r w:rsidR="007B5F07" w:rsidRPr="007B5F07">
        <w:t>63 FR at 63979).</w:t>
      </w:r>
    </w:p>
    <w:p w:rsidR="00834BDD" w:rsidRDefault="007B5F07" w:rsidP="00834BDD">
      <w:pPr>
        <w:spacing w:before="100" w:beforeAutospacing="1" w:after="100" w:afterAutospacing="1"/>
        <w:ind w:left="720"/>
      </w:pPr>
      <w:r>
        <w:t xml:space="preserve">Accordingly, </w:t>
      </w:r>
      <w:r w:rsidR="00DD345B">
        <w:t>CVM</w:t>
      </w:r>
      <w:r w:rsidR="00E855FE">
        <w:t xml:space="preserve"> has developed and issued </w:t>
      </w:r>
      <w:r w:rsidR="00DD345B" w:rsidRPr="00E855FE">
        <w:rPr>
          <w:i/>
        </w:rPr>
        <w:t>Guidance for Industry (GF</w:t>
      </w:r>
      <w:r w:rsidR="00C625FC" w:rsidRPr="00E855FE">
        <w:rPr>
          <w:i/>
        </w:rPr>
        <w:t>I) #79</w:t>
      </w:r>
      <w:r w:rsidR="00C625FC">
        <w:t>, “</w:t>
      </w:r>
      <w:r w:rsidR="00DD345B" w:rsidRPr="007B5F07">
        <w:rPr>
          <w:i/>
        </w:rPr>
        <w:t>Dispute Resolution Procedures for Science-Based Decisions on Products Regulated by the</w:t>
      </w:r>
      <w:r w:rsidR="00C625FC" w:rsidRPr="007B5F07">
        <w:rPr>
          <w:i/>
        </w:rPr>
        <w:t xml:space="preserve"> Center for Veterinary Medicine</w:t>
      </w:r>
      <w:r w:rsidR="00C625FC">
        <w:t>”</w:t>
      </w:r>
      <w:r w:rsidR="00DD345B">
        <w:t xml:space="preserve"> </w:t>
      </w:r>
      <w:r w:rsidR="00E855FE">
        <w:t xml:space="preserve">available at: </w:t>
      </w:r>
      <w:hyperlink r:id="rId8" w:history="1">
        <w:r w:rsidR="00DD345B">
          <w:rPr>
            <w:rStyle w:val="Hyperlink"/>
          </w:rPr>
          <w:t>https://www.fda.gov/downloads/AnimalVeterinary/GuidanceComplianceEnforcement/GuidanceforIndustry/UCM052393.pdf</w:t>
        </w:r>
      </w:hyperlink>
      <w:r w:rsidR="00E855FE">
        <w:t xml:space="preserve">.  The guidance </w:t>
      </w:r>
      <w:r w:rsidR="00DD345B">
        <w:t>describes the process by which CVM formally resolves disputes relating to scientific controversies.  A scientific controversy involves issues concerning a specific product regulated by CVM related to matters of technical expertise and requires specialized education, training, or experience to be understood and resolved.  The guidance details information on how CVM intends to apply provisions of existing regulation</w:t>
      </w:r>
      <w:r w:rsidR="00E855FE">
        <w:t>s regarding internal review of a</w:t>
      </w:r>
      <w:r w:rsidR="00DD345B">
        <w:t xml:space="preserve">gency decisions.  In addition, the guidance outlines the established procedures for persons who are sponsors, applicants, or manufacturers of animal drugs or other products regulated by CVM that wish to submit a request for review of a scientific dispute.  When a </w:t>
      </w:r>
      <w:r w:rsidR="00DD345B">
        <w:rPr>
          <w:iCs/>
        </w:rPr>
        <w:t>sponsor</w:t>
      </w:r>
      <w:r w:rsidR="00DD345B">
        <w:t xml:space="preserve">, applicant, </w:t>
      </w:r>
      <w:r w:rsidR="00DD345B">
        <w:rPr>
          <w:iCs/>
        </w:rPr>
        <w:t>or manufacturer</w:t>
      </w:r>
      <w:r w:rsidR="00DD345B">
        <w:rPr>
          <w:i/>
          <w:iCs/>
        </w:rPr>
        <w:t xml:space="preserve"> </w:t>
      </w:r>
      <w:r w:rsidR="00DD345B">
        <w:t xml:space="preserve">has a scientific disagreement </w:t>
      </w:r>
      <w:r w:rsidR="00DD345B">
        <w:rPr>
          <w:iCs/>
        </w:rPr>
        <w:t>with</w:t>
      </w:r>
      <w:r w:rsidR="00DD345B">
        <w:t xml:space="preserve"> a written decision by CVM, </w:t>
      </w:r>
      <w:r w:rsidR="00DD345B">
        <w:rPr>
          <w:iCs/>
        </w:rPr>
        <w:t>they</w:t>
      </w:r>
      <w:r w:rsidR="00DD345B">
        <w:t xml:space="preserve"> may submit a request for a review of that decision by following the established procedures discus</w:t>
      </w:r>
      <w:r w:rsidR="00834BDD">
        <w:t>sed in the guidance.</w:t>
      </w:r>
    </w:p>
    <w:p w:rsidR="00834BDD" w:rsidRDefault="00834BDD" w:rsidP="00834BDD">
      <w:pPr>
        <w:spacing w:before="100" w:beforeAutospacing="1" w:after="100" w:afterAutospacing="1"/>
        <w:ind w:left="720"/>
      </w:pPr>
      <w:r>
        <w:t xml:space="preserve">We therefore request </w:t>
      </w:r>
      <w:r w:rsidR="0049244C">
        <w:t>extension</w:t>
      </w:r>
      <w:r>
        <w:t xml:space="preserve"> of OMB approval for the information collection provisions found in the above reference</w:t>
      </w:r>
      <w:r w:rsidR="0049244C">
        <w:t>d</w:t>
      </w:r>
      <w:r>
        <w:t xml:space="preserve"> guidance and in 21 CFR Part 10.75 as applicable.</w:t>
      </w:r>
    </w:p>
    <w:p w:rsidR="008B30AB" w:rsidRPr="00834BDD" w:rsidRDefault="00834BDD" w:rsidP="00834BDD">
      <w:pPr>
        <w:numPr>
          <w:ilvl w:val="0"/>
          <w:numId w:val="41"/>
        </w:numPr>
        <w:spacing w:before="100" w:beforeAutospacing="1" w:after="100" w:afterAutospacing="1"/>
      </w:pPr>
      <w:r>
        <w:rPr>
          <w:u w:val="single"/>
        </w:rPr>
        <w:t xml:space="preserve"> </w:t>
      </w:r>
      <w:r w:rsidR="00EB7538" w:rsidRPr="002746DB">
        <w:rPr>
          <w:u w:val="single"/>
        </w:rPr>
        <w:t xml:space="preserve">Purpose and Use of the Information Collection </w:t>
      </w:r>
    </w:p>
    <w:p w:rsidR="00B31FDF" w:rsidRPr="00E855FE" w:rsidRDefault="00E855FE" w:rsidP="00834BDD">
      <w:pPr>
        <w:ind w:left="720"/>
      </w:pPr>
      <w:r>
        <w:rPr>
          <w:bCs/>
        </w:rPr>
        <w:t>Respondents</w:t>
      </w:r>
      <w:r w:rsidRPr="006E58CF">
        <w:rPr>
          <w:bCs/>
        </w:rPr>
        <w:t xml:space="preserve"> </w:t>
      </w:r>
      <w:r>
        <w:rPr>
          <w:bCs/>
        </w:rPr>
        <w:t xml:space="preserve">to the collection of information </w:t>
      </w:r>
      <w:r w:rsidRPr="006E58CF">
        <w:rPr>
          <w:bCs/>
        </w:rPr>
        <w:t xml:space="preserve">include </w:t>
      </w:r>
      <w:r>
        <w:rPr>
          <w:bCs/>
        </w:rPr>
        <w:t xml:space="preserve">the private sector (for-profit) businesses including </w:t>
      </w:r>
      <w:r>
        <w:t>s</w:t>
      </w:r>
      <w:r w:rsidRPr="002253BC">
        <w:t>ponsors, applicants, or manufacturers</w:t>
      </w:r>
      <w:r>
        <w:t xml:space="preserve"> who seek to resolve </w:t>
      </w:r>
      <w:r w:rsidRPr="002253BC">
        <w:t>scientific controversy relating to a decision affecting animal drugs or other products that are regulated by CVM</w:t>
      </w:r>
      <w:r w:rsidRPr="006E58CF">
        <w:rPr>
          <w:bCs/>
        </w:rPr>
        <w:t>.</w:t>
      </w:r>
      <w:r>
        <w:rPr>
          <w:bCs/>
        </w:rPr>
        <w:t xml:space="preserve">  </w:t>
      </w:r>
      <w:r>
        <w:rPr>
          <w:bCs/>
        </w:rPr>
        <w:lastRenderedPageBreak/>
        <w:t xml:space="preserve">The information collection provides instruction to respondents </w:t>
      </w:r>
      <w:r>
        <w:t>that we believe will</w:t>
      </w:r>
      <w:r w:rsidR="002253BC" w:rsidRPr="002253BC">
        <w:t xml:space="preserve"> facilitate the resolution of such disputes and promote greater use of alternative dispute </w:t>
      </w:r>
      <w:r w:rsidR="0049244C">
        <w:t>resolution techniques including</w:t>
      </w:r>
      <w:r w:rsidR="002253BC" w:rsidRPr="002253BC">
        <w:t xml:space="preserve"> </w:t>
      </w:r>
      <w:r w:rsidR="009F6C65">
        <w:t xml:space="preserve">informal </w:t>
      </w:r>
      <w:r w:rsidR="002253BC" w:rsidRPr="002253BC">
        <w:t>neutral intervention</w:t>
      </w:r>
      <w:r w:rsidR="005C496A">
        <w:t xml:space="preserve">, </w:t>
      </w:r>
      <w:r>
        <w:t xml:space="preserve">shuttle diplomacy, </w:t>
      </w:r>
      <w:r w:rsidR="005C496A">
        <w:t xml:space="preserve">and mediation </w:t>
      </w:r>
      <w:r>
        <w:t>by the CVM Ombudsman.</w:t>
      </w:r>
    </w:p>
    <w:p w:rsidR="005436C7" w:rsidRPr="002746DB" w:rsidRDefault="00834BDD" w:rsidP="00834BDD">
      <w:pPr>
        <w:numPr>
          <w:ilvl w:val="0"/>
          <w:numId w:val="41"/>
        </w:numPr>
        <w:spacing w:before="100" w:beforeAutospacing="1" w:after="100" w:afterAutospacing="1"/>
        <w:rPr>
          <w:u w:val="single"/>
        </w:rPr>
      </w:pPr>
      <w:r>
        <w:rPr>
          <w:u w:val="single"/>
        </w:rPr>
        <w:t xml:space="preserve"> </w:t>
      </w:r>
      <w:r w:rsidR="005436C7">
        <w:rPr>
          <w:u w:val="single"/>
        </w:rPr>
        <w:t>Use of Improved Technology and Burden Reduction</w:t>
      </w:r>
      <w:r w:rsidR="005436C7" w:rsidRPr="002746DB">
        <w:rPr>
          <w:u w:val="single"/>
        </w:rPr>
        <w:t xml:space="preserve"> </w:t>
      </w:r>
    </w:p>
    <w:p w:rsidR="005436C7" w:rsidRDefault="00B31FDF" w:rsidP="00834BDD">
      <w:pPr>
        <w:ind w:left="720"/>
      </w:pPr>
      <w:r>
        <w:t xml:space="preserve">The guidance does not specifically prescribe the use of automated, electronic, mechanical, or other technological techniques or other forms of information technology as necessary for use by firms.  Companies are free to use whatever forms of information technology may best assist them in submitting their request for review.  </w:t>
      </w:r>
      <w:r w:rsidR="0049244C">
        <w:t>We believe 100% of respondents will use electronic means to satisfy the information collection.</w:t>
      </w:r>
      <w:r>
        <w:t xml:space="preserve">  </w:t>
      </w:r>
    </w:p>
    <w:p w:rsidR="002746DB" w:rsidRPr="002746DB" w:rsidRDefault="00EB7538" w:rsidP="00834BDD">
      <w:pPr>
        <w:numPr>
          <w:ilvl w:val="0"/>
          <w:numId w:val="41"/>
        </w:numPr>
        <w:spacing w:before="100" w:beforeAutospacing="1" w:after="100" w:afterAutospacing="1"/>
        <w:rPr>
          <w:u w:val="single"/>
        </w:rPr>
      </w:pPr>
      <w:r w:rsidRPr="002746DB">
        <w:rPr>
          <w:u w:val="single"/>
        </w:rPr>
        <w:t xml:space="preserve">Efforts to Identify Duplication and Use of Similar Information </w:t>
      </w:r>
    </w:p>
    <w:p w:rsidR="002746DB" w:rsidRDefault="00E855FE" w:rsidP="00834BDD">
      <w:pPr>
        <w:ind w:left="720"/>
      </w:pPr>
      <w:r>
        <w:t xml:space="preserve">We are unaware of duplicative information collection.  In accordance with section 562 of the FFDCA, FDA has established other center-specific collections relating to </w:t>
      </w:r>
      <w:r w:rsidR="0049244C">
        <w:t xml:space="preserve">scientific </w:t>
      </w:r>
      <w:r>
        <w:t>dispute resolution including OMB Control Nos. 0910</w:t>
      </w:r>
      <w:r w:rsidR="0049244C">
        <w:t>-0430, 0910-0563, and 0910-0738;</w:t>
      </w:r>
      <w:r>
        <w:t xml:space="preserve"> however this collection of information exclusively supports</w:t>
      </w:r>
      <w:r w:rsidR="0049244C">
        <w:t xml:space="preserve"> scientific</w:t>
      </w:r>
      <w:r>
        <w:t xml:space="preserve"> dispute resolution within CVM.</w:t>
      </w:r>
      <w:r w:rsidR="002746DB">
        <w:t xml:space="preserve">  </w:t>
      </w:r>
    </w:p>
    <w:p w:rsidR="00834BDD" w:rsidRPr="00834BDD" w:rsidRDefault="00EB7538" w:rsidP="00834BDD">
      <w:pPr>
        <w:numPr>
          <w:ilvl w:val="0"/>
          <w:numId w:val="41"/>
        </w:numPr>
        <w:spacing w:before="100" w:beforeAutospacing="1" w:after="100" w:afterAutospacing="1"/>
        <w:rPr>
          <w:u w:val="single"/>
        </w:rPr>
      </w:pPr>
      <w:r w:rsidRPr="004C6979">
        <w:rPr>
          <w:u w:val="single"/>
        </w:rPr>
        <w:t>Impact on Small Businesses or Other Small Entities</w:t>
      </w:r>
    </w:p>
    <w:p w:rsidR="00086A30" w:rsidRPr="00834BDD" w:rsidRDefault="001E3577" w:rsidP="00834BDD">
      <w:pPr>
        <w:spacing w:before="100" w:beforeAutospacing="1" w:after="100" w:afterAutospacing="1"/>
        <w:ind w:left="720"/>
        <w:rPr>
          <w:u w:val="single"/>
        </w:rPr>
      </w:pPr>
      <w:r w:rsidRPr="00834BDD">
        <w:rPr>
          <w:color w:val="000000"/>
        </w:rPr>
        <w:t>The guidance provides information to assist a small business in preparing a request for review.</w:t>
      </w:r>
      <w:r w:rsidR="0049244C">
        <w:rPr>
          <w:color w:val="000000"/>
        </w:rPr>
        <w:t xml:space="preserve">  </w:t>
      </w:r>
      <w:r>
        <w:t xml:space="preserve">We aid small businesses in complying with our requirements through our Regional Small Business Representatives and through the scientific and administrative staffs within the agency.  We have provided a Small Business Guide on our website at </w:t>
      </w:r>
      <w:hyperlink r:id="rId9" w:history="1">
        <w:r>
          <w:rPr>
            <w:rStyle w:val="Hyperlink"/>
          </w:rPr>
          <w:t>http://www.fda.gov/oc/industry/</w:t>
        </w:r>
      </w:hyperlink>
      <w:r w:rsidR="00834BDD">
        <w:t>.</w:t>
      </w:r>
    </w:p>
    <w:p w:rsidR="00CD77C3" w:rsidRPr="004C6979" w:rsidRDefault="00EB7538" w:rsidP="00834BDD">
      <w:pPr>
        <w:numPr>
          <w:ilvl w:val="0"/>
          <w:numId w:val="41"/>
        </w:numPr>
        <w:spacing w:before="100" w:beforeAutospacing="1" w:after="100" w:afterAutospacing="1"/>
        <w:rPr>
          <w:u w:val="single"/>
        </w:rPr>
      </w:pPr>
      <w:r w:rsidRPr="004C6979">
        <w:rPr>
          <w:u w:val="single"/>
        </w:rPr>
        <w:t>Consequences of Collecting the Information Less Frequently</w:t>
      </w:r>
    </w:p>
    <w:p w:rsidR="00CD77C3" w:rsidRDefault="001E3577" w:rsidP="00834BDD">
      <w:pPr>
        <w:autoSpaceDE w:val="0"/>
        <w:autoSpaceDN w:val="0"/>
        <w:adjustRightInd w:val="0"/>
        <w:ind w:left="720"/>
      </w:pPr>
      <w:r>
        <w:t xml:space="preserve">Data collection occurs occasionally.  </w:t>
      </w:r>
      <w:r w:rsidR="004D114F">
        <w:t xml:space="preserve">If not collected, </w:t>
      </w:r>
      <w:r>
        <w:t>the s</w:t>
      </w:r>
      <w:r w:rsidRPr="002253BC">
        <w:t>ponsor, applicant, or manufacturer</w:t>
      </w:r>
      <w:r>
        <w:t xml:space="preserve"> would not be able to</w:t>
      </w:r>
      <w:r w:rsidRPr="002253BC">
        <w:t xml:space="preserve"> request review of a scientific controversy relating to a decision affecting </w:t>
      </w:r>
      <w:r w:rsidR="001866C1">
        <w:t xml:space="preserve">their </w:t>
      </w:r>
      <w:r w:rsidRPr="002253BC">
        <w:t>animal drugs or other products</w:t>
      </w:r>
      <w:r w:rsidR="001866C1">
        <w:t xml:space="preserve">.  </w:t>
      </w:r>
      <w:r w:rsidR="004D114F">
        <w:t xml:space="preserve">CVM and the CVM Ombudsman </w:t>
      </w:r>
      <w:r>
        <w:t>would</w:t>
      </w:r>
      <w:r w:rsidR="004D114F">
        <w:t xml:space="preserve"> not be able to</w:t>
      </w:r>
      <w:r>
        <w:t xml:space="preserve"> </w:t>
      </w:r>
      <w:r w:rsidR="004D114F">
        <w:t>assess accurately the scientific controversy under dispute</w:t>
      </w:r>
      <w:r>
        <w:t>.</w:t>
      </w:r>
      <w:r w:rsidR="004D114F">
        <w:t xml:space="preserve"> </w:t>
      </w:r>
    </w:p>
    <w:p w:rsidR="00CD77C3" w:rsidRPr="004C6979" w:rsidRDefault="00EB7538" w:rsidP="00834BDD">
      <w:pPr>
        <w:numPr>
          <w:ilvl w:val="0"/>
          <w:numId w:val="41"/>
        </w:numPr>
        <w:spacing w:before="100" w:beforeAutospacing="1" w:after="100" w:afterAutospacing="1"/>
        <w:rPr>
          <w:u w:val="single"/>
        </w:rPr>
      </w:pPr>
      <w:r w:rsidRPr="004C6979">
        <w:rPr>
          <w:u w:val="single"/>
        </w:rPr>
        <w:t>Special Circumstances Relating to the Guidelines of 5 CFR 1320.5</w:t>
      </w:r>
    </w:p>
    <w:p w:rsidR="008108FA" w:rsidRDefault="008108FA" w:rsidP="00834BDD">
      <w:pPr>
        <w:ind w:left="720"/>
      </w:pPr>
      <w:r>
        <w:t xml:space="preserve">There are no special circumstances </w:t>
      </w:r>
      <w:r w:rsidR="001866C1">
        <w:t>associated with</w:t>
      </w:r>
      <w:r>
        <w:t xml:space="preserve"> this collection of information.</w:t>
      </w:r>
    </w:p>
    <w:p w:rsidR="00CD77C3" w:rsidRDefault="00EB7538" w:rsidP="00834BDD">
      <w:pPr>
        <w:numPr>
          <w:ilvl w:val="0"/>
          <w:numId w:val="41"/>
        </w:numPr>
        <w:spacing w:before="100" w:beforeAutospacing="1" w:after="100" w:afterAutospacing="1"/>
        <w:rPr>
          <w:u w:val="single"/>
        </w:rPr>
      </w:pPr>
      <w:r w:rsidRPr="004C6979">
        <w:rPr>
          <w:u w:val="single"/>
        </w:rPr>
        <w:t>Comments in Response to the Federal Register Notice and Efforts to Consult Outside the Agency</w:t>
      </w:r>
    </w:p>
    <w:p w:rsidR="00705086" w:rsidRPr="004D114F" w:rsidRDefault="00705086" w:rsidP="00834BDD">
      <w:pPr>
        <w:ind w:left="720"/>
      </w:pPr>
      <w:r w:rsidRPr="004D114F">
        <w:t xml:space="preserve">In accordance with 5 CFR 1320.8(d), FDA published a </w:t>
      </w:r>
      <w:r w:rsidR="004D114F" w:rsidRPr="004D114F">
        <w:t>60-day</w:t>
      </w:r>
      <w:r w:rsidRPr="004D114F">
        <w:t xml:space="preserve"> notice for public comment in the </w:t>
      </w:r>
      <w:r w:rsidR="001866C1" w:rsidRPr="00834BDD">
        <w:rPr>
          <w:u w:val="single"/>
        </w:rPr>
        <w:t>Federal Register</w:t>
      </w:r>
      <w:r w:rsidR="001866C1">
        <w:t xml:space="preserve"> </w:t>
      </w:r>
      <w:r w:rsidRPr="004D114F">
        <w:t xml:space="preserve">of </w:t>
      </w:r>
      <w:r w:rsidR="001866C1">
        <w:t>October 27, 2017</w:t>
      </w:r>
      <w:r w:rsidR="004D114F">
        <w:t xml:space="preserve"> (82</w:t>
      </w:r>
      <w:r w:rsidRPr="004D114F">
        <w:t xml:space="preserve"> FR </w:t>
      </w:r>
      <w:r w:rsidR="004D114F">
        <w:t>49836</w:t>
      </w:r>
      <w:r w:rsidRPr="004D114F">
        <w:t xml:space="preserve">).  No comments were received.  </w:t>
      </w:r>
    </w:p>
    <w:p w:rsidR="00CD77C3" w:rsidRPr="004C6979" w:rsidRDefault="0049244C" w:rsidP="00834BDD">
      <w:pPr>
        <w:numPr>
          <w:ilvl w:val="0"/>
          <w:numId w:val="41"/>
        </w:numPr>
        <w:spacing w:before="100" w:beforeAutospacing="1" w:after="100" w:afterAutospacing="1"/>
        <w:rPr>
          <w:u w:val="single"/>
        </w:rPr>
      </w:pPr>
      <w:r>
        <w:rPr>
          <w:u w:val="single"/>
        </w:rPr>
        <w:br w:type="page"/>
      </w:r>
      <w:r w:rsidR="00EB7538" w:rsidRPr="004C6979">
        <w:rPr>
          <w:u w:val="single"/>
        </w:rPr>
        <w:lastRenderedPageBreak/>
        <w:t>Explanation of Any Payment or Gift to Respondents</w:t>
      </w:r>
    </w:p>
    <w:p w:rsidR="00CD77C3" w:rsidRDefault="001866C1" w:rsidP="00834BDD">
      <w:pPr>
        <w:ind w:left="720"/>
      </w:pPr>
      <w:r>
        <w:t>This collection of information does not provide for payments or gifts to respondents.</w:t>
      </w:r>
    </w:p>
    <w:p w:rsidR="00CD77C3" w:rsidRPr="004C6979" w:rsidRDefault="00EB7538" w:rsidP="00834BDD">
      <w:pPr>
        <w:numPr>
          <w:ilvl w:val="0"/>
          <w:numId w:val="41"/>
        </w:numPr>
        <w:spacing w:before="100" w:beforeAutospacing="1" w:after="100" w:afterAutospacing="1"/>
        <w:rPr>
          <w:u w:val="single"/>
        </w:rPr>
      </w:pPr>
      <w:r w:rsidRPr="004C6979">
        <w:rPr>
          <w:u w:val="single"/>
        </w:rPr>
        <w:t>Assurance of Confidentiality Provided to Respondents</w:t>
      </w:r>
    </w:p>
    <w:p w:rsidR="004D114F" w:rsidRDefault="001866C1" w:rsidP="00834BDD">
      <w:pPr>
        <w:pStyle w:val="BodyText"/>
        <w:kinsoku w:val="0"/>
        <w:overflowPunct w:val="0"/>
        <w:ind w:left="720" w:right="136"/>
      </w:pPr>
      <w:r>
        <w:t>A</w:t>
      </w:r>
      <w:r>
        <w:rPr>
          <w:color w:val="000000"/>
        </w:rPr>
        <w:t xml:space="preserve"> request for review </w:t>
      </w:r>
      <w:r w:rsidRPr="002253BC">
        <w:t xml:space="preserve">of a scientific controversy </w:t>
      </w:r>
      <w:r>
        <w:t xml:space="preserve">may contain trade secret and confidential commercial information.  Confidential commercial information is </w:t>
      </w:r>
      <w:r>
        <w:rPr>
          <w:rFonts w:cs="Courier New"/>
        </w:rPr>
        <w:t xml:space="preserve">protected from disclosure </w:t>
      </w:r>
      <w:r>
        <w:t xml:space="preserve">under </w:t>
      </w:r>
      <w:r>
        <w:rPr>
          <w:rFonts w:cs="Courier New"/>
        </w:rPr>
        <w:t xml:space="preserve">the Freedom of Information Act (FOIA) under sections 552(a) and (b) (5 U.S.C. 552(a) and (b)), </w:t>
      </w:r>
      <w:r w:rsidR="0049244C">
        <w:t>by Section 301(j) of the FFDCA</w:t>
      </w:r>
      <w:r>
        <w:t xml:space="preserve">, </w:t>
      </w:r>
      <w:r>
        <w:rPr>
          <w:rFonts w:cs="Courier New"/>
        </w:rPr>
        <w:t xml:space="preserve">and by part 20 of our regulations (21 CFR part 20).  </w:t>
      </w:r>
      <w:r w:rsidR="004D114F">
        <w:t>Information and records from respondents are kept in a secure building and in secured files</w:t>
      </w:r>
      <w:r>
        <w:t>.</w:t>
      </w:r>
      <w:r w:rsidR="004D114F">
        <w:t xml:space="preserve"> </w:t>
      </w:r>
    </w:p>
    <w:p w:rsidR="004C6979" w:rsidRPr="004C6979" w:rsidRDefault="00EB7538" w:rsidP="00834BDD">
      <w:pPr>
        <w:numPr>
          <w:ilvl w:val="0"/>
          <w:numId w:val="41"/>
        </w:numPr>
        <w:spacing w:before="100" w:beforeAutospacing="1" w:after="100" w:afterAutospacing="1"/>
        <w:rPr>
          <w:u w:val="single"/>
        </w:rPr>
      </w:pPr>
      <w:r w:rsidRPr="004C6979">
        <w:rPr>
          <w:u w:val="single"/>
        </w:rPr>
        <w:t>Justification for Sensitive Questions</w:t>
      </w:r>
    </w:p>
    <w:p w:rsidR="004C6979" w:rsidRDefault="001866C1" w:rsidP="00834BDD">
      <w:pPr>
        <w:pStyle w:val="BodyText2"/>
        <w:ind w:left="720"/>
      </w:pPr>
      <w:r>
        <w:t>This information collection does not involve questions</w:t>
      </w:r>
      <w:r w:rsidRPr="001866C1">
        <w:t xml:space="preserve"> </w:t>
      </w:r>
      <w:r w:rsidRPr="008E15F6">
        <w:t>that are of a personally sensitive nature.</w:t>
      </w:r>
    </w:p>
    <w:p w:rsidR="004C6979" w:rsidRPr="004C6979" w:rsidRDefault="00EB7538" w:rsidP="00834BDD">
      <w:pPr>
        <w:numPr>
          <w:ilvl w:val="0"/>
          <w:numId w:val="41"/>
        </w:numPr>
        <w:spacing w:before="100" w:beforeAutospacing="1" w:after="100" w:afterAutospacing="1"/>
        <w:rPr>
          <w:u w:val="single"/>
        </w:rPr>
      </w:pPr>
      <w:r w:rsidRPr="004C6979">
        <w:rPr>
          <w:u w:val="single"/>
        </w:rPr>
        <w:t>Estimates of Annualized Burden Hours and Costs</w:t>
      </w:r>
    </w:p>
    <w:p w:rsidR="004C6979" w:rsidRPr="00957001" w:rsidRDefault="00957001" w:rsidP="00957001">
      <w:pPr>
        <w:ind w:left="720" w:firstLine="720"/>
        <w:rPr>
          <w:i/>
        </w:rPr>
      </w:pPr>
      <w:r>
        <w:rPr>
          <w:i/>
        </w:rPr>
        <w:t>12</w:t>
      </w:r>
      <w:r w:rsidR="008B0E29" w:rsidRPr="00957001">
        <w:rPr>
          <w:i/>
        </w:rPr>
        <w:t xml:space="preserve">a. </w:t>
      </w:r>
      <w:r w:rsidR="00411D11" w:rsidRPr="00957001">
        <w:rPr>
          <w:i/>
        </w:rPr>
        <w:t xml:space="preserve">Annualized </w:t>
      </w:r>
      <w:r w:rsidR="004C6979" w:rsidRPr="00957001">
        <w:rPr>
          <w:i/>
        </w:rPr>
        <w:t>Hour Burden Estimate</w:t>
      </w:r>
    </w:p>
    <w:p w:rsidR="00086A30" w:rsidRDefault="00E00EA0" w:rsidP="00957001">
      <w:pPr>
        <w:ind w:left="1080"/>
      </w:pPr>
      <w:r>
        <w:br/>
      </w:r>
      <w:r w:rsidR="001866C1">
        <w:t>FDA estimates the burden for this collection of information as follows:</w:t>
      </w:r>
    </w:p>
    <w:p w:rsidR="001866C1" w:rsidRDefault="001866C1" w:rsidP="00834BDD"/>
    <w:tbl>
      <w:tblPr>
        <w:tblW w:w="4541"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8"/>
        <w:gridCol w:w="1529"/>
        <w:gridCol w:w="1531"/>
        <w:gridCol w:w="1260"/>
        <w:gridCol w:w="1258"/>
        <w:gridCol w:w="813"/>
      </w:tblGrid>
      <w:tr w:rsidR="00E65A37" w:rsidRPr="0011151B" w:rsidTr="00957001">
        <w:trPr>
          <w:cantSplit/>
          <w:trHeight w:val="20"/>
          <w:tblHeader/>
        </w:trPr>
        <w:tc>
          <w:tcPr>
            <w:tcW w:w="5000" w:type="pct"/>
            <w:gridSpan w:val="6"/>
            <w:shd w:val="clear" w:color="auto" w:fill="auto"/>
          </w:tcPr>
          <w:p w:rsidR="00E65A37" w:rsidRPr="0011151B" w:rsidRDefault="00E65A37" w:rsidP="00834BDD">
            <w:pPr>
              <w:jc w:val="center"/>
              <w:rPr>
                <w:sz w:val="22"/>
                <w:szCs w:val="22"/>
                <w:vertAlign w:val="superscript"/>
              </w:rPr>
            </w:pPr>
            <w:r w:rsidRPr="0011151B">
              <w:rPr>
                <w:sz w:val="22"/>
                <w:szCs w:val="22"/>
              </w:rPr>
              <w:t>Table 1.--Estimated Annual Reporting Burden</w:t>
            </w:r>
            <w:r w:rsidR="00710DF3" w:rsidRPr="0011151B">
              <w:rPr>
                <w:sz w:val="22"/>
                <w:szCs w:val="22"/>
                <w:vertAlign w:val="superscript"/>
              </w:rPr>
              <w:t>1</w:t>
            </w:r>
          </w:p>
        </w:tc>
      </w:tr>
      <w:tr w:rsidR="00957001" w:rsidRPr="0011151B" w:rsidTr="00957001">
        <w:trPr>
          <w:cantSplit/>
          <w:trHeight w:val="20"/>
          <w:tblHeader/>
        </w:trPr>
        <w:tc>
          <w:tcPr>
            <w:tcW w:w="1485" w:type="pct"/>
            <w:shd w:val="clear" w:color="auto" w:fill="auto"/>
          </w:tcPr>
          <w:p w:rsidR="006B1A1E" w:rsidRPr="0011151B" w:rsidRDefault="00E65A37" w:rsidP="00834BDD">
            <w:pPr>
              <w:jc w:val="center"/>
              <w:rPr>
                <w:sz w:val="22"/>
                <w:szCs w:val="22"/>
              </w:rPr>
            </w:pPr>
            <w:r w:rsidRPr="0011151B">
              <w:rPr>
                <w:sz w:val="22"/>
                <w:szCs w:val="22"/>
              </w:rPr>
              <w:t xml:space="preserve">21 CFR </w:t>
            </w:r>
            <w:r w:rsidR="001866C1" w:rsidRPr="0011151B">
              <w:rPr>
                <w:sz w:val="22"/>
                <w:szCs w:val="22"/>
              </w:rPr>
              <w:t>Section</w:t>
            </w:r>
          </w:p>
          <w:p w:rsidR="00E65A37" w:rsidRPr="0011151B" w:rsidRDefault="00E65A37" w:rsidP="00834BDD">
            <w:pPr>
              <w:jc w:val="center"/>
              <w:rPr>
                <w:sz w:val="22"/>
                <w:szCs w:val="22"/>
              </w:rPr>
            </w:pPr>
          </w:p>
        </w:tc>
        <w:tc>
          <w:tcPr>
            <w:tcW w:w="841" w:type="pct"/>
            <w:shd w:val="clear" w:color="auto" w:fill="auto"/>
          </w:tcPr>
          <w:p w:rsidR="00E65A37" w:rsidRPr="0011151B" w:rsidRDefault="00E65A37" w:rsidP="00834BDD">
            <w:pPr>
              <w:jc w:val="center"/>
              <w:rPr>
                <w:sz w:val="22"/>
                <w:szCs w:val="22"/>
              </w:rPr>
            </w:pPr>
            <w:r w:rsidRPr="0011151B">
              <w:rPr>
                <w:sz w:val="22"/>
                <w:szCs w:val="22"/>
              </w:rPr>
              <w:t>No. of Respondents</w:t>
            </w:r>
          </w:p>
        </w:tc>
        <w:tc>
          <w:tcPr>
            <w:tcW w:w="842" w:type="pct"/>
            <w:shd w:val="clear" w:color="auto" w:fill="auto"/>
          </w:tcPr>
          <w:p w:rsidR="00E65A37" w:rsidRPr="0011151B" w:rsidRDefault="00E65A37" w:rsidP="00834BDD">
            <w:pPr>
              <w:jc w:val="center"/>
              <w:rPr>
                <w:sz w:val="22"/>
                <w:szCs w:val="22"/>
              </w:rPr>
            </w:pPr>
            <w:r w:rsidRPr="0011151B">
              <w:rPr>
                <w:bCs/>
                <w:sz w:val="22"/>
                <w:szCs w:val="22"/>
              </w:rPr>
              <w:t>No. of Responses per Respondent</w:t>
            </w:r>
          </w:p>
        </w:tc>
        <w:tc>
          <w:tcPr>
            <w:tcW w:w="693" w:type="pct"/>
            <w:shd w:val="clear" w:color="auto" w:fill="auto"/>
          </w:tcPr>
          <w:p w:rsidR="00E65A37" w:rsidRPr="0011151B" w:rsidRDefault="00E65A37" w:rsidP="00834BDD">
            <w:pPr>
              <w:jc w:val="center"/>
              <w:rPr>
                <w:sz w:val="22"/>
                <w:szCs w:val="22"/>
              </w:rPr>
            </w:pPr>
            <w:r w:rsidRPr="0011151B">
              <w:rPr>
                <w:sz w:val="22"/>
                <w:szCs w:val="22"/>
              </w:rPr>
              <w:t>Total Annual Responses</w:t>
            </w:r>
          </w:p>
        </w:tc>
        <w:tc>
          <w:tcPr>
            <w:tcW w:w="692" w:type="pct"/>
            <w:shd w:val="clear" w:color="auto" w:fill="auto"/>
          </w:tcPr>
          <w:p w:rsidR="00E65A37" w:rsidRPr="0011151B" w:rsidRDefault="00E65A37" w:rsidP="00834BDD">
            <w:pPr>
              <w:jc w:val="center"/>
              <w:rPr>
                <w:sz w:val="22"/>
                <w:szCs w:val="22"/>
              </w:rPr>
            </w:pPr>
            <w:r w:rsidRPr="0011151B">
              <w:rPr>
                <w:bCs/>
                <w:sz w:val="22"/>
                <w:szCs w:val="22"/>
              </w:rPr>
              <w:t>Average Burden per Response</w:t>
            </w:r>
          </w:p>
        </w:tc>
        <w:tc>
          <w:tcPr>
            <w:tcW w:w="446" w:type="pct"/>
            <w:shd w:val="clear" w:color="auto" w:fill="auto"/>
          </w:tcPr>
          <w:p w:rsidR="00E65A37" w:rsidRPr="0011151B" w:rsidRDefault="00E65A37" w:rsidP="00834BDD">
            <w:pPr>
              <w:jc w:val="center"/>
              <w:rPr>
                <w:sz w:val="22"/>
                <w:szCs w:val="22"/>
              </w:rPr>
            </w:pPr>
            <w:r w:rsidRPr="0011151B">
              <w:rPr>
                <w:sz w:val="22"/>
                <w:szCs w:val="22"/>
              </w:rPr>
              <w:t>Total Hours</w:t>
            </w:r>
          </w:p>
        </w:tc>
      </w:tr>
      <w:tr w:rsidR="00957001" w:rsidRPr="0011151B" w:rsidTr="00957001">
        <w:trPr>
          <w:cantSplit/>
          <w:trHeight w:val="20"/>
        </w:trPr>
        <w:tc>
          <w:tcPr>
            <w:tcW w:w="1485" w:type="pct"/>
            <w:shd w:val="clear" w:color="auto" w:fill="auto"/>
          </w:tcPr>
          <w:p w:rsidR="007E2F07" w:rsidRPr="0011151B" w:rsidRDefault="00710DF3" w:rsidP="00834BDD">
            <w:pPr>
              <w:rPr>
                <w:sz w:val="22"/>
                <w:szCs w:val="22"/>
              </w:rPr>
            </w:pPr>
            <w:r w:rsidRPr="0011151B">
              <w:rPr>
                <w:sz w:val="22"/>
                <w:szCs w:val="22"/>
              </w:rPr>
              <w:t>10.75</w:t>
            </w:r>
            <w:r w:rsidR="00957001">
              <w:rPr>
                <w:sz w:val="22"/>
                <w:szCs w:val="22"/>
              </w:rPr>
              <w:t xml:space="preserve">; </w:t>
            </w:r>
            <w:r w:rsidR="00A108CC" w:rsidRPr="00A108CC">
              <w:rPr>
                <w:sz w:val="22"/>
                <w:szCs w:val="22"/>
              </w:rPr>
              <w:t xml:space="preserve"> Request for review of a scientific dispute</w:t>
            </w:r>
          </w:p>
        </w:tc>
        <w:tc>
          <w:tcPr>
            <w:tcW w:w="841" w:type="pct"/>
            <w:shd w:val="clear" w:color="auto" w:fill="auto"/>
          </w:tcPr>
          <w:p w:rsidR="00E65A37" w:rsidRPr="0011151B" w:rsidRDefault="00AB1A75" w:rsidP="00834BDD">
            <w:pPr>
              <w:jc w:val="center"/>
              <w:rPr>
                <w:sz w:val="22"/>
                <w:szCs w:val="22"/>
              </w:rPr>
            </w:pPr>
            <w:r w:rsidRPr="0011151B">
              <w:rPr>
                <w:sz w:val="22"/>
                <w:szCs w:val="22"/>
              </w:rPr>
              <w:t>1</w:t>
            </w:r>
          </w:p>
        </w:tc>
        <w:tc>
          <w:tcPr>
            <w:tcW w:w="842" w:type="pct"/>
            <w:shd w:val="clear" w:color="auto" w:fill="auto"/>
          </w:tcPr>
          <w:p w:rsidR="00E65A37" w:rsidRPr="0011151B" w:rsidRDefault="00710DF3" w:rsidP="00834BDD">
            <w:pPr>
              <w:jc w:val="center"/>
              <w:rPr>
                <w:sz w:val="22"/>
                <w:szCs w:val="22"/>
              </w:rPr>
            </w:pPr>
            <w:r w:rsidRPr="0011151B">
              <w:rPr>
                <w:sz w:val="22"/>
                <w:szCs w:val="22"/>
              </w:rPr>
              <w:t>4</w:t>
            </w:r>
          </w:p>
        </w:tc>
        <w:tc>
          <w:tcPr>
            <w:tcW w:w="693" w:type="pct"/>
            <w:shd w:val="clear" w:color="auto" w:fill="auto"/>
          </w:tcPr>
          <w:p w:rsidR="00E65A37" w:rsidRPr="0011151B" w:rsidRDefault="00AB1A75" w:rsidP="00834BDD">
            <w:pPr>
              <w:jc w:val="center"/>
              <w:rPr>
                <w:sz w:val="22"/>
                <w:szCs w:val="22"/>
              </w:rPr>
            </w:pPr>
            <w:r w:rsidRPr="0011151B">
              <w:rPr>
                <w:sz w:val="22"/>
                <w:szCs w:val="22"/>
              </w:rPr>
              <w:t>4</w:t>
            </w:r>
          </w:p>
        </w:tc>
        <w:tc>
          <w:tcPr>
            <w:tcW w:w="692" w:type="pct"/>
            <w:shd w:val="clear" w:color="auto" w:fill="auto"/>
          </w:tcPr>
          <w:p w:rsidR="006641C7" w:rsidRPr="0011151B" w:rsidRDefault="00710DF3" w:rsidP="00834BDD">
            <w:pPr>
              <w:jc w:val="center"/>
              <w:rPr>
                <w:sz w:val="22"/>
                <w:szCs w:val="22"/>
              </w:rPr>
            </w:pPr>
            <w:r w:rsidRPr="0011151B">
              <w:rPr>
                <w:sz w:val="22"/>
                <w:szCs w:val="22"/>
              </w:rPr>
              <w:t>10</w:t>
            </w:r>
          </w:p>
          <w:p w:rsidR="00E65A37" w:rsidRPr="0011151B" w:rsidRDefault="00E65A37" w:rsidP="00834BDD">
            <w:pPr>
              <w:jc w:val="center"/>
              <w:rPr>
                <w:sz w:val="22"/>
                <w:szCs w:val="22"/>
              </w:rPr>
            </w:pPr>
          </w:p>
        </w:tc>
        <w:tc>
          <w:tcPr>
            <w:tcW w:w="446" w:type="pct"/>
            <w:shd w:val="clear" w:color="auto" w:fill="auto"/>
          </w:tcPr>
          <w:p w:rsidR="00E65A37" w:rsidRPr="0011151B" w:rsidRDefault="00AB1A75" w:rsidP="00834BDD">
            <w:pPr>
              <w:jc w:val="center"/>
              <w:rPr>
                <w:sz w:val="22"/>
                <w:szCs w:val="22"/>
              </w:rPr>
            </w:pPr>
            <w:r w:rsidRPr="0011151B">
              <w:rPr>
                <w:sz w:val="22"/>
                <w:szCs w:val="22"/>
              </w:rPr>
              <w:t>40</w:t>
            </w:r>
          </w:p>
        </w:tc>
      </w:tr>
    </w:tbl>
    <w:p w:rsidR="00E65A37" w:rsidRDefault="00710DF3" w:rsidP="00834BDD">
      <w:pPr>
        <w:ind w:left="720"/>
        <w:rPr>
          <w:sz w:val="20"/>
          <w:szCs w:val="20"/>
        </w:rPr>
      </w:pPr>
      <w:r w:rsidRPr="0011151B">
        <w:rPr>
          <w:sz w:val="20"/>
          <w:szCs w:val="20"/>
          <w:vertAlign w:val="superscript"/>
        </w:rPr>
        <w:t>1</w:t>
      </w:r>
      <w:r w:rsidRPr="0011151B">
        <w:rPr>
          <w:sz w:val="20"/>
          <w:szCs w:val="20"/>
        </w:rPr>
        <w:t>There are no capital costs or operating and maintenance costs associated with this collection of information.</w:t>
      </w:r>
    </w:p>
    <w:p w:rsidR="00A108CC" w:rsidRPr="0011151B" w:rsidRDefault="00A108CC" w:rsidP="00834BDD">
      <w:pPr>
        <w:ind w:left="720"/>
        <w:rPr>
          <w:sz w:val="20"/>
          <w:szCs w:val="20"/>
        </w:rPr>
      </w:pPr>
    </w:p>
    <w:p w:rsidR="00A108CC" w:rsidRDefault="00A108CC" w:rsidP="00834BDD">
      <w:pPr>
        <w:ind w:left="720"/>
      </w:pPr>
      <w:r w:rsidRPr="00A108CC">
        <w:t xml:space="preserve">In the next 3 years, CVM anticipates receiving </w:t>
      </w:r>
      <w:r w:rsidR="00957001">
        <w:t xml:space="preserve">no more than </w:t>
      </w:r>
      <w:r w:rsidRPr="00A108CC">
        <w:t xml:space="preserve">one </w:t>
      </w:r>
      <w:r w:rsidR="00957001">
        <w:t>request</w:t>
      </w:r>
      <w:r w:rsidRPr="00A108CC">
        <w:t xml:space="preserve"> for review of a scienti</w:t>
      </w:r>
      <w:r w:rsidR="00957001">
        <w:t>fic dispute per year</w:t>
      </w:r>
      <w:r w:rsidRPr="00A108CC">
        <w:t xml:space="preserve">.  </w:t>
      </w:r>
      <w:r w:rsidR="00957001">
        <w:t>O</w:t>
      </w:r>
      <w:r w:rsidRPr="00A108CC">
        <w:t xml:space="preserve">ur estimate </w:t>
      </w:r>
      <w:r w:rsidR="00957001">
        <w:t xml:space="preserve">is based on our </w:t>
      </w:r>
      <w:r w:rsidRPr="00A108CC">
        <w:t xml:space="preserve">on experience </w:t>
      </w:r>
      <w:r w:rsidR="00957001">
        <w:t xml:space="preserve">with the information collection </w:t>
      </w:r>
      <w:r w:rsidRPr="00A108CC">
        <w:t>over the</w:t>
      </w:r>
      <w:r w:rsidR="00957001">
        <w:t xml:space="preserve"> past 6 years</w:t>
      </w:r>
      <w:r w:rsidRPr="00A108CC">
        <w:t xml:space="preserve">.  </w:t>
      </w:r>
    </w:p>
    <w:p w:rsidR="00971AE7" w:rsidRDefault="00971AE7" w:rsidP="00834BDD">
      <w:pPr>
        <w:ind w:left="720"/>
      </w:pPr>
    </w:p>
    <w:p w:rsidR="00A93ED9" w:rsidRPr="00957001" w:rsidRDefault="00A93ED9" w:rsidP="00957001">
      <w:pPr>
        <w:ind w:left="810" w:firstLine="630"/>
        <w:rPr>
          <w:i/>
        </w:rPr>
      </w:pPr>
      <w:r w:rsidRPr="00957001">
        <w:rPr>
          <w:i/>
        </w:rPr>
        <w:t xml:space="preserve">12b. </w:t>
      </w:r>
      <w:r w:rsidR="00411D11" w:rsidRPr="00957001">
        <w:rPr>
          <w:i/>
        </w:rPr>
        <w:t>Annualized Cost Burden Estimate</w:t>
      </w:r>
    </w:p>
    <w:p w:rsidR="003740BC" w:rsidRDefault="003740BC" w:rsidP="00834BDD">
      <w:pPr>
        <w:pStyle w:val="BodyText2"/>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2430"/>
        <w:gridCol w:w="1620"/>
        <w:gridCol w:w="2250"/>
      </w:tblGrid>
      <w:tr w:rsidR="003740BC" w:rsidTr="00957001">
        <w:tc>
          <w:tcPr>
            <w:tcW w:w="2790" w:type="dxa"/>
            <w:shd w:val="clear" w:color="auto" w:fill="auto"/>
          </w:tcPr>
          <w:p w:rsidR="003740BC" w:rsidRDefault="00442A3C" w:rsidP="00834BDD">
            <w:r>
              <w:t>Type of Respondent</w:t>
            </w:r>
          </w:p>
        </w:tc>
        <w:tc>
          <w:tcPr>
            <w:tcW w:w="2430" w:type="dxa"/>
            <w:shd w:val="clear" w:color="auto" w:fill="auto"/>
          </w:tcPr>
          <w:p w:rsidR="003740BC" w:rsidRDefault="003740BC" w:rsidP="00834BDD">
            <w:r>
              <w:t>Total Burden Hours</w:t>
            </w:r>
          </w:p>
        </w:tc>
        <w:tc>
          <w:tcPr>
            <w:tcW w:w="1620" w:type="dxa"/>
            <w:shd w:val="clear" w:color="auto" w:fill="auto"/>
          </w:tcPr>
          <w:p w:rsidR="003740BC" w:rsidRDefault="003740BC" w:rsidP="00834BDD">
            <w:r>
              <w:t>Hourly Wage Rate</w:t>
            </w:r>
          </w:p>
        </w:tc>
        <w:tc>
          <w:tcPr>
            <w:tcW w:w="2250" w:type="dxa"/>
            <w:shd w:val="clear" w:color="auto" w:fill="auto"/>
          </w:tcPr>
          <w:p w:rsidR="003740BC" w:rsidRDefault="003740BC" w:rsidP="00834BDD">
            <w:r>
              <w:t>Total Respondent Costs</w:t>
            </w:r>
          </w:p>
        </w:tc>
      </w:tr>
      <w:tr w:rsidR="003740BC" w:rsidTr="00957001">
        <w:tc>
          <w:tcPr>
            <w:tcW w:w="2790" w:type="dxa"/>
            <w:shd w:val="clear" w:color="auto" w:fill="auto"/>
          </w:tcPr>
          <w:p w:rsidR="003740BC" w:rsidRPr="006050DA" w:rsidRDefault="00710DF3" w:rsidP="00834BDD">
            <w:pPr>
              <w:rPr>
                <w:vertAlign w:val="superscript"/>
              </w:rPr>
            </w:pPr>
            <w:r>
              <w:t xml:space="preserve">Industry Compliance Officer or </w:t>
            </w:r>
            <w:r w:rsidR="0049244C">
              <w:t>Consultant</w:t>
            </w:r>
            <w:r w:rsidR="0049244C" w:rsidRPr="0049244C">
              <w:rPr>
                <w:vertAlign w:val="superscript"/>
              </w:rPr>
              <w:t>1</w:t>
            </w:r>
          </w:p>
        </w:tc>
        <w:tc>
          <w:tcPr>
            <w:tcW w:w="2430" w:type="dxa"/>
            <w:shd w:val="clear" w:color="auto" w:fill="auto"/>
          </w:tcPr>
          <w:p w:rsidR="003740BC" w:rsidRDefault="00AB1A75" w:rsidP="00834BDD">
            <w:pPr>
              <w:jc w:val="center"/>
            </w:pPr>
            <w:r>
              <w:t>40</w:t>
            </w:r>
          </w:p>
        </w:tc>
        <w:tc>
          <w:tcPr>
            <w:tcW w:w="1620" w:type="dxa"/>
            <w:shd w:val="clear" w:color="auto" w:fill="auto"/>
          </w:tcPr>
          <w:p w:rsidR="003740BC" w:rsidRDefault="003740BC" w:rsidP="00834BDD">
            <w:pPr>
              <w:jc w:val="center"/>
            </w:pPr>
            <w:r>
              <w:t>$</w:t>
            </w:r>
            <w:r w:rsidR="00710DF3">
              <w:t>43.90</w:t>
            </w:r>
          </w:p>
        </w:tc>
        <w:tc>
          <w:tcPr>
            <w:tcW w:w="2250" w:type="dxa"/>
            <w:shd w:val="clear" w:color="auto" w:fill="auto"/>
          </w:tcPr>
          <w:p w:rsidR="003740BC" w:rsidRDefault="003740BC" w:rsidP="00834BDD">
            <w:pPr>
              <w:jc w:val="center"/>
            </w:pPr>
            <w:r>
              <w:t>$</w:t>
            </w:r>
            <w:r w:rsidR="00AB1A75">
              <w:t>1</w:t>
            </w:r>
            <w:r w:rsidR="00710DF3">
              <w:t>,</w:t>
            </w:r>
            <w:r w:rsidR="00AB1A75">
              <w:t>756</w:t>
            </w:r>
          </w:p>
        </w:tc>
      </w:tr>
    </w:tbl>
    <w:p w:rsidR="006050DA" w:rsidRPr="00C77970" w:rsidRDefault="006050DA" w:rsidP="00834BDD">
      <w:pPr>
        <w:pStyle w:val="BodyText2"/>
        <w:ind w:left="720"/>
        <w:rPr>
          <w:sz w:val="18"/>
          <w:szCs w:val="18"/>
        </w:rPr>
      </w:pPr>
      <w:r w:rsidRPr="00CF0A2B">
        <w:rPr>
          <w:sz w:val="18"/>
          <w:szCs w:val="18"/>
          <w:vertAlign w:val="superscript"/>
        </w:rPr>
        <w:t>1</w:t>
      </w:r>
      <w:r w:rsidRPr="00CF0A2B">
        <w:t xml:space="preserve"> </w:t>
      </w:r>
      <w:r w:rsidRPr="00CF0A2B">
        <w:rPr>
          <w:sz w:val="18"/>
          <w:szCs w:val="18"/>
        </w:rPr>
        <w:t>May 2016 National Industry-Specific Occupational Employment and Wage Estimates, Bureau of Labor Statistics and including 30% for benefits</w:t>
      </w:r>
      <w:r>
        <w:rPr>
          <w:sz w:val="18"/>
          <w:szCs w:val="18"/>
        </w:rPr>
        <w:t>.</w:t>
      </w:r>
    </w:p>
    <w:p w:rsidR="004C6979" w:rsidRPr="004C6979" w:rsidRDefault="00957001" w:rsidP="00834BDD">
      <w:pPr>
        <w:numPr>
          <w:ilvl w:val="0"/>
          <w:numId w:val="41"/>
        </w:numPr>
        <w:spacing w:before="100" w:beforeAutospacing="1" w:after="100" w:afterAutospacing="1"/>
        <w:rPr>
          <w:u w:val="single"/>
        </w:rPr>
      </w:pPr>
      <w:r>
        <w:rPr>
          <w:u w:val="single"/>
        </w:rPr>
        <w:br w:type="page"/>
      </w:r>
      <w:r w:rsidR="00EB7538" w:rsidRPr="004C6979">
        <w:rPr>
          <w:u w:val="single"/>
        </w:rPr>
        <w:t>Estimates of Other Total Annual Cost</w:t>
      </w:r>
      <w:r w:rsidR="007C75B1">
        <w:rPr>
          <w:u w:val="single"/>
        </w:rPr>
        <w:t>s</w:t>
      </w:r>
      <w:r w:rsidR="00EB7538" w:rsidRPr="004C6979">
        <w:rPr>
          <w:u w:val="single"/>
        </w:rPr>
        <w:t xml:space="preserve"> to Respondents and</w:t>
      </w:r>
      <w:r w:rsidR="00350523">
        <w:rPr>
          <w:u w:val="single"/>
        </w:rPr>
        <w:t>/or Recordkeepers/Capital Costs</w:t>
      </w:r>
    </w:p>
    <w:p w:rsidR="00350523" w:rsidRDefault="00350523" w:rsidP="00834BDD">
      <w:pPr>
        <w:ind w:left="720"/>
      </w:pPr>
      <w:r>
        <w:t>There are no capital, start-up, operating or maintenance costs associated with this information collection.</w:t>
      </w:r>
    </w:p>
    <w:p w:rsidR="004C6979" w:rsidRPr="004C6979" w:rsidRDefault="00EB7538" w:rsidP="00834BDD">
      <w:pPr>
        <w:numPr>
          <w:ilvl w:val="0"/>
          <w:numId w:val="41"/>
        </w:numPr>
        <w:spacing w:before="100" w:beforeAutospacing="1" w:after="100" w:afterAutospacing="1"/>
        <w:rPr>
          <w:u w:val="single"/>
        </w:rPr>
      </w:pPr>
      <w:r w:rsidRPr="004C6979">
        <w:rPr>
          <w:u w:val="single"/>
        </w:rPr>
        <w:t>Annualized Cost to the Federal Government</w:t>
      </w:r>
    </w:p>
    <w:p w:rsidR="00A70426" w:rsidRDefault="00957001" w:rsidP="00834BDD">
      <w:pPr>
        <w:autoSpaceDE w:val="0"/>
        <w:autoSpaceDN w:val="0"/>
        <w:adjustRightInd w:val="0"/>
        <w:ind w:left="720"/>
      </w:pPr>
      <w:r>
        <w:t xml:space="preserve">CVM has allocated </w:t>
      </w:r>
      <w:r w:rsidR="00F452E7">
        <w:t xml:space="preserve">the equivalent of 5 FTEs to its </w:t>
      </w:r>
      <w:r w:rsidR="0049244C">
        <w:t xml:space="preserve">scientific </w:t>
      </w:r>
      <w:r w:rsidR="006050DA">
        <w:t>dispute resolution process</w:t>
      </w:r>
      <w:r w:rsidR="00F452E7">
        <w:t xml:space="preserve">, including an Ombudsman and authorized Center managers </w:t>
      </w:r>
      <w:r w:rsidR="006050DA">
        <w:t xml:space="preserve">who </w:t>
      </w:r>
      <w:r w:rsidR="00F452E7">
        <w:t xml:space="preserve">may </w:t>
      </w:r>
      <w:r w:rsidR="006050DA">
        <w:t>decide the outcome of a scientific</w:t>
      </w:r>
      <w:r w:rsidR="00AF6D61">
        <w:t xml:space="preserve"> </w:t>
      </w:r>
      <w:r w:rsidR="00F452E7">
        <w:t xml:space="preserve">controversy.  </w:t>
      </w:r>
      <w:r w:rsidR="006050DA">
        <w:t>The Ad Hoc Appeals Committee involve</w:t>
      </w:r>
      <w:r w:rsidR="00F452E7">
        <w:t>s a minimum of an additional 3 FTEs.  Using</w:t>
      </w:r>
      <w:r w:rsidR="00B13EE9">
        <w:t xml:space="preserve"> 2018 data from OPM for a GS-15/Step 1 in the Washington DC Metropolitan area </w:t>
      </w:r>
      <w:r w:rsidR="006050DA">
        <w:t>(</w:t>
      </w:r>
      <w:hyperlink r:id="rId10" w:history="1">
        <w:r w:rsidR="00B13EE9" w:rsidRPr="007E773B">
          <w:rPr>
            <w:rStyle w:val="Hyperlink"/>
          </w:rPr>
          <w:t>https://www.opm.gov/policy-data-oversight/pay-leave/salaries-wages/salary-tables/pdf/2018/DCB.pdf</w:t>
        </w:r>
      </w:hyperlink>
      <w:r w:rsidR="00B13EE9">
        <w:t xml:space="preserve"> ), we multiplied $134,789 by 8 FTEs for an estimated cost </w:t>
      </w:r>
      <w:r w:rsidR="006050DA">
        <w:t>of $1,</w:t>
      </w:r>
      <w:r w:rsidR="00B13EE9">
        <w:t>078,312</w:t>
      </w:r>
      <w:r w:rsidR="006050DA">
        <w:t>.</w:t>
      </w:r>
    </w:p>
    <w:p w:rsidR="004C6979" w:rsidRPr="004C6979" w:rsidRDefault="00EB7538" w:rsidP="00834BDD">
      <w:pPr>
        <w:numPr>
          <w:ilvl w:val="0"/>
          <w:numId w:val="41"/>
        </w:numPr>
        <w:spacing w:before="100" w:beforeAutospacing="1" w:after="100" w:afterAutospacing="1"/>
        <w:rPr>
          <w:u w:val="single"/>
        </w:rPr>
      </w:pPr>
      <w:r w:rsidRPr="004C6979">
        <w:rPr>
          <w:u w:val="single"/>
        </w:rPr>
        <w:t>Explanation for Program Changes or Adjustments</w:t>
      </w:r>
    </w:p>
    <w:p w:rsidR="009F66B5" w:rsidRDefault="00B13EE9" w:rsidP="00834BDD">
      <w:pPr>
        <w:ind w:left="720"/>
      </w:pPr>
      <w:r>
        <w:t>The information coll</w:t>
      </w:r>
      <w:r w:rsidR="00596E6D">
        <w:t xml:space="preserve">ection reflects an adjustment by 40 burden hours and 4 annual responses for an overall reduction.  </w:t>
      </w:r>
      <w:r>
        <w:t xml:space="preserve">We have reduced </w:t>
      </w:r>
      <w:r w:rsidR="00596E6D">
        <w:t xml:space="preserve">our estimate based on the </w:t>
      </w:r>
      <w:r>
        <w:t xml:space="preserve">number of </w:t>
      </w:r>
      <w:r w:rsidR="00596E6D">
        <w:t>annual submissions over the past 6 years, and hope this underscores the effectiveness of our guidance in resolving scientific disputes</w:t>
      </w:r>
      <w:r w:rsidR="0049244C">
        <w:t xml:space="preserve"> </w:t>
      </w:r>
      <w:r w:rsidR="00596E6D">
        <w:t>within CVM.</w:t>
      </w:r>
    </w:p>
    <w:p w:rsidR="004C6979" w:rsidRPr="004C6979" w:rsidRDefault="00EB7538" w:rsidP="00834BDD">
      <w:pPr>
        <w:numPr>
          <w:ilvl w:val="0"/>
          <w:numId w:val="41"/>
        </w:numPr>
        <w:spacing w:before="100" w:beforeAutospacing="1" w:after="100" w:afterAutospacing="1"/>
        <w:rPr>
          <w:u w:val="single"/>
        </w:rPr>
      </w:pPr>
      <w:r w:rsidRPr="004C6979">
        <w:rPr>
          <w:u w:val="single"/>
        </w:rPr>
        <w:t>Plans for Tabulation and Publication and Project Time Schedule</w:t>
      </w:r>
    </w:p>
    <w:p w:rsidR="003C4EBB" w:rsidRDefault="004157EE" w:rsidP="00834BDD">
      <w:pPr>
        <w:ind w:left="720"/>
      </w:pPr>
      <w:r w:rsidRPr="005B25B2">
        <w:t>Information will not b</w:t>
      </w:r>
      <w:r>
        <w:t>e published for statistical use</w:t>
      </w:r>
      <w:r w:rsidR="00754497">
        <w:t>.</w:t>
      </w:r>
    </w:p>
    <w:p w:rsidR="004C6979" w:rsidRPr="004C6979" w:rsidRDefault="00EB7538" w:rsidP="00834BDD">
      <w:pPr>
        <w:numPr>
          <w:ilvl w:val="0"/>
          <w:numId w:val="41"/>
        </w:numPr>
        <w:spacing w:before="100" w:beforeAutospacing="1" w:after="100" w:afterAutospacing="1"/>
        <w:rPr>
          <w:u w:val="single"/>
        </w:rPr>
      </w:pPr>
      <w:r w:rsidRPr="004C6979">
        <w:rPr>
          <w:u w:val="single"/>
        </w:rPr>
        <w:t>Reason(s) Display of OMB Expiration Date is Inappropriate</w:t>
      </w:r>
    </w:p>
    <w:p w:rsidR="004C6979" w:rsidRDefault="006050DA" w:rsidP="00834BDD">
      <w:pPr>
        <w:ind w:left="720"/>
      </w:pPr>
      <w:r>
        <w:t>FDA will display the OMB approval date.</w:t>
      </w:r>
    </w:p>
    <w:p w:rsidR="00EB7538" w:rsidRDefault="00EB7538" w:rsidP="00834BDD">
      <w:pPr>
        <w:numPr>
          <w:ilvl w:val="0"/>
          <w:numId w:val="41"/>
        </w:numPr>
        <w:spacing w:before="100" w:beforeAutospacing="1" w:after="100" w:afterAutospacing="1"/>
        <w:rPr>
          <w:u w:val="single"/>
        </w:rPr>
      </w:pPr>
      <w:r w:rsidRPr="004C6979">
        <w:rPr>
          <w:u w:val="single"/>
        </w:rPr>
        <w:t>Exceptions to Certification for Paperwork Reduction Act Submissions</w:t>
      </w:r>
    </w:p>
    <w:p w:rsidR="002746DB" w:rsidRPr="004C6979" w:rsidRDefault="00EA6A51" w:rsidP="00834BDD">
      <w:pPr>
        <w:spacing w:before="100" w:beforeAutospacing="1" w:after="100" w:afterAutospacing="1"/>
        <w:ind w:left="720"/>
        <w:rPr>
          <w:b/>
        </w:rPr>
      </w:pPr>
      <w:r>
        <w:t>T</w:t>
      </w:r>
      <w:r w:rsidR="00754497">
        <w:t>here are no e</w:t>
      </w:r>
      <w:r>
        <w:t>xceptions to the certification.</w:t>
      </w:r>
      <w:r w:rsidR="004C6979">
        <w:t xml:space="preserve"> </w:t>
      </w:r>
    </w:p>
    <w:sectPr w:rsidR="002746DB" w:rsidRPr="004C6979" w:rsidSect="005E01E6">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035" w:rsidRDefault="00602035">
      <w:r>
        <w:separator/>
      </w:r>
    </w:p>
  </w:endnote>
  <w:endnote w:type="continuationSeparator" w:id="0">
    <w:p w:rsidR="00602035" w:rsidRDefault="00602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C7E" w:rsidRDefault="00925C7E"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25C7E" w:rsidRDefault="00925C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C7E" w:rsidRDefault="00925C7E"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62919">
      <w:rPr>
        <w:rStyle w:val="PageNumber"/>
        <w:noProof/>
      </w:rPr>
      <w:t>1</w:t>
    </w:r>
    <w:r>
      <w:rPr>
        <w:rStyle w:val="PageNumber"/>
      </w:rPr>
      <w:fldChar w:fldCharType="end"/>
    </w:r>
  </w:p>
  <w:p w:rsidR="00925C7E" w:rsidRDefault="00925C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BDD" w:rsidRDefault="00834B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035" w:rsidRDefault="00602035">
      <w:r>
        <w:separator/>
      </w:r>
    </w:p>
  </w:footnote>
  <w:footnote w:type="continuationSeparator" w:id="0">
    <w:p w:rsidR="00602035" w:rsidRDefault="006020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BDD" w:rsidRDefault="00834B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BDD" w:rsidRDefault="00834B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BDD" w:rsidRDefault="00834B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8926DD0"/>
    <w:multiLevelType w:val="hybridMultilevel"/>
    <w:tmpl w:val="473049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8">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60E004A"/>
    <w:multiLevelType w:val="hybridMultilevel"/>
    <w:tmpl w:val="78E44F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99D09AB"/>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3D9D7543"/>
    <w:multiLevelType w:val="hybridMultilevel"/>
    <w:tmpl w:val="C9F68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44675468"/>
    <w:multiLevelType w:val="hybridMultilevel"/>
    <w:tmpl w:val="F7C4D592"/>
    <w:lvl w:ilvl="0" w:tplc="34F623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50272BC2"/>
    <w:multiLevelType w:val="hybridMultilevel"/>
    <w:tmpl w:val="9B1C2E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545632BB"/>
    <w:multiLevelType w:val="hybridMultilevel"/>
    <w:tmpl w:val="006C6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5D3632B9"/>
    <w:multiLevelType w:val="hybridMultilevel"/>
    <w:tmpl w:val="4552EA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5012B74"/>
    <w:multiLevelType w:val="hybridMultilevel"/>
    <w:tmpl w:val="56DCA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4">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748555CD"/>
    <w:multiLevelType w:val="hybridMultilevel"/>
    <w:tmpl w:val="D14ABF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2"/>
  </w:num>
  <w:num w:numId="2">
    <w:abstractNumId w:val="19"/>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5"/>
  </w:num>
  <w:num w:numId="5">
    <w:abstractNumId w:val="8"/>
  </w:num>
  <w:num w:numId="6">
    <w:abstractNumId w:val="28"/>
  </w:num>
  <w:num w:numId="7">
    <w:abstractNumId w:val="35"/>
  </w:num>
  <w:num w:numId="8">
    <w:abstractNumId w:val="5"/>
  </w:num>
  <w:num w:numId="9">
    <w:abstractNumId w:val="29"/>
  </w:num>
  <w:num w:numId="10">
    <w:abstractNumId w:val="24"/>
  </w:num>
  <w:num w:numId="11">
    <w:abstractNumId w:val="10"/>
  </w:num>
  <w:num w:numId="12">
    <w:abstractNumId w:val="39"/>
  </w:num>
  <w:num w:numId="13">
    <w:abstractNumId w:val="22"/>
  </w:num>
  <w:num w:numId="14">
    <w:abstractNumId w:val="9"/>
  </w:num>
  <w:num w:numId="15">
    <w:abstractNumId w:val="18"/>
  </w:num>
  <w:num w:numId="16">
    <w:abstractNumId w:val="16"/>
  </w:num>
  <w:num w:numId="17">
    <w:abstractNumId w:val="34"/>
  </w:num>
  <w:num w:numId="18">
    <w:abstractNumId w:val="38"/>
  </w:num>
  <w:num w:numId="19">
    <w:abstractNumId w:val="36"/>
  </w:num>
  <w:num w:numId="20">
    <w:abstractNumId w:val="21"/>
  </w:num>
  <w:num w:numId="21">
    <w:abstractNumId w:val="15"/>
  </w:num>
  <w:num w:numId="22">
    <w:abstractNumId w:val="4"/>
  </w:num>
  <w:num w:numId="23">
    <w:abstractNumId w:val="32"/>
  </w:num>
  <w:num w:numId="24">
    <w:abstractNumId w:val="26"/>
  </w:num>
  <w:num w:numId="25">
    <w:abstractNumId w:val="13"/>
  </w:num>
  <w:num w:numId="26">
    <w:abstractNumId w:val="7"/>
  </w:num>
  <w:num w:numId="27">
    <w:abstractNumId w:val="40"/>
  </w:num>
  <w:num w:numId="28">
    <w:abstractNumId w:val="33"/>
  </w:num>
  <w:num w:numId="29">
    <w:abstractNumId w:val="6"/>
  </w:num>
  <w:num w:numId="30">
    <w:abstractNumId w:val="20"/>
  </w:num>
  <w:num w:numId="31">
    <w:abstractNumId w:val="3"/>
  </w:num>
  <w:num w:numId="32">
    <w:abstractNumId w:val="1"/>
  </w:num>
  <w:num w:numId="33">
    <w:abstractNumId w:val="23"/>
  </w:num>
  <w:num w:numId="34">
    <w:abstractNumId w:val="37"/>
  </w:num>
  <w:num w:numId="35">
    <w:abstractNumId w:val="14"/>
  </w:num>
  <w:num w:numId="36">
    <w:abstractNumId w:val="30"/>
  </w:num>
  <w:num w:numId="37">
    <w:abstractNumId w:val="11"/>
  </w:num>
  <w:num w:numId="38">
    <w:abstractNumId w:val="27"/>
  </w:num>
  <w:num w:numId="39">
    <w:abstractNumId w:val="31"/>
  </w:num>
  <w:num w:numId="40">
    <w:abstractNumId w:val="2"/>
  </w:num>
  <w:num w:numId="41">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31A2C"/>
    <w:rsid w:val="00043C7F"/>
    <w:rsid w:val="0006570F"/>
    <w:rsid w:val="00075D85"/>
    <w:rsid w:val="00075DE8"/>
    <w:rsid w:val="00086A30"/>
    <w:rsid w:val="000C560C"/>
    <w:rsid w:val="000D48FD"/>
    <w:rsid w:val="000D778C"/>
    <w:rsid w:val="000E1C64"/>
    <w:rsid w:val="000F7119"/>
    <w:rsid w:val="00100739"/>
    <w:rsid w:val="00107885"/>
    <w:rsid w:val="0011151B"/>
    <w:rsid w:val="00114FC4"/>
    <w:rsid w:val="0012329C"/>
    <w:rsid w:val="00134FA7"/>
    <w:rsid w:val="00137950"/>
    <w:rsid w:val="00152F29"/>
    <w:rsid w:val="00173FEF"/>
    <w:rsid w:val="00185270"/>
    <w:rsid w:val="001866C1"/>
    <w:rsid w:val="001A3B5A"/>
    <w:rsid w:val="001B7CE9"/>
    <w:rsid w:val="001D495A"/>
    <w:rsid w:val="001E244C"/>
    <w:rsid w:val="001E3577"/>
    <w:rsid w:val="001F1437"/>
    <w:rsid w:val="001F619B"/>
    <w:rsid w:val="002253BC"/>
    <w:rsid w:val="002259EF"/>
    <w:rsid w:val="00242ED1"/>
    <w:rsid w:val="002444BB"/>
    <w:rsid w:val="00254069"/>
    <w:rsid w:val="00270748"/>
    <w:rsid w:val="002734E5"/>
    <w:rsid w:val="002746DB"/>
    <w:rsid w:val="00280CAF"/>
    <w:rsid w:val="00282F09"/>
    <w:rsid w:val="00297532"/>
    <w:rsid w:val="002A1210"/>
    <w:rsid w:val="002A4989"/>
    <w:rsid w:val="002D14D8"/>
    <w:rsid w:val="002D4799"/>
    <w:rsid w:val="002E3FA4"/>
    <w:rsid w:val="002F2D81"/>
    <w:rsid w:val="003113FF"/>
    <w:rsid w:val="00314608"/>
    <w:rsid w:val="0032277F"/>
    <w:rsid w:val="00347B98"/>
    <w:rsid w:val="00350523"/>
    <w:rsid w:val="0035189D"/>
    <w:rsid w:val="003740BC"/>
    <w:rsid w:val="003801A3"/>
    <w:rsid w:val="00383D90"/>
    <w:rsid w:val="003A1A27"/>
    <w:rsid w:val="003A50CC"/>
    <w:rsid w:val="003B42B3"/>
    <w:rsid w:val="003B6384"/>
    <w:rsid w:val="003C4EBB"/>
    <w:rsid w:val="003D1531"/>
    <w:rsid w:val="003D1AF3"/>
    <w:rsid w:val="003E4EC6"/>
    <w:rsid w:val="003E527E"/>
    <w:rsid w:val="003E553E"/>
    <w:rsid w:val="003E7078"/>
    <w:rsid w:val="003F3DF5"/>
    <w:rsid w:val="00411D11"/>
    <w:rsid w:val="004157EE"/>
    <w:rsid w:val="00415E23"/>
    <w:rsid w:val="0041670D"/>
    <w:rsid w:val="004210C8"/>
    <w:rsid w:val="00424061"/>
    <w:rsid w:val="00442A3C"/>
    <w:rsid w:val="00443969"/>
    <w:rsid w:val="0044480B"/>
    <w:rsid w:val="00447D74"/>
    <w:rsid w:val="00450A74"/>
    <w:rsid w:val="004546BF"/>
    <w:rsid w:val="00465350"/>
    <w:rsid w:val="004846BF"/>
    <w:rsid w:val="0049244C"/>
    <w:rsid w:val="004C6979"/>
    <w:rsid w:val="004D114F"/>
    <w:rsid w:val="004D3E7A"/>
    <w:rsid w:val="004F594B"/>
    <w:rsid w:val="004F61E1"/>
    <w:rsid w:val="00520E50"/>
    <w:rsid w:val="005436C7"/>
    <w:rsid w:val="00544138"/>
    <w:rsid w:val="005533ED"/>
    <w:rsid w:val="0056434C"/>
    <w:rsid w:val="00584583"/>
    <w:rsid w:val="00590EEB"/>
    <w:rsid w:val="00596E6D"/>
    <w:rsid w:val="005A4099"/>
    <w:rsid w:val="005C38B2"/>
    <w:rsid w:val="005C496A"/>
    <w:rsid w:val="005C5029"/>
    <w:rsid w:val="005C55C2"/>
    <w:rsid w:val="005C745C"/>
    <w:rsid w:val="005D4DF5"/>
    <w:rsid w:val="005E01E6"/>
    <w:rsid w:val="00602035"/>
    <w:rsid w:val="006050DA"/>
    <w:rsid w:val="00611D6B"/>
    <w:rsid w:val="006326EC"/>
    <w:rsid w:val="00635464"/>
    <w:rsid w:val="00663A42"/>
    <w:rsid w:val="006641C7"/>
    <w:rsid w:val="00670BE2"/>
    <w:rsid w:val="006A0143"/>
    <w:rsid w:val="006A26C6"/>
    <w:rsid w:val="006A7D5D"/>
    <w:rsid w:val="006B1A1E"/>
    <w:rsid w:val="006D5D57"/>
    <w:rsid w:val="006F4D6D"/>
    <w:rsid w:val="00705086"/>
    <w:rsid w:val="00710DF3"/>
    <w:rsid w:val="00754497"/>
    <w:rsid w:val="00781974"/>
    <w:rsid w:val="00787C39"/>
    <w:rsid w:val="00794808"/>
    <w:rsid w:val="00795DF3"/>
    <w:rsid w:val="007A373C"/>
    <w:rsid w:val="007B225C"/>
    <w:rsid w:val="007B5F07"/>
    <w:rsid w:val="007C75B1"/>
    <w:rsid w:val="007D3DFC"/>
    <w:rsid w:val="007E2F07"/>
    <w:rsid w:val="0080776D"/>
    <w:rsid w:val="00810145"/>
    <w:rsid w:val="008108FA"/>
    <w:rsid w:val="00810FF1"/>
    <w:rsid w:val="00822336"/>
    <w:rsid w:val="00823DFA"/>
    <w:rsid w:val="00834BDD"/>
    <w:rsid w:val="00843752"/>
    <w:rsid w:val="0084479F"/>
    <w:rsid w:val="0085725E"/>
    <w:rsid w:val="00885B09"/>
    <w:rsid w:val="00892400"/>
    <w:rsid w:val="008A209D"/>
    <w:rsid w:val="008A22BB"/>
    <w:rsid w:val="008B0E29"/>
    <w:rsid w:val="008B0EFA"/>
    <w:rsid w:val="008B30AB"/>
    <w:rsid w:val="008E5F55"/>
    <w:rsid w:val="00905DEF"/>
    <w:rsid w:val="00913B43"/>
    <w:rsid w:val="00925C7E"/>
    <w:rsid w:val="00930203"/>
    <w:rsid w:val="009311D2"/>
    <w:rsid w:val="009311E6"/>
    <w:rsid w:val="00931275"/>
    <w:rsid w:val="00936AC7"/>
    <w:rsid w:val="00953B64"/>
    <w:rsid w:val="00957001"/>
    <w:rsid w:val="00965EFA"/>
    <w:rsid w:val="00971AE7"/>
    <w:rsid w:val="009A0944"/>
    <w:rsid w:val="009A1674"/>
    <w:rsid w:val="009B4AE1"/>
    <w:rsid w:val="009C684F"/>
    <w:rsid w:val="009D074C"/>
    <w:rsid w:val="009D6252"/>
    <w:rsid w:val="009F1F1D"/>
    <w:rsid w:val="009F2B4F"/>
    <w:rsid w:val="009F66B5"/>
    <w:rsid w:val="009F6C65"/>
    <w:rsid w:val="00A108CC"/>
    <w:rsid w:val="00A16221"/>
    <w:rsid w:val="00A20A7D"/>
    <w:rsid w:val="00A35D42"/>
    <w:rsid w:val="00A46CCF"/>
    <w:rsid w:val="00A53451"/>
    <w:rsid w:val="00A70426"/>
    <w:rsid w:val="00A91E9A"/>
    <w:rsid w:val="00A93ED9"/>
    <w:rsid w:val="00A96221"/>
    <w:rsid w:val="00AB1A75"/>
    <w:rsid w:val="00AC6A99"/>
    <w:rsid w:val="00AF6D61"/>
    <w:rsid w:val="00B03D00"/>
    <w:rsid w:val="00B055EF"/>
    <w:rsid w:val="00B13EE9"/>
    <w:rsid w:val="00B23769"/>
    <w:rsid w:val="00B31FDF"/>
    <w:rsid w:val="00B62919"/>
    <w:rsid w:val="00B81808"/>
    <w:rsid w:val="00B86DFA"/>
    <w:rsid w:val="00B936D0"/>
    <w:rsid w:val="00BD3D5B"/>
    <w:rsid w:val="00BE3600"/>
    <w:rsid w:val="00C01F6F"/>
    <w:rsid w:val="00C149AB"/>
    <w:rsid w:val="00C36020"/>
    <w:rsid w:val="00C40694"/>
    <w:rsid w:val="00C625FC"/>
    <w:rsid w:val="00C70542"/>
    <w:rsid w:val="00C75CBF"/>
    <w:rsid w:val="00C974E3"/>
    <w:rsid w:val="00CB17E4"/>
    <w:rsid w:val="00CC2894"/>
    <w:rsid w:val="00CC71B3"/>
    <w:rsid w:val="00CD77C3"/>
    <w:rsid w:val="00CE112C"/>
    <w:rsid w:val="00CF55D4"/>
    <w:rsid w:val="00D608DA"/>
    <w:rsid w:val="00D730BF"/>
    <w:rsid w:val="00D85692"/>
    <w:rsid w:val="00DC3788"/>
    <w:rsid w:val="00DC76C7"/>
    <w:rsid w:val="00DD09F5"/>
    <w:rsid w:val="00DD345B"/>
    <w:rsid w:val="00DD4201"/>
    <w:rsid w:val="00DD5E9F"/>
    <w:rsid w:val="00DD66B2"/>
    <w:rsid w:val="00DE5711"/>
    <w:rsid w:val="00E00EA0"/>
    <w:rsid w:val="00E138F1"/>
    <w:rsid w:val="00E2309D"/>
    <w:rsid w:val="00E26758"/>
    <w:rsid w:val="00E3388B"/>
    <w:rsid w:val="00E4357B"/>
    <w:rsid w:val="00E51550"/>
    <w:rsid w:val="00E63DE5"/>
    <w:rsid w:val="00E65A37"/>
    <w:rsid w:val="00E77B48"/>
    <w:rsid w:val="00E82389"/>
    <w:rsid w:val="00E855FE"/>
    <w:rsid w:val="00E91799"/>
    <w:rsid w:val="00EA02BE"/>
    <w:rsid w:val="00EA21FE"/>
    <w:rsid w:val="00EA34E3"/>
    <w:rsid w:val="00EA6A51"/>
    <w:rsid w:val="00EB7538"/>
    <w:rsid w:val="00EE6468"/>
    <w:rsid w:val="00EE6CE0"/>
    <w:rsid w:val="00F207A4"/>
    <w:rsid w:val="00F355AC"/>
    <w:rsid w:val="00F452E7"/>
    <w:rsid w:val="00F71A5A"/>
    <w:rsid w:val="00F769E0"/>
    <w:rsid w:val="00FA75FE"/>
    <w:rsid w:val="00FB1032"/>
    <w:rsid w:val="00FB71EA"/>
    <w:rsid w:val="00FC6BDE"/>
    <w:rsid w:val="00FF3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BodyText">
    <w:name w:val="Body Text"/>
    <w:basedOn w:val="Normal"/>
    <w:link w:val="BodyTextChar"/>
    <w:rsid w:val="002253BC"/>
    <w:pPr>
      <w:spacing w:after="120"/>
    </w:pPr>
  </w:style>
  <w:style w:type="character" w:customStyle="1" w:styleId="BodyTextChar">
    <w:name w:val="Body Text Char"/>
    <w:link w:val="BodyText"/>
    <w:rsid w:val="002253BC"/>
    <w:rPr>
      <w:sz w:val="24"/>
      <w:szCs w:val="24"/>
    </w:rPr>
  </w:style>
  <w:style w:type="character" w:customStyle="1" w:styleId="BodyText2Char">
    <w:name w:val="Body Text 2 Char"/>
    <w:link w:val="BodyText2"/>
    <w:rsid w:val="006050DA"/>
    <w:rPr>
      <w:sz w:val="24"/>
    </w:rPr>
  </w:style>
  <w:style w:type="character" w:styleId="CommentReference">
    <w:name w:val="annotation reference"/>
    <w:rsid w:val="006050DA"/>
    <w:rPr>
      <w:sz w:val="16"/>
      <w:szCs w:val="16"/>
    </w:rPr>
  </w:style>
  <w:style w:type="paragraph" w:styleId="CommentText">
    <w:name w:val="annotation text"/>
    <w:basedOn w:val="Normal"/>
    <w:link w:val="CommentTextChar"/>
    <w:rsid w:val="006050DA"/>
    <w:rPr>
      <w:sz w:val="20"/>
      <w:szCs w:val="20"/>
    </w:rPr>
  </w:style>
  <w:style w:type="character" w:customStyle="1" w:styleId="CommentTextChar">
    <w:name w:val="Comment Text Char"/>
    <w:basedOn w:val="DefaultParagraphFont"/>
    <w:link w:val="CommentText"/>
    <w:rsid w:val="006050DA"/>
  </w:style>
  <w:style w:type="paragraph" w:styleId="CommentSubject">
    <w:name w:val="annotation subject"/>
    <w:basedOn w:val="CommentText"/>
    <w:next w:val="CommentText"/>
    <w:link w:val="CommentSubjectChar"/>
    <w:rsid w:val="006050DA"/>
    <w:rPr>
      <w:b/>
      <w:bCs/>
    </w:rPr>
  </w:style>
  <w:style w:type="character" w:customStyle="1" w:styleId="CommentSubjectChar">
    <w:name w:val="Comment Subject Char"/>
    <w:link w:val="CommentSubject"/>
    <w:rsid w:val="006050DA"/>
    <w:rPr>
      <w:b/>
      <w:bCs/>
    </w:rPr>
  </w:style>
  <w:style w:type="character" w:styleId="Hyperlink">
    <w:name w:val="Hyperlink"/>
    <w:unhideWhenUsed/>
    <w:rsid w:val="00DD345B"/>
    <w:rPr>
      <w:color w:val="0000FF"/>
      <w:u w:val="single"/>
    </w:rPr>
  </w:style>
  <w:style w:type="paragraph" w:styleId="Revision">
    <w:name w:val="Revision"/>
    <w:hidden/>
    <w:uiPriority w:val="99"/>
    <w:semiHidden/>
    <w:rsid w:val="00794808"/>
    <w:rPr>
      <w:sz w:val="24"/>
      <w:szCs w:val="24"/>
    </w:rPr>
  </w:style>
  <w:style w:type="paragraph" w:styleId="Header">
    <w:name w:val="header"/>
    <w:basedOn w:val="Normal"/>
    <w:link w:val="HeaderChar"/>
    <w:rsid w:val="00834BDD"/>
    <w:pPr>
      <w:tabs>
        <w:tab w:val="center" w:pos="4680"/>
        <w:tab w:val="right" w:pos="9360"/>
      </w:tabs>
    </w:pPr>
  </w:style>
  <w:style w:type="character" w:customStyle="1" w:styleId="HeaderChar">
    <w:name w:val="Header Char"/>
    <w:link w:val="Header"/>
    <w:rsid w:val="00834BD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BodyText">
    <w:name w:val="Body Text"/>
    <w:basedOn w:val="Normal"/>
    <w:link w:val="BodyTextChar"/>
    <w:rsid w:val="002253BC"/>
    <w:pPr>
      <w:spacing w:after="120"/>
    </w:pPr>
  </w:style>
  <w:style w:type="character" w:customStyle="1" w:styleId="BodyTextChar">
    <w:name w:val="Body Text Char"/>
    <w:link w:val="BodyText"/>
    <w:rsid w:val="002253BC"/>
    <w:rPr>
      <w:sz w:val="24"/>
      <w:szCs w:val="24"/>
    </w:rPr>
  </w:style>
  <w:style w:type="character" w:customStyle="1" w:styleId="BodyText2Char">
    <w:name w:val="Body Text 2 Char"/>
    <w:link w:val="BodyText2"/>
    <w:rsid w:val="006050DA"/>
    <w:rPr>
      <w:sz w:val="24"/>
    </w:rPr>
  </w:style>
  <w:style w:type="character" w:styleId="CommentReference">
    <w:name w:val="annotation reference"/>
    <w:rsid w:val="006050DA"/>
    <w:rPr>
      <w:sz w:val="16"/>
      <w:szCs w:val="16"/>
    </w:rPr>
  </w:style>
  <w:style w:type="paragraph" w:styleId="CommentText">
    <w:name w:val="annotation text"/>
    <w:basedOn w:val="Normal"/>
    <w:link w:val="CommentTextChar"/>
    <w:rsid w:val="006050DA"/>
    <w:rPr>
      <w:sz w:val="20"/>
      <w:szCs w:val="20"/>
    </w:rPr>
  </w:style>
  <w:style w:type="character" w:customStyle="1" w:styleId="CommentTextChar">
    <w:name w:val="Comment Text Char"/>
    <w:basedOn w:val="DefaultParagraphFont"/>
    <w:link w:val="CommentText"/>
    <w:rsid w:val="006050DA"/>
  </w:style>
  <w:style w:type="paragraph" w:styleId="CommentSubject">
    <w:name w:val="annotation subject"/>
    <w:basedOn w:val="CommentText"/>
    <w:next w:val="CommentText"/>
    <w:link w:val="CommentSubjectChar"/>
    <w:rsid w:val="006050DA"/>
    <w:rPr>
      <w:b/>
      <w:bCs/>
    </w:rPr>
  </w:style>
  <w:style w:type="character" w:customStyle="1" w:styleId="CommentSubjectChar">
    <w:name w:val="Comment Subject Char"/>
    <w:link w:val="CommentSubject"/>
    <w:rsid w:val="006050DA"/>
    <w:rPr>
      <w:b/>
      <w:bCs/>
    </w:rPr>
  </w:style>
  <w:style w:type="character" w:styleId="Hyperlink">
    <w:name w:val="Hyperlink"/>
    <w:unhideWhenUsed/>
    <w:rsid w:val="00DD345B"/>
    <w:rPr>
      <w:color w:val="0000FF"/>
      <w:u w:val="single"/>
    </w:rPr>
  </w:style>
  <w:style w:type="paragraph" w:styleId="Revision">
    <w:name w:val="Revision"/>
    <w:hidden/>
    <w:uiPriority w:val="99"/>
    <w:semiHidden/>
    <w:rsid w:val="00794808"/>
    <w:rPr>
      <w:sz w:val="24"/>
      <w:szCs w:val="24"/>
    </w:rPr>
  </w:style>
  <w:style w:type="paragraph" w:styleId="Header">
    <w:name w:val="header"/>
    <w:basedOn w:val="Normal"/>
    <w:link w:val="HeaderChar"/>
    <w:rsid w:val="00834BDD"/>
    <w:pPr>
      <w:tabs>
        <w:tab w:val="center" w:pos="4680"/>
        <w:tab w:val="right" w:pos="9360"/>
      </w:tabs>
    </w:pPr>
  </w:style>
  <w:style w:type="character" w:customStyle="1" w:styleId="HeaderChar">
    <w:name w:val="Header Char"/>
    <w:link w:val="Header"/>
    <w:rsid w:val="00834BD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564632824">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200508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da.gov/downloads/AnimalVeterinary/GuidanceComplianceEnforcement/GuidanceforIndustry/UCM052393.pdf"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opm.gov/policy-data-oversight/pay-leave/salaries-wages/salary-tables/pdf/2018/DCB.pdf" TargetMode="External"/><Relationship Id="rId4" Type="http://schemas.openxmlformats.org/officeDocument/2006/relationships/settings" Target="settings.xml"/><Relationship Id="rId9" Type="http://schemas.openxmlformats.org/officeDocument/2006/relationships/hyperlink" Target="http://www.fda.gov/oc/industr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1341</Words>
  <Characters>7646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8970</CharactersWithSpaces>
  <SharedDoc>false</SharedDoc>
  <HLinks>
    <vt:vector size="12" baseType="variant">
      <vt:variant>
        <vt:i4>7012405</vt:i4>
      </vt:variant>
      <vt:variant>
        <vt:i4>3</vt:i4>
      </vt:variant>
      <vt:variant>
        <vt:i4>0</vt:i4>
      </vt:variant>
      <vt:variant>
        <vt:i4>5</vt:i4>
      </vt:variant>
      <vt:variant>
        <vt:lpwstr>http://www.fda.gov/oc/industry/</vt:lpwstr>
      </vt:variant>
      <vt:variant>
        <vt:lpwstr/>
      </vt:variant>
      <vt:variant>
        <vt:i4>2424956</vt:i4>
      </vt:variant>
      <vt:variant>
        <vt:i4>0</vt:i4>
      </vt:variant>
      <vt:variant>
        <vt:i4>0</vt:i4>
      </vt:variant>
      <vt:variant>
        <vt:i4>5</vt:i4>
      </vt:variant>
      <vt:variant>
        <vt:lpwstr>https://www.fda.gov/downloads/AnimalVeterinary/GuidanceComplianceEnforcement/GuidanceforIndustry/UCM052393.pdf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subject/>
  <dc:creator>jcapezzu</dc:creator>
  <cp:keywords/>
  <dc:description/>
  <cp:lastModifiedBy>SYSTEM</cp:lastModifiedBy>
  <cp:revision>2</cp:revision>
  <cp:lastPrinted>2018-02-09T21:40:00Z</cp:lastPrinted>
  <dcterms:created xsi:type="dcterms:W3CDTF">2018-02-12T13:14:00Z</dcterms:created>
  <dcterms:modified xsi:type="dcterms:W3CDTF">2018-02-12T13:14:00Z</dcterms:modified>
</cp:coreProperties>
</file>