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F1" w:rsidRPr="00A92ADF" w:rsidRDefault="00C065F1">
      <w:pPr>
        <w:spacing w:before="0"/>
        <w:jc w:val="center"/>
        <w:rPr>
          <w:rFonts w:ascii="Arial" w:hAnsi="Arial" w:cs="Arial"/>
          <w:b/>
        </w:rPr>
      </w:pPr>
      <w:bookmarkStart w:id="0" w:name="_GoBack"/>
      <w:bookmarkEnd w:id="0"/>
      <w:r w:rsidRPr="00A92ADF">
        <w:rPr>
          <w:rFonts w:ascii="Arial" w:hAnsi="Arial" w:cs="Arial"/>
          <w:b/>
        </w:rPr>
        <w:t>SUPPORTING STATEMENT</w:t>
      </w:r>
    </w:p>
    <w:p w:rsidR="00C065F1" w:rsidRPr="00A92ADF" w:rsidRDefault="00C065F1">
      <w:pPr>
        <w:spacing w:before="0"/>
        <w:jc w:val="center"/>
        <w:rPr>
          <w:rFonts w:ascii="Arial" w:hAnsi="Arial" w:cs="Arial"/>
          <w:b/>
        </w:rPr>
      </w:pPr>
      <w:r w:rsidRPr="00A92ADF">
        <w:rPr>
          <w:rFonts w:ascii="Arial" w:hAnsi="Arial" w:cs="Arial"/>
          <w:b/>
        </w:rPr>
        <w:t>FOR PAPERWORK REDUCTION ACT SUBMISSION</w:t>
      </w:r>
    </w:p>
    <w:p w:rsidR="00C065F1" w:rsidRPr="00A92ADF" w:rsidRDefault="0079066A">
      <w:pPr>
        <w:spacing w:before="0"/>
        <w:jc w:val="center"/>
        <w:rPr>
          <w:rFonts w:ascii="Arial" w:hAnsi="Arial" w:cs="Arial"/>
          <w:b/>
        </w:rPr>
      </w:pPr>
      <w:r w:rsidRPr="00A92ADF">
        <w:rPr>
          <w:rFonts w:ascii="Arial" w:hAnsi="Arial" w:cs="Arial"/>
          <w:b/>
        </w:rPr>
        <w:t xml:space="preserve">OMB Control No. </w:t>
      </w:r>
      <w:r w:rsidR="00C065F1" w:rsidRPr="00A92ADF">
        <w:rPr>
          <w:rFonts w:ascii="Arial" w:hAnsi="Arial" w:cs="Arial"/>
          <w:b/>
        </w:rPr>
        <w:t>9000-0047, PLACE OF PERFORMANCE</w:t>
      </w:r>
    </w:p>
    <w:p w:rsidR="0079066A" w:rsidRPr="00A92ADF" w:rsidRDefault="0079066A">
      <w:pPr>
        <w:spacing w:before="0"/>
        <w:jc w:val="center"/>
        <w:rPr>
          <w:rFonts w:ascii="Arial" w:hAnsi="Arial" w:cs="Arial"/>
          <w:b/>
        </w:rPr>
      </w:pPr>
    </w:p>
    <w:p w:rsidR="00C065F1" w:rsidRPr="00A92ADF" w:rsidRDefault="00C065F1">
      <w:pPr>
        <w:spacing w:before="0"/>
        <w:rPr>
          <w:rFonts w:ascii="Arial" w:hAnsi="Arial" w:cs="Arial"/>
        </w:rPr>
      </w:pPr>
      <w:r w:rsidRPr="00A92ADF">
        <w:rPr>
          <w:rFonts w:ascii="Arial" w:hAnsi="Arial" w:cs="Arial"/>
          <w:b/>
        </w:rPr>
        <w:t>A.  Justification.</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w:t>
      </w:r>
      <w:r w:rsidRPr="00A92ADF">
        <w:rPr>
          <w:rFonts w:ascii="Arial" w:hAnsi="Arial" w:cs="Arial"/>
        </w:rPr>
        <w:t xml:space="preserve">  </w:t>
      </w:r>
      <w:r w:rsidRPr="00A92ADF">
        <w:rPr>
          <w:rFonts w:ascii="Arial" w:hAnsi="Arial" w:cs="Arial"/>
          <w:b/>
        </w:rPr>
        <w:t>Administrative requirements</w:t>
      </w:r>
      <w:r w:rsidRPr="00A92ADF">
        <w:rPr>
          <w:rFonts w:ascii="Arial" w:hAnsi="Arial" w:cs="Arial"/>
        </w:rPr>
        <w:t xml:space="preserve">.  The information relative to the place of performance and owner of plant or facility, if other than the prospective contractor, is a basic requirement when contracting for supplies or services (including construction).  This information is instrumental in determining bidder responsibility, responsiveness, and price reasonableness.  A prospective contractor must affirmatively demonstrate its responsibility.  Hence, the Government must be apprised of this information prior to award.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The contracting officer must know the place of performance and the owner of the plant or facility to—</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(a)</w:t>
      </w:r>
      <w:r w:rsidR="00A3156D">
        <w:rPr>
          <w:rFonts w:ascii="Arial" w:hAnsi="Arial" w:cs="Arial"/>
        </w:rPr>
        <w:t xml:space="preserve"> </w:t>
      </w:r>
      <w:r w:rsidRPr="00A92ADF">
        <w:rPr>
          <w:rFonts w:ascii="Arial" w:hAnsi="Arial" w:cs="Arial"/>
        </w:rPr>
        <w:t xml:space="preserve"> </w:t>
      </w:r>
      <w:r w:rsidR="00DB3332" w:rsidRPr="00A92ADF">
        <w:rPr>
          <w:rFonts w:ascii="Arial" w:hAnsi="Arial" w:cs="Arial"/>
        </w:rPr>
        <w:t>D</w:t>
      </w:r>
      <w:r w:rsidRPr="00A92ADF">
        <w:rPr>
          <w:rFonts w:ascii="Arial" w:hAnsi="Arial" w:cs="Arial"/>
        </w:rPr>
        <w:t xml:space="preserve">etermine bidder responsibility;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(b)</w:t>
      </w:r>
      <w:r w:rsidR="00A3156D">
        <w:rPr>
          <w:rFonts w:ascii="Arial" w:hAnsi="Arial" w:cs="Arial"/>
        </w:rPr>
        <w:t xml:space="preserve"> </w:t>
      </w:r>
      <w:r w:rsidRPr="00A92ADF">
        <w:rPr>
          <w:rFonts w:ascii="Arial" w:hAnsi="Arial" w:cs="Arial"/>
        </w:rPr>
        <w:t xml:space="preserve"> </w:t>
      </w:r>
      <w:r w:rsidR="00DB3332" w:rsidRPr="00A92ADF">
        <w:rPr>
          <w:rFonts w:ascii="Arial" w:hAnsi="Arial" w:cs="Arial"/>
        </w:rPr>
        <w:t>D</w:t>
      </w:r>
      <w:r w:rsidRPr="00A92ADF">
        <w:rPr>
          <w:rFonts w:ascii="Arial" w:hAnsi="Arial" w:cs="Arial"/>
        </w:rPr>
        <w:t xml:space="preserve">etermine price reasonableness;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 xml:space="preserve">(c) </w:t>
      </w:r>
      <w:r w:rsidR="00A3156D">
        <w:rPr>
          <w:rFonts w:ascii="Arial" w:hAnsi="Arial" w:cs="Arial"/>
        </w:rPr>
        <w:t xml:space="preserve"> </w:t>
      </w:r>
      <w:r w:rsidR="00DB3332" w:rsidRPr="00A92ADF">
        <w:rPr>
          <w:rFonts w:ascii="Arial" w:hAnsi="Arial" w:cs="Arial"/>
        </w:rPr>
        <w:t>C</w:t>
      </w:r>
      <w:r w:rsidRPr="00A92ADF">
        <w:rPr>
          <w:rFonts w:ascii="Arial" w:hAnsi="Arial" w:cs="Arial"/>
        </w:rPr>
        <w:t xml:space="preserve">onduct plant or source inspections; and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 xml:space="preserve">(d) </w:t>
      </w:r>
      <w:r w:rsidR="00A3156D">
        <w:rPr>
          <w:rFonts w:ascii="Arial" w:hAnsi="Arial" w:cs="Arial"/>
        </w:rPr>
        <w:t xml:space="preserve"> </w:t>
      </w:r>
      <w:r w:rsidR="00DB3332" w:rsidRPr="00A92ADF">
        <w:rPr>
          <w:rFonts w:ascii="Arial" w:hAnsi="Arial" w:cs="Arial"/>
        </w:rPr>
        <w:t>D</w:t>
      </w:r>
      <w:r w:rsidRPr="00A92ADF">
        <w:rPr>
          <w:rFonts w:ascii="Arial" w:hAnsi="Arial" w:cs="Arial"/>
        </w:rPr>
        <w:t>etermine whether the prospective contractor is a manufacturer or a regular dealer.</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2.</w:t>
      </w:r>
      <w:r w:rsidRPr="00A92ADF">
        <w:rPr>
          <w:rFonts w:ascii="Arial" w:hAnsi="Arial" w:cs="Arial"/>
        </w:rPr>
        <w:t xml:space="preserve">  </w:t>
      </w:r>
      <w:r w:rsidRPr="00A92ADF">
        <w:rPr>
          <w:rFonts w:ascii="Arial" w:hAnsi="Arial" w:cs="Arial"/>
          <w:b/>
        </w:rPr>
        <w:t>Uses of information</w:t>
      </w:r>
      <w:r w:rsidRPr="00A92ADF">
        <w:rPr>
          <w:rFonts w:ascii="Arial" w:hAnsi="Arial" w:cs="Arial"/>
        </w:rPr>
        <w:t>.  The information</w:t>
      </w:r>
      <w:r w:rsidR="00471B15">
        <w:rPr>
          <w:rFonts w:ascii="Arial" w:hAnsi="Arial" w:cs="Arial"/>
        </w:rPr>
        <w:t xml:space="preserve"> provided in response to FAR provisions 52.214-14, Place of Performance-Sealed Bidding, and 52.215-6, Place of Performance,</w:t>
      </w:r>
      <w:r w:rsidRPr="00A92ADF">
        <w:rPr>
          <w:rFonts w:ascii="Arial" w:hAnsi="Arial" w:cs="Arial"/>
        </w:rPr>
        <w:t xml:space="preserve"> is used to determine the firm's eligibility for awards and to assure proper preparation of the contract.</w:t>
      </w:r>
    </w:p>
    <w:p w:rsidR="00C065F1" w:rsidRPr="00A92ADF" w:rsidRDefault="00C065F1">
      <w:pPr>
        <w:tabs>
          <w:tab w:val="clear" w:pos="560"/>
          <w:tab w:val="clear" w:pos="1120"/>
          <w:tab w:val="clear" w:pos="1680"/>
          <w:tab w:val="clear" w:pos="2240"/>
        </w:tabs>
        <w:spacing w:before="0" w:line="240" w:lineRule="auto"/>
        <w:rPr>
          <w:rFonts w:ascii="Arial" w:hAnsi="Arial" w:cs="Arial"/>
        </w:rPr>
      </w:pPr>
    </w:p>
    <w:p w:rsidR="00C065F1" w:rsidRPr="00A92ADF" w:rsidRDefault="00C065F1">
      <w:pPr>
        <w:tabs>
          <w:tab w:val="clear" w:pos="560"/>
          <w:tab w:val="clear" w:pos="1120"/>
          <w:tab w:val="clear" w:pos="1680"/>
          <w:tab w:val="clear" w:pos="2240"/>
        </w:tabs>
        <w:spacing w:before="0" w:line="240" w:lineRule="auto"/>
        <w:rPr>
          <w:rFonts w:ascii="Arial" w:hAnsi="Arial" w:cs="Arial"/>
          <w:szCs w:val="24"/>
        </w:rPr>
      </w:pPr>
      <w:r w:rsidRPr="00A92ADF">
        <w:rPr>
          <w:rFonts w:ascii="Arial" w:hAnsi="Arial" w:cs="Arial"/>
          <w:b/>
        </w:rPr>
        <w:t>3.</w:t>
      </w:r>
      <w:r w:rsidRPr="00A92ADF">
        <w:rPr>
          <w:rFonts w:ascii="Arial" w:hAnsi="Arial" w:cs="Arial"/>
        </w:rPr>
        <w:t xml:space="preserve">  </w:t>
      </w:r>
      <w:r w:rsidRPr="00A92ADF">
        <w:rPr>
          <w:rFonts w:ascii="Arial" w:hAnsi="Arial" w:cs="Arial"/>
          <w:b/>
        </w:rPr>
        <w:t>Consideration of information technology</w:t>
      </w:r>
      <w:r w:rsidRPr="00A92ADF">
        <w:rPr>
          <w:rFonts w:ascii="Arial" w:hAnsi="Arial" w:cs="Arial"/>
        </w:rPr>
        <w:t xml:space="preserve">. </w:t>
      </w:r>
      <w:r w:rsidR="009F2A9E">
        <w:rPr>
          <w:rFonts w:ascii="Arial" w:hAnsi="Arial" w:cs="Arial"/>
        </w:rPr>
        <w:t xml:space="preserve"> </w:t>
      </w:r>
      <w:r w:rsidRPr="00A92ADF">
        <w:rPr>
          <w:rFonts w:ascii="Arial" w:hAnsi="Arial" w:cs="Arial"/>
        </w:rPr>
        <w:t xml:space="preserve">For the most part, this information will be collected electronically in the </w:t>
      </w:r>
      <w:r w:rsidR="00BF55E2">
        <w:rPr>
          <w:rFonts w:ascii="Arial" w:hAnsi="Arial" w:cs="Arial"/>
        </w:rPr>
        <w:t>System for Award Management</w:t>
      </w:r>
      <w:r w:rsidRPr="00A92ADF">
        <w:rPr>
          <w:rFonts w:ascii="Arial" w:hAnsi="Arial" w:cs="Arial"/>
        </w:rPr>
        <w:t xml:space="preserve"> (</w:t>
      </w:r>
      <w:r w:rsidR="00BF55E2">
        <w:rPr>
          <w:rFonts w:ascii="Arial" w:hAnsi="Arial" w:cs="Arial"/>
        </w:rPr>
        <w:t>SAM</w:t>
      </w:r>
      <w:r w:rsidRPr="00A92ADF">
        <w:rPr>
          <w:rFonts w:ascii="Arial" w:hAnsi="Arial" w:cs="Arial"/>
        </w:rPr>
        <w:t>).  Contractors will be able to complete the provision electronically; however, because the data being collected could change for a specific solicitation, contractor’s will still be required to submit place of performance information on an exception</w:t>
      </w:r>
      <w:r w:rsidR="00DB3332" w:rsidRPr="00A92ADF">
        <w:rPr>
          <w:rFonts w:ascii="Arial" w:hAnsi="Arial" w:cs="Arial"/>
        </w:rPr>
        <w:t>al</w:t>
      </w:r>
      <w:r w:rsidRPr="00A92ADF">
        <w:rPr>
          <w:rFonts w:ascii="Arial" w:hAnsi="Arial" w:cs="Arial"/>
        </w:rPr>
        <w:t xml:space="preserve"> basis; that is, whenever the place of performance for a specific solicitation is different from the place of performance shown in </w:t>
      </w:r>
      <w:r w:rsidR="00BF55E2">
        <w:rPr>
          <w:rFonts w:ascii="Arial" w:hAnsi="Arial" w:cs="Arial"/>
        </w:rPr>
        <w:t>SAM</w:t>
      </w:r>
      <w:r w:rsidRPr="00A92ADF">
        <w:rPr>
          <w:rFonts w:ascii="Arial" w:hAnsi="Arial" w:cs="Arial"/>
        </w:rPr>
        <w:t>.</w:t>
      </w:r>
    </w:p>
    <w:p w:rsidR="00C065F1" w:rsidRPr="00A92ADF" w:rsidRDefault="00C065F1">
      <w:pPr>
        <w:tabs>
          <w:tab w:val="left" w:pos="90"/>
        </w:tabs>
        <w:rPr>
          <w:rFonts w:ascii="Arial" w:hAnsi="Arial" w:cs="Arial"/>
        </w:rPr>
      </w:pPr>
      <w:r w:rsidRPr="00A92ADF">
        <w:rPr>
          <w:rFonts w:ascii="Arial" w:hAnsi="Arial" w:cs="Arial"/>
          <w:b/>
        </w:rPr>
        <w:t>4.</w:t>
      </w:r>
      <w:r w:rsidRPr="00A92ADF">
        <w:rPr>
          <w:rFonts w:ascii="Arial" w:hAnsi="Arial" w:cs="Arial"/>
        </w:rPr>
        <w:t xml:space="preserve">  </w:t>
      </w:r>
      <w:r w:rsidRPr="00A92ADF">
        <w:rPr>
          <w:rFonts w:ascii="Arial" w:hAnsi="Arial" w:cs="Arial"/>
          <w:b/>
        </w:rPr>
        <w:t>Efforts to identify duplication</w:t>
      </w:r>
      <w:r w:rsidRPr="00A92ADF">
        <w:rPr>
          <w:rFonts w:ascii="Arial" w:hAnsi="Arial" w:cs="Arial"/>
        </w:rPr>
        <w:t>.  This requirement is being issued under the Federal Acquisition Regulation (FAR) which has been developed to standardize Federal procurement practices and eliminate unnecessary duplication.</w:t>
      </w:r>
    </w:p>
    <w:p w:rsidR="00C065F1" w:rsidRPr="00A92ADF" w:rsidRDefault="00C065F1">
      <w:pPr>
        <w:tabs>
          <w:tab w:val="clear" w:pos="560"/>
          <w:tab w:val="clear" w:pos="1120"/>
          <w:tab w:val="clear" w:pos="1680"/>
          <w:tab w:val="clear" w:pos="2240"/>
          <w:tab w:val="left" w:pos="7920"/>
          <w:tab w:val="right" w:pos="9180"/>
        </w:tabs>
        <w:spacing w:before="0"/>
        <w:rPr>
          <w:rFonts w:ascii="Arial" w:hAnsi="Arial" w:cs="Arial"/>
        </w:rPr>
      </w:pPr>
    </w:p>
    <w:p w:rsidR="00C065F1" w:rsidRPr="00A92ADF" w:rsidRDefault="00C065F1">
      <w:pPr>
        <w:tabs>
          <w:tab w:val="clear" w:pos="560"/>
          <w:tab w:val="clear" w:pos="1120"/>
          <w:tab w:val="clear" w:pos="1680"/>
          <w:tab w:val="clear" w:pos="2240"/>
        </w:tabs>
        <w:spacing w:before="0"/>
        <w:rPr>
          <w:rFonts w:ascii="Arial" w:hAnsi="Arial" w:cs="Arial"/>
        </w:rPr>
      </w:pPr>
      <w:r w:rsidRPr="00A92ADF">
        <w:rPr>
          <w:rFonts w:ascii="Arial" w:hAnsi="Arial" w:cs="Arial"/>
          <w:b/>
        </w:rPr>
        <w:t>5.</w:t>
      </w:r>
      <w:r w:rsidRPr="00A92ADF">
        <w:rPr>
          <w:rFonts w:ascii="Arial" w:hAnsi="Arial" w:cs="Arial"/>
        </w:rPr>
        <w:t xml:space="preserve">  </w:t>
      </w:r>
      <w:r w:rsidRPr="00A92ADF">
        <w:rPr>
          <w:rFonts w:ascii="Arial" w:hAnsi="Arial" w:cs="Arial"/>
          <w:b/>
        </w:rPr>
        <w:t>If the collection of information impacts small businesses or other entities describe methods used to minimize burden</w:t>
      </w:r>
      <w:r w:rsidRPr="00A92ADF">
        <w:rPr>
          <w:rFonts w:ascii="Arial" w:hAnsi="Arial" w:cs="Arial"/>
        </w:rPr>
        <w:t>.  The burden applied to small businesses is the minimum consistent with applicable laws, Executive orders, regulations, and prudent business practices.</w:t>
      </w:r>
    </w:p>
    <w:p w:rsidR="00C065F1" w:rsidRPr="00A92ADF" w:rsidRDefault="00C065F1">
      <w:pPr>
        <w:tabs>
          <w:tab w:val="clear" w:pos="560"/>
          <w:tab w:val="clear" w:pos="1120"/>
          <w:tab w:val="clear" w:pos="1680"/>
          <w:tab w:val="clear" w:pos="2240"/>
        </w:tabs>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6.  Describe consequence to Federal program or policy activities if the collection is not conducted or is conducted less frequently.</w:t>
      </w:r>
      <w:r w:rsidRPr="00A92ADF">
        <w:rPr>
          <w:rFonts w:ascii="Arial" w:hAnsi="Arial" w:cs="Arial"/>
        </w:rPr>
        <w:t xml:space="preserve">  Collection of information on a basis other than solicitation-by-solicitation is not practical.</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7.</w:t>
      </w:r>
      <w:r w:rsidRPr="00A92ADF">
        <w:rPr>
          <w:rFonts w:ascii="Arial" w:hAnsi="Arial" w:cs="Arial"/>
        </w:rPr>
        <w:t xml:space="preserve">  </w:t>
      </w:r>
      <w:r w:rsidRPr="00A92ADF">
        <w:rPr>
          <w:rFonts w:ascii="Arial" w:hAnsi="Arial" w:cs="Arial"/>
          <w:b/>
        </w:rPr>
        <w:t xml:space="preserve">Special circumstances for </w:t>
      </w:r>
      <w:r w:rsidR="00EE22F5">
        <w:rPr>
          <w:rFonts w:ascii="Arial" w:hAnsi="Arial" w:cs="Arial"/>
          <w:b/>
        </w:rPr>
        <w:t xml:space="preserve">this information </w:t>
      </w:r>
      <w:r w:rsidRPr="00A92ADF">
        <w:rPr>
          <w:rFonts w:ascii="Arial" w:hAnsi="Arial" w:cs="Arial"/>
          <w:b/>
        </w:rPr>
        <w:t>collection</w:t>
      </w:r>
      <w:r w:rsidRPr="00A92ADF">
        <w:rPr>
          <w:rFonts w:ascii="Arial" w:hAnsi="Arial" w:cs="Arial"/>
        </w:rPr>
        <w:t>.  Collection is consistent with guidelines in 5 CFR 1320.6.</w:t>
      </w:r>
    </w:p>
    <w:p w:rsidR="00C065F1" w:rsidRPr="00A92ADF" w:rsidRDefault="00C065F1">
      <w:pPr>
        <w:spacing w:before="0"/>
        <w:rPr>
          <w:rFonts w:ascii="Arial" w:hAnsi="Arial" w:cs="Arial"/>
        </w:rPr>
      </w:pPr>
    </w:p>
    <w:p w:rsidR="000819DA" w:rsidRDefault="00C065F1">
      <w:pPr>
        <w:spacing w:before="0"/>
        <w:rPr>
          <w:rFonts w:ascii="Arial" w:hAnsi="Arial" w:cs="Arial"/>
        </w:rPr>
      </w:pPr>
      <w:r w:rsidRPr="00A92ADF">
        <w:rPr>
          <w:rFonts w:ascii="Arial" w:hAnsi="Arial" w:cs="Arial"/>
          <w:b/>
        </w:rPr>
        <w:t>8.</w:t>
      </w:r>
      <w:r w:rsidRPr="00A92ADF">
        <w:rPr>
          <w:rFonts w:ascii="Arial" w:hAnsi="Arial" w:cs="Arial"/>
        </w:rPr>
        <w:t xml:space="preserve">  </w:t>
      </w:r>
      <w:r w:rsidRPr="00A92ADF">
        <w:rPr>
          <w:rFonts w:ascii="Arial" w:hAnsi="Arial" w:cs="Arial"/>
          <w:b/>
        </w:rPr>
        <w:t>Efforts to consult with persons outside the agency</w:t>
      </w:r>
      <w:r w:rsidRPr="00A92ADF">
        <w:rPr>
          <w:rFonts w:ascii="Arial" w:hAnsi="Arial" w:cs="Arial"/>
        </w:rPr>
        <w:t xml:space="preserve">.  A notice published </w:t>
      </w:r>
      <w:r w:rsidR="005575E6" w:rsidRPr="00A92ADF">
        <w:rPr>
          <w:rFonts w:ascii="Arial" w:hAnsi="Arial" w:cs="Arial"/>
        </w:rPr>
        <w:t xml:space="preserve">in the Federal Register </w:t>
      </w:r>
      <w:r w:rsidRPr="00A92ADF">
        <w:rPr>
          <w:rFonts w:ascii="Arial" w:hAnsi="Arial" w:cs="Arial"/>
        </w:rPr>
        <w:t xml:space="preserve">at </w:t>
      </w:r>
      <w:r w:rsidR="00AD7258">
        <w:rPr>
          <w:rFonts w:ascii="Arial" w:hAnsi="Arial" w:cs="Arial"/>
        </w:rPr>
        <w:t>82</w:t>
      </w:r>
      <w:r w:rsidR="00471B15" w:rsidRPr="00A92ADF">
        <w:rPr>
          <w:rFonts w:ascii="Arial" w:hAnsi="Arial" w:cs="Arial"/>
        </w:rPr>
        <w:t xml:space="preserve"> </w:t>
      </w:r>
      <w:r w:rsidRPr="00A92ADF">
        <w:rPr>
          <w:rFonts w:ascii="Arial" w:hAnsi="Arial" w:cs="Arial"/>
        </w:rPr>
        <w:t>FR</w:t>
      </w:r>
      <w:r w:rsidR="00AD7258">
        <w:rPr>
          <w:rFonts w:ascii="Arial" w:hAnsi="Arial" w:cs="Arial"/>
        </w:rPr>
        <w:t xml:space="preserve"> 51257</w:t>
      </w:r>
      <w:r w:rsidR="006C63FC" w:rsidRPr="00A92ADF">
        <w:rPr>
          <w:rFonts w:ascii="Arial" w:hAnsi="Arial" w:cs="Arial"/>
        </w:rPr>
        <w:t>,</w:t>
      </w:r>
      <w:r w:rsidR="0079066A" w:rsidRPr="00A92ADF">
        <w:rPr>
          <w:rFonts w:ascii="Arial" w:hAnsi="Arial" w:cs="Arial"/>
        </w:rPr>
        <w:t xml:space="preserve"> </w:t>
      </w:r>
      <w:r w:rsidR="00AD7258">
        <w:rPr>
          <w:rFonts w:ascii="Arial" w:hAnsi="Arial" w:cs="Arial"/>
        </w:rPr>
        <w:t>November 3</w:t>
      </w:r>
      <w:r w:rsidR="00471B15">
        <w:rPr>
          <w:rFonts w:ascii="Arial" w:hAnsi="Arial" w:cs="Arial"/>
        </w:rPr>
        <w:t>, 2017</w:t>
      </w:r>
      <w:r w:rsidR="00C402A7">
        <w:rPr>
          <w:rFonts w:ascii="Arial" w:hAnsi="Arial" w:cs="Arial"/>
        </w:rPr>
        <w:t>.</w:t>
      </w:r>
      <w:r w:rsidR="00A3156D">
        <w:rPr>
          <w:rFonts w:ascii="Arial" w:hAnsi="Arial" w:cs="Arial"/>
        </w:rPr>
        <w:t xml:space="preserve"> </w:t>
      </w:r>
      <w:r w:rsidR="0079066A" w:rsidRPr="00A92ADF">
        <w:rPr>
          <w:rFonts w:ascii="Arial" w:hAnsi="Arial" w:cs="Arial"/>
        </w:rPr>
        <w:t xml:space="preserve"> </w:t>
      </w:r>
      <w:r w:rsidR="00991CA0">
        <w:rPr>
          <w:rFonts w:ascii="Arial" w:hAnsi="Arial" w:cs="Arial"/>
        </w:rPr>
        <w:t>No</w:t>
      </w:r>
      <w:r w:rsidR="00471B15">
        <w:rPr>
          <w:rFonts w:ascii="Arial" w:hAnsi="Arial" w:cs="Arial"/>
        </w:rPr>
        <w:t xml:space="preserve"> </w:t>
      </w:r>
      <w:r w:rsidR="00AD7258">
        <w:rPr>
          <w:rFonts w:ascii="Arial" w:hAnsi="Arial" w:cs="Arial"/>
        </w:rPr>
        <w:t>comments were received.</w:t>
      </w:r>
      <w:r w:rsidR="00C107FF">
        <w:rPr>
          <w:rFonts w:ascii="Arial" w:hAnsi="Arial" w:cs="Arial"/>
        </w:rPr>
        <w:t xml:space="preserve"> A 30-day notice published in the </w:t>
      </w:r>
      <w:r w:rsidR="00C107FF" w:rsidRPr="00C107FF">
        <w:rPr>
          <w:rFonts w:ascii="Arial" w:hAnsi="Arial" w:cs="Arial"/>
          <w:i/>
        </w:rPr>
        <w:t>Federal Register</w:t>
      </w:r>
      <w:r w:rsidR="00C107FF">
        <w:rPr>
          <w:rFonts w:ascii="Arial" w:hAnsi="Arial" w:cs="Arial"/>
        </w:rPr>
        <w:t xml:space="preserve"> at 83 FR 2639 on January 18, 2018.</w:t>
      </w:r>
    </w:p>
    <w:p w:rsidR="00A3156D" w:rsidRDefault="00A3156D" w:rsidP="00CA0578">
      <w:pPr>
        <w:spacing w:before="0"/>
        <w:rPr>
          <w:rFonts w:ascii="Arial" w:hAnsi="Arial" w:cs="Arial"/>
          <w:b/>
        </w:rPr>
      </w:pPr>
    </w:p>
    <w:p w:rsidR="00C065F1" w:rsidRPr="00A92ADF" w:rsidRDefault="00C065F1" w:rsidP="00CA0578">
      <w:pPr>
        <w:spacing w:before="0"/>
        <w:rPr>
          <w:rFonts w:ascii="Arial" w:hAnsi="Arial" w:cs="Arial"/>
        </w:rPr>
      </w:pPr>
      <w:r w:rsidRPr="00A92ADF">
        <w:rPr>
          <w:rFonts w:ascii="Arial" w:hAnsi="Arial" w:cs="Arial"/>
          <w:b/>
        </w:rPr>
        <w:t>9.</w:t>
      </w:r>
      <w:r w:rsidRPr="00A92ADF">
        <w:rPr>
          <w:rFonts w:ascii="Arial" w:hAnsi="Arial" w:cs="Arial"/>
        </w:rPr>
        <w:t xml:space="preserve">  </w:t>
      </w:r>
      <w:r w:rsidRPr="00A92ADF">
        <w:rPr>
          <w:rFonts w:ascii="Arial" w:hAnsi="Arial" w:cs="Arial"/>
          <w:b/>
        </w:rPr>
        <w:t>Explanation of any decision to provide any payment or gift to respondents, other than rem</w:t>
      </w:r>
      <w:r w:rsidR="00433A85">
        <w:rPr>
          <w:rFonts w:ascii="Arial" w:hAnsi="Arial" w:cs="Arial"/>
          <w:b/>
        </w:rPr>
        <w:t>un</w:t>
      </w:r>
      <w:r w:rsidRPr="00A92ADF">
        <w:rPr>
          <w:rFonts w:ascii="Arial" w:hAnsi="Arial" w:cs="Arial"/>
          <w:b/>
        </w:rPr>
        <w:t>eration of contractors or g</w:t>
      </w:r>
      <w:r w:rsidR="00AD7258">
        <w:rPr>
          <w:rFonts w:ascii="Arial" w:hAnsi="Arial" w:cs="Arial"/>
          <w:b/>
        </w:rPr>
        <w:t>r</w:t>
      </w:r>
      <w:r w:rsidRPr="00A92ADF">
        <w:rPr>
          <w:rFonts w:ascii="Arial" w:hAnsi="Arial" w:cs="Arial"/>
          <w:b/>
        </w:rPr>
        <w:t xml:space="preserve">antees.  </w:t>
      </w:r>
      <w:r w:rsidR="00471B15">
        <w:rPr>
          <w:rFonts w:ascii="Arial" w:hAnsi="Arial" w:cs="Arial"/>
        </w:rPr>
        <w:t>No gifts or payments are provided to respondents other than remuneration under applicable contracts</w:t>
      </w:r>
      <w:r w:rsidRPr="00A92ADF">
        <w:rPr>
          <w:rFonts w:ascii="Arial" w:hAnsi="Arial" w:cs="Arial"/>
        </w:rPr>
        <w:t>.</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10.</w:t>
      </w:r>
      <w:r w:rsidRPr="00A92ADF">
        <w:rPr>
          <w:rFonts w:ascii="Arial" w:hAnsi="Arial" w:cs="Arial"/>
        </w:rPr>
        <w:t xml:space="preserve">  </w:t>
      </w:r>
      <w:r w:rsidRPr="00A92ADF">
        <w:rPr>
          <w:rFonts w:ascii="Arial" w:hAnsi="Arial" w:cs="Arial"/>
          <w:b/>
        </w:rPr>
        <w:t>Describe assurance of confidentiality provided to respondents</w:t>
      </w:r>
      <w:r w:rsidRPr="00A92ADF">
        <w:rPr>
          <w:rFonts w:ascii="Arial" w:hAnsi="Arial" w:cs="Arial"/>
        </w:rPr>
        <w:t>.  This information is disclosed only to the extent consistent with prudent business practices and current regulations.</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11.</w:t>
      </w:r>
      <w:r w:rsidRPr="00A92ADF">
        <w:rPr>
          <w:rFonts w:ascii="Arial" w:hAnsi="Arial" w:cs="Arial"/>
        </w:rPr>
        <w:t xml:space="preserve">  </w:t>
      </w:r>
      <w:r w:rsidRPr="00A92ADF">
        <w:rPr>
          <w:rFonts w:ascii="Arial" w:hAnsi="Arial" w:cs="Arial"/>
          <w:b/>
        </w:rPr>
        <w:t>Additional justification for questions of a sensitive nature.</w:t>
      </w:r>
      <w:r w:rsidRPr="00A92ADF">
        <w:rPr>
          <w:rFonts w:ascii="Arial" w:hAnsi="Arial" w:cs="Arial"/>
        </w:rPr>
        <w:t xml:space="preserve">  No sensitive questions are involved.</w:t>
      </w:r>
    </w:p>
    <w:p w:rsidR="00C065F1" w:rsidRPr="00A92ADF" w:rsidRDefault="00C065F1">
      <w:pPr>
        <w:spacing w:before="0"/>
        <w:rPr>
          <w:rFonts w:ascii="Arial" w:hAnsi="Arial" w:cs="Arial"/>
        </w:rPr>
      </w:pPr>
    </w:p>
    <w:p w:rsidR="009F2A9E" w:rsidRDefault="00C065F1">
      <w:pPr>
        <w:spacing w:before="0"/>
        <w:rPr>
          <w:rFonts w:ascii="Arial" w:hAnsi="Arial" w:cs="Arial"/>
        </w:rPr>
      </w:pPr>
      <w:r w:rsidRPr="00A92ADF">
        <w:rPr>
          <w:rFonts w:ascii="Arial" w:hAnsi="Arial" w:cs="Arial"/>
          <w:b/>
        </w:rPr>
        <w:t>12 &amp; 13.</w:t>
      </w:r>
      <w:r w:rsidRPr="00A92ADF">
        <w:rPr>
          <w:rFonts w:ascii="Arial" w:hAnsi="Arial" w:cs="Arial"/>
        </w:rPr>
        <w:t xml:space="preserve">  </w:t>
      </w:r>
      <w:r w:rsidRPr="00A92ADF">
        <w:rPr>
          <w:rFonts w:ascii="Arial" w:hAnsi="Arial" w:cs="Arial"/>
          <w:b/>
        </w:rPr>
        <w:t>Estimated total annual public hour and cost burden.</w:t>
      </w:r>
      <w:r w:rsidRPr="00A92ADF">
        <w:rPr>
          <w:rFonts w:ascii="Arial" w:hAnsi="Arial" w:cs="Arial"/>
        </w:rPr>
        <w:t xml:space="preserve">  </w:t>
      </w:r>
    </w:p>
    <w:p w:rsidR="009F2A9E" w:rsidRDefault="009F2A9E">
      <w:pPr>
        <w:spacing w:before="0"/>
        <w:rPr>
          <w:rFonts w:ascii="Arial" w:hAnsi="Arial" w:cs="Arial"/>
        </w:rPr>
      </w:pPr>
    </w:p>
    <w:p w:rsidR="00991CA0" w:rsidRDefault="009F2A9E">
      <w:pPr>
        <w:spacing w:before="0"/>
        <w:rPr>
          <w:rFonts w:ascii="Arial" w:hAnsi="Arial" w:cs="Arial"/>
        </w:rPr>
      </w:pPr>
      <w:r>
        <w:rPr>
          <w:rFonts w:ascii="Arial" w:hAnsi="Arial" w:cs="Arial"/>
        </w:rPr>
        <w:tab/>
      </w:r>
      <w:r w:rsidR="00C065F1" w:rsidRPr="00A92ADF">
        <w:rPr>
          <w:rFonts w:ascii="Arial" w:hAnsi="Arial" w:cs="Arial"/>
        </w:rPr>
        <w:t>Time required to read</w:t>
      </w:r>
      <w:r w:rsidR="004F4E64">
        <w:rPr>
          <w:rFonts w:ascii="Arial" w:hAnsi="Arial" w:cs="Arial"/>
        </w:rPr>
        <w:t xml:space="preserve">, </w:t>
      </w:r>
      <w:r w:rsidR="00C065F1" w:rsidRPr="00A92ADF">
        <w:rPr>
          <w:rFonts w:ascii="Arial" w:hAnsi="Arial" w:cs="Arial"/>
        </w:rPr>
        <w:t>prepare</w:t>
      </w:r>
      <w:r w:rsidR="004F4E64">
        <w:rPr>
          <w:rFonts w:ascii="Arial" w:hAnsi="Arial" w:cs="Arial"/>
        </w:rPr>
        <w:t>, and record</w:t>
      </w:r>
      <w:r w:rsidR="00C065F1" w:rsidRPr="00A92ADF">
        <w:rPr>
          <w:rFonts w:ascii="Arial" w:hAnsi="Arial" w:cs="Arial"/>
        </w:rPr>
        <w:t xml:space="preserve"> information is estimated at </w:t>
      </w:r>
      <w:r w:rsidR="004F4E64">
        <w:rPr>
          <w:rFonts w:ascii="Arial" w:hAnsi="Arial" w:cs="Arial"/>
        </w:rPr>
        <w:t>2.73</w:t>
      </w:r>
      <w:r w:rsidR="00C065F1" w:rsidRPr="00A92ADF">
        <w:rPr>
          <w:rFonts w:ascii="Arial" w:hAnsi="Arial" w:cs="Arial"/>
        </w:rPr>
        <w:t xml:space="preserve"> minutes per completion.</w:t>
      </w:r>
      <w:r w:rsidR="0093329D">
        <w:rPr>
          <w:rFonts w:ascii="Arial" w:hAnsi="Arial" w:cs="Arial"/>
        </w:rPr>
        <w:t xml:space="preserve">  Federal Procurement Data System (FPDS) </w:t>
      </w:r>
      <w:r w:rsidR="00991CA0">
        <w:rPr>
          <w:rFonts w:ascii="Arial" w:hAnsi="Arial" w:cs="Arial"/>
        </w:rPr>
        <w:t xml:space="preserve">data for fiscal year (FY) 2016 </w:t>
      </w:r>
      <w:r>
        <w:rPr>
          <w:rFonts w:ascii="Arial" w:hAnsi="Arial" w:cs="Arial"/>
        </w:rPr>
        <w:t xml:space="preserve">solicitations and awards </w:t>
      </w:r>
      <w:r w:rsidR="00991CA0">
        <w:rPr>
          <w:rFonts w:ascii="Arial" w:hAnsi="Arial" w:cs="Arial"/>
        </w:rPr>
        <w:t>was used to calculate and estimate the renewal burdens.</w:t>
      </w:r>
      <w:r w:rsidR="001C67D8">
        <w:rPr>
          <w:rFonts w:ascii="Arial" w:hAnsi="Arial" w:cs="Arial"/>
        </w:rPr>
        <w:t xml:space="preserve">  The hourly rate of $53 is calculated by using the O</w:t>
      </w:r>
      <w:r w:rsidR="00337A8A">
        <w:rPr>
          <w:rFonts w:ascii="Arial" w:hAnsi="Arial" w:cs="Arial"/>
        </w:rPr>
        <w:t xml:space="preserve">ffice of </w:t>
      </w:r>
      <w:r w:rsidR="001C67D8">
        <w:rPr>
          <w:rFonts w:ascii="Arial" w:hAnsi="Arial" w:cs="Arial"/>
        </w:rPr>
        <w:t>P</w:t>
      </w:r>
      <w:r w:rsidR="00337A8A">
        <w:rPr>
          <w:rFonts w:ascii="Arial" w:hAnsi="Arial" w:cs="Arial"/>
        </w:rPr>
        <w:t xml:space="preserve">ersonnel </w:t>
      </w:r>
      <w:r w:rsidR="001C67D8">
        <w:rPr>
          <w:rFonts w:ascii="Arial" w:hAnsi="Arial" w:cs="Arial"/>
        </w:rPr>
        <w:t>M</w:t>
      </w:r>
      <w:r w:rsidR="00337A8A">
        <w:rPr>
          <w:rFonts w:ascii="Arial" w:hAnsi="Arial" w:cs="Arial"/>
        </w:rPr>
        <w:t>anagement (OPM)</w:t>
      </w:r>
      <w:r w:rsidR="001C67D8">
        <w:rPr>
          <w:rFonts w:ascii="Arial" w:hAnsi="Arial" w:cs="Arial"/>
        </w:rPr>
        <w:t xml:space="preserve"> 2017 GS schedule rate of $39.19 for a GS-12, step 5 journeyman and applying t</w:t>
      </w:r>
      <w:r w:rsidR="001C67D8" w:rsidRPr="001C67D8">
        <w:rPr>
          <w:rFonts w:ascii="Arial" w:hAnsi="Arial" w:cs="Arial"/>
        </w:rPr>
        <w:t>he 36.25% fringe benefit rate from OMB Memorandum M-08-13, dated March 11, 2008.</w:t>
      </w:r>
      <w:r w:rsidR="001C67D8">
        <w:rPr>
          <w:rFonts w:ascii="Arial" w:hAnsi="Arial" w:cs="Arial"/>
        </w:rPr>
        <w:t xml:space="preserve">  The burdened rate of $53.39 is rounded to $53.</w:t>
      </w:r>
    </w:p>
    <w:p w:rsidR="00991CA0" w:rsidRDefault="00991CA0">
      <w:pPr>
        <w:spacing w:before="0"/>
        <w:rPr>
          <w:rFonts w:ascii="Arial" w:hAnsi="Arial" w:cs="Arial"/>
        </w:rPr>
      </w:pPr>
    </w:p>
    <w:p w:rsidR="00392160" w:rsidRPr="00A92ADF" w:rsidRDefault="00392160" w:rsidP="00392160">
      <w:pPr>
        <w:spacing w:before="0"/>
        <w:rPr>
          <w:rFonts w:ascii="Arial" w:hAnsi="Arial" w:cs="Arial"/>
        </w:rPr>
      </w:pPr>
      <w:r>
        <w:rPr>
          <w:rFonts w:ascii="Arial" w:hAnsi="Arial" w:cs="Arial"/>
        </w:rPr>
        <w:t xml:space="preserve">(a)  Total estimated burden for FAR provisions 52.214-14, Place of Performance-Sealed Bid, and 52.215-6, Place of Performance.  </w:t>
      </w:r>
    </w:p>
    <w:p w:rsidR="00392160" w:rsidRPr="00A92ADF" w:rsidRDefault="00392160" w:rsidP="00392160">
      <w:pPr>
        <w:spacing w:before="0"/>
        <w:jc w:val="center"/>
        <w:rPr>
          <w:rFonts w:ascii="Arial" w:hAnsi="Arial" w:cs="Arial"/>
        </w:rPr>
      </w:pPr>
    </w:p>
    <w:p w:rsidR="00392160" w:rsidRPr="00A92ADF" w:rsidRDefault="00392160" w:rsidP="00392160">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respondents/yr</w:t>
      </w:r>
      <w:r w:rsidRPr="00A92ADF">
        <w:rPr>
          <w:rFonts w:ascii="Arial" w:hAnsi="Arial" w:cs="Arial"/>
        </w:rPr>
        <w:tab/>
      </w:r>
      <w:r w:rsidRPr="00A92ADF">
        <w:rPr>
          <w:rFonts w:ascii="Arial" w:hAnsi="Arial" w:cs="Arial"/>
        </w:rPr>
        <w:tab/>
      </w:r>
      <w:r>
        <w:rPr>
          <w:rFonts w:ascii="Arial" w:hAnsi="Arial" w:cs="Arial"/>
        </w:rPr>
        <w:t>16,754</w:t>
      </w:r>
    </w:p>
    <w:p w:rsidR="00392160" w:rsidRPr="00A92ADF" w:rsidRDefault="00392160" w:rsidP="00392160">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Responses annually</w:t>
      </w:r>
      <w:r>
        <w:rPr>
          <w:rFonts w:ascii="Arial" w:hAnsi="Arial" w:cs="Arial"/>
        </w:rPr>
        <w:t xml:space="preserve"> (average of 116.9 rounded to 117)</w:t>
      </w:r>
      <w:r w:rsidRPr="00A92ADF">
        <w:rPr>
          <w:rFonts w:ascii="Arial" w:hAnsi="Arial" w:cs="Arial"/>
        </w:rPr>
        <w:tab/>
        <w:t>x</w:t>
      </w:r>
      <w:r w:rsidRPr="00A92ADF">
        <w:rPr>
          <w:rFonts w:ascii="Arial" w:hAnsi="Arial" w:cs="Arial"/>
        </w:rPr>
        <w:tab/>
      </w:r>
      <w:r w:rsidRPr="00A92ADF">
        <w:rPr>
          <w:rFonts w:ascii="Arial" w:hAnsi="Arial" w:cs="Arial"/>
          <w:u w:val="single"/>
        </w:rPr>
        <w:tab/>
      </w:r>
      <w:r>
        <w:rPr>
          <w:rFonts w:ascii="Arial" w:hAnsi="Arial" w:cs="Arial"/>
          <w:u w:val="single"/>
        </w:rPr>
        <w:t>117</w:t>
      </w:r>
    </w:p>
    <w:p w:rsidR="00392160" w:rsidRPr="00A92ADF" w:rsidRDefault="00392160" w:rsidP="00392160">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annual responses</w:t>
      </w:r>
      <w:r w:rsidRPr="00A92ADF">
        <w:rPr>
          <w:rFonts w:ascii="Arial" w:hAnsi="Arial" w:cs="Arial"/>
        </w:rPr>
        <w:tab/>
      </w:r>
      <w:r w:rsidRPr="00A92ADF">
        <w:rPr>
          <w:rFonts w:ascii="Arial" w:hAnsi="Arial" w:cs="Arial"/>
        </w:rPr>
        <w:tab/>
      </w:r>
      <w:r>
        <w:rPr>
          <w:rFonts w:ascii="Arial" w:hAnsi="Arial" w:cs="Arial"/>
        </w:rPr>
        <w:t>1,960,218</w:t>
      </w:r>
    </w:p>
    <w:p w:rsidR="00392160" w:rsidRPr="00A92ADF" w:rsidRDefault="00392160" w:rsidP="00392160">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Preparation time per response</w:t>
      </w:r>
      <w:r w:rsidRPr="00A92ADF">
        <w:rPr>
          <w:rFonts w:ascii="Arial" w:hAnsi="Arial" w:cs="Arial"/>
        </w:rPr>
        <w:tab/>
        <w:t>x</w:t>
      </w:r>
      <w:r w:rsidRPr="00A92ADF">
        <w:rPr>
          <w:rFonts w:ascii="Arial" w:hAnsi="Arial" w:cs="Arial"/>
        </w:rPr>
        <w:tab/>
      </w:r>
      <w:r w:rsidRPr="00A92ADF">
        <w:rPr>
          <w:rFonts w:ascii="Arial" w:hAnsi="Arial" w:cs="Arial"/>
          <w:u w:val="single"/>
        </w:rPr>
        <w:tab/>
        <w:t>.0</w:t>
      </w:r>
      <w:r>
        <w:rPr>
          <w:rFonts w:ascii="Arial" w:hAnsi="Arial" w:cs="Arial"/>
          <w:u w:val="single"/>
        </w:rPr>
        <w:t>455</w:t>
      </w:r>
    </w:p>
    <w:p w:rsidR="00392160" w:rsidRPr="00A92ADF" w:rsidRDefault="00392160" w:rsidP="00392160">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burden/hrs</w:t>
      </w:r>
      <w:r>
        <w:rPr>
          <w:rFonts w:ascii="Arial" w:hAnsi="Arial" w:cs="Arial"/>
        </w:rPr>
        <w:t xml:space="preserve"> (89.189.9 rounded up)</w:t>
      </w:r>
      <w:r w:rsidRPr="00A92ADF">
        <w:rPr>
          <w:rFonts w:ascii="Arial" w:hAnsi="Arial" w:cs="Arial"/>
        </w:rPr>
        <w:tab/>
      </w:r>
      <w:r w:rsidRPr="00A92ADF">
        <w:rPr>
          <w:rFonts w:ascii="Arial" w:hAnsi="Arial" w:cs="Arial"/>
        </w:rPr>
        <w:tab/>
      </w:r>
      <w:r>
        <w:rPr>
          <w:rFonts w:ascii="Arial" w:hAnsi="Arial" w:cs="Arial"/>
        </w:rPr>
        <w:t>89,190</w:t>
      </w:r>
    </w:p>
    <w:p w:rsidR="00392160" w:rsidRPr="00A92ADF" w:rsidRDefault="00392160" w:rsidP="00392160">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Average wage</w:t>
      </w:r>
      <w:r w:rsidRPr="00A92ADF">
        <w:rPr>
          <w:rFonts w:ascii="Arial" w:hAnsi="Arial" w:cs="Arial"/>
        </w:rPr>
        <w:tab/>
        <w:t>x</w:t>
      </w:r>
      <w:r w:rsidRPr="00A92ADF">
        <w:rPr>
          <w:rFonts w:ascii="Arial" w:hAnsi="Arial" w:cs="Arial"/>
          <w:u w:val="single"/>
        </w:rPr>
        <w:tab/>
      </w:r>
      <w:r>
        <w:rPr>
          <w:rFonts w:ascii="Arial" w:hAnsi="Arial" w:cs="Arial"/>
          <w:u w:val="single"/>
        </w:rPr>
        <w:t>$53</w:t>
      </w:r>
    </w:p>
    <w:p w:rsidR="00392160" w:rsidRPr="00A92ADF" w:rsidRDefault="00392160" w:rsidP="00392160">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cost to public</w:t>
      </w:r>
      <w:r w:rsidRPr="00A92ADF">
        <w:rPr>
          <w:rFonts w:ascii="Arial" w:hAnsi="Arial" w:cs="Arial"/>
        </w:rPr>
        <w:tab/>
      </w:r>
      <w:r w:rsidRPr="00A92ADF">
        <w:rPr>
          <w:rFonts w:ascii="Arial" w:hAnsi="Arial" w:cs="Arial"/>
        </w:rPr>
        <w:tab/>
        <w:t>$</w:t>
      </w:r>
      <w:r>
        <w:rPr>
          <w:rFonts w:ascii="Arial" w:hAnsi="Arial" w:cs="Arial"/>
        </w:rPr>
        <w:t>4,727,070</w:t>
      </w:r>
    </w:p>
    <w:p w:rsidR="00392160" w:rsidRDefault="00392160" w:rsidP="00392160">
      <w:pPr>
        <w:spacing w:before="0"/>
        <w:rPr>
          <w:rFonts w:ascii="Arial" w:hAnsi="Arial" w:cs="Arial"/>
        </w:rPr>
      </w:pPr>
    </w:p>
    <w:p w:rsidR="00392160" w:rsidRDefault="00392160" w:rsidP="00392160">
      <w:pPr>
        <w:spacing w:before="0"/>
        <w:rPr>
          <w:rFonts w:ascii="Arial" w:hAnsi="Arial" w:cs="Arial"/>
        </w:rPr>
      </w:pPr>
      <w:r>
        <w:rPr>
          <w:rFonts w:ascii="Arial" w:hAnsi="Arial" w:cs="Arial"/>
        </w:rPr>
        <w:t>The estimated cost per response is $2.41.</w:t>
      </w:r>
    </w:p>
    <w:p w:rsidR="00392160" w:rsidRDefault="00392160">
      <w:pPr>
        <w:spacing w:before="0"/>
        <w:rPr>
          <w:rFonts w:ascii="Arial" w:hAnsi="Arial" w:cs="Arial"/>
        </w:rPr>
      </w:pPr>
    </w:p>
    <w:p w:rsidR="00C065F1" w:rsidRPr="00A92ADF" w:rsidRDefault="00991CA0">
      <w:pPr>
        <w:spacing w:before="0"/>
        <w:rPr>
          <w:rFonts w:ascii="Arial" w:hAnsi="Arial" w:cs="Arial"/>
        </w:rPr>
      </w:pPr>
      <w:r>
        <w:rPr>
          <w:rFonts w:ascii="Arial" w:hAnsi="Arial" w:cs="Arial"/>
        </w:rPr>
        <w:lastRenderedPageBreak/>
        <w:tab/>
      </w:r>
      <w:r w:rsidR="00A3156D">
        <w:rPr>
          <w:rFonts w:ascii="Arial" w:hAnsi="Arial" w:cs="Arial"/>
        </w:rPr>
        <w:t>(</w:t>
      </w:r>
      <w:r w:rsidR="00392160">
        <w:rPr>
          <w:rFonts w:ascii="Arial" w:hAnsi="Arial" w:cs="Arial"/>
        </w:rPr>
        <w:t>b</w:t>
      </w:r>
      <w:r w:rsidR="00A3156D">
        <w:rPr>
          <w:rFonts w:ascii="Arial" w:hAnsi="Arial" w:cs="Arial"/>
        </w:rPr>
        <w:t>)</w:t>
      </w:r>
      <w:r>
        <w:rPr>
          <w:rFonts w:ascii="Arial" w:hAnsi="Arial" w:cs="Arial"/>
        </w:rPr>
        <w:t xml:space="preserve">  FAR provision 52.214-14, Place of Performance-Sealed Bidding</w:t>
      </w:r>
      <w:r w:rsidR="00725A82">
        <w:rPr>
          <w:rFonts w:ascii="Arial" w:hAnsi="Arial" w:cs="Arial"/>
        </w:rPr>
        <w:t>.  During FY 2016, there were</w:t>
      </w:r>
      <w:r>
        <w:rPr>
          <w:rFonts w:ascii="Arial" w:hAnsi="Arial" w:cs="Arial"/>
        </w:rPr>
        <w:t xml:space="preserve"> 1,090</w:t>
      </w:r>
      <w:r w:rsidR="0093329D">
        <w:rPr>
          <w:rFonts w:ascii="Arial" w:hAnsi="Arial" w:cs="Arial"/>
        </w:rPr>
        <w:t xml:space="preserve"> </w:t>
      </w:r>
      <w:r>
        <w:rPr>
          <w:rFonts w:ascii="Arial" w:hAnsi="Arial" w:cs="Arial"/>
        </w:rPr>
        <w:t>unique awardees (respondents)</w:t>
      </w:r>
      <w:r w:rsidR="00725A82">
        <w:rPr>
          <w:rFonts w:ascii="Arial" w:hAnsi="Arial" w:cs="Arial"/>
        </w:rPr>
        <w:t xml:space="preserve"> who</w:t>
      </w:r>
      <w:r>
        <w:rPr>
          <w:rFonts w:ascii="Arial" w:hAnsi="Arial" w:cs="Arial"/>
        </w:rPr>
        <w:t xml:space="preserve"> received 2,676 awards using sealed bid procedures.  For these 2,676 awards, FPDS data shows that 23,107 </w:t>
      </w:r>
      <w:r w:rsidR="00725A82">
        <w:rPr>
          <w:rFonts w:ascii="Arial" w:hAnsi="Arial" w:cs="Arial"/>
        </w:rPr>
        <w:t>bids</w:t>
      </w:r>
      <w:r>
        <w:rPr>
          <w:rFonts w:ascii="Arial" w:hAnsi="Arial" w:cs="Arial"/>
        </w:rPr>
        <w:t xml:space="preserve"> were submitted in response to the solicitations</w:t>
      </w:r>
      <w:r w:rsidR="009F2A9E">
        <w:rPr>
          <w:rFonts w:ascii="Arial" w:hAnsi="Arial" w:cs="Arial"/>
        </w:rPr>
        <w:t xml:space="preserve"> for those </w:t>
      </w:r>
      <w:r w:rsidR="00725A82">
        <w:rPr>
          <w:rFonts w:ascii="Arial" w:hAnsi="Arial" w:cs="Arial"/>
        </w:rPr>
        <w:t>awards</w:t>
      </w:r>
      <w:r w:rsidR="009F2A9E">
        <w:rPr>
          <w:rFonts w:ascii="Arial" w:hAnsi="Arial" w:cs="Arial"/>
        </w:rPr>
        <w:t xml:space="preserve"> resulting from FAR part 14 procedures</w:t>
      </w:r>
      <w:r>
        <w:rPr>
          <w:rFonts w:ascii="Arial" w:hAnsi="Arial" w:cs="Arial"/>
        </w:rPr>
        <w:t xml:space="preserve">.  </w:t>
      </w:r>
      <w:r w:rsidR="007C289D">
        <w:rPr>
          <w:rFonts w:ascii="Arial" w:hAnsi="Arial" w:cs="Arial"/>
        </w:rPr>
        <w:t>While t</w:t>
      </w:r>
      <w:r>
        <w:rPr>
          <w:rFonts w:ascii="Arial" w:hAnsi="Arial" w:cs="Arial"/>
        </w:rPr>
        <w:t xml:space="preserve">he provision </w:t>
      </w:r>
      <w:r w:rsidR="007C289D">
        <w:rPr>
          <w:rFonts w:ascii="Arial" w:hAnsi="Arial" w:cs="Arial"/>
        </w:rPr>
        <w:t xml:space="preserve">is completed annually in SAM, it also </w:t>
      </w:r>
      <w:r>
        <w:rPr>
          <w:rFonts w:ascii="Arial" w:hAnsi="Arial" w:cs="Arial"/>
        </w:rPr>
        <w:t xml:space="preserve">goes into each solicitation and </w:t>
      </w:r>
      <w:r w:rsidR="007C289D">
        <w:rPr>
          <w:rFonts w:ascii="Arial" w:hAnsi="Arial" w:cs="Arial"/>
        </w:rPr>
        <w:t>may need to be</w:t>
      </w:r>
      <w:r>
        <w:rPr>
          <w:rFonts w:ascii="Arial" w:hAnsi="Arial" w:cs="Arial"/>
        </w:rPr>
        <w:t xml:space="preserve"> completed in each </w:t>
      </w:r>
      <w:r w:rsidR="00725A82">
        <w:rPr>
          <w:rFonts w:ascii="Arial" w:hAnsi="Arial" w:cs="Arial"/>
        </w:rPr>
        <w:t>bid</w:t>
      </w:r>
      <w:r>
        <w:rPr>
          <w:rFonts w:ascii="Arial" w:hAnsi="Arial" w:cs="Arial"/>
        </w:rPr>
        <w:t xml:space="preserve"> submitted</w:t>
      </w:r>
      <w:r w:rsidR="007C289D">
        <w:rPr>
          <w:rFonts w:ascii="Arial" w:hAnsi="Arial" w:cs="Arial"/>
        </w:rPr>
        <w:t>, on exception basis, if different from</w:t>
      </w:r>
      <w:r w:rsidR="009F2A9E">
        <w:rPr>
          <w:rFonts w:ascii="Arial" w:hAnsi="Arial" w:cs="Arial"/>
        </w:rPr>
        <w:t xml:space="preserve"> the</w:t>
      </w:r>
      <w:r w:rsidR="007C289D">
        <w:rPr>
          <w:rFonts w:ascii="Arial" w:hAnsi="Arial" w:cs="Arial"/>
        </w:rPr>
        <w:t xml:space="preserve"> SAM</w:t>
      </w:r>
      <w:r w:rsidR="009F2A9E">
        <w:rPr>
          <w:rFonts w:ascii="Arial" w:hAnsi="Arial" w:cs="Arial"/>
        </w:rPr>
        <w:t xml:space="preserve"> representation data</w:t>
      </w:r>
      <w:r w:rsidR="007C289D">
        <w:rPr>
          <w:rFonts w:ascii="Arial" w:hAnsi="Arial" w:cs="Arial"/>
        </w:rPr>
        <w:t>.  Therefore</w:t>
      </w:r>
      <w:r>
        <w:rPr>
          <w:rFonts w:ascii="Arial" w:hAnsi="Arial" w:cs="Arial"/>
        </w:rPr>
        <w:t xml:space="preserve">, the total number of </w:t>
      </w:r>
      <w:r w:rsidR="00725A82">
        <w:rPr>
          <w:rFonts w:ascii="Arial" w:hAnsi="Arial" w:cs="Arial"/>
        </w:rPr>
        <w:t>bids</w:t>
      </w:r>
      <w:r>
        <w:rPr>
          <w:rFonts w:ascii="Arial" w:hAnsi="Arial" w:cs="Arial"/>
        </w:rPr>
        <w:t xml:space="preserve"> submitted</w:t>
      </w:r>
      <w:r w:rsidR="007C289D">
        <w:rPr>
          <w:rFonts w:ascii="Arial" w:hAnsi="Arial" w:cs="Arial"/>
        </w:rPr>
        <w:t xml:space="preserve"> is used to</w:t>
      </w:r>
      <w:r>
        <w:rPr>
          <w:rFonts w:ascii="Arial" w:hAnsi="Arial" w:cs="Arial"/>
        </w:rPr>
        <w:t xml:space="preserve"> represent the </w:t>
      </w:r>
      <w:r w:rsidR="00A3156D">
        <w:rPr>
          <w:rFonts w:ascii="Arial" w:hAnsi="Arial" w:cs="Arial"/>
        </w:rPr>
        <w:t xml:space="preserve">maximum potential </w:t>
      </w:r>
      <w:r>
        <w:rPr>
          <w:rFonts w:ascii="Arial" w:hAnsi="Arial" w:cs="Arial"/>
        </w:rPr>
        <w:t>number of responses to the provision.</w:t>
      </w:r>
    </w:p>
    <w:p w:rsidR="00C065F1" w:rsidRDefault="00C065F1" w:rsidP="00CA0578">
      <w:pPr>
        <w:spacing w:before="0"/>
        <w:rPr>
          <w:rFonts w:ascii="Arial" w:hAnsi="Arial" w:cs="Arial"/>
        </w:rPr>
      </w:pPr>
    </w:p>
    <w:p w:rsidR="00A3156D" w:rsidRDefault="00A3156D" w:rsidP="00CA0578">
      <w:pPr>
        <w:spacing w:before="0"/>
        <w:rPr>
          <w:rFonts w:ascii="Arial" w:hAnsi="Arial" w:cs="Arial"/>
        </w:rPr>
      </w:pP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respondents/yr</w:t>
      </w:r>
      <w:r w:rsidRPr="00A92ADF">
        <w:rPr>
          <w:rFonts w:ascii="Arial" w:hAnsi="Arial" w:cs="Arial"/>
        </w:rPr>
        <w:tab/>
      </w:r>
      <w:r w:rsidRPr="00A92ADF">
        <w:rPr>
          <w:rFonts w:ascii="Arial" w:hAnsi="Arial" w:cs="Arial"/>
        </w:rPr>
        <w:tab/>
      </w:r>
      <w:r w:rsidR="00991CA0">
        <w:rPr>
          <w:rFonts w:ascii="Arial" w:hAnsi="Arial" w:cs="Arial"/>
        </w:rPr>
        <w:t>1,090</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Responses annually</w:t>
      </w:r>
      <w:r w:rsidR="007C289D">
        <w:rPr>
          <w:rFonts w:ascii="Arial" w:hAnsi="Arial" w:cs="Arial"/>
        </w:rPr>
        <w:t xml:space="preserve"> (average)</w:t>
      </w:r>
      <w:r w:rsidRPr="00A92ADF">
        <w:rPr>
          <w:rFonts w:ascii="Arial" w:hAnsi="Arial" w:cs="Arial"/>
        </w:rPr>
        <w:tab/>
        <w:t>x</w:t>
      </w:r>
      <w:r w:rsidRPr="00A92ADF">
        <w:rPr>
          <w:rFonts w:ascii="Arial" w:hAnsi="Arial" w:cs="Arial"/>
        </w:rPr>
        <w:tab/>
      </w:r>
      <w:r w:rsidRPr="00A92ADF">
        <w:rPr>
          <w:rFonts w:ascii="Arial" w:hAnsi="Arial" w:cs="Arial"/>
          <w:u w:val="single"/>
        </w:rPr>
        <w:tab/>
      </w:r>
      <w:r w:rsidR="00725A82">
        <w:rPr>
          <w:rFonts w:ascii="Arial" w:hAnsi="Arial" w:cs="Arial"/>
          <w:u w:val="single"/>
        </w:rPr>
        <w:t>21.2</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annual responses</w:t>
      </w:r>
      <w:r w:rsidRPr="00A92ADF">
        <w:rPr>
          <w:rFonts w:ascii="Arial" w:hAnsi="Arial" w:cs="Arial"/>
        </w:rPr>
        <w:tab/>
      </w:r>
      <w:r w:rsidRPr="00A92ADF">
        <w:rPr>
          <w:rFonts w:ascii="Arial" w:hAnsi="Arial" w:cs="Arial"/>
        </w:rPr>
        <w:tab/>
      </w:r>
      <w:r w:rsidR="00725A82">
        <w:rPr>
          <w:rFonts w:ascii="Arial" w:hAnsi="Arial" w:cs="Arial"/>
        </w:rPr>
        <w:t>23,107</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Preparation time per response</w:t>
      </w:r>
      <w:r w:rsidRPr="00A92ADF">
        <w:rPr>
          <w:rFonts w:ascii="Arial" w:hAnsi="Arial" w:cs="Arial"/>
        </w:rPr>
        <w:tab/>
        <w:t>x</w:t>
      </w:r>
      <w:r w:rsidRPr="00A92ADF">
        <w:rPr>
          <w:rFonts w:ascii="Arial" w:hAnsi="Arial" w:cs="Arial"/>
        </w:rPr>
        <w:tab/>
      </w:r>
      <w:r w:rsidRPr="00A92ADF">
        <w:rPr>
          <w:rFonts w:ascii="Arial" w:hAnsi="Arial" w:cs="Arial"/>
          <w:u w:val="single"/>
        </w:rPr>
        <w:tab/>
        <w:t>.0</w:t>
      </w:r>
      <w:r w:rsidR="004A184C">
        <w:rPr>
          <w:rFonts w:ascii="Arial" w:hAnsi="Arial" w:cs="Arial"/>
          <w:u w:val="single"/>
        </w:rPr>
        <w:t>455</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burden/hrs</w:t>
      </w:r>
      <w:r w:rsidR="001829CC">
        <w:rPr>
          <w:rFonts w:ascii="Arial" w:hAnsi="Arial" w:cs="Arial"/>
        </w:rPr>
        <w:t xml:space="preserve"> (1,051.4 rounded</w:t>
      </w:r>
      <w:r w:rsidR="004F225B">
        <w:rPr>
          <w:rFonts w:ascii="Arial" w:hAnsi="Arial" w:cs="Arial"/>
        </w:rPr>
        <w:t xml:space="preserve"> down</w:t>
      </w:r>
      <w:r w:rsidR="001829CC">
        <w:rPr>
          <w:rFonts w:ascii="Arial" w:hAnsi="Arial" w:cs="Arial"/>
        </w:rPr>
        <w:t>)</w:t>
      </w:r>
      <w:r w:rsidRPr="00A92ADF">
        <w:rPr>
          <w:rFonts w:ascii="Arial" w:hAnsi="Arial" w:cs="Arial"/>
        </w:rPr>
        <w:tab/>
      </w:r>
      <w:r w:rsidRPr="00A92ADF">
        <w:rPr>
          <w:rFonts w:ascii="Arial" w:hAnsi="Arial" w:cs="Arial"/>
        </w:rPr>
        <w:tab/>
      </w:r>
      <w:r w:rsidR="00725A82">
        <w:rPr>
          <w:rFonts w:ascii="Arial" w:hAnsi="Arial" w:cs="Arial"/>
        </w:rPr>
        <w:t>1,051</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Average wage</w:t>
      </w:r>
      <w:r w:rsidRPr="00A92ADF">
        <w:rPr>
          <w:rFonts w:ascii="Arial" w:hAnsi="Arial" w:cs="Arial"/>
        </w:rPr>
        <w:tab/>
        <w:t>x</w:t>
      </w:r>
      <w:r w:rsidRPr="00A92ADF">
        <w:rPr>
          <w:rFonts w:ascii="Arial" w:hAnsi="Arial" w:cs="Arial"/>
          <w:u w:val="single"/>
        </w:rPr>
        <w:tab/>
        <w:t>$</w:t>
      </w:r>
      <w:r w:rsidR="00725A82">
        <w:rPr>
          <w:rFonts w:ascii="Arial" w:hAnsi="Arial" w:cs="Arial"/>
          <w:u w:val="single"/>
        </w:rPr>
        <w:t>53</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cost to public</w:t>
      </w:r>
      <w:r w:rsidRPr="00A92ADF">
        <w:rPr>
          <w:rFonts w:ascii="Arial" w:hAnsi="Arial" w:cs="Arial"/>
        </w:rPr>
        <w:tab/>
      </w:r>
      <w:r w:rsidRPr="00A92ADF">
        <w:rPr>
          <w:rFonts w:ascii="Arial" w:hAnsi="Arial" w:cs="Arial"/>
        </w:rPr>
        <w:tab/>
        <w:t>$</w:t>
      </w:r>
      <w:r w:rsidR="00725A82">
        <w:rPr>
          <w:rFonts w:ascii="Arial" w:hAnsi="Arial" w:cs="Arial"/>
        </w:rPr>
        <w:t>55,7</w:t>
      </w:r>
      <w:r w:rsidR="001C67D8">
        <w:rPr>
          <w:rFonts w:ascii="Arial" w:hAnsi="Arial" w:cs="Arial"/>
        </w:rPr>
        <w:t>0</w:t>
      </w:r>
      <w:r w:rsidR="00725A82">
        <w:rPr>
          <w:rFonts w:ascii="Arial" w:hAnsi="Arial" w:cs="Arial"/>
        </w:rPr>
        <w:t>3</w:t>
      </w:r>
    </w:p>
    <w:p w:rsidR="00C065F1" w:rsidRDefault="00C065F1">
      <w:pPr>
        <w:spacing w:before="0"/>
        <w:rPr>
          <w:rFonts w:ascii="Arial" w:hAnsi="Arial" w:cs="Arial"/>
        </w:rPr>
      </w:pPr>
    </w:p>
    <w:p w:rsidR="007C289D" w:rsidRPr="00A92ADF" w:rsidRDefault="00725A82" w:rsidP="007C289D">
      <w:pPr>
        <w:spacing w:before="0"/>
        <w:rPr>
          <w:rFonts w:ascii="Arial" w:hAnsi="Arial" w:cs="Arial"/>
        </w:rPr>
      </w:pPr>
      <w:r>
        <w:rPr>
          <w:rFonts w:ascii="Arial" w:hAnsi="Arial" w:cs="Arial"/>
        </w:rPr>
        <w:tab/>
      </w:r>
      <w:r w:rsidR="009F2A9E">
        <w:rPr>
          <w:rFonts w:ascii="Arial" w:hAnsi="Arial" w:cs="Arial"/>
        </w:rPr>
        <w:t>(</w:t>
      </w:r>
      <w:r w:rsidR="00392160">
        <w:rPr>
          <w:rFonts w:ascii="Arial" w:hAnsi="Arial" w:cs="Arial"/>
        </w:rPr>
        <w:t>c</w:t>
      </w:r>
      <w:r w:rsidR="009F2A9E">
        <w:rPr>
          <w:rFonts w:ascii="Arial" w:hAnsi="Arial" w:cs="Arial"/>
        </w:rPr>
        <w:t>)</w:t>
      </w:r>
      <w:r>
        <w:rPr>
          <w:rFonts w:ascii="Arial" w:hAnsi="Arial" w:cs="Arial"/>
        </w:rPr>
        <w:t xml:space="preserve">  FAR provision 52.215-6, Place of Performance.  During FY 2016, there were 15,664 unique awardees (respondents) who received 32,084 awards using negotiated procedures.  For these 32,084 awards, FPDS data shows that 1,935,464 offers were submitted in response to the solicitations for those awards. </w:t>
      </w:r>
      <w:r w:rsidR="00641D05">
        <w:rPr>
          <w:rFonts w:ascii="Arial" w:hAnsi="Arial" w:cs="Arial"/>
        </w:rPr>
        <w:t xml:space="preserve"> Of interest is that several awards for Federal Supply Service contracts reflected 999 offers each.</w:t>
      </w:r>
      <w:r>
        <w:rPr>
          <w:rFonts w:ascii="Arial" w:hAnsi="Arial" w:cs="Arial"/>
        </w:rPr>
        <w:t xml:space="preserve"> </w:t>
      </w:r>
      <w:r w:rsidR="00641D05">
        <w:rPr>
          <w:rFonts w:ascii="Arial" w:hAnsi="Arial" w:cs="Arial"/>
        </w:rPr>
        <w:t xml:space="preserve"> </w:t>
      </w:r>
      <w:r w:rsidR="007C289D">
        <w:rPr>
          <w:rFonts w:ascii="Arial" w:hAnsi="Arial" w:cs="Arial"/>
        </w:rPr>
        <w:t xml:space="preserve">While the provision is completed annually in SAM, it also goes into each solicitation and may need to be completed in each offer submitted, on exception basis, if different from SAM.  Therefore, the total number of offers submitted is used to represent the </w:t>
      </w:r>
      <w:r w:rsidR="009F2A9E">
        <w:rPr>
          <w:rFonts w:ascii="Arial" w:hAnsi="Arial" w:cs="Arial"/>
        </w:rPr>
        <w:t xml:space="preserve">maximum potential </w:t>
      </w:r>
      <w:r w:rsidR="007C289D">
        <w:rPr>
          <w:rFonts w:ascii="Arial" w:hAnsi="Arial" w:cs="Arial"/>
        </w:rPr>
        <w:t>number of responses to the provision.</w:t>
      </w:r>
    </w:p>
    <w:p w:rsidR="00725A82" w:rsidRPr="00A92ADF" w:rsidRDefault="00725A82" w:rsidP="00CA0578">
      <w:pPr>
        <w:spacing w:before="0"/>
        <w:rPr>
          <w:rFonts w:ascii="Arial" w:hAnsi="Arial" w:cs="Arial"/>
        </w:rPr>
      </w:pPr>
    </w:p>
    <w:p w:rsidR="00725A82" w:rsidRPr="00A92ADF" w:rsidRDefault="00725A82" w:rsidP="00725A82">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respondents/yr</w:t>
      </w:r>
      <w:r w:rsidRPr="00A92ADF">
        <w:rPr>
          <w:rFonts w:ascii="Arial" w:hAnsi="Arial" w:cs="Arial"/>
        </w:rPr>
        <w:tab/>
      </w:r>
      <w:r w:rsidRPr="00A92ADF">
        <w:rPr>
          <w:rFonts w:ascii="Arial" w:hAnsi="Arial" w:cs="Arial"/>
        </w:rPr>
        <w:tab/>
      </w:r>
      <w:r w:rsidR="00641D05">
        <w:rPr>
          <w:rFonts w:ascii="Arial" w:hAnsi="Arial" w:cs="Arial"/>
        </w:rPr>
        <w:t>15,664</w:t>
      </w:r>
    </w:p>
    <w:p w:rsidR="00725A82" w:rsidRPr="00A92ADF" w:rsidRDefault="00725A82" w:rsidP="00725A82">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Responses annually</w:t>
      </w:r>
      <w:r w:rsidR="001829CC">
        <w:rPr>
          <w:rFonts w:ascii="Arial" w:hAnsi="Arial" w:cs="Arial"/>
        </w:rPr>
        <w:t xml:space="preserve"> (average)</w:t>
      </w:r>
      <w:r w:rsidRPr="00A92ADF">
        <w:rPr>
          <w:rFonts w:ascii="Arial" w:hAnsi="Arial" w:cs="Arial"/>
        </w:rPr>
        <w:tab/>
        <w:t>x</w:t>
      </w:r>
      <w:r w:rsidRPr="00A92ADF">
        <w:rPr>
          <w:rFonts w:ascii="Arial" w:hAnsi="Arial" w:cs="Arial"/>
        </w:rPr>
        <w:tab/>
      </w:r>
      <w:r w:rsidRPr="00A92ADF">
        <w:rPr>
          <w:rFonts w:ascii="Arial" w:hAnsi="Arial" w:cs="Arial"/>
          <w:u w:val="single"/>
        </w:rPr>
        <w:tab/>
      </w:r>
      <w:r w:rsidR="00641D05">
        <w:rPr>
          <w:rFonts w:ascii="Arial" w:hAnsi="Arial" w:cs="Arial"/>
          <w:u w:val="single"/>
        </w:rPr>
        <w:t>123.6</w:t>
      </w:r>
    </w:p>
    <w:p w:rsidR="00725A82" w:rsidRPr="00A92ADF" w:rsidRDefault="00725A82" w:rsidP="00725A82">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annual responses</w:t>
      </w:r>
      <w:r w:rsidRPr="00A92ADF">
        <w:rPr>
          <w:rFonts w:ascii="Arial" w:hAnsi="Arial" w:cs="Arial"/>
        </w:rPr>
        <w:tab/>
      </w:r>
      <w:r w:rsidRPr="00A92ADF">
        <w:rPr>
          <w:rFonts w:ascii="Arial" w:hAnsi="Arial" w:cs="Arial"/>
        </w:rPr>
        <w:tab/>
      </w:r>
      <w:r w:rsidR="00641D05">
        <w:rPr>
          <w:rFonts w:ascii="Arial" w:hAnsi="Arial" w:cs="Arial"/>
        </w:rPr>
        <w:t>1,935,464</w:t>
      </w:r>
    </w:p>
    <w:p w:rsidR="00725A82" w:rsidRPr="00A92ADF" w:rsidRDefault="00725A82" w:rsidP="00725A82">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Preparation time per response</w:t>
      </w:r>
      <w:r w:rsidRPr="00A92ADF">
        <w:rPr>
          <w:rFonts w:ascii="Arial" w:hAnsi="Arial" w:cs="Arial"/>
        </w:rPr>
        <w:tab/>
        <w:t>x</w:t>
      </w:r>
      <w:r w:rsidRPr="00A92ADF">
        <w:rPr>
          <w:rFonts w:ascii="Arial" w:hAnsi="Arial" w:cs="Arial"/>
        </w:rPr>
        <w:tab/>
      </w:r>
      <w:r w:rsidRPr="00A92ADF">
        <w:rPr>
          <w:rFonts w:ascii="Arial" w:hAnsi="Arial" w:cs="Arial"/>
          <w:u w:val="single"/>
        </w:rPr>
        <w:tab/>
        <w:t>.0</w:t>
      </w:r>
      <w:r>
        <w:rPr>
          <w:rFonts w:ascii="Arial" w:hAnsi="Arial" w:cs="Arial"/>
          <w:u w:val="single"/>
        </w:rPr>
        <w:t>455</w:t>
      </w:r>
    </w:p>
    <w:p w:rsidR="00725A82" w:rsidRPr="00A92ADF" w:rsidRDefault="00725A82" w:rsidP="00725A82">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burden/hrs</w:t>
      </w:r>
      <w:r w:rsidR="001829CC">
        <w:rPr>
          <w:rFonts w:ascii="Arial" w:hAnsi="Arial" w:cs="Arial"/>
        </w:rPr>
        <w:t xml:space="preserve"> (88,063.6 rounded</w:t>
      </w:r>
      <w:r w:rsidR="004F225B">
        <w:rPr>
          <w:rFonts w:ascii="Arial" w:hAnsi="Arial" w:cs="Arial"/>
        </w:rPr>
        <w:t xml:space="preserve"> up</w:t>
      </w:r>
      <w:r w:rsidR="001829CC">
        <w:rPr>
          <w:rFonts w:ascii="Arial" w:hAnsi="Arial" w:cs="Arial"/>
        </w:rPr>
        <w:t>)</w:t>
      </w:r>
      <w:r w:rsidRPr="00A92ADF">
        <w:rPr>
          <w:rFonts w:ascii="Arial" w:hAnsi="Arial" w:cs="Arial"/>
        </w:rPr>
        <w:tab/>
      </w:r>
      <w:r w:rsidRPr="00A92ADF">
        <w:rPr>
          <w:rFonts w:ascii="Arial" w:hAnsi="Arial" w:cs="Arial"/>
        </w:rPr>
        <w:tab/>
      </w:r>
      <w:r w:rsidR="00641D05">
        <w:rPr>
          <w:rFonts w:ascii="Arial" w:hAnsi="Arial" w:cs="Arial"/>
        </w:rPr>
        <w:t>88,06</w:t>
      </w:r>
      <w:r w:rsidR="004F225B">
        <w:rPr>
          <w:rFonts w:ascii="Arial" w:hAnsi="Arial" w:cs="Arial"/>
        </w:rPr>
        <w:t>4</w:t>
      </w:r>
    </w:p>
    <w:p w:rsidR="00725A82" w:rsidRPr="00A92ADF" w:rsidRDefault="00725A82" w:rsidP="00725A82">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Average wage</w:t>
      </w:r>
      <w:r w:rsidRPr="00A92ADF">
        <w:rPr>
          <w:rFonts w:ascii="Arial" w:hAnsi="Arial" w:cs="Arial"/>
        </w:rPr>
        <w:tab/>
        <w:t>x</w:t>
      </w:r>
      <w:r w:rsidRPr="00A92ADF">
        <w:rPr>
          <w:rFonts w:ascii="Arial" w:hAnsi="Arial" w:cs="Arial"/>
          <w:u w:val="single"/>
        </w:rPr>
        <w:tab/>
      </w:r>
      <w:r w:rsidR="00641D05">
        <w:rPr>
          <w:rFonts w:ascii="Arial" w:hAnsi="Arial" w:cs="Arial"/>
          <w:u w:val="single"/>
        </w:rPr>
        <w:t>$53</w:t>
      </w:r>
    </w:p>
    <w:p w:rsidR="00725A82" w:rsidRPr="00A92ADF" w:rsidRDefault="00725A82" w:rsidP="00725A82">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cost to public</w:t>
      </w:r>
      <w:r w:rsidRPr="00A92ADF">
        <w:rPr>
          <w:rFonts w:ascii="Arial" w:hAnsi="Arial" w:cs="Arial"/>
        </w:rPr>
        <w:tab/>
      </w:r>
      <w:r w:rsidRPr="00A92ADF">
        <w:rPr>
          <w:rFonts w:ascii="Arial" w:hAnsi="Arial" w:cs="Arial"/>
        </w:rPr>
        <w:tab/>
        <w:t>$</w:t>
      </w:r>
      <w:r w:rsidR="00641D05">
        <w:rPr>
          <w:rFonts w:ascii="Arial" w:hAnsi="Arial" w:cs="Arial"/>
        </w:rPr>
        <w:t>4,667,3</w:t>
      </w:r>
      <w:r w:rsidR="004F225B">
        <w:rPr>
          <w:rFonts w:ascii="Arial" w:hAnsi="Arial" w:cs="Arial"/>
        </w:rPr>
        <w:t>92</w:t>
      </w:r>
    </w:p>
    <w:p w:rsidR="00725A82" w:rsidRDefault="00725A82">
      <w:pPr>
        <w:spacing w:before="0"/>
        <w:rPr>
          <w:rFonts w:ascii="Arial" w:hAnsi="Arial" w:cs="Arial"/>
        </w:rPr>
      </w:pPr>
    </w:p>
    <w:p w:rsidR="009F2A9E" w:rsidRDefault="00C065F1">
      <w:pPr>
        <w:spacing w:before="0"/>
        <w:rPr>
          <w:rFonts w:ascii="Arial" w:hAnsi="Arial" w:cs="Arial"/>
        </w:rPr>
      </w:pPr>
      <w:r w:rsidRPr="00A92ADF">
        <w:rPr>
          <w:rFonts w:ascii="Arial" w:hAnsi="Arial" w:cs="Arial"/>
          <w:b/>
        </w:rPr>
        <w:t>14.</w:t>
      </w:r>
      <w:r w:rsidRPr="00A92ADF">
        <w:rPr>
          <w:rFonts w:ascii="Arial" w:hAnsi="Arial" w:cs="Arial"/>
        </w:rPr>
        <w:t xml:space="preserve">  </w:t>
      </w:r>
      <w:r w:rsidRPr="00A92ADF">
        <w:rPr>
          <w:rFonts w:ascii="Arial" w:hAnsi="Arial" w:cs="Arial"/>
          <w:b/>
        </w:rPr>
        <w:t>Estimated cost to the Government</w:t>
      </w:r>
      <w:r w:rsidRPr="00A92ADF">
        <w:rPr>
          <w:rFonts w:ascii="Arial" w:hAnsi="Arial" w:cs="Arial"/>
        </w:rPr>
        <w:t xml:space="preserve">.  </w:t>
      </w:r>
    </w:p>
    <w:p w:rsidR="009F2A9E" w:rsidRDefault="009F2A9E">
      <w:pPr>
        <w:spacing w:before="0"/>
        <w:rPr>
          <w:rFonts w:ascii="Arial" w:hAnsi="Arial" w:cs="Arial"/>
        </w:rPr>
      </w:pPr>
    </w:p>
    <w:p w:rsidR="00C065F1" w:rsidRPr="00A92ADF" w:rsidRDefault="009F2A9E">
      <w:pPr>
        <w:spacing w:before="0"/>
        <w:rPr>
          <w:rFonts w:ascii="Arial" w:hAnsi="Arial" w:cs="Arial"/>
        </w:rPr>
      </w:pPr>
      <w:r>
        <w:rPr>
          <w:rFonts w:ascii="Arial" w:hAnsi="Arial" w:cs="Arial"/>
        </w:rPr>
        <w:tab/>
      </w:r>
      <w:r w:rsidR="00C065F1" w:rsidRPr="00A92ADF">
        <w:rPr>
          <w:rFonts w:ascii="Arial" w:hAnsi="Arial" w:cs="Arial"/>
        </w:rPr>
        <w:t>Time required for Governmentwide review is estimated at 1 minute (.017 hr.) per response.</w:t>
      </w:r>
      <w:r>
        <w:rPr>
          <w:rFonts w:ascii="Arial" w:hAnsi="Arial" w:cs="Arial"/>
        </w:rPr>
        <w:t xml:space="preserve">  Using the FY 2016 estimates, the burden on the Government is calculated as follows:</w:t>
      </w:r>
    </w:p>
    <w:p w:rsidR="00C065F1" w:rsidRDefault="00C065F1">
      <w:pPr>
        <w:spacing w:before="0"/>
        <w:rPr>
          <w:rFonts w:ascii="Arial" w:hAnsi="Arial" w:cs="Arial"/>
        </w:rPr>
      </w:pPr>
    </w:p>
    <w:p w:rsidR="00C065F1" w:rsidRPr="00A92ADF" w:rsidRDefault="00C065F1" w:rsidP="00A92ADF">
      <w:pPr>
        <w:spacing w:before="0"/>
        <w:jc w:val="center"/>
        <w:rPr>
          <w:rFonts w:ascii="Arial" w:hAnsi="Arial" w:cs="Arial"/>
          <w:u w:val="single"/>
        </w:rPr>
      </w:pPr>
      <w:r w:rsidRPr="00A92ADF">
        <w:rPr>
          <w:rFonts w:ascii="Arial" w:hAnsi="Arial" w:cs="Arial"/>
          <w:u w:val="single"/>
        </w:rPr>
        <w:t>Annual Reporting Burden and Cost</w:t>
      </w:r>
    </w:p>
    <w:p w:rsidR="00C065F1" w:rsidRPr="00A92ADF" w:rsidRDefault="00C065F1">
      <w:pPr>
        <w:spacing w:before="0"/>
        <w:jc w:val="center"/>
        <w:rPr>
          <w:rFonts w:ascii="Arial" w:hAnsi="Arial" w:cs="Arial"/>
        </w:rPr>
      </w:pP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annual responses</w:t>
      </w:r>
      <w:r w:rsidRPr="00A92ADF">
        <w:rPr>
          <w:rFonts w:ascii="Arial" w:hAnsi="Arial" w:cs="Arial"/>
        </w:rPr>
        <w:tab/>
      </w:r>
      <w:r w:rsidRPr="00A92ADF">
        <w:rPr>
          <w:rFonts w:ascii="Arial" w:hAnsi="Arial" w:cs="Arial"/>
        </w:rPr>
        <w:tab/>
      </w:r>
      <w:r w:rsidR="004F225B">
        <w:rPr>
          <w:rFonts w:ascii="Arial" w:hAnsi="Arial" w:cs="Arial"/>
        </w:rPr>
        <w:t>1,</w:t>
      </w:r>
      <w:r w:rsidR="00337A8A">
        <w:rPr>
          <w:rFonts w:ascii="Arial" w:hAnsi="Arial" w:cs="Arial"/>
        </w:rPr>
        <w:t>958,571</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Review time per response</w:t>
      </w:r>
      <w:r w:rsidRPr="00A92ADF">
        <w:rPr>
          <w:rFonts w:ascii="Arial" w:hAnsi="Arial" w:cs="Arial"/>
        </w:rPr>
        <w:tab/>
        <w:t>x</w:t>
      </w:r>
      <w:r w:rsidRPr="00A92ADF">
        <w:rPr>
          <w:rFonts w:ascii="Arial" w:hAnsi="Arial" w:cs="Arial"/>
        </w:rPr>
        <w:tab/>
      </w:r>
      <w:r w:rsidRPr="00A92ADF">
        <w:rPr>
          <w:rFonts w:ascii="Arial" w:hAnsi="Arial" w:cs="Arial"/>
          <w:u w:val="single"/>
        </w:rPr>
        <w:tab/>
        <w:t>.017</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Total burden hours</w:t>
      </w:r>
      <w:r w:rsidRPr="00A92ADF">
        <w:rPr>
          <w:rFonts w:ascii="Arial" w:hAnsi="Arial" w:cs="Arial"/>
        </w:rPr>
        <w:tab/>
      </w:r>
      <w:r w:rsidRPr="00A92ADF">
        <w:rPr>
          <w:rFonts w:ascii="Arial" w:hAnsi="Arial" w:cs="Arial"/>
        </w:rPr>
        <w:tab/>
      </w:r>
      <w:r w:rsidRPr="00A92ADF">
        <w:rPr>
          <w:rFonts w:ascii="Arial" w:hAnsi="Arial" w:cs="Arial"/>
        </w:rPr>
        <w:tab/>
      </w:r>
      <w:r w:rsidR="00337A8A">
        <w:rPr>
          <w:rFonts w:ascii="Arial" w:hAnsi="Arial" w:cs="Arial"/>
        </w:rPr>
        <w:t>33,296</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Average wages + overhead ($</w:t>
      </w:r>
      <w:r w:rsidR="00D551D0">
        <w:rPr>
          <w:rFonts w:ascii="Arial" w:hAnsi="Arial" w:cs="Arial"/>
        </w:rPr>
        <w:t>32.73</w:t>
      </w:r>
      <w:r w:rsidRPr="00A92ADF">
        <w:rPr>
          <w:rFonts w:ascii="Arial" w:hAnsi="Arial" w:cs="Arial"/>
        </w:rPr>
        <w:t xml:space="preserve">/hr. + </w:t>
      </w:r>
      <w:r w:rsidR="00D551D0">
        <w:rPr>
          <w:rFonts w:ascii="Arial" w:hAnsi="Arial" w:cs="Arial"/>
        </w:rPr>
        <w:t>36.25</w:t>
      </w:r>
      <w:r w:rsidRPr="00A92ADF">
        <w:rPr>
          <w:rFonts w:ascii="Arial" w:hAnsi="Arial" w:cs="Arial"/>
        </w:rPr>
        <w:t>% OH)</w:t>
      </w:r>
      <w:r w:rsidRPr="00A92ADF">
        <w:rPr>
          <w:rFonts w:ascii="Arial" w:hAnsi="Arial" w:cs="Arial"/>
        </w:rPr>
        <w:tab/>
        <w:t>x</w:t>
      </w:r>
      <w:r w:rsidRPr="00A92ADF">
        <w:rPr>
          <w:rFonts w:ascii="Arial" w:hAnsi="Arial" w:cs="Arial"/>
        </w:rPr>
        <w:tab/>
      </w:r>
      <w:r w:rsidRPr="00A92ADF">
        <w:rPr>
          <w:rFonts w:ascii="Arial" w:hAnsi="Arial" w:cs="Arial"/>
          <w:u w:val="single"/>
        </w:rPr>
        <w:tab/>
        <w:t>$</w:t>
      </w:r>
      <w:r w:rsidR="00337A8A">
        <w:rPr>
          <w:rFonts w:ascii="Arial" w:hAnsi="Arial" w:cs="Arial"/>
          <w:u w:val="single"/>
        </w:rPr>
        <w:t>53</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Total Government cost</w:t>
      </w:r>
      <w:r w:rsidRPr="00A92ADF">
        <w:rPr>
          <w:rFonts w:ascii="Arial" w:hAnsi="Arial" w:cs="Arial"/>
        </w:rPr>
        <w:tab/>
      </w:r>
      <w:r w:rsidR="00A3156D">
        <w:rPr>
          <w:rFonts w:ascii="Arial" w:hAnsi="Arial" w:cs="Arial"/>
        </w:rPr>
        <w:t xml:space="preserve">   </w:t>
      </w:r>
      <w:r w:rsidRPr="00A92ADF">
        <w:rPr>
          <w:rFonts w:ascii="Arial" w:hAnsi="Arial" w:cs="Arial"/>
        </w:rPr>
        <w:tab/>
        <w:t>$</w:t>
      </w:r>
      <w:r w:rsidR="00D551D0">
        <w:rPr>
          <w:rFonts w:ascii="Arial" w:hAnsi="Arial" w:cs="Arial"/>
        </w:rPr>
        <w:t>1</w:t>
      </w:r>
      <w:r w:rsidR="00A3156D">
        <w:rPr>
          <w:rFonts w:ascii="Arial" w:hAnsi="Arial" w:cs="Arial"/>
        </w:rPr>
        <w:t>,</w:t>
      </w:r>
      <w:r w:rsidR="00337A8A">
        <w:rPr>
          <w:rFonts w:ascii="Arial" w:hAnsi="Arial" w:cs="Arial"/>
        </w:rPr>
        <w:t>764,672</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p>
    <w:p w:rsidR="00C065F1" w:rsidRDefault="00C065F1">
      <w:pPr>
        <w:spacing w:before="0"/>
        <w:rPr>
          <w:rFonts w:ascii="Arial" w:hAnsi="Arial" w:cs="Arial"/>
        </w:rPr>
      </w:pPr>
      <w:r w:rsidRPr="00A92ADF">
        <w:rPr>
          <w:rFonts w:ascii="Arial" w:hAnsi="Arial" w:cs="Arial"/>
          <w:b/>
        </w:rPr>
        <w:t>15.</w:t>
      </w:r>
      <w:r w:rsidRPr="00A92ADF">
        <w:rPr>
          <w:rFonts w:ascii="Arial" w:hAnsi="Arial" w:cs="Arial"/>
        </w:rPr>
        <w:t xml:space="preserve">  </w:t>
      </w:r>
      <w:r w:rsidRPr="00A92ADF">
        <w:rPr>
          <w:rFonts w:ascii="Arial" w:hAnsi="Arial" w:cs="Arial"/>
          <w:b/>
        </w:rPr>
        <w:t>Explain reasons for program changes or adjustments reported in Item</w:t>
      </w:r>
      <w:r w:rsidR="00276C31">
        <w:rPr>
          <w:rFonts w:ascii="Arial" w:hAnsi="Arial" w:cs="Arial"/>
          <w:b/>
        </w:rPr>
        <w:t>s</w:t>
      </w:r>
      <w:r w:rsidRPr="00A92ADF">
        <w:rPr>
          <w:rFonts w:ascii="Arial" w:hAnsi="Arial" w:cs="Arial"/>
          <w:b/>
        </w:rPr>
        <w:t xml:space="preserve"> 13 or 14</w:t>
      </w:r>
      <w:r w:rsidRPr="00A92ADF">
        <w:rPr>
          <w:rFonts w:ascii="Arial" w:hAnsi="Arial" w:cs="Arial"/>
        </w:rPr>
        <w:t xml:space="preserve">.  </w:t>
      </w:r>
      <w:r w:rsidR="00B86D36">
        <w:rPr>
          <w:rFonts w:ascii="Arial" w:hAnsi="Arial" w:cs="Arial"/>
        </w:rPr>
        <w:t xml:space="preserve">The </w:t>
      </w:r>
      <w:r w:rsidR="00CD3467">
        <w:rPr>
          <w:rFonts w:ascii="Arial" w:hAnsi="Arial" w:cs="Arial"/>
        </w:rPr>
        <w:t xml:space="preserve">total number of burden hours </w:t>
      </w:r>
      <w:r w:rsidR="001164DC">
        <w:rPr>
          <w:rFonts w:ascii="Arial" w:hAnsi="Arial" w:cs="Arial"/>
        </w:rPr>
        <w:t>decreased</w:t>
      </w:r>
      <w:r w:rsidR="00CD3467">
        <w:rPr>
          <w:rFonts w:ascii="Arial" w:hAnsi="Arial" w:cs="Arial"/>
        </w:rPr>
        <w:t xml:space="preserve"> due to re-calculation</w:t>
      </w:r>
      <w:r w:rsidR="00897BEC">
        <w:rPr>
          <w:rFonts w:ascii="Arial" w:hAnsi="Arial" w:cs="Arial"/>
        </w:rPr>
        <w:t xml:space="preserve"> of the new</w:t>
      </w:r>
      <w:r w:rsidR="009F2A9E">
        <w:rPr>
          <w:rFonts w:ascii="Arial" w:hAnsi="Arial" w:cs="Arial"/>
        </w:rPr>
        <w:t xml:space="preserve"> estimated</w:t>
      </w:r>
      <w:r w:rsidR="00897BEC">
        <w:rPr>
          <w:rFonts w:ascii="Arial" w:hAnsi="Arial" w:cs="Arial"/>
        </w:rPr>
        <w:t xml:space="preserve"> burden hours</w:t>
      </w:r>
      <w:r w:rsidR="00F82A8D">
        <w:rPr>
          <w:rFonts w:ascii="Arial" w:hAnsi="Arial" w:cs="Arial"/>
        </w:rPr>
        <w:t xml:space="preserve"> using more current Federal-wide award data</w:t>
      </w:r>
      <w:r w:rsidRPr="00A92ADF">
        <w:rPr>
          <w:rFonts w:ascii="Arial" w:hAnsi="Arial" w:cs="Arial"/>
        </w:rPr>
        <w:t>.</w:t>
      </w:r>
      <w:r w:rsidR="00CD3467">
        <w:rPr>
          <w:rFonts w:ascii="Arial" w:hAnsi="Arial" w:cs="Arial"/>
        </w:rPr>
        <w:t xml:space="preserve">  The new</w:t>
      </w:r>
      <w:r w:rsidR="009F2A9E">
        <w:rPr>
          <w:rFonts w:ascii="Arial" w:hAnsi="Arial" w:cs="Arial"/>
        </w:rPr>
        <w:t xml:space="preserve"> estimate</w:t>
      </w:r>
      <w:r w:rsidR="00CD3467">
        <w:rPr>
          <w:rFonts w:ascii="Arial" w:hAnsi="Arial" w:cs="Arial"/>
        </w:rPr>
        <w:t xml:space="preserve"> was derived by using data from FPDS</w:t>
      </w:r>
      <w:r w:rsidR="00337A8A">
        <w:rPr>
          <w:rFonts w:ascii="Arial" w:hAnsi="Arial" w:cs="Arial"/>
        </w:rPr>
        <w:t xml:space="preserve"> for FY 2016</w:t>
      </w:r>
      <w:r w:rsidR="00CD3467">
        <w:rPr>
          <w:rFonts w:ascii="Arial" w:hAnsi="Arial" w:cs="Arial"/>
        </w:rPr>
        <w:t>.</w:t>
      </w:r>
      <w:r w:rsidR="00337A8A">
        <w:rPr>
          <w:rFonts w:ascii="Arial" w:hAnsi="Arial" w:cs="Arial"/>
        </w:rPr>
        <w:t xml:space="preserve">  Current year</w:t>
      </w:r>
      <w:r w:rsidR="00F82A8D">
        <w:rPr>
          <w:rFonts w:ascii="Arial" w:hAnsi="Arial" w:cs="Arial"/>
        </w:rPr>
        <w:t xml:space="preserve"> 2017</w:t>
      </w:r>
      <w:r w:rsidR="00337A8A">
        <w:rPr>
          <w:rFonts w:ascii="Arial" w:hAnsi="Arial" w:cs="Arial"/>
        </w:rPr>
        <w:t xml:space="preserve"> OPM GS hourly salary rates for rest of the United States</w:t>
      </w:r>
      <w:r w:rsidR="00F82A8D">
        <w:rPr>
          <w:rFonts w:ascii="Arial" w:hAnsi="Arial" w:cs="Arial"/>
        </w:rPr>
        <w:t xml:space="preserve"> were used to determine the average wage rate</w:t>
      </w:r>
      <w:r w:rsidR="00337A8A">
        <w:rPr>
          <w:rFonts w:ascii="Arial" w:hAnsi="Arial" w:cs="Arial"/>
        </w:rPr>
        <w:t>.</w:t>
      </w:r>
      <w:r w:rsidR="00CD3467">
        <w:rPr>
          <w:rFonts w:ascii="Arial" w:hAnsi="Arial" w:cs="Arial"/>
        </w:rPr>
        <w:t xml:space="preserve">  </w:t>
      </w:r>
      <w:r w:rsidR="0020575C">
        <w:rPr>
          <w:rFonts w:ascii="Arial" w:hAnsi="Arial" w:cs="Arial"/>
        </w:rPr>
        <w:t>Change in burden is shown in the following table.</w:t>
      </w:r>
    </w:p>
    <w:p w:rsidR="0020575C" w:rsidRDefault="0020575C">
      <w:pPr>
        <w:spacing w:before="0"/>
        <w:rPr>
          <w:rFonts w:ascii="Arial" w:hAnsi="Arial" w:cs="Arial"/>
        </w:rPr>
      </w:pPr>
    </w:p>
    <w:p w:rsidR="00C065F1" w:rsidRPr="00A92ADF" w:rsidRDefault="0020575C">
      <w:pPr>
        <w:spacing w:before="0"/>
        <w:rPr>
          <w:rFonts w:ascii="Arial" w:hAnsi="Arial" w:cs="Arial"/>
        </w:rPr>
      </w:pPr>
      <w:r w:rsidRPr="0020575C">
        <w:rPr>
          <w:noProof/>
        </w:rPr>
        <w:drawing>
          <wp:anchor distT="0" distB="0" distL="114300" distR="114300" simplePos="0" relativeHeight="251658240" behindDoc="0" locked="0" layoutInCell="1" allowOverlap="1" wp14:anchorId="45C141C5" wp14:editId="220507A6">
            <wp:simplePos x="914400" y="3540125"/>
            <wp:positionH relativeFrom="column">
              <wp:align>left</wp:align>
            </wp:positionH>
            <wp:positionV relativeFrom="paragraph">
              <wp:align>top</wp:align>
            </wp:positionV>
            <wp:extent cx="4802505" cy="20516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2505" cy="2051685"/>
                    </a:xfrm>
                    <a:prstGeom prst="rect">
                      <a:avLst/>
                    </a:prstGeom>
                    <a:noFill/>
                    <a:ln>
                      <a:noFill/>
                    </a:ln>
                  </pic:spPr>
                </pic:pic>
              </a:graphicData>
            </a:graphic>
          </wp:anchor>
        </w:drawing>
      </w:r>
      <w:r>
        <w:rPr>
          <w:rFonts w:ascii="Arial" w:hAnsi="Arial" w:cs="Arial"/>
        </w:rPr>
        <w:br w:type="textWrapping" w:clear="all"/>
      </w:r>
    </w:p>
    <w:p w:rsidR="00C065F1" w:rsidRPr="00A92ADF" w:rsidRDefault="00C065F1">
      <w:pPr>
        <w:spacing w:before="0"/>
        <w:rPr>
          <w:rFonts w:ascii="Arial" w:hAnsi="Arial" w:cs="Arial"/>
        </w:rPr>
      </w:pPr>
      <w:r w:rsidRPr="00A92ADF">
        <w:rPr>
          <w:rFonts w:ascii="Arial" w:hAnsi="Arial" w:cs="Arial"/>
          <w:b/>
        </w:rPr>
        <w:t>16.</w:t>
      </w:r>
      <w:r w:rsidRPr="00A92ADF">
        <w:rPr>
          <w:rFonts w:ascii="Arial" w:hAnsi="Arial" w:cs="Arial"/>
        </w:rPr>
        <w:t xml:space="preserve">  </w:t>
      </w:r>
      <w:r w:rsidRPr="00A92ADF">
        <w:rPr>
          <w:rFonts w:ascii="Arial" w:hAnsi="Arial" w:cs="Arial"/>
          <w:b/>
        </w:rPr>
        <w:t>Outline plans for published results of information collections.</w:t>
      </w:r>
      <w:r w:rsidRPr="00A92ADF">
        <w:rPr>
          <w:rFonts w:ascii="Arial" w:hAnsi="Arial" w:cs="Arial"/>
        </w:rPr>
        <w:t xml:space="preserve">  Results will not be tabulated or published.</w:t>
      </w:r>
    </w:p>
    <w:p w:rsidR="00C065F1" w:rsidRPr="00A92ADF" w:rsidRDefault="00C065F1">
      <w:pPr>
        <w:rPr>
          <w:rFonts w:ascii="Arial" w:hAnsi="Arial" w:cs="Arial"/>
        </w:rPr>
      </w:pPr>
      <w:r w:rsidRPr="00A92ADF">
        <w:rPr>
          <w:rFonts w:ascii="Arial" w:hAnsi="Arial" w:cs="Arial"/>
          <w:b/>
        </w:rPr>
        <w:t>17.</w:t>
      </w:r>
      <w:r w:rsidRPr="00A92ADF">
        <w:rPr>
          <w:rFonts w:ascii="Arial" w:hAnsi="Arial" w:cs="Arial"/>
        </w:rPr>
        <w:t xml:space="preserve">  </w:t>
      </w:r>
      <w:r w:rsidRPr="00A92ADF">
        <w:rPr>
          <w:rFonts w:ascii="Arial" w:hAnsi="Arial" w:cs="Arial"/>
          <w:b/>
        </w:rPr>
        <w:t>Approval not to display expiration date</w:t>
      </w:r>
      <w:r w:rsidRPr="00A92ADF">
        <w:rPr>
          <w:rFonts w:ascii="Arial" w:hAnsi="Arial" w:cs="Arial"/>
        </w:rPr>
        <w:t>.  Not applicable.</w:t>
      </w:r>
    </w:p>
    <w:p w:rsidR="00C065F1" w:rsidRDefault="00C065F1">
      <w:pPr>
        <w:rPr>
          <w:rFonts w:ascii="Arial" w:hAnsi="Arial" w:cs="Arial"/>
        </w:rPr>
      </w:pPr>
      <w:r w:rsidRPr="00A92ADF">
        <w:rPr>
          <w:rFonts w:ascii="Arial" w:hAnsi="Arial" w:cs="Arial"/>
          <w:b/>
        </w:rPr>
        <w:t>18.</w:t>
      </w:r>
      <w:r w:rsidRPr="00A92ADF">
        <w:rPr>
          <w:rFonts w:ascii="Arial" w:hAnsi="Arial" w:cs="Arial"/>
        </w:rPr>
        <w:t xml:space="preserve">  </w:t>
      </w:r>
      <w:r w:rsidRPr="00A92ADF">
        <w:rPr>
          <w:rFonts w:ascii="Arial" w:hAnsi="Arial" w:cs="Arial"/>
          <w:b/>
        </w:rPr>
        <w:t>Explanation of exception to certification statement</w:t>
      </w:r>
      <w:r w:rsidRPr="00A92ADF">
        <w:rPr>
          <w:rFonts w:ascii="Arial" w:hAnsi="Arial" w:cs="Arial"/>
        </w:rPr>
        <w:t>.  Not applicable.</w:t>
      </w:r>
    </w:p>
    <w:p w:rsidR="00C065F1" w:rsidRDefault="00C065F1">
      <w:pPr>
        <w:spacing w:before="0"/>
        <w:rPr>
          <w:rFonts w:ascii="Arial" w:hAnsi="Arial" w:cs="Arial"/>
        </w:rPr>
      </w:pPr>
    </w:p>
    <w:p w:rsidR="00C77739" w:rsidRPr="00C77739" w:rsidRDefault="00C77739" w:rsidP="00C77739">
      <w:pPr>
        <w:numPr>
          <w:ilvl w:val="0"/>
          <w:numId w:val="1"/>
        </w:numPr>
        <w:tabs>
          <w:tab w:val="clear" w:pos="560"/>
          <w:tab w:val="clear" w:pos="1120"/>
          <w:tab w:val="clear" w:pos="1680"/>
          <w:tab w:val="clear" w:pos="2240"/>
          <w:tab w:val="left" w:pos="720"/>
        </w:tabs>
        <w:overflowPunct w:val="0"/>
        <w:autoSpaceDE w:val="0"/>
        <w:autoSpaceDN w:val="0"/>
        <w:adjustRightInd w:val="0"/>
        <w:spacing w:before="0" w:line="240" w:lineRule="auto"/>
        <w:textAlignment w:val="baseline"/>
        <w:rPr>
          <w:rFonts w:ascii="Arial" w:hAnsi="Arial" w:cs="Arial"/>
          <w:b/>
        </w:rPr>
      </w:pPr>
      <w:r w:rsidRPr="00C77739">
        <w:rPr>
          <w:rFonts w:ascii="Arial" w:hAnsi="Arial" w:cs="Arial"/>
          <w:b/>
        </w:rPr>
        <w:t>Collection of Information Employing Statistical Methods.</w:t>
      </w:r>
    </w:p>
    <w:p w:rsidR="00C77739" w:rsidRPr="00C77739" w:rsidRDefault="00C77739" w:rsidP="00C77739">
      <w:pPr>
        <w:rPr>
          <w:rFonts w:ascii="Arial" w:hAnsi="Arial" w:cs="Arial"/>
        </w:rPr>
      </w:pPr>
      <w:r w:rsidRPr="00C77739">
        <w:rPr>
          <w:rFonts w:ascii="Arial" w:hAnsi="Arial" w:cs="Arial"/>
        </w:rPr>
        <w:t>Statistical methods are not used in this information collection.</w:t>
      </w:r>
    </w:p>
    <w:p w:rsidR="00C77739" w:rsidRPr="00C77739" w:rsidRDefault="00C77739" w:rsidP="00C77739">
      <w:pPr>
        <w:rPr>
          <w:rFonts w:ascii="Arial" w:hAnsi="Arial" w:cs="Arial"/>
        </w:rPr>
      </w:pPr>
    </w:p>
    <w:p w:rsidR="00C065F1" w:rsidRPr="00A92ADF" w:rsidRDefault="00C065F1">
      <w:pPr>
        <w:spacing w:before="0"/>
        <w:rPr>
          <w:rFonts w:ascii="Arial" w:hAnsi="Arial" w:cs="Arial"/>
        </w:rPr>
      </w:pPr>
    </w:p>
    <w:sectPr w:rsidR="00C065F1" w:rsidRPr="00A92ADF" w:rsidSect="00943CED">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67" w:rsidRDefault="00CD3467">
      <w:r>
        <w:separator/>
      </w:r>
    </w:p>
  </w:endnote>
  <w:endnote w:type="continuationSeparator" w:id="0">
    <w:p w:rsidR="00CD3467" w:rsidRDefault="00CD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67" w:rsidRDefault="00CD3467">
    <w:pPr>
      <w:pStyle w:val="Footer"/>
      <w:framePr w:wrap="auto" w:vAnchor="text" w:hAnchor="margin" w:xAlign="center" w:y="1"/>
      <w:rPr>
        <w:rStyle w:val="PageNumber"/>
      </w:rPr>
    </w:pPr>
  </w:p>
  <w:p w:rsidR="00CD3467" w:rsidRPr="00C14D8D" w:rsidRDefault="00214946" w:rsidP="00C14D8D">
    <w:pPr>
      <w:pStyle w:val="Footer"/>
      <w:spacing w:line="240" w:lineRule="auto"/>
      <w:jc w:val="center"/>
      <w:rPr>
        <w:rStyle w:val="PageNumber"/>
        <w:sz w:val="20"/>
      </w:rPr>
    </w:pPr>
    <w:r w:rsidRPr="00C14D8D">
      <w:rPr>
        <w:rStyle w:val="PageNumber"/>
        <w:sz w:val="20"/>
      </w:rPr>
      <w:fldChar w:fldCharType="begin"/>
    </w:r>
    <w:r w:rsidR="00CD3467" w:rsidRPr="00C14D8D">
      <w:rPr>
        <w:rStyle w:val="PageNumber"/>
        <w:sz w:val="20"/>
      </w:rPr>
      <w:instrText xml:space="preserve"> PAGE </w:instrText>
    </w:r>
    <w:r w:rsidRPr="00C14D8D">
      <w:rPr>
        <w:rStyle w:val="PageNumber"/>
        <w:sz w:val="20"/>
      </w:rPr>
      <w:fldChar w:fldCharType="separate"/>
    </w:r>
    <w:r w:rsidR="00D85916">
      <w:rPr>
        <w:rStyle w:val="PageNumber"/>
        <w:noProof/>
        <w:sz w:val="20"/>
      </w:rPr>
      <w:t>2</w:t>
    </w:r>
    <w:r w:rsidRPr="00C14D8D">
      <w:rPr>
        <w:rStyle w:val="PageNumber"/>
        <w:sz w:val="20"/>
      </w:rPr>
      <w:fldChar w:fldCharType="end"/>
    </w:r>
    <w:r w:rsidR="00CD3467" w:rsidRPr="00C14D8D">
      <w:rPr>
        <w:rStyle w:val="PageNumber"/>
        <w:sz w:val="20"/>
      </w:rPr>
      <w:t xml:space="preserve"> of </w:t>
    </w:r>
    <w:r w:rsidRPr="00C14D8D">
      <w:rPr>
        <w:rStyle w:val="PageNumber"/>
        <w:sz w:val="20"/>
      </w:rPr>
      <w:fldChar w:fldCharType="begin"/>
    </w:r>
    <w:r w:rsidR="00CD3467" w:rsidRPr="00C14D8D">
      <w:rPr>
        <w:rStyle w:val="PageNumber"/>
        <w:sz w:val="20"/>
      </w:rPr>
      <w:instrText xml:space="preserve"> NUMPAGES </w:instrText>
    </w:r>
    <w:r w:rsidRPr="00C14D8D">
      <w:rPr>
        <w:rStyle w:val="PageNumber"/>
        <w:sz w:val="20"/>
      </w:rPr>
      <w:fldChar w:fldCharType="separate"/>
    </w:r>
    <w:r w:rsidR="00D85916">
      <w:rPr>
        <w:rStyle w:val="PageNumber"/>
        <w:noProof/>
        <w:sz w:val="20"/>
      </w:rPr>
      <w:t>2</w:t>
    </w:r>
    <w:r w:rsidRPr="00C14D8D">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67" w:rsidRDefault="00CD3467">
      <w:r>
        <w:separator/>
      </w:r>
    </w:p>
  </w:footnote>
  <w:footnote w:type="continuationSeparator" w:id="0">
    <w:p w:rsidR="00CD3467" w:rsidRDefault="00CD3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F6FFD"/>
    <w:multiLevelType w:val="singleLevel"/>
    <w:tmpl w:val="31D6254A"/>
    <w:lvl w:ilvl="0">
      <w:start w:val="2"/>
      <w:numFmt w:val="upperLetter"/>
      <w:lvlText w:val="%1."/>
      <w:legacy w:legacy="1" w:legacySpace="0" w:legacyIndent="720"/>
      <w:lvlJc w:val="left"/>
      <w:pPr>
        <w:ind w:left="720"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verstme">
    <w15:presenceInfo w15:providerId="None" w15:userId="overst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35"/>
    <w:rsid w:val="00021219"/>
    <w:rsid w:val="000819DA"/>
    <w:rsid w:val="00106205"/>
    <w:rsid w:val="001164DC"/>
    <w:rsid w:val="0012062F"/>
    <w:rsid w:val="00153AB0"/>
    <w:rsid w:val="00164E6F"/>
    <w:rsid w:val="00174082"/>
    <w:rsid w:val="001829CC"/>
    <w:rsid w:val="001A7643"/>
    <w:rsid w:val="001C67D8"/>
    <w:rsid w:val="002042EA"/>
    <w:rsid w:val="0020575C"/>
    <w:rsid w:val="00214946"/>
    <w:rsid w:val="0023523D"/>
    <w:rsid w:val="00276C31"/>
    <w:rsid w:val="002A362D"/>
    <w:rsid w:val="002B0158"/>
    <w:rsid w:val="002B5F26"/>
    <w:rsid w:val="00322124"/>
    <w:rsid w:val="00331AF3"/>
    <w:rsid w:val="00337A8A"/>
    <w:rsid w:val="00392052"/>
    <w:rsid w:val="00392160"/>
    <w:rsid w:val="003A6DF8"/>
    <w:rsid w:val="003D02AE"/>
    <w:rsid w:val="003F0CB6"/>
    <w:rsid w:val="00433A85"/>
    <w:rsid w:val="00471B15"/>
    <w:rsid w:val="004A184C"/>
    <w:rsid w:val="004D4725"/>
    <w:rsid w:val="004F113B"/>
    <w:rsid w:val="004F225B"/>
    <w:rsid w:val="004F4E64"/>
    <w:rsid w:val="00546716"/>
    <w:rsid w:val="005575E6"/>
    <w:rsid w:val="00582D52"/>
    <w:rsid w:val="005C09E2"/>
    <w:rsid w:val="005E47B0"/>
    <w:rsid w:val="00627DDE"/>
    <w:rsid w:val="00641D05"/>
    <w:rsid w:val="006B7693"/>
    <w:rsid w:val="006C63FC"/>
    <w:rsid w:val="00725A82"/>
    <w:rsid w:val="0079066A"/>
    <w:rsid w:val="007B030D"/>
    <w:rsid w:val="007C289D"/>
    <w:rsid w:val="0081449C"/>
    <w:rsid w:val="008536B7"/>
    <w:rsid w:val="00897BEC"/>
    <w:rsid w:val="008A45BE"/>
    <w:rsid w:val="008A7C7D"/>
    <w:rsid w:val="008C3633"/>
    <w:rsid w:val="008E7068"/>
    <w:rsid w:val="0091180C"/>
    <w:rsid w:val="0093329D"/>
    <w:rsid w:val="00943CED"/>
    <w:rsid w:val="0094416E"/>
    <w:rsid w:val="00991CA0"/>
    <w:rsid w:val="009F2A9E"/>
    <w:rsid w:val="00A2399A"/>
    <w:rsid w:val="00A3156D"/>
    <w:rsid w:val="00A37A0B"/>
    <w:rsid w:val="00A5241C"/>
    <w:rsid w:val="00A92ADF"/>
    <w:rsid w:val="00AD7258"/>
    <w:rsid w:val="00B74FEB"/>
    <w:rsid w:val="00B86D36"/>
    <w:rsid w:val="00BB0A31"/>
    <w:rsid w:val="00BF55E2"/>
    <w:rsid w:val="00C065F1"/>
    <w:rsid w:val="00C107FF"/>
    <w:rsid w:val="00C14D8D"/>
    <w:rsid w:val="00C402A7"/>
    <w:rsid w:val="00C75060"/>
    <w:rsid w:val="00C77739"/>
    <w:rsid w:val="00CA0578"/>
    <w:rsid w:val="00CB138F"/>
    <w:rsid w:val="00CD3467"/>
    <w:rsid w:val="00D07C68"/>
    <w:rsid w:val="00D551D0"/>
    <w:rsid w:val="00D85916"/>
    <w:rsid w:val="00DB2177"/>
    <w:rsid w:val="00DB3332"/>
    <w:rsid w:val="00DB5941"/>
    <w:rsid w:val="00DC6ADC"/>
    <w:rsid w:val="00DE51ED"/>
    <w:rsid w:val="00DF1D5F"/>
    <w:rsid w:val="00E369A8"/>
    <w:rsid w:val="00E43F3C"/>
    <w:rsid w:val="00EB4635"/>
    <w:rsid w:val="00ED630A"/>
    <w:rsid w:val="00EE22F5"/>
    <w:rsid w:val="00F41918"/>
    <w:rsid w:val="00F82A8D"/>
    <w:rsid w:val="00FD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ED"/>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943CED"/>
    <w:pPr>
      <w:outlineLvl w:val="0"/>
    </w:pPr>
    <w:rPr>
      <w:rFonts w:ascii="Helvetica" w:hAnsi="Helvetica"/>
      <w:b/>
      <w:u w:val="single"/>
    </w:rPr>
  </w:style>
  <w:style w:type="paragraph" w:styleId="Heading2">
    <w:name w:val="heading 2"/>
    <w:basedOn w:val="Normal"/>
    <w:next w:val="Normal"/>
    <w:qFormat/>
    <w:rsid w:val="00943CED"/>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43CED"/>
    <w:rPr>
      <w:rFonts w:ascii="Courier" w:hAnsi="Courier"/>
    </w:rPr>
  </w:style>
  <w:style w:type="paragraph" w:customStyle="1" w:styleId="FRi">
    <w:name w:val="FR(i)"/>
    <w:basedOn w:val="Normal"/>
    <w:rsid w:val="00943CED"/>
    <w:pPr>
      <w:tabs>
        <w:tab w:val="clear" w:pos="560"/>
        <w:tab w:val="clear" w:pos="1120"/>
      </w:tabs>
    </w:pPr>
  </w:style>
  <w:style w:type="paragraph" w:customStyle="1" w:styleId="FAR">
    <w:name w:val="FAR"/>
    <w:basedOn w:val="Normal"/>
    <w:rsid w:val="00943CED"/>
    <w:pPr>
      <w:tabs>
        <w:tab w:val="left" w:pos="240"/>
        <w:tab w:val="left" w:pos="480"/>
        <w:tab w:val="left" w:pos="720"/>
        <w:tab w:val="left" w:pos="960"/>
      </w:tabs>
    </w:pPr>
    <w:rPr>
      <w:rFonts w:ascii="Times" w:hAnsi="Times"/>
      <w:sz w:val="20"/>
    </w:rPr>
  </w:style>
  <w:style w:type="paragraph" w:customStyle="1" w:styleId="FRA">
    <w:name w:val="FR(A)"/>
    <w:basedOn w:val="Normal"/>
    <w:rsid w:val="00943CED"/>
    <w:pPr>
      <w:tabs>
        <w:tab w:val="clear" w:pos="560"/>
        <w:tab w:val="clear" w:pos="1120"/>
        <w:tab w:val="clear" w:pos="1680"/>
      </w:tabs>
    </w:pPr>
  </w:style>
  <w:style w:type="paragraph" w:customStyle="1" w:styleId="FR1">
    <w:name w:val="FR(1)"/>
    <w:basedOn w:val="Normal"/>
    <w:rsid w:val="00943CED"/>
    <w:pPr>
      <w:tabs>
        <w:tab w:val="clear" w:pos="560"/>
      </w:tabs>
    </w:pPr>
  </w:style>
  <w:style w:type="paragraph" w:customStyle="1" w:styleId="memoheader">
    <w:name w:val="memo header"/>
    <w:basedOn w:val="Normal"/>
    <w:rsid w:val="00943CED"/>
    <w:pPr>
      <w:tabs>
        <w:tab w:val="clear" w:pos="560"/>
        <w:tab w:val="clear" w:pos="1120"/>
        <w:tab w:val="clear" w:pos="1680"/>
        <w:tab w:val="clear" w:pos="2240"/>
      </w:tabs>
      <w:spacing w:before="0"/>
      <w:ind w:left="2700" w:hanging="2700"/>
    </w:pPr>
  </w:style>
  <w:style w:type="paragraph" w:styleId="Footer">
    <w:name w:val="footer"/>
    <w:basedOn w:val="Normal"/>
    <w:rsid w:val="00943CED"/>
    <w:pPr>
      <w:tabs>
        <w:tab w:val="clear" w:pos="560"/>
        <w:tab w:val="clear" w:pos="1120"/>
        <w:tab w:val="clear" w:pos="1680"/>
        <w:tab w:val="clear" w:pos="2240"/>
        <w:tab w:val="center" w:pos="4320"/>
        <w:tab w:val="right" w:pos="8640"/>
      </w:tabs>
    </w:pPr>
  </w:style>
  <w:style w:type="paragraph" w:styleId="Header">
    <w:name w:val="header"/>
    <w:basedOn w:val="Normal"/>
    <w:rsid w:val="00C14D8D"/>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79066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9066A"/>
    <w:rPr>
      <w:rFonts w:ascii="Tahoma" w:hAnsi="Tahoma" w:cs="Tahoma"/>
      <w:sz w:val="16"/>
      <w:szCs w:val="16"/>
    </w:rPr>
  </w:style>
  <w:style w:type="paragraph" w:styleId="FootnoteText">
    <w:name w:val="footnote text"/>
    <w:basedOn w:val="Normal"/>
    <w:link w:val="FootnoteTextChar"/>
    <w:rsid w:val="0093329D"/>
    <w:pPr>
      <w:tabs>
        <w:tab w:val="clear" w:pos="560"/>
        <w:tab w:val="clear" w:pos="1120"/>
        <w:tab w:val="clear" w:pos="1680"/>
        <w:tab w:val="clear" w:pos="2240"/>
      </w:tabs>
      <w:overflowPunct w:val="0"/>
      <w:autoSpaceDE w:val="0"/>
      <w:autoSpaceDN w:val="0"/>
      <w:adjustRightInd w:val="0"/>
      <w:spacing w:before="0" w:line="240" w:lineRule="auto"/>
      <w:textAlignment w:val="baseline"/>
    </w:pPr>
    <w:rPr>
      <w:rFonts w:ascii="Courier New" w:hAnsi="Courier New"/>
      <w:sz w:val="20"/>
    </w:rPr>
  </w:style>
  <w:style w:type="character" w:customStyle="1" w:styleId="FootnoteTextChar">
    <w:name w:val="Footnote Text Char"/>
    <w:basedOn w:val="DefaultParagraphFont"/>
    <w:link w:val="FootnoteText"/>
    <w:rsid w:val="0093329D"/>
    <w:rPr>
      <w:rFonts w:ascii="Courier New" w:hAnsi="Courier New"/>
    </w:rPr>
  </w:style>
  <w:style w:type="character" w:styleId="FootnoteReference">
    <w:name w:val="footnote reference"/>
    <w:basedOn w:val="DefaultParagraphFont"/>
    <w:rsid w:val="009332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ED"/>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943CED"/>
    <w:pPr>
      <w:outlineLvl w:val="0"/>
    </w:pPr>
    <w:rPr>
      <w:rFonts w:ascii="Helvetica" w:hAnsi="Helvetica"/>
      <w:b/>
      <w:u w:val="single"/>
    </w:rPr>
  </w:style>
  <w:style w:type="paragraph" w:styleId="Heading2">
    <w:name w:val="heading 2"/>
    <w:basedOn w:val="Normal"/>
    <w:next w:val="Normal"/>
    <w:qFormat/>
    <w:rsid w:val="00943CED"/>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43CED"/>
    <w:rPr>
      <w:rFonts w:ascii="Courier" w:hAnsi="Courier"/>
    </w:rPr>
  </w:style>
  <w:style w:type="paragraph" w:customStyle="1" w:styleId="FRi">
    <w:name w:val="FR(i)"/>
    <w:basedOn w:val="Normal"/>
    <w:rsid w:val="00943CED"/>
    <w:pPr>
      <w:tabs>
        <w:tab w:val="clear" w:pos="560"/>
        <w:tab w:val="clear" w:pos="1120"/>
      </w:tabs>
    </w:pPr>
  </w:style>
  <w:style w:type="paragraph" w:customStyle="1" w:styleId="FAR">
    <w:name w:val="FAR"/>
    <w:basedOn w:val="Normal"/>
    <w:rsid w:val="00943CED"/>
    <w:pPr>
      <w:tabs>
        <w:tab w:val="left" w:pos="240"/>
        <w:tab w:val="left" w:pos="480"/>
        <w:tab w:val="left" w:pos="720"/>
        <w:tab w:val="left" w:pos="960"/>
      </w:tabs>
    </w:pPr>
    <w:rPr>
      <w:rFonts w:ascii="Times" w:hAnsi="Times"/>
      <w:sz w:val="20"/>
    </w:rPr>
  </w:style>
  <w:style w:type="paragraph" w:customStyle="1" w:styleId="FRA">
    <w:name w:val="FR(A)"/>
    <w:basedOn w:val="Normal"/>
    <w:rsid w:val="00943CED"/>
    <w:pPr>
      <w:tabs>
        <w:tab w:val="clear" w:pos="560"/>
        <w:tab w:val="clear" w:pos="1120"/>
        <w:tab w:val="clear" w:pos="1680"/>
      </w:tabs>
    </w:pPr>
  </w:style>
  <w:style w:type="paragraph" w:customStyle="1" w:styleId="FR1">
    <w:name w:val="FR(1)"/>
    <w:basedOn w:val="Normal"/>
    <w:rsid w:val="00943CED"/>
    <w:pPr>
      <w:tabs>
        <w:tab w:val="clear" w:pos="560"/>
      </w:tabs>
    </w:pPr>
  </w:style>
  <w:style w:type="paragraph" w:customStyle="1" w:styleId="memoheader">
    <w:name w:val="memo header"/>
    <w:basedOn w:val="Normal"/>
    <w:rsid w:val="00943CED"/>
    <w:pPr>
      <w:tabs>
        <w:tab w:val="clear" w:pos="560"/>
        <w:tab w:val="clear" w:pos="1120"/>
        <w:tab w:val="clear" w:pos="1680"/>
        <w:tab w:val="clear" w:pos="2240"/>
      </w:tabs>
      <w:spacing w:before="0"/>
      <w:ind w:left="2700" w:hanging="2700"/>
    </w:pPr>
  </w:style>
  <w:style w:type="paragraph" w:styleId="Footer">
    <w:name w:val="footer"/>
    <w:basedOn w:val="Normal"/>
    <w:rsid w:val="00943CED"/>
    <w:pPr>
      <w:tabs>
        <w:tab w:val="clear" w:pos="560"/>
        <w:tab w:val="clear" w:pos="1120"/>
        <w:tab w:val="clear" w:pos="1680"/>
        <w:tab w:val="clear" w:pos="2240"/>
        <w:tab w:val="center" w:pos="4320"/>
        <w:tab w:val="right" w:pos="8640"/>
      </w:tabs>
    </w:pPr>
  </w:style>
  <w:style w:type="paragraph" w:styleId="Header">
    <w:name w:val="header"/>
    <w:basedOn w:val="Normal"/>
    <w:rsid w:val="00C14D8D"/>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79066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9066A"/>
    <w:rPr>
      <w:rFonts w:ascii="Tahoma" w:hAnsi="Tahoma" w:cs="Tahoma"/>
      <w:sz w:val="16"/>
      <w:szCs w:val="16"/>
    </w:rPr>
  </w:style>
  <w:style w:type="paragraph" w:styleId="FootnoteText">
    <w:name w:val="footnote text"/>
    <w:basedOn w:val="Normal"/>
    <w:link w:val="FootnoteTextChar"/>
    <w:rsid w:val="0093329D"/>
    <w:pPr>
      <w:tabs>
        <w:tab w:val="clear" w:pos="560"/>
        <w:tab w:val="clear" w:pos="1120"/>
        <w:tab w:val="clear" w:pos="1680"/>
        <w:tab w:val="clear" w:pos="2240"/>
      </w:tabs>
      <w:overflowPunct w:val="0"/>
      <w:autoSpaceDE w:val="0"/>
      <w:autoSpaceDN w:val="0"/>
      <w:adjustRightInd w:val="0"/>
      <w:spacing w:before="0" w:line="240" w:lineRule="auto"/>
      <w:textAlignment w:val="baseline"/>
    </w:pPr>
    <w:rPr>
      <w:rFonts w:ascii="Courier New" w:hAnsi="Courier New"/>
      <w:sz w:val="20"/>
    </w:rPr>
  </w:style>
  <w:style w:type="character" w:customStyle="1" w:styleId="FootnoteTextChar">
    <w:name w:val="Footnote Text Char"/>
    <w:basedOn w:val="DefaultParagraphFont"/>
    <w:link w:val="FootnoteText"/>
    <w:rsid w:val="0093329D"/>
    <w:rPr>
      <w:rFonts w:ascii="Courier New" w:hAnsi="Courier New"/>
    </w:rPr>
  </w:style>
  <w:style w:type="character" w:styleId="FootnoteReference">
    <w:name w:val="footnote reference"/>
    <w:basedOn w:val="DefaultParagraphFont"/>
    <w:rsid w:val="00933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2017-10-06T18:57:00Z</cp:lastPrinted>
  <dcterms:created xsi:type="dcterms:W3CDTF">2018-01-19T16:22:00Z</dcterms:created>
  <dcterms:modified xsi:type="dcterms:W3CDTF">2018-01-19T16:22:00Z</dcterms:modified>
</cp:coreProperties>
</file>