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5C532" w14:textId="078E36FD" w:rsidR="00171CB3" w:rsidRPr="0026636D" w:rsidRDefault="00A26337" w:rsidP="00301A19">
      <w:pPr>
        <w:widowControl w:val="0"/>
        <w:tabs>
          <w:tab w:val="center" w:pos="4680"/>
        </w:tabs>
        <w:jc w:val="center"/>
        <w:rPr>
          <w:rFonts w:ascii="Arial" w:hAnsi="Arial"/>
          <w:sz w:val="22"/>
        </w:rPr>
      </w:pPr>
      <w:bookmarkStart w:id="0" w:name="_GoBack"/>
      <w:bookmarkEnd w:id="0"/>
      <w:r>
        <w:rPr>
          <w:rFonts w:ascii="Arial" w:hAnsi="Arial"/>
          <w:sz w:val="22"/>
        </w:rPr>
        <w:t>FINAL</w:t>
      </w:r>
      <w:r w:rsidR="00404747">
        <w:rPr>
          <w:rFonts w:ascii="Arial" w:hAnsi="Arial"/>
          <w:sz w:val="22"/>
        </w:rPr>
        <w:t xml:space="preserve"> </w:t>
      </w:r>
      <w:r w:rsidR="00171CB3" w:rsidRPr="0026636D">
        <w:rPr>
          <w:rFonts w:ascii="Arial" w:hAnsi="Arial"/>
          <w:sz w:val="22"/>
        </w:rPr>
        <w:t>SUPPORTING STATEMENT FOR</w:t>
      </w:r>
    </w:p>
    <w:p w14:paraId="6C6ECC88" w14:textId="77777777" w:rsidR="00101487" w:rsidRDefault="00384E03" w:rsidP="001414F8">
      <w:pPr>
        <w:tabs>
          <w:tab w:val="center" w:pos="4680"/>
        </w:tabs>
        <w:jc w:val="center"/>
        <w:rPr>
          <w:rFonts w:ascii="Arial" w:hAnsi="Arial"/>
          <w:sz w:val="22"/>
        </w:rPr>
      </w:pPr>
      <w:r>
        <w:rPr>
          <w:rFonts w:ascii="Arial" w:hAnsi="Arial"/>
          <w:sz w:val="22"/>
        </w:rPr>
        <w:t>10 CFR PART 50</w:t>
      </w:r>
    </w:p>
    <w:p w14:paraId="74C8E7D2" w14:textId="77777777" w:rsidR="003D4BDD" w:rsidRPr="00151C6A" w:rsidRDefault="003D4BDD" w:rsidP="003D4BDD">
      <w:pPr>
        <w:tabs>
          <w:tab w:val="center" w:pos="4680"/>
        </w:tabs>
        <w:jc w:val="center"/>
        <w:rPr>
          <w:rFonts w:ascii="Arial" w:hAnsi="Arial" w:cs="Arial"/>
          <w:color w:val="000000"/>
          <w:sz w:val="22"/>
          <w:szCs w:val="22"/>
        </w:rPr>
      </w:pPr>
      <w:r w:rsidRPr="00151C6A">
        <w:rPr>
          <w:rFonts w:ascii="Arial" w:hAnsi="Arial" w:cs="Arial"/>
          <w:color w:val="000000"/>
          <w:sz w:val="22"/>
          <w:szCs w:val="22"/>
        </w:rPr>
        <w:t>INSPECTIONS, RECORDS, REPORTS, NOTIFICATIONS</w:t>
      </w:r>
    </w:p>
    <w:p w14:paraId="5A725FE5" w14:textId="77777777" w:rsidR="003D4BDD" w:rsidRDefault="003D4BDD" w:rsidP="003D4BDD">
      <w:pPr>
        <w:tabs>
          <w:tab w:val="center" w:pos="4680"/>
        </w:tabs>
        <w:jc w:val="center"/>
        <w:rPr>
          <w:rFonts w:ascii="Arial" w:hAnsi="Arial" w:cs="Arial"/>
          <w:sz w:val="22"/>
          <w:szCs w:val="22"/>
        </w:rPr>
      </w:pPr>
      <w:r>
        <w:rPr>
          <w:rFonts w:ascii="Arial" w:hAnsi="Arial" w:cs="Arial"/>
          <w:sz w:val="22"/>
          <w:szCs w:val="22"/>
        </w:rPr>
        <w:t>SECTION 4</w:t>
      </w:r>
    </w:p>
    <w:p w14:paraId="70D5B0BA" w14:textId="77777777" w:rsidR="003D4BDD" w:rsidRPr="00CB4CEA" w:rsidRDefault="003D4BDD" w:rsidP="003D4BDD">
      <w:pPr>
        <w:tabs>
          <w:tab w:val="center" w:pos="4680"/>
        </w:tabs>
        <w:jc w:val="center"/>
        <w:rPr>
          <w:rFonts w:ascii="Arial" w:hAnsi="Arial" w:cs="Arial"/>
          <w:sz w:val="22"/>
          <w:szCs w:val="22"/>
        </w:rPr>
      </w:pPr>
    </w:p>
    <w:p w14:paraId="50E9B5EC" w14:textId="22C65110"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50.71(b)</w:t>
      </w:r>
      <w:r w:rsidR="00830F48">
        <w:rPr>
          <w:rFonts w:ascii="Arial" w:hAnsi="Arial" w:cs="Arial"/>
          <w:sz w:val="22"/>
          <w:szCs w:val="22"/>
        </w:rPr>
        <w:t xml:space="preserve">, 50.76 </w:t>
      </w:r>
      <w:r w:rsidRPr="00151C6A">
        <w:rPr>
          <w:rFonts w:ascii="Arial" w:hAnsi="Arial" w:cs="Arial"/>
          <w:sz w:val="22"/>
          <w:szCs w:val="22"/>
        </w:rPr>
        <w:t>&amp; Appendix C</w:t>
      </w:r>
      <w:r w:rsidR="00830F48">
        <w:rPr>
          <w:rFonts w:ascii="Arial" w:hAnsi="Arial" w:cs="Arial"/>
          <w:sz w:val="22"/>
          <w:szCs w:val="22"/>
        </w:rPr>
        <w:t xml:space="preserve"> Section III</w:t>
      </w:r>
      <w:r w:rsidRPr="00151C6A">
        <w:rPr>
          <w:rFonts w:ascii="Arial" w:hAnsi="Arial" w:cs="Arial"/>
          <w:sz w:val="22"/>
          <w:szCs w:val="22"/>
        </w:rPr>
        <w:t>, Financial</w:t>
      </w:r>
      <w:r>
        <w:rPr>
          <w:rFonts w:ascii="Arial" w:hAnsi="Arial" w:cs="Arial"/>
          <w:sz w:val="22"/>
          <w:szCs w:val="22"/>
        </w:rPr>
        <w:t>;</w:t>
      </w:r>
    </w:p>
    <w:p w14:paraId="30F4FD5F" w14:textId="77777777"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50.71(e), Updated FSAR</w:t>
      </w:r>
      <w:r>
        <w:rPr>
          <w:rFonts w:ascii="Arial" w:hAnsi="Arial" w:cs="Arial"/>
          <w:sz w:val="22"/>
          <w:szCs w:val="22"/>
        </w:rPr>
        <w:t>;</w:t>
      </w:r>
    </w:p>
    <w:p w14:paraId="41A8E8CC" w14:textId="2D20932D"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50.72</w:t>
      </w:r>
      <w:r w:rsidR="008A46EC">
        <w:rPr>
          <w:rFonts w:ascii="Arial" w:hAnsi="Arial" w:cs="Arial"/>
          <w:sz w:val="22"/>
          <w:szCs w:val="22"/>
        </w:rPr>
        <w:t>,</w:t>
      </w:r>
      <w:r w:rsidRPr="00151C6A">
        <w:rPr>
          <w:rFonts w:ascii="Arial" w:hAnsi="Arial" w:cs="Arial"/>
          <w:sz w:val="22"/>
          <w:szCs w:val="22"/>
        </w:rPr>
        <w:t xml:space="preserve"> 50.54(z)</w:t>
      </w:r>
      <w:r w:rsidR="008A46EC">
        <w:rPr>
          <w:rFonts w:ascii="Arial" w:hAnsi="Arial" w:cs="Arial"/>
          <w:sz w:val="22"/>
          <w:szCs w:val="22"/>
        </w:rPr>
        <w:t xml:space="preserve"> &amp; </w:t>
      </w:r>
      <w:r w:rsidR="008A46EC" w:rsidRPr="00EB2774">
        <w:rPr>
          <w:rFonts w:ascii="Arial" w:hAnsi="Arial" w:cs="Arial"/>
          <w:sz w:val="22"/>
          <w:szCs w:val="22"/>
        </w:rPr>
        <w:t>Appendix E</w:t>
      </w:r>
      <w:r w:rsidRPr="00151C6A">
        <w:rPr>
          <w:rFonts w:ascii="Arial" w:hAnsi="Arial" w:cs="Arial"/>
          <w:sz w:val="22"/>
          <w:szCs w:val="22"/>
        </w:rPr>
        <w:t>, Notification of Events</w:t>
      </w:r>
      <w:r>
        <w:rPr>
          <w:rFonts w:ascii="Arial" w:hAnsi="Arial" w:cs="Arial"/>
          <w:sz w:val="22"/>
          <w:szCs w:val="22"/>
        </w:rPr>
        <w:t>;</w:t>
      </w:r>
    </w:p>
    <w:p w14:paraId="07F7B84C" w14:textId="55BB004F"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50.72(a)</w:t>
      </w:r>
      <w:r w:rsidR="00AC2D36">
        <w:rPr>
          <w:rFonts w:ascii="Arial" w:hAnsi="Arial" w:cs="Arial"/>
          <w:sz w:val="22"/>
          <w:szCs w:val="22"/>
        </w:rPr>
        <w:t xml:space="preserve"> &amp; </w:t>
      </w:r>
      <w:r w:rsidR="00AC2D36">
        <w:rPr>
          <w:rFonts w:ascii="Arial" w:hAnsi="Arial"/>
          <w:sz w:val="22"/>
        </w:rPr>
        <w:t>50 Appendix E.VI</w:t>
      </w:r>
      <w:r w:rsidRPr="00151C6A">
        <w:rPr>
          <w:rFonts w:ascii="Arial" w:hAnsi="Arial" w:cs="Arial"/>
          <w:sz w:val="22"/>
          <w:szCs w:val="22"/>
        </w:rPr>
        <w:t xml:space="preserve">, </w:t>
      </w:r>
      <w:r w:rsidR="00AC2D36">
        <w:rPr>
          <w:rFonts w:ascii="Arial" w:hAnsi="Arial" w:cs="Arial"/>
          <w:sz w:val="22"/>
          <w:szCs w:val="22"/>
        </w:rPr>
        <w:t>Emergency Response Data System</w:t>
      </w:r>
      <w:r>
        <w:rPr>
          <w:rFonts w:ascii="Arial" w:hAnsi="Arial" w:cs="Arial"/>
          <w:sz w:val="22"/>
          <w:szCs w:val="22"/>
        </w:rPr>
        <w:t>;</w:t>
      </w:r>
    </w:p>
    <w:p w14:paraId="4565FB73" w14:textId="77777777"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50.73, (LERs) - (s</w:t>
      </w:r>
      <w:r>
        <w:rPr>
          <w:rFonts w:ascii="Arial" w:hAnsi="Arial" w:cs="Arial"/>
          <w:sz w:val="22"/>
          <w:szCs w:val="22"/>
        </w:rPr>
        <w:t>ee OMB Clearance No. 3150-0104);</w:t>
      </w:r>
    </w:p>
    <w:p w14:paraId="746C3B53" w14:textId="77777777" w:rsidR="003D4BDD" w:rsidRPr="00151C6A"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50.70, Team Inspections</w:t>
      </w:r>
      <w:r>
        <w:rPr>
          <w:rFonts w:ascii="Arial" w:hAnsi="Arial" w:cs="Arial"/>
          <w:sz w:val="22"/>
          <w:szCs w:val="22"/>
        </w:rPr>
        <w:t>;</w:t>
      </w:r>
    </w:p>
    <w:p w14:paraId="772CC31B" w14:textId="7EFD8DEB" w:rsidR="003D4BDD" w:rsidRDefault="003D4BDD" w:rsidP="003D4BDD">
      <w:pPr>
        <w:widowControl w:val="0"/>
        <w:tabs>
          <w:tab w:val="center" w:pos="4680"/>
        </w:tabs>
        <w:jc w:val="center"/>
        <w:rPr>
          <w:rFonts w:ascii="Arial" w:hAnsi="Arial" w:cs="Arial"/>
          <w:sz w:val="22"/>
          <w:szCs w:val="22"/>
        </w:rPr>
      </w:pPr>
      <w:r w:rsidRPr="00151C6A">
        <w:rPr>
          <w:rFonts w:ascii="Arial" w:hAnsi="Arial" w:cs="Arial"/>
          <w:sz w:val="22"/>
          <w:szCs w:val="22"/>
        </w:rPr>
        <w:t xml:space="preserve">50.69, Risk-Informed Categorization of </w:t>
      </w:r>
      <w:r w:rsidR="004065E9">
        <w:rPr>
          <w:rFonts w:ascii="Arial" w:hAnsi="Arial" w:cs="Arial"/>
          <w:sz w:val="22"/>
          <w:szCs w:val="22"/>
        </w:rPr>
        <w:t>Structures, Systems, and Components</w:t>
      </w:r>
    </w:p>
    <w:p w14:paraId="0F2EE95D" w14:textId="77777777" w:rsidR="003D4BDD" w:rsidRDefault="003D4BDD" w:rsidP="003D4BDD">
      <w:pPr>
        <w:widowControl w:val="0"/>
        <w:tabs>
          <w:tab w:val="center" w:pos="4680"/>
        </w:tabs>
        <w:jc w:val="center"/>
        <w:rPr>
          <w:rFonts w:ascii="Arial" w:hAnsi="Arial" w:cs="Arial"/>
          <w:sz w:val="22"/>
          <w:szCs w:val="22"/>
        </w:rPr>
      </w:pPr>
    </w:p>
    <w:p w14:paraId="5FD60C95" w14:textId="718B9F30" w:rsidR="004C7D1E" w:rsidRDefault="009E5CD7" w:rsidP="00301A19">
      <w:pPr>
        <w:widowControl w:val="0"/>
        <w:tabs>
          <w:tab w:val="center" w:pos="4680"/>
        </w:tabs>
        <w:jc w:val="center"/>
        <w:rPr>
          <w:rFonts w:ascii="Arial" w:hAnsi="Arial"/>
          <w:sz w:val="22"/>
        </w:rPr>
      </w:pPr>
      <w:r>
        <w:rPr>
          <w:rFonts w:ascii="Arial" w:hAnsi="Arial"/>
          <w:sz w:val="22"/>
        </w:rPr>
        <w:t>3150-0011</w:t>
      </w:r>
    </w:p>
    <w:p w14:paraId="31AD925C"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AD4B247"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CC84C58" w14:textId="77777777" w:rsidR="00171CB3" w:rsidRDefault="00301A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14:paraId="54B5B9E3" w14:textId="77777777" w:rsidR="0035196F" w:rsidRDefault="0035196F" w:rsidP="0035196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04772E5" w14:textId="331128FC" w:rsidR="00E00BE7" w:rsidRDefault="00AC629E" w:rsidP="00E00BE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C629E">
        <w:rPr>
          <w:rFonts w:ascii="Arial" w:hAnsi="Arial"/>
          <w:sz w:val="22"/>
        </w:rPr>
        <w:t xml:space="preserve">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w:t>
      </w:r>
      <w:r w:rsidR="00E00BE7">
        <w:rPr>
          <w:rFonts w:ascii="Arial" w:hAnsi="Arial"/>
          <w:sz w:val="22"/>
        </w:rPr>
        <w:t>Once a facility has received a license, the licensee submits information and keeps records to allow the NRC to verify that</w:t>
      </w:r>
      <w:r w:rsidR="00E00BE7" w:rsidRPr="00E00BE7">
        <w:rPr>
          <w:rFonts w:ascii="Arial" w:hAnsi="Arial"/>
          <w:sz w:val="22"/>
        </w:rPr>
        <w:t xml:space="preserve"> activities are properly conducted </w:t>
      </w:r>
      <w:r w:rsidR="00E00BE7">
        <w:rPr>
          <w:rFonts w:ascii="Arial" w:hAnsi="Arial"/>
          <w:sz w:val="22"/>
        </w:rPr>
        <w:t xml:space="preserve">and </w:t>
      </w:r>
      <w:r w:rsidR="00E00BE7" w:rsidRPr="00E00BE7">
        <w:rPr>
          <w:rFonts w:ascii="Arial" w:hAnsi="Arial"/>
          <w:sz w:val="22"/>
        </w:rPr>
        <w:t>to ensure safe operations in accordance with NRC's regulations</w:t>
      </w:r>
      <w:r w:rsidR="00E00BE7">
        <w:rPr>
          <w:rFonts w:ascii="Arial" w:hAnsi="Arial"/>
          <w:sz w:val="22"/>
        </w:rPr>
        <w:t>.</w:t>
      </w:r>
    </w:p>
    <w:p w14:paraId="4E4A9F72" w14:textId="77777777" w:rsidR="00AC629E" w:rsidRDefault="00AC629E" w:rsidP="0035196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5ED5EE2" w14:textId="75EE88CD" w:rsidR="003B3F85" w:rsidRPr="0026636D" w:rsidRDefault="0035196F" w:rsidP="0035196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22B5B">
        <w:rPr>
          <w:rFonts w:ascii="Arial" w:hAnsi="Arial"/>
          <w:sz w:val="22"/>
        </w:rPr>
        <w:t>These regulations affect</w:t>
      </w:r>
      <w:r>
        <w:rPr>
          <w:rFonts w:ascii="Arial" w:hAnsi="Arial"/>
          <w:sz w:val="22"/>
        </w:rPr>
        <w:t xml:space="preserve"> 94 </w:t>
      </w:r>
      <w:r w:rsidRPr="00222B5B">
        <w:rPr>
          <w:rFonts w:ascii="Arial" w:hAnsi="Arial"/>
          <w:sz w:val="22"/>
        </w:rPr>
        <w:t xml:space="preserve">licensees for operating nuclear power plants and 31 licensees for operating research &amp; test reactors.  </w:t>
      </w:r>
      <w:r>
        <w:rPr>
          <w:rFonts w:ascii="Arial" w:hAnsi="Arial"/>
          <w:sz w:val="22"/>
        </w:rPr>
        <w:t>They also affect licensees for 2</w:t>
      </w:r>
      <w:r w:rsidRPr="00222B5B">
        <w:rPr>
          <w:rFonts w:ascii="Arial" w:hAnsi="Arial"/>
          <w:sz w:val="22"/>
        </w:rPr>
        <w:t xml:space="preserve">4 power plants and </w:t>
      </w:r>
      <w:r>
        <w:rPr>
          <w:rFonts w:ascii="Arial" w:hAnsi="Arial"/>
          <w:sz w:val="22"/>
        </w:rPr>
        <w:t>3</w:t>
      </w:r>
      <w:r w:rsidRPr="00222B5B">
        <w:rPr>
          <w:rFonts w:ascii="Arial" w:hAnsi="Arial"/>
          <w:sz w:val="22"/>
        </w:rPr>
        <w:t xml:space="preserve"> research &amp; test reactors that are </w:t>
      </w:r>
      <w:r>
        <w:rPr>
          <w:rFonts w:ascii="Arial" w:hAnsi="Arial"/>
          <w:sz w:val="22"/>
        </w:rPr>
        <w:t>currently being decommissioned and 1</w:t>
      </w:r>
      <w:r w:rsidRPr="00222B5B">
        <w:rPr>
          <w:rFonts w:ascii="Arial" w:hAnsi="Arial"/>
          <w:sz w:val="22"/>
        </w:rPr>
        <w:t xml:space="preserve"> research &amp; test reactors that currently have possession-only licenses.</w:t>
      </w:r>
      <w:r>
        <w:rPr>
          <w:rFonts w:ascii="Arial" w:hAnsi="Arial"/>
          <w:sz w:val="22"/>
        </w:rPr>
        <w:t xml:space="preserve">  Licensees must perform certain tasks, maintain records and prepare reports to demonstrate their fulfillment of regulatory requirements.  The reporting and recordkeeping requirements pertain to financial reports, including certified financial statements; periodic update of the originally submitted Final Safety Analysis Report (FSAR), (describes important structure, systems and components at a licensed site); reactor event reports</w:t>
      </w:r>
      <w:r w:rsidR="00156E98">
        <w:rPr>
          <w:rFonts w:ascii="Arial" w:hAnsi="Arial"/>
          <w:sz w:val="22"/>
        </w:rPr>
        <w:t>; electronic real-time transmittal of data during an alert or higher emergency at a nuclear power facility; copies of analyses, evaluations or documentation regarding the implementation and maintenance of the station fire protection program, including post-fire safe shutdown capability, fire protection compliance assessment, corrective actions, risk-related documents and license amendment applications.</w:t>
      </w:r>
    </w:p>
    <w:p w14:paraId="1E5DCCDC"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88D5B6" w14:textId="1A678F15" w:rsidR="00171CB3" w:rsidRDefault="00171CB3" w:rsidP="00F53709">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26636D">
        <w:rPr>
          <w:rFonts w:ascii="Arial" w:hAnsi="Arial"/>
          <w:sz w:val="22"/>
          <w:u w:val="single"/>
        </w:rPr>
        <w:t>JUSTIFICATION</w:t>
      </w:r>
    </w:p>
    <w:p w14:paraId="1B7609ED" w14:textId="77777777" w:rsidR="00F53709" w:rsidRPr="0026636D" w:rsidRDefault="00F53709" w:rsidP="00F53709">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C97622" w14:textId="77777777" w:rsidR="00F53709" w:rsidRPr="0026636D" w:rsidRDefault="00F53709" w:rsidP="00F53709">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14:paraId="0D126B14" w14:textId="77777777" w:rsidR="00171CB3"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14:paraId="62B0FA83" w14:textId="77777777" w:rsidR="005C1BFD" w:rsidRPr="0026636D" w:rsidRDefault="005C1BFD">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2A614D7" w14:textId="36F2E88B" w:rsidR="005C1BFD" w:rsidRDefault="005C1BFD" w:rsidP="00AC629E">
      <w:pPr>
        <w:pStyle w:val="ListParagraph"/>
        <w:ind w:left="1200"/>
      </w:pPr>
      <w:r>
        <w:t xml:space="preserve">“In order to determine licensee compliance with the regulations set forth in </w:t>
      </w:r>
      <w:r w:rsidR="004A1906">
        <w:t>50.71(b) &amp; Appendi</w:t>
      </w:r>
      <w:r w:rsidR="00EB0B78">
        <w:t>x C; 50.71(e); 50.72 &amp; 50.54(z),</w:t>
      </w:r>
      <w:r w:rsidR="004A1906">
        <w:t xml:space="preserve"> </w:t>
      </w:r>
      <w:r w:rsidR="00EB0B78">
        <w:t xml:space="preserve">Appendix E; </w:t>
      </w:r>
      <w:r w:rsidR="004A1906">
        <w:t xml:space="preserve">50.72(a); 50.73; 50.70; </w:t>
      </w:r>
      <w:r w:rsidR="00AC629E">
        <w:t xml:space="preserve">and </w:t>
      </w:r>
      <w:r w:rsidR="004A1906">
        <w:t>50.69</w:t>
      </w:r>
      <w:r w:rsidR="00AC629E">
        <w:t>.</w:t>
      </w:r>
      <w:r>
        <w:t>  Details of these regulations can be found at the end of this supporting statement in “Description of Requirements.”</w:t>
      </w:r>
    </w:p>
    <w:p w14:paraId="230B6191" w14:textId="77777777" w:rsidR="00301A19" w:rsidRPr="0026636D" w:rsidRDefault="00301A19" w:rsidP="00301A19">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6AABEC9"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lastRenderedPageBreak/>
        <w:t>2.</w:t>
      </w:r>
      <w:r w:rsidRPr="0026636D">
        <w:rPr>
          <w:rFonts w:ascii="Arial" w:hAnsi="Arial"/>
          <w:sz w:val="22"/>
        </w:rPr>
        <w:tab/>
      </w:r>
      <w:r w:rsidRPr="0026636D">
        <w:rPr>
          <w:rFonts w:ascii="Arial" w:hAnsi="Arial"/>
          <w:sz w:val="22"/>
          <w:u w:val="single"/>
        </w:rPr>
        <w:t xml:space="preserve">Agency Use </w:t>
      </w:r>
      <w:r w:rsidR="00301A19" w:rsidRPr="0026636D">
        <w:rPr>
          <w:rFonts w:ascii="Arial" w:hAnsi="Arial"/>
          <w:sz w:val="22"/>
          <w:u w:val="single"/>
        </w:rPr>
        <w:t>and Practical Utility of</w:t>
      </w:r>
      <w:r w:rsidRPr="0026636D">
        <w:rPr>
          <w:rFonts w:ascii="Arial" w:hAnsi="Arial"/>
          <w:sz w:val="22"/>
          <w:u w:val="single"/>
        </w:rPr>
        <w:t xml:space="preserve"> Information</w:t>
      </w:r>
      <w:r w:rsidRPr="0026636D">
        <w:rPr>
          <w:rFonts w:ascii="Arial" w:hAnsi="Arial"/>
          <w:sz w:val="22"/>
        </w:rPr>
        <w:t xml:space="preserve">  </w:t>
      </w:r>
    </w:p>
    <w:p w14:paraId="5F65E6F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ED4736A" w14:textId="77777777" w:rsidR="00C21D02" w:rsidRDefault="00C21D02" w:rsidP="00C21D0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5D19AAB4" w14:textId="77777777" w:rsidR="00C21D02" w:rsidRDefault="00C21D02" w:rsidP="00F5370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E7C63A4" w14:textId="77777777" w:rsidR="00F53709" w:rsidRDefault="00F53709" w:rsidP="00F5370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programs are adequate to protect public health and minimize danger to life and property and that licensees’ personnel are aware of and follow up on the information and steps needed to perform licensed activities in a safe manner.  The reports and recordkeeping requirements allow NRC to determine whether to take actions, such as to conduct inspections or to alert other licensees to prevent similar events that may have generic implications.</w:t>
      </w:r>
    </w:p>
    <w:p w14:paraId="740D1785" w14:textId="77777777" w:rsidR="00396E6B" w:rsidRPr="0026636D" w:rsidRDefault="00396E6B" w:rsidP="00396E6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4C3A76"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14:paraId="486B7F22"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1E810C9E" w:rsidR="00171CB3"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12"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A760AE">
        <w:rPr>
          <w:rFonts w:ascii="Arial" w:hAnsi="Arial" w:cs="Arial"/>
          <w:sz w:val="22"/>
          <w:szCs w:val="22"/>
        </w:rPr>
        <w:t>8</w:t>
      </w:r>
      <w:r w:rsidR="00025B19">
        <w:rPr>
          <w:rFonts w:ascii="Arial" w:hAnsi="Arial" w:cs="Arial"/>
          <w:sz w:val="22"/>
          <w:szCs w:val="22"/>
        </w:rPr>
        <w:t>0</w:t>
      </w:r>
      <w:r w:rsidR="00A760AE">
        <w:rPr>
          <w:rFonts w:ascii="Arial" w:hAnsi="Arial" w:cs="Arial"/>
          <w:sz w:val="22"/>
          <w:szCs w:val="22"/>
        </w:rPr>
        <w:t>%</w:t>
      </w:r>
      <w:r w:rsidRPr="00E53A6A">
        <w:rPr>
          <w:rFonts w:ascii="Arial" w:hAnsi="Arial" w:cs="Arial"/>
          <w:b/>
          <w:sz w:val="22"/>
          <w:szCs w:val="22"/>
        </w:rPr>
        <w:t xml:space="preserve"> </w:t>
      </w:r>
      <w:r w:rsidRPr="00E53A6A">
        <w:rPr>
          <w:rFonts w:ascii="Arial" w:hAnsi="Arial" w:cs="Arial"/>
          <w:sz w:val="22"/>
          <w:szCs w:val="22"/>
        </w:rPr>
        <w:t>of the responses are filed electronically.</w:t>
      </w:r>
    </w:p>
    <w:p w14:paraId="145B6E3A" w14:textId="77777777" w:rsidR="00E53A6A" w:rsidRPr="00E53A6A"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14:paraId="2D56D7A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14:paraId="5A3CFB1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77777777" w:rsidR="00171CB3" w:rsidRPr="0026636D"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EF7FBC" w:rsidRPr="0026636D">
        <w:rPr>
          <w:rFonts w:ascii="Arial" w:hAnsi="Arial"/>
          <w:sz w:val="22"/>
        </w:rPr>
        <w:t>5.</w:t>
      </w:r>
      <w:r w:rsidR="00171CB3" w:rsidRPr="0026636D">
        <w:rPr>
          <w:rFonts w:ascii="Arial" w:hAnsi="Arial"/>
          <w:sz w:val="22"/>
        </w:rPr>
        <w:tab/>
      </w:r>
      <w:r w:rsidR="00171CB3" w:rsidRPr="0026636D">
        <w:rPr>
          <w:rFonts w:ascii="Arial" w:hAnsi="Arial"/>
          <w:sz w:val="22"/>
          <w:u w:val="single"/>
        </w:rPr>
        <w:t>Effort to Reduce Small Business Burden</w:t>
      </w:r>
    </w:p>
    <w:p w14:paraId="72A5528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B5BD1FE" w14:textId="3327DECA" w:rsidR="00E92362" w:rsidRPr="00CB4CEA" w:rsidRDefault="00A760AE" w:rsidP="00A760A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Not applicable.</w:t>
      </w:r>
    </w:p>
    <w:p w14:paraId="1C93EC1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85FAD08" w14:textId="0201E27C" w:rsidR="00396E6B"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14:paraId="1D5A4E25" w14:textId="77777777" w:rsidR="00A15A02" w:rsidRDefault="00A15A0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520C1BE3" w14:textId="77777777" w:rsidR="00A15A02" w:rsidRDefault="00396E6B" w:rsidP="00A15A0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A15A02" w:rsidRPr="00545118">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r w:rsidR="00A15A02">
        <w:rPr>
          <w:rFonts w:ascii="Arial" w:hAnsi="Arial"/>
          <w:sz w:val="22"/>
        </w:rPr>
        <w:t xml:space="preserve">  If the information is not collected, NRC will not be in a position to assess whether licensees are operating within the specific safety requirements applicable to the </w:t>
      </w:r>
      <w:r w:rsidR="00A15A02" w:rsidRPr="00C83A81">
        <w:rPr>
          <w:rFonts w:ascii="Arial" w:hAnsi="Arial"/>
          <w:sz w:val="22"/>
        </w:rPr>
        <w:t xml:space="preserve">licensing and </w:t>
      </w:r>
      <w:r w:rsidR="00A15A02">
        <w:rPr>
          <w:rFonts w:ascii="Arial" w:hAnsi="Arial"/>
          <w:sz w:val="22"/>
        </w:rPr>
        <w:t>operating</w:t>
      </w:r>
      <w:r w:rsidR="00A15A02" w:rsidRPr="00C83A81">
        <w:rPr>
          <w:rFonts w:ascii="Arial" w:hAnsi="Arial"/>
          <w:sz w:val="22"/>
        </w:rPr>
        <w:t xml:space="preserve"> activities for existing nuclear power reactors and research and test reactors.</w:t>
      </w:r>
    </w:p>
    <w:p w14:paraId="3596B339" w14:textId="77777777" w:rsidR="00A15A02" w:rsidRDefault="00A15A02" w:rsidP="00A15A0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5AA20790" w14:textId="11B26AD5" w:rsidR="00171CB3" w:rsidRPr="0026636D" w:rsidRDefault="00A15A02" w:rsidP="00A15A0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t>The information and required frequency from licensees that seek to licensee and operator nuclear power reactors and research and test reactors is essential to NRC’s determination of whether the applicant has adequate equipment, training, funds and experience throughout the life of the licensee to protect the public health and safety.</w:t>
      </w:r>
    </w:p>
    <w:p w14:paraId="1508FE8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51A158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Circumstances which Justify Variation From OMB Guidelines</w:t>
      </w:r>
    </w:p>
    <w:p w14:paraId="3729A4F2" w14:textId="58C8111B" w:rsidR="00FE24DC" w:rsidRDefault="00617E41" w:rsidP="00531E2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7B311501" w14:textId="77777777" w:rsidR="005564A2" w:rsidRDefault="005564A2" w:rsidP="005564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Section 10 CFR 50.71(e)(1) </w:t>
      </w:r>
      <w:r w:rsidR="00FE24DC">
        <w:rPr>
          <w:rFonts w:ascii="Arial" w:hAnsi="Arial" w:cs="Arial"/>
          <w:sz w:val="22"/>
          <w:szCs w:val="22"/>
        </w:rPr>
        <w:t>The updated FSAR must be retained until the operating license is terminated in order for the NRC to ensure the health and safety of the public at all times, the staff must be certain of the current status of a facility's design and supporting analysis.</w:t>
      </w:r>
    </w:p>
    <w:p w14:paraId="48E45D52" w14:textId="24FFBCA1" w:rsidR="00FE24DC" w:rsidRDefault="009F6579" w:rsidP="005564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b/>
      </w:r>
      <w:r>
        <w:rPr>
          <w:rFonts w:ascii="Arial" w:hAnsi="Arial"/>
          <w:sz w:val="22"/>
        </w:rPr>
        <w:tab/>
      </w:r>
    </w:p>
    <w:p w14:paraId="2A49FE32" w14:textId="4E9AE553" w:rsidR="00584CA2" w:rsidRPr="00EB2774" w:rsidRDefault="005564A2" w:rsidP="007C4BE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Section 10 CFR 50.72(a)(1) and 10 CFR 50.72(a)(2) </w:t>
      </w:r>
      <w:r w:rsidR="00FE24DC" w:rsidRPr="00EB2774">
        <w:rPr>
          <w:rFonts w:ascii="Arial" w:hAnsi="Arial" w:cs="Arial"/>
          <w:sz w:val="22"/>
          <w:szCs w:val="22"/>
        </w:rPr>
        <w:t>Notification of significant events is needed within one to eight hours to ensure that the NRC promptly responds to situations with the potential to seriously impact public health and safety.  Additionally, it allows the NRC to be informed of significant events in order to respond to public inquiries.</w:t>
      </w:r>
    </w:p>
    <w:p w14:paraId="1E76C36D" w14:textId="77777777" w:rsidR="00FE24DC" w:rsidRPr="00EB2774" w:rsidRDefault="00FE24DC" w:rsidP="00FE24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F014D8" w14:textId="4FA83073" w:rsidR="00FA4C84" w:rsidRPr="00960C69" w:rsidRDefault="007C4BE8" w:rsidP="008E335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Section 10 CFR 50.70</w:t>
      </w:r>
      <w:r w:rsidR="008E3358">
        <w:rPr>
          <w:rFonts w:ascii="Arial" w:hAnsi="Arial"/>
          <w:sz w:val="22"/>
        </w:rPr>
        <w:t xml:space="preserve"> </w:t>
      </w:r>
      <w:r w:rsidR="00FA4C84" w:rsidRPr="00960C69">
        <w:rPr>
          <w:rFonts w:ascii="Arial" w:hAnsi="Arial" w:cs="Arial"/>
          <w:sz w:val="22"/>
          <w:szCs w:val="22"/>
        </w:rPr>
        <w:t>Normally, this information collection will not vary from OMB guidelines.  However, there may be occasions when the information will be requested in less than 30 days to ensure that the information is current.</w:t>
      </w:r>
    </w:p>
    <w:p w14:paraId="50B68FCB" w14:textId="04136390" w:rsidR="00617E41" w:rsidRPr="0026636D" w:rsidRDefault="00FA4C8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
    <w:p w14:paraId="2682FB1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14:paraId="09E8136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3D0814" w14:textId="77777777" w:rsidR="00370F9C" w:rsidRPr="00370F9C" w:rsidRDefault="00370F9C" w:rsidP="00370F9C">
      <w:pPr>
        <w:ind w:left="1200"/>
        <w:rPr>
          <w:rFonts w:ascii="Arial" w:hAnsi="Arial" w:cs="Arial"/>
          <w:sz w:val="22"/>
        </w:rPr>
      </w:pPr>
      <w:r w:rsidRPr="00370F9C">
        <w:rPr>
          <w:rFonts w:ascii="Arial" w:hAnsi="Arial" w:cs="Arial"/>
          <w:sz w:val="22"/>
        </w:rPr>
        <w:t xml:space="preserve">Opportunity for public comment on the information collection requirements for this clearance package was published in the </w:t>
      </w:r>
      <w:r w:rsidRPr="00370F9C">
        <w:rPr>
          <w:rFonts w:ascii="Arial" w:hAnsi="Arial" w:cs="Arial"/>
          <w:i/>
          <w:iCs/>
          <w:sz w:val="22"/>
        </w:rPr>
        <w:t>Federal Register</w:t>
      </w:r>
      <w:r w:rsidRPr="00370F9C">
        <w:rPr>
          <w:rFonts w:ascii="Arial" w:hAnsi="Arial" w:cs="Arial"/>
          <w:sz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1B7531FB" w14:textId="66DFDD6A" w:rsidR="00A26337" w:rsidRDefault="00A26337" w:rsidP="00A26337">
      <w:pPr>
        <w:ind w:left="1200"/>
        <w:rPr>
          <w:rFonts w:ascii="Arial" w:hAnsi="Arial" w:cs="Arial"/>
          <w:sz w:val="22"/>
        </w:rPr>
      </w:pPr>
    </w:p>
    <w:p w14:paraId="6C97FF6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14:paraId="1E2DA6F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A896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14:paraId="0A26E99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14:paraId="2A8F2EA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458010CE"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8E3358">
        <w:rPr>
          <w:rFonts w:ascii="Arial" w:hAnsi="Arial"/>
          <w:sz w:val="22"/>
        </w:rPr>
        <w:t xml:space="preserve">  </w:t>
      </w:r>
      <w:r w:rsidR="008E3358" w:rsidRPr="008E3358">
        <w:rPr>
          <w:rFonts w:ascii="Arial" w:hAnsi="Arial"/>
          <w:sz w:val="22"/>
        </w:rPr>
        <w:t>However, no information normally considered confidential or proprietary is requested.</w:t>
      </w:r>
    </w:p>
    <w:p w14:paraId="1B60F1A2" w14:textId="77777777" w:rsidR="00171CB3" w:rsidRPr="0026636D"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14:paraId="71229B4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14:paraId="57AB10C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1AD62D" w14:textId="7D70AA5D" w:rsidR="00171CB3" w:rsidRPr="0026636D" w:rsidRDefault="00171CB3" w:rsidP="003765C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r w:rsidR="00D34558">
        <w:rPr>
          <w:rFonts w:ascii="Arial" w:hAnsi="Arial"/>
          <w:sz w:val="22"/>
        </w:rPr>
        <w:br w:type="page"/>
      </w:r>
    </w:p>
    <w:p w14:paraId="39975E6E"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14:paraId="495C920B" w14:textId="1E07DFAF" w:rsidR="009A07BF" w:rsidRDefault="009A07B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38CC97F1" w14:textId="20875AF3" w:rsidR="00213B8C" w:rsidRDefault="00213B8C" w:rsidP="00213B8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this section is estimated to be </w:t>
      </w:r>
      <w:r w:rsidR="00076A9F">
        <w:rPr>
          <w:rFonts w:ascii="Arial" w:hAnsi="Arial"/>
          <w:sz w:val="22"/>
        </w:rPr>
        <w:t>105,429.7</w:t>
      </w:r>
      <w:r w:rsidR="00C859FA">
        <w:rPr>
          <w:rFonts w:ascii="Arial" w:hAnsi="Arial"/>
          <w:sz w:val="22"/>
        </w:rPr>
        <w:t xml:space="preserve"> </w:t>
      </w:r>
      <w:r>
        <w:rPr>
          <w:rFonts w:ascii="Arial" w:hAnsi="Arial"/>
          <w:sz w:val="22"/>
        </w:rPr>
        <w:t>hours at a cost of $</w:t>
      </w:r>
      <w:r w:rsidR="00C859FA">
        <w:rPr>
          <w:rFonts w:ascii="Arial" w:hAnsi="Arial"/>
          <w:sz w:val="22"/>
        </w:rPr>
        <w:t>2</w:t>
      </w:r>
      <w:r w:rsidR="00076A9F">
        <w:rPr>
          <w:rFonts w:ascii="Arial" w:hAnsi="Arial"/>
          <w:sz w:val="22"/>
        </w:rPr>
        <w:t>7,728,011</w:t>
      </w:r>
      <w:r w:rsidR="00D95A10">
        <w:rPr>
          <w:rFonts w:ascii="Arial" w:hAnsi="Arial"/>
          <w:sz w:val="22"/>
        </w:rPr>
        <w:t xml:space="preserve"> (</w:t>
      </w:r>
      <w:r w:rsidR="00A01E7C">
        <w:rPr>
          <w:rFonts w:ascii="Arial" w:hAnsi="Arial"/>
          <w:sz w:val="22"/>
        </w:rPr>
        <w:t>105</w:t>
      </w:r>
      <w:r w:rsidR="00076A9F">
        <w:rPr>
          <w:rFonts w:ascii="Arial" w:hAnsi="Arial"/>
          <w:sz w:val="22"/>
        </w:rPr>
        <w:t>,429.7</w:t>
      </w:r>
      <w:r w:rsidR="00775B24">
        <w:rPr>
          <w:rFonts w:ascii="Arial" w:hAnsi="Arial"/>
          <w:sz w:val="22"/>
        </w:rPr>
        <w:t xml:space="preserve"> </w:t>
      </w:r>
      <w:r w:rsidR="00D95A10">
        <w:rPr>
          <w:rFonts w:ascii="Arial" w:hAnsi="Arial"/>
          <w:sz w:val="22"/>
        </w:rPr>
        <w:t>hours</w:t>
      </w:r>
      <w:r>
        <w:rPr>
          <w:rFonts w:ascii="Arial" w:hAnsi="Arial"/>
          <w:sz w:val="22"/>
        </w:rPr>
        <w:t xml:space="preserve"> x </w:t>
      </w:r>
      <w:r w:rsidR="00D95A10">
        <w:rPr>
          <w:rFonts w:ascii="Arial" w:hAnsi="Arial"/>
          <w:sz w:val="22"/>
        </w:rPr>
        <w:t>$</w:t>
      </w:r>
      <w:r>
        <w:rPr>
          <w:rFonts w:ascii="Arial" w:hAnsi="Arial"/>
          <w:sz w:val="22"/>
        </w:rPr>
        <w:t>263/hr).</w:t>
      </w:r>
    </w:p>
    <w:p w14:paraId="0100C9EA" w14:textId="77777777" w:rsidR="00EF2408" w:rsidRDefault="00EF240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tbl>
      <w:tblPr>
        <w:tblW w:w="5912" w:type="dxa"/>
        <w:tblInd w:w="1980" w:type="dxa"/>
        <w:tblLook w:val="04A0" w:firstRow="1" w:lastRow="0" w:firstColumn="1" w:lastColumn="0" w:noHBand="0" w:noVBand="1"/>
      </w:tblPr>
      <w:tblGrid>
        <w:gridCol w:w="3400"/>
        <w:gridCol w:w="1195"/>
        <w:gridCol w:w="1317"/>
      </w:tblGrid>
      <w:tr w:rsidR="00EF2408" w:rsidRPr="00EF2408" w14:paraId="4427D3DB" w14:textId="77777777" w:rsidTr="003765CC">
        <w:trPr>
          <w:trHeight w:val="276"/>
        </w:trPr>
        <w:tc>
          <w:tcPr>
            <w:tcW w:w="591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4FF9" w14:textId="77777777" w:rsidR="00EF2408" w:rsidRPr="00EF2408" w:rsidRDefault="00EF2408" w:rsidP="00EF2408">
            <w:pPr>
              <w:jc w:val="center"/>
              <w:rPr>
                <w:rFonts w:ascii="Arial" w:hAnsi="Arial" w:cs="Arial"/>
                <w:color w:val="000000"/>
                <w:sz w:val="22"/>
                <w:szCs w:val="22"/>
              </w:rPr>
            </w:pPr>
            <w:r w:rsidRPr="00EF2408">
              <w:rPr>
                <w:rFonts w:ascii="Arial" w:hAnsi="Arial" w:cs="Arial"/>
                <w:color w:val="000000"/>
                <w:sz w:val="22"/>
                <w:szCs w:val="22"/>
              </w:rPr>
              <w:t>Total Burden and Responses Section 4</w:t>
            </w:r>
          </w:p>
        </w:tc>
      </w:tr>
      <w:tr w:rsidR="00EF2408" w:rsidRPr="00EF2408" w14:paraId="7B3F8D3F" w14:textId="77777777" w:rsidTr="003765CC">
        <w:trPr>
          <w:trHeight w:val="276"/>
        </w:trPr>
        <w:tc>
          <w:tcPr>
            <w:tcW w:w="3400" w:type="dxa"/>
            <w:tcBorders>
              <w:top w:val="single" w:sz="4" w:space="0" w:color="auto"/>
              <w:left w:val="single" w:sz="4" w:space="0" w:color="auto"/>
              <w:bottom w:val="single" w:sz="4" w:space="0" w:color="auto"/>
              <w:right w:val="nil"/>
            </w:tcBorders>
            <w:shd w:val="clear" w:color="auto" w:fill="auto"/>
            <w:noWrap/>
            <w:vAlign w:val="bottom"/>
            <w:hideMark/>
          </w:tcPr>
          <w:p w14:paraId="46F74E94" w14:textId="77777777" w:rsidR="00EF2408" w:rsidRPr="00EF2408" w:rsidRDefault="00EF2408" w:rsidP="00EF2408">
            <w:pPr>
              <w:jc w:val="center"/>
              <w:rPr>
                <w:rFonts w:ascii="Arial" w:hAnsi="Arial" w:cs="Arial"/>
                <w:color w:val="000000"/>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E4B53"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Hours </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25EC748A"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Responses </w:t>
            </w:r>
          </w:p>
        </w:tc>
      </w:tr>
      <w:tr w:rsidR="00EF2408" w:rsidRPr="00EF2408" w14:paraId="1387F6B3" w14:textId="77777777" w:rsidTr="003765CC">
        <w:trPr>
          <w:trHeight w:val="276"/>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B627"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Reporting </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2BCAD135" w14:textId="663B270E"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78,048.</w:t>
            </w:r>
            <w:r w:rsidR="00C617F5">
              <w:rPr>
                <w:rFonts w:ascii="Arial" w:hAnsi="Arial" w:cs="Arial"/>
                <w:color w:val="000000"/>
                <w:sz w:val="22"/>
                <w:szCs w:val="22"/>
              </w:rPr>
              <w:t>0</w:t>
            </w:r>
          </w:p>
        </w:tc>
        <w:tc>
          <w:tcPr>
            <w:tcW w:w="1317" w:type="dxa"/>
            <w:tcBorders>
              <w:top w:val="nil"/>
              <w:left w:val="nil"/>
              <w:bottom w:val="single" w:sz="4" w:space="0" w:color="auto"/>
              <w:right w:val="single" w:sz="4" w:space="0" w:color="auto"/>
            </w:tcBorders>
            <w:shd w:val="clear" w:color="auto" w:fill="auto"/>
            <w:noWrap/>
            <w:vAlign w:val="bottom"/>
            <w:hideMark/>
          </w:tcPr>
          <w:p w14:paraId="1EC8AC55" w14:textId="065841F0" w:rsidR="00EF2408" w:rsidRPr="00EF2408" w:rsidRDefault="00E42A10" w:rsidP="00EF2408">
            <w:pPr>
              <w:rPr>
                <w:rFonts w:ascii="Arial" w:hAnsi="Arial" w:cs="Arial"/>
                <w:color w:val="000000"/>
                <w:sz w:val="22"/>
                <w:szCs w:val="22"/>
              </w:rPr>
            </w:pPr>
            <w:r>
              <w:rPr>
                <w:rFonts w:ascii="Arial" w:hAnsi="Arial" w:cs="Arial"/>
                <w:color w:val="000000"/>
                <w:sz w:val="22"/>
                <w:szCs w:val="22"/>
              </w:rPr>
              <w:t xml:space="preserve">            </w:t>
            </w:r>
            <w:r w:rsidR="00BB47D9">
              <w:rPr>
                <w:rFonts w:ascii="Arial" w:hAnsi="Arial" w:cs="Arial"/>
                <w:color w:val="000000"/>
                <w:sz w:val="22"/>
                <w:szCs w:val="22"/>
              </w:rPr>
              <w:t>35,479.0</w:t>
            </w:r>
          </w:p>
        </w:tc>
      </w:tr>
      <w:tr w:rsidR="00EF2408" w:rsidRPr="00EF2408" w14:paraId="15F8FAEA" w14:textId="77777777" w:rsidTr="009B0D52">
        <w:trPr>
          <w:trHeight w:val="276"/>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620FDEE2"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Recordkeeping </w:t>
            </w:r>
          </w:p>
        </w:tc>
        <w:tc>
          <w:tcPr>
            <w:tcW w:w="1195" w:type="dxa"/>
            <w:tcBorders>
              <w:top w:val="nil"/>
              <w:left w:val="nil"/>
              <w:bottom w:val="single" w:sz="4" w:space="0" w:color="auto"/>
              <w:right w:val="single" w:sz="4" w:space="0" w:color="auto"/>
            </w:tcBorders>
            <w:shd w:val="clear" w:color="auto" w:fill="auto"/>
            <w:noWrap/>
            <w:vAlign w:val="bottom"/>
            <w:hideMark/>
          </w:tcPr>
          <w:p w14:paraId="15E6643D"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27,381.7 </w:t>
            </w:r>
          </w:p>
        </w:tc>
        <w:tc>
          <w:tcPr>
            <w:tcW w:w="1317" w:type="dxa"/>
            <w:tcBorders>
              <w:top w:val="nil"/>
              <w:left w:val="nil"/>
              <w:bottom w:val="single" w:sz="4" w:space="0" w:color="auto"/>
              <w:right w:val="single" w:sz="4" w:space="0" w:color="auto"/>
            </w:tcBorders>
            <w:shd w:val="clear" w:color="auto" w:fill="auto"/>
            <w:noWrap/>
            <w:vAlign w:val="bottom"/>
            <w:hideMark/>
          </w:tcPr>
          <w:p w14:paraId="42A02D5C" w14:textId="77777777" w:rsidR="00EF2408" w:rsidRPr="00EF2408" w:rsidRDefault="00EF2408" w:rsidP="00EF2408">
            <w:pPr>
              <w:rPr>
                <w:rFonts w:ascii="Arial" w:hAnsi="Arial" w:cs="Arial"/>
                <w:color w:val="000000"/>
                <w:sz w:val="22"/>
                <w:szCs w:val="22"/>
              </w:rPr>
            </w:pPr>
            <w:r w:rsidRPr="00EF2408">
              <w:rPr>
                <w:rFonts w:ascii="Arial" w:hAnsi="Arial" w:cs="Arial"/>
                <w:color w:val="000000"/>
                <w:sz w:val="22"/>
                <w:szCs w:val="22"/>
              </w:rPr>
              <w:t xml:space="preserve">               125.0 </w:t>
            </w:r>
          </w:p>
        </w:tc>
      </w:tr>
      <w:tr w:rsidR="00EF2408" w:rsidRPr="00EF2408" w14:paraId="38AA11C2" w14:textId="77777777" w:rsidTr="009B0D52">
        <w:trPr>
          <w:trHeight w:val="276"/>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BBEAA58" w14:textId="77777777" w:rsidR="00EF2408" w:rsidRPr="00EF2408" w:rsidRDefault="00EF2408" w:rsidP="00EF2408">
            <w:pPr>
              <w:rPr>
                <w:rFonts w:ascii="Arial" w:hAnsi="Arial" w:cs="Arial"/>
                <w:b/>
                <w:bCs/>
                <w:color w:val="000000"/>
                <w:sz w:val="22"/>
                <w:szCs w:val="22"/>
              </w:rPr>
            </w:pPr>
            <w:r w:rsidRPr="00EF2408">
              <w:rPr>
                <w:rFonts w:ascii="Arial" w:hAnsi="Arial" w:cs="Arial"/>
                <w:b/>
                <w:bCs/>
                <w:color w:val="000000"/>
                <w:sz w:val="22"/>
                <w:szCs w:val="22"/>
              </w:rPr>
              <w:t xml:space="preserve"> TOTAL </w:t>
            </w:r>
          </w:p>
        </w:tc>
        <w:tc>
          <w:tcPr>
            <w:tcW w:w="1195" w:type="dxa"/>
            <w:tcBorders>
              <w:top w:val="nil"/>
              <w:left w:val="nil"/>
              <w:bottom w:val="single" w:sz="4" w:space="0" w:color="auto"/>
              <w:right w:val="single" w:sz="4" w:space="0" w:color="auto"/>
            </w:tcBorders>
            <w:shd w:val="clear" w:color="auto" w:fill="auto"/>
            <w:noWrap/>
            <w:vAlign w:val="bottom"/>
            <w:hideMark/>
          </w:tcPr>
          <w:p w14:paraId="2C99A273" w14:textId="00D0F1E1" w:rsidR="00EF2408" w:rsidRPr="00EF2408" w:rsidRDefault="00C617F5" w:rsidP="00EF2408">
            <w:pPr>
              <w:rPr>
                <w:rFonts w:ascii="Arial" w:hAnsi="Arial" w:cs="Arial"/>
                <w:b/>
                <w:bCs/>
                <w:color w:val="000000"/>
                <w:sz w:val="22"/>
                <w:szCs w:val="22"/>
              </w:rPr>
            </w:pPr>
            <w:r>
              <w:rPr>
                <w:rFonts w:ascii="Arial" w:hAnsi="Arial" w:cs="Arial"/>
                <w:b/>
                <w:bCs/>
                <w:color w:val="000000"/>
                <w:sz w:val="22"/>
                <w:szCs w:val="22"/>
              </w:rPr>
              <w:t xml:space="preserve">       105,429.</w:t>
            </w:r>
            <w:r w:rsidR="00076A9F">
              <w:rPr>
                <w:rFonts w:ascii="Arial" w:hAnsi="Arial" w:cs="Arial"/>
                <w:b/>
                <w:bCs/>
                <w:color w:val="000000"/>
                <w:sz w:val="22"/>
                <w:szCs w:val="22"/>
              </w:rPr>
              <w:t>7</w:t>
            </w:r>
            <w:r w:rsidR="00EF2408" w:rsidRPr="00EF2408">
              <w:rPr>
                <w:rFonts w:ascii="Arial" w:hAnsi="Arial" w:cs="Arial"/>
                <w:b/>
                <w:bCs/>
                <w:color w:val="000000"/>
                <w:sz w:val="22"/>
                <w:szCs w:val="22"/>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14:paraId="1CF9DD43" w14:textId="0B181BAA" w:rsidR="00EF2408" w:rsidRPr="00EF2408" w:rsidRDefault="00EF2408" w:rsidP="00EF2408">
            <w:pPr>
              <w:rPr>
                <w:rFonts w:ascii="Arial" w:hAnsi="Arial" w:cs="Arial"/>
                <w:b/>
                <w:bCs/>
                <w:color w:val="000000"/>
                <w:sz w:val="22"/>
                <w:szCs w:val="22"/>
              </w:rPr>
            </w:pPr>
            <w:r w:rsidRPr="00EF2408">
              <w:rPr>
                <w:rFonts w:ascii="Arial" w:hAnsi="Arial" w:cs="Arial"/>
                <w:b/>
                <w:bCs/>
                <w:color w:val="000000"/>
                <w:sz w:val="22"/>
                <w:szCs w:val="22"/>
              </w:rPr>
              <w:t xml:space="preserve">            </w:t>
            </w:r>
            <w:r w:rsidR="00E42A10">
              <w:rPr>
                <w:rFonts w:ascii="Arial" w:hAnsi="Arial" w:cs="Arial"/>
                <w:b/>
                <w:bCs/>
                <w:color w:val="000000"/>
                <w:sz w:val="22"/>
                <w:szCs w:val="22"/>
              </w:rPr>
              <w:t>35,</w:t>
            </w:r>
            <w:r w:rsidR="00BB47D9">
              <w:rPr>
                <w:rFonts w:ascii="Arial" w:hAnsi="Arial" w:cs="Arial"/>
                <w:b/>
                <w:bCs/>
                <w:color w:val="000000"/>
                <w:sz w:val="22"/>
                <w:szCs w:val="22"/>
              </w:rPr>
              <w:t>604.0</w:t>
            </w:r>
          </w:p>
        </w:tc>
      </w:tr>
    </w:tbl>
    <w:p w14:paraId="325ADDBC" w14:textId="77777777" w:rsidR="00EF2408" w:rsidRPr="0026636D" w:rsidRDefault="00EF240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7F0E72F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382D085" w14:textId="0D9F6DF7" w:rsidR="00171CB3" w:rsidRPr="009D0C93"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Detailed burden estimates are included in the supplemental burden spreadsheet titled, </w:t>
      </w:r>
      <w:r w:rsidRPr="005275FE">
        <w:rPr>
          <w:rFonts w:ascii="Arial" w:hAnsi="Arial"/>
          <w:sz w:val="22"/>
        </w:rPr>
        <w:t>“</w:t>
      </w:r>
      <w:r w:rsidR="00893741" w:rsidRPr="005275FE">
        <w:rPr>
          <w:rFonts w:ascii="Arial" w:hAnsi="Arial"/>
          <w:sz w:val="22"/>
        </w:rPr>
        <w:t>Table 1 - Summary of Supporting Statements</w:t>
      </w:r>
      <w:r w:rsidR="009D0C93">
        <w:rPr>
          <w:rFonts w:ascii="Arial" w:hAnsi="Arial"/>
          <w:sz w:val="22"/>
        </w:rPr>
        <w:t>.</w:t>
      </w:r>
      <w:r w:rsidR="00893741" w:rsidRPr="005275FE">
        <w:rPr>
          <w:rFonts w:ascii="Arial" w:hAnsi="Arial"/>
          <w:sz w:val="22"/>
        </w:rPr>
        <w:t>”</w:t>
      </w:r>
      <w:r w:rsidR="009D0C93">
        <w:rPr>
          <w:rFonts w:ascii="Arial" w:hAnsi="Arial"/>
          <w:sz w:val="22"/>
        </w:rPr>
        <w:t xml:space="preserve">  </w:t>
      </w:r>
      <w:r w:rsidR="009D0C93" w:rsidRPr="009D0C93">
        <w:rPr>
          <w:rFonts w:ascii="Arial" w:hAnsi="Arial"/>
          <w:sz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67E06D78" w14:textId="77777777" w:rsidR="003E2B01" w:rsidRPr="0026636D"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C86625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14:paraId="4A77B6B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740FDB3A" w:rsidR="00E92362" w:rsidRPr="00CB4CEA" w:rsidRDefault="00E92362" w:rsidP="003604AD">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B54F8D">
        <w:rPr>
          <w:rFonts w:ascii="Arial" w:hAnsi="Arial" w:cs="Arial"/>
          <w:sz w:val="22"/>
          <w:szCs w:val="22"/>
        </w:rPr>
        <w:t>2,881</w:t>
      </w:r>
      <w:r w:rsidRPr="000E61E9">
        <w:rPr>
          <w:rFonts w:ascii="Arial" w:hAnsi="Arial" w:cs="Arial"/>
          <w:sz w:val="22"/>
          <w:szCs w:val="22"/>
        </w:rPr>
        <w:t xml:space="preserve"> (</w:t>
      </w:r>
      <w:r w:rsidR="00B54F8D">
        <w:rPr>
          <w:rFonts w:ascii="Arial" w:hAnsi="Arial" w:cs="Arial"/>
          <w:sz w:val="22"/>
          <w:szCs w:val="22"/>
        </w:rPr>
        <w:t>27,381.7</w:t>
      </w:r>
      <w:r w:rsidR="00B54F8D" w:rsidRPr="000E61E9">
        <w:rPr>
          <w:rFonts w:ascii="Arial" w:hAnsi="Arial" w:cs="Arial"/>
          <w:sz w:val="22"/>
          <w:szCs w:val="22"/>
        </w:rPr>
        <w:t xml:space="preserve"> </w:t>
      </w:r>
      <w:r w:rsidRPr="000E61E9">
        <w:rPr>
          <w:rFonts w:ascii="Arial" w:hAnsi="Arial" w:cs="Arial"/>
          <w:sz w:val="22"/>
          <w:szCs w:val="22"/>
        </w:rPr>
        <w:t>recordkeeping hours x $</w:t>
      </w:r>
      <w:r>
        <w:rPr>
          <w:rFonts w:ascii="Arial" w:hAnsi="Arial" w:cs="Arial"/>
          <w:sz w:val="22"/>
          <w:szCs w:val="22"/>
        </w:rPr>
        <w:t>2</w:t>
      </w:r>
      <w:r w:rsidR="00384E03">
        <w:rPr>
          <w:rFonts w:ascii="Arial" w:hAnsi="Arial" w:cs="Arial"/>
          <w:sz w:val="22"/>
          <w:szCs w:val="22"/>
        </w:rPr>
        <w:t>6</w:t>
      </w:r>
      <w:r w:rsidR="002F250A">
        <w:rPr>
          <w:rFonts w:ascii="Arial" w:hAnsi="Arial" w:cs="Arial"/>
          <w:sz w:val="22"/>
          <w:szCs w:val="22"/>
        </w:rPr>
        <w:t>3</w:t>
      </w:r>
      <w:r w:rsidRPr="000E61E9">
        <w:rPr>
          <w:rFonts w:ascii="Arial" w:hAnsi="Arial" w:cs="Arial"/>
          <w:sz w:val="22"/>
          <w:szCs w:val="22"/>
        </w:rPr>
        <w:t xml:space="preserve"> x .0004).</w:t>
      </w:r>
    </w:p>
    <w:p w14:paraId="717819B7" w14:textId="06939C50" w:rsidR="00171CB3" w:rsidRPr="0026636D"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7F83C8" w14:textId="6766DD93" w:rsidR="00171CB3" w:rsidRPr="0026636D" w:rsidRDefault="00171CB3" w:rsidP="003604AD">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3604AD">
        <w:rPr>
          <w:rFonts w:ascii="Arial" w:hAnsi="Arial"/>
          <w:sz w:val="22"/>
        </w:rPr>
        <w:t>14.</w:t>
      </w:r>
      <w:r w:rsidR="00CC56CC" w:rsidRPr="0026636D">
        <w:rPr>
          <w:rFonts w:ascii="Arial" w:hAnsi="Arial"/>
          <w:sz w:val="22"/>
        </w:rPr>
        <w:tab/>
      </w:r>
      <w:r w:rsidRPr="0026636D">
        <w:rPr>
          <w:rFonts w:ascii="Arial" w:hAnsi="Arial"/>
          <w:sz w:val="22"/>
          <w:u w:val="single"/>
        </w:rPr>
        <w:t>Estimated Annualized Cost to the Federal Government</w:t>
      </w:r>
    </w:p>
    <w:p w14:paraId="61EF64B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42B369C" w14:textId="77777777" w:rsidR="0017751B" w:rsidRPr="0002614D" w:rsidRDefault="0017751B" w:rsidP="0017751B">
      <w:pPr>
        <w:pStyle w:val="Level1"/>
        <w:widowControl/>
        <w:ind w:left="108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40F86443" w14:textId="77777777" w:rsidR="0017751B" w:rsidRDefault="0017751B" w:rsidP="009B0D52">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19BBD4D7" w14:textId="77777777" w:rsidR="00E95A7C" w:rsidRDefault="00E92362" w:rsidP="009B0D52">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 xml:space="preserve">The annualized estimated cost to the government is </w:t>
      </w:r>
      <w:r w:rsidR="00B74C08">
        <w:rPr>
          <w:rFonts w:ascii="Arial" w:hAnsi="Arial" w:cs="Arial"/>
          <w:sz w:val="22"/>
          <w:szCs w:val="22"/>
        </w:rPr>
        <w:t>$10,860,585 (41,295</w:t>
      </w:r>
      <w:r w:rsidR="00C859FA">
        <w:rPr>
          <w:rFonts w:ascii="Arial" w:hAnsi="Arial" w:cs="Arial"/>
          <w:sz w:val="22"/>
          <w:szCs w:val="22"/>
        </w:rPr>
        <w:t xml:space="preserve"> </w:t>
      </w:r>
      <w:r w:rsidR="00472E3C">
        <w:rPr>
          <w:rFonts w:ascii="Arial" w:hAnsi="Arial" w:cs="Arial"/>
          <w:sz w:val="22"/>
          <w:szCs w:val="22"/>
        </w:rPr>
        <w:t xml:space="preserve">staff hours </w:t>
      </w:r>
      <w:r w:rsidR="00B74C08">
        <w:rPr>
          <w:rFonts w:ascii="Arial" w:hAnsi="Arial" w:cs="Arial"/>
          <w:sz w:val="22"/>
          <w:szCs w:val="22"/>
        </w:rPr>
        <w:t xml:space="preserve">x $263) </w:t>
      </w:r>
      <w:r w:rsidR="00C859FA">
        <w:rPr>
          <w:rFonts w:ascii="Arial" w:hAnsi="Arial" w:cs="Arial"/>
          <w:sz w:val="22"/>
          <w:szCs w:val="22"/>
        </w:rPr>
        <w:t xml:space="preserve">as </w:t>
      </w:r>
      <w:r w:rsidRPr="00CB4CEA">
        <w:rPr>
          <w:rFonts w:ascii="Arial" w:hAnsi="Arial" w:cs="Arial"/>
          <w:sz w:val="22"/>
          <w:szCs w:val="22"/>
        </w:rPr>
        <w:t>shown on the attached Summary Table.</w:t>
      </w:r>
    </w:p>
    <w:p w14:paraId="42108869" w14:textId="65240661" w:rsidR="00171CB3" w:rsidRPr="0026636D" w:rsidRDefault="00E92362" w:rsidP="009B0D52">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sz w:val="22"/>
        </w:rPr>
      </w:pPr>
      <w:r w:rsidRPr="00CB4CEA">
        <w:rPr>
          <w:rFonts w:ascii="Arial" w:hAnsi="Arial" w:cs="Arial"/>
          <w:sz w:val="22"/>
          <w:szCs w:val="22"/>
        </w:rPr>
        <w:t xml:space="preserve">  </w:t>
      </w:r>
    </w:p>
    <w:p w14:paraId="0F4DEBB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14:paraId="3B581DC6"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064B7926" w:rsid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burden and number of responses have changed as described in the tables below:</w:t>
      </w:r>
    </w:p>
    <w:p w14:paraId="6D62E72C" w14:textId="7777777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firstRow="1" w:lastRow="0" w:firstColumn="1" w:lastColumn="0" w:noHBand="0" w:noVBand="1"/>
      </w:tblPr>
      <w:tblGrid>
        <w:gridCol w:w="2242"/>
        <w:gridCol w:w="2119"/>
        <w:gridCol w:w="2156"/>
        <w:gridCol w:w="2129"/>
      </w:tblGrid>
      <w:tr w:rsidR="009E5CD7" w14:paraId="7744CD20" w14:textId="77777777" w:rsidTr="00F76852">
        <w:tc>
          <w:tcPr>
            <w:tcW w:w="2405" w:type="dxa"/>
          </w:tcPr>
          <w:p w14:paraId="7A125E36"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2DB5295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1A00B66B"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862F45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2045E047" w14:textId="77777777" w:rsidTr="00F76852">
        <w:tc>
          <w:tcPr>
            <w:tcW w:w="2405" w:type="dxa"/>
          </w:tcPr>
          <w:p w14:paraId="257E39D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767CBDB2" w14:textId="5C2E09BF" w:rsidR="009E5CD7" w:rsidRDefault="00EA4943"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79,187</w:t>
            </w:r>
            <w:r w:rsidR="00CD54B1" w:rsidRPr="00CD54B1">
              <w:rPr>
                <w:rFonts w:ascii="Arial" w:hAnsi="Arial" w:cs="Arial"/>
                <w:sz w:val="22"/>
                <w:szCs w:val="22"/>
              </w:rPr>
              <w:t>.0</w:t>
            </w:r>
          </w:p>
        </w:tc>
        <w:tc>
          <w:tcPr>
            <w:tcW w:w="2405" w:type="dxa"/>
          </w:tcPr>
          <w:p w14:paraId="2A864D67" w14:textId="5ABFAD4C" w:rsidR="009E5CD7" w:rsidRDefault="0024518B"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78,048.</w:t>
            </w:r>
            <w:r w:rsidR="00E42A10">
              <w:rPr>
                <w:rFonts w:ascii="Arial" w:hAnsi="Arial" w:cs="Arial"/>
                <w:sz w:val="22"/>
                <w:szCs w:val="22"/>
              </w:rPr>
              <w:t>0</w:t>
            </w:r>
          </w:p>
        </w:tc>
        <w:tc>
          <w:tcPr>
            <w:tcW w:w="2405" w:type="dxa"/>
          </w:tcPr>
          <w:p w14:paraId="7D542615" w14:textId="24349F5D" w:rsidR="009E5CD7" w:rsidRDefault="00107646"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1,139</w:t>
            </w:r>
          </w:p>
        </w:tc>
      </w:tr>
      <w:tr w:rsidR="009E5CD7" w14:paraId="29F7753A" w14:textId="77777777" w:rsidTr="00F76852">
        <w:tc>
          <w:tcPr>
            <w:tcW w:w="2405" w:type="dxa"/>
          </w:tcPr>
          <w:p w14:paraId="33B9C5F5"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78EC0A63" w14:textId="66E28B2C" w:rsidR="009E5CD7" w:rsidRDefault="00EA4943" w:rsidP="00EA4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7,958</w:t>
            </w:r>
            <w:r w:rsidR="00CD54B1" w:rsidRPr="00CD54B1">
              <w:rPr>
                <w:rFonts w:ascii="Arial" w:hAnsi="Arial" w:cs="Arial"/>
                <w:sz w:val="22"/>
                <w:szCs w:val="22"/>
              </w:rPr>
              <w:t>.0</w:t>
            </w:r>
          </w:p>
        </w:tc>
        <w:tc>
          <w:tcPr>
            <w:tcW w:w="2405" w:type="dxa"/>
          </w:tcPr>
          <w:p w14:paraId="1257759F" w14:textId="0AA47725" w:rsidR="009E5CD7" w:rsidRDefault="0024518B"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27,381.7</w:t>
            </w:r>
          </w:p>
        </w:tc>
        <w:tc>
          <w:tcPr>
            <w:tcW w:w="2405" w:type="dxa"/>
          </w:tcPr>
          <w:p w14:paraId="40481FC4" w14:textId="627B7AD1" w:rsidR="009E5CD7" w:rsidRDefault="00FC12B1"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w:t>
            </w:r>
            <w:r w:rsidR="0024518B">
              <w:rPr>
                <w:rFonts w:ascii="Arial" w:hAnsi="Arial" w:cs="Arial"/>
                <w:sz w:val="22"/>
                <w:szCs w:val="22"/>
              </w:rPr>
              <w:t>9,423.7</w:t>
            </w:r>
          </w:p>
        </w:tc>
      </w:tr>
      <w:tr w:rsidR="009E5CD7" w14:paraId="427789F6" w14:textId="77777777" w:rsidTr="00F76852">
        <w:tc>
          <w:tcPr>
            <w:tcW w:w="2405" w:type="dxa"/>
          </w:tcPr>
          <w:p w14:paraId="38987094" w14:textId="6484451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4B23A014" w14:textId="1C0213E4" w:rsidR="009E5CD7" w:rsidRDefault="00CD54B1"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.0</w:t>
            </w:r>
          </w:p>
        </w:tc>
        <w:tc>
          <w:tcPr>
            <w:tcW w:w="2405" w:type="dxa"/>
          </w:tcPr>
          <w:p w14:paraId="30C0EF97" w14:textId="4FF4E944" w:rsidR="009E5CD7" w:rsidRDefault="00D95A10"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2405" w:type="dxa"/>
          </w:tcPr>
          <w:p w14:paraId="74B442E7" w14:textId="01A5A641" w:rsidR="009E5CD7" w:rsidRDefault="00D95A10"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r>
      <w:tr w:rsidR="009E5CD7" w14:paraId="54B216B4" w14:textId="77777777" w:rsidTr="00F76852">
        <w:tc>
          <w:tcPr>
            <w:tcW w:w="2405" w:type="dxa"/>
          </w:tcPr>
          <w:p w14:paraId="1558EF7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0FE66C77" w14:textId="274CFE60" w:rsidR="009E5CD7" w:rsidRDefault="00EA4943"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87,145</w:t>
            </w:r>
            <w:r w:rsidR="00CD54B1" w:rsidRPr="00CD54B1">
              <w:rPr>
                <w:rFonts w:ascii="Arial" w:hAnsi="Arial" w:cs="Arial"/>
                <w:sz w:val="22"/>
                <w:szCs w:val="22"/>
              </w:rPr>
              <w:t>.0</w:t>
            </w:r>
          </w:p>
        </w:tc>
        <w:tc>
          <w:tcPr>
            <w:tcW w:w="2405" w:type="dxa"/>
          </w:tcPr>
          <w:p w14:paraId="15DBBD5E" w14:textId="63183C59" w:rsidR="009E5CD7" w:rsidRDefault="0024518B"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105,4</w:t>
            </w:r>
            <w:r w:rsidR="0073637B">
              <w:rPr>
                <w:rFonts w:ascii="Arial" w:hAnsi="Arial" w:cs="Arial"/>
                <w:sz w:val="22"/>
                <w:szCs w:val="22"/>
              </w:rPr>
              <w:t>29.7</w:t>
            </w:r>
          </w:p>
        </w:tc>
        <w:tc>
          <w:tcPr>
            <w:tcW w:w="2405" w:type="dxa"/>
          </w:tcPr>
          <w:p w14:paraId="29FC721A" w14:textId="7D2AA55C" w:rsidR="009E5CD7" w:rsidRDefault="00FC12B1"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w:t>
            </w:r>
            <w:r w:rsidR="00922C3A">
              <w:rPr>
                <w:rFonts w:ascii="Arial" w:hAnsi="Arial" w:cs="Arial"/>
                <w:sz w:val="22"/>
                <w:szCs w:val="22"/>
              </w:rPr>
              <w:t>18,284.7</w:t>
            </w:r>
          </w:p>
        </w:tc>
      </w:tr>
    </w:tbl>
    <w:p w14:paraId="42FAE888" w14:textId="77777777"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3A8055D7" w14:textId="77777777" w:rsidR="00A70F57" w:rsidRDefault="00A70F5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6869E7EE" w14:textId="77777777" w:rsidR="00A70F57" w:rsidRDefault="00A70F5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41F37299" w14:textId="77777777" w:rsidR="00A70F57" w:rsidRDefault="00A70F5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2EB77935" w14:textId="18736B84"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firstRow="1" w:lastRow="0" w:firstColumn="1" w:lastColumn="0" w:noHBand="0" w:noVBand="1"/>
      </w:tblPr>
      <w:tblGrid>
        <w:gridCol w:w="2250"/>
        <w:gridCol w:w="2133"/>
        <w:gridCol w:w="2168"/>
        <w:gridCol w:w="2095"/>
      </w:tblGrid>
      <w:tr w:rsidR="009E5CD7" w14:paraId="122AF8DE" w14:textId="77777777" w:rsidTr="00F76852">
        <w:tc>
          <w:tcPr>
            <w:tcW w:w="2405" w:type="dxa"/>
          </w:tcPr>
          <w:p w14:paraId="4F1DC743"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4472474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6F265FBD"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E33BEC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37E68E29" w14:textId="77777777" w:rsidTr="00F76852">
        <w:tc>
          <w:tcPr>
            <w:tcW w:w="2405" w:type="dxa"/>
          </w:tcPr>
          <w:p w14:paraId="159A19F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53E1FC5B" w14:textId="6A2BABED" w:rsidR="009E5CD7" w:rsidRDefault="002F1E6D"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39,192.3</w:t>
            </w:r>
          </w:p>
        </w:tc>
        <w:tc>
          <w:tcPr>
            <w:tcW w:w="2405" w:type="dxa"/>
          </w:tcPr>
          <w:p w14:paraId="1F9B05AE" w14:textId="3B93540C" w:rsidR="009E5CD7" w:rsidRDefault="000C09E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        </w:t>
            </w:r>
            <w:r w:rsidR="00C25A3B">
              <w:rPr>
                <w:rFonts w:ascii="Arial" w:hAnsi="Arial" w:cs="Arial"/>
                <w:sz w:val="22"/>
                <w:szCs w:val="22"/>
              </w:rPr>
              <w:t xml:space="preserve">  </w:t>
            </w:r>
            <w:r>
              <w:rPr>
                <w:rFonts w:ascii="Arial" w:hAnsi="Arial" w:cs="Arial"/>
                <w:sz w:val="22"/>
                <w:szCs w:val="22"/>
              </w:rPr>
              <w:t xml:space="preserve">      </w:t>
            </w:r>
            <w:r w:rsidR="00402509">
              <w:rPr>
                <w:rFonts w:ascii="Arial" w:hAnsi="Arial" w:cs="Arial"/>
                <w:sz w:val="22"/>
                <w:szCs w:val="22"/>
              </w:rPr>
              <w:t>35,479.0</w:t>
            </w:r>
          </w:p>
        </w:tc>
        <w:tc>
          <w:tcPr>
            <w:tcW w:w="2405" w:type="dxa"/>
          </w:tcPr>
          <w:p w14:paraId="193596CA" w14:textId="444F164E" w:rsidR="009E5CD7" w:rsidRDefault="00ED498F"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             - </w:t>
            </w:r>
            <w:r w:rsidR="00CC2B63">
              <w:rPr>
                <w:rFonts w:ascii="Arial" w:hAnsi="Arial" w:cs="Arial"/>
                <w:sz w:val="22"/>
                <w:szCs w:val="22"/>
              </w:rPr>
              <w:t>3</w:t>
            </w:r>
            <w:r w:rsidR="00C25A3B">
              <w:rPr>
                <w:rFonts w:ascii="Arial" w:hAnsi="Arial" w:cs="Arial"/>
                <w:sz w:val="22"/>
                <w:szCs w:val="22"/>
              </w:rPr>
              <w:t>, 713</w:t>
            </w:r>
            <w:r w:rsidR="00CC2B63">
              <w:rPr>
                <w:rFonts w:ascii="Arial" w:hAnsi="Arial" w:cs="Arial"/>
                <w:sz w:val="22"/>
                <w:szCs w:val="22"/>
              </w:rPr>
              <w:t>.3</w:t>
            </w:r>
          </w:p>
        </w:tc>
      </w:tr>
      <w:tr w:rsidR="009E5CD7" w14:paraId="76C4D694" w14:textId="77777777" w:rsidTr="00F76852">
        <w:tc>
          <w:tcPr>
            <w:tcW w:w="2405" w:type="dxa"/>
          </w:tcPr>
          <w:p w14:paraId="22E89F60"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5136EF9B" w14:textId="209C7090" w:rsidR="009E5CD7" w:rsidRDefault="009F2890"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2405" w:type="dxa"/>
          </w:tcPr>
          <w:p w14:paraId="4392DCF5" w14:textId="089E7ECB" w:rsidR="009E5CD7" w:rsidRDefault="000C09EB"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125</w:t>
            </w:r>
          </w:p>
        </w:tc>
        <w:tc>
          <w:tcPr>
            <w:tcW w:w="2405" w:type="dxa"/>
          </w:tcPr>
          <w:p w14:paraId="74338010" w14:textId="4372FA20" w:rsidR="009E5CD7" w:rsidRDefault="00CC2B63"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125</w:t>
            </w:r>
          </w:p>
        </w:tc>
      </w:tr>
      <w:tr w:rsidR="009E5CD7" w14:paraId="55D6A613" w14:textId="77777777" w:rsidTr="00F76852">
        <w:tc>
          <w:tcPr>
            <w:tcW w:w="2405" w:type="dxa"/>
          </w:tcPr>
          <w:p w14:paraId="4C002883" w14:textId="26AE107A"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3D1F06E0" w14:textId="0207544C" w:rsidR="009E5CD7" w:rsidRDefault="005E3F3C"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2405" w:type="dxa"/>
          </w:tcPr>
          <w:p w14:paraId="6A579EAE" w14:textId="20ADFC96" w:rsidR="009E5CD7" w:rsidRDefault="00D95A10"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2405" w:type="dxa"/>
          </w:tcPr>
          <w:p w14:paraId="3E6F7B36" w14:textId="4DBFBE50" w:rsidR="009E5CD7" w:rsidRDefault="00D95A10"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r>
      <w:tr w:rsidR="009E5CD7" w14:paraId="7B319171" w14:textId="77777777" w:rsidTr="00F76852">
        <w:tc>
          <w:tcPr>
            <w:tcW w:w="2405" w:type="dxa"/>
          </w:tcPr>
          <w:p w14:paraId="7868D3D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6893C47B" w14:textId="2BB934D4" w:rsidR="009E5CD7" w:rsidRDefault="00ED498F"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39,192</w:t>
            </w:r>
            <w:r w:rsidR="00CD54B1" w:rsidRPr="00CD54B1">
              <w:rPr>
                <w:rFonts w:ascii="Arial" w:hAnsi="Arial" w:cs="Arial"/>
                <w:sz w:val="22"/>
                <w:szCs w:val="22"/>
              </w:rPr>
              <w:t>.</w:t>
            </w:r>
            <w:r>
              <w:rPr>
                <w:rFonts w:ascii="Arial" w:hAnsi="Arial" w:cs="Arial"/>
                <w:sz w:val="22"/>
                <w:szCs w:val="22"/>
              </w:rPr>
              <w:t>3</w:t>
            </w:r>
          </w:p>
        </w:tc>
        <w:tc>
          <w:tcPr>
            <w:tcW w:w="2405" w:type="dxa"/>
          </w:tcPr>
          <w:p w14:paraId="07E599C0" w14:textId="29B90F79" w:rsidR="009E5CD7" w:rsidRDefault="00C25A3B" w:rsidP="00C25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 xml:space="preserve">                   35,604</w:t>
            </w:r>
          </w:p>
        </w:tc>
        <w:tc>
          <w:tcPr>
            <w:tcW w:w="2405" w:type="dxa"/>
          </w:tcPr>
          <w:p w14:paraId="0E47FFEB" w14:textId="2EFE61B2" w:rsidR="009E5CD7" w:rsidRDefault="00DA5E34" w:rsidP="00ED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-3,588.3</w:t>
            </w:r>
          </w:p>
        </w:tc>
      </w:tr>
    </w:tbl>
    <w:p w14:paraId="4FB1AAE3" w14:textId="77777777" w:rsid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04C2D8EA" w14:textId="2B4FACB2" w:rsidR="00D95A10" w:rsidRDefault="009E5CD7" w:rsidP="002F2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color w:val="000000"/>
          <w:sz w:val="22"/>
          <w:szCs w:val="22"/>
        </w:rPr>
      </w:pPr>
      <w:r>
        <w:rPr>
          <w:rFonts w:ascii="Arial" w:hAnsi="Arial" w:cs="Arial"/>
          <w:sz w:val="22"/>
          <w:szCs w:val="22"/>
        </w:rPr>
        <w:t>The reason for the change in burden is</w:t>
      </w:r>
      <w:r w:rsidR="00FC12B1" w:rsidRPr="009E0FDB">
        <w:rPr>
          <w:rFonts w:ascii="Arial" w:hAnsi="Arial" w:cs="Arial"/>
          <w:color w:val="000000"/>
          <w:sz w:val="22"/>
          <w:szCs w:val="22"/>
        </w:rPr>
        <w:t xml:space="preserve"> mainly</w:t>
      </w:r>
      <w:r w:rsidR="00D95A10">
        <w:rPr>
          <w:rFonts w:ascii="Arial" w:hAnsi="Arial" w:cs="Arial"/>
          <w:color w:val="000000"/>
          <w:sz w:val="22"/>
          <w:szCs w:val="22"/>
        </w:rPr>
        <w:t xml:space="preserve"> due to an increase</w:t>
      </w:r>
      <w:r w:rsidR="00FC12B1" w:rsidRPr="009E0FDB">
        <w:rPr>
          <w:rFonts w:ascii="Arial" w:hAnsi="Arial" w:cs="Arial"/>
          <w:color w:val="000000"/>
          <w:sz w:val="22"/>
          <w:szCs w:val="22"/>
        </w:rPr>
        <w:t xml:space="preserve"> in recordkeeping</w:t>
      </w:r>
      <w:r w:rsidR="00EC27BA" w:rsidRPr="00EC27BA">
        <w:rPr>
          <w:rFonts w:ascii="Arial" w:hAnsi="Arial" w:cs="Arial"/>
          <w:color w:val="000000"/>
          <w:sz w:val="22"/>
          <w:szCs w:val="22"/>
        </w:rPr>
        <w:t xml:space="preserve"> </w:t>
      </w:r>
      <w:r w:rsidR="00D95A10">
        <w:rPr>
          <w:rFonts w:ascii="Arial" w:hAnsi="Arial" w:cs="Arial"/>
          <w:color w:val="000000"/>
          <w:sz w:val="22"/>
          <w:szCs w:val="22"/>
        </w:rPr>
        <w:t xml:space="preserve">burden </w:t>
      </w:r>
      <w:r w:rsidR="00EC27BA">
        <w:rPr>
          <w:rFonts w:ascii="Arial" w:hAnsi="Arial" w:cs="Arial"/>
          <w:color w:val="000000"/>
          <w:sz w:val="22"/>
          <w:szCs w:val="22"/>
        </w:rPr>
        <w:t>under 10 CFR 50.69</w:t>
      </w:r>
      <w:r w:rsidR="00D95A10">
        <w:rPr>
          <w:rFonts w:ascii="Arial" w:hAnsi="Arial" w:cs="Arial"/>
          <w:color w:val="000000"/>
          <w:sz w:val="22"/>
          <w:szCs w:val="22"/>
        </w:rPr>
        <w:t xml:space="preserve">.  Section 50.69 </w:t>
      </w:r>
      <w:r w:rsidR="00D95A10">
        <w:rPr>
          <w:rFonts w:ascii="Arial" w:hAnsi="Arial" w:cs="Arial"/>
          <w:sz w:val="22"/>
          <w:szCs w:val="22"/>
        </w:rPr>
        <w:t>provides a voluntary alternative set of requirements under which a licensee may obtain relief from some unnecessary regulatory burden for those SSCs that are determined through a risk-informed categorization process to be of low safety-significance.  To use the alternative provisions of 10 CFR 50.69, a licensee or applicant must evaluate the safety significance of SSCs and categorize each SSC into one of four categories defined as risk</w:t>
      </w:r>
      <w:r w:rsidR="00D95A10">
        <w:rPr>
          <w:rFonts w:ascii="Arial" w:hAnsi="Arial" w:cs="Arial"/>
          <w:sz w:val="22"/>
          <w:szCs w:val="22"/>
        </w:rPr>
        <w:noBreakHyphen/>
        <w:t xml:space="preserve">informed safety class (RISC)-1, RISC-2, RISC-3, and RISC-4.  In the previous submission, the NRC staff estimated </w:t>
      </w:r>
      <w:r w:rsidR="00FC12B1" w:rsidRPr="0082313D">
        <w:rPr>
          <w:rFonts w:ascii="Arial" w:hAnsi="Arial" w:cs="Arial"/>
          <w:color w:val="000000"/>
          <w:sz w:val="22"/>
          <w:szCs w:val="22"/>
        </w:rPr>
        <w:t>0</w:t>
      </w:r>
      <w:r w:rsidR="00FC12B1" w:rsidRPr="009E0FDB">
        <w:rPr>
          <w:rFonts w:ascii="Arial" w:hAnsi="Arial" w:cs="Arial"/>
          <w:color w:val="000000"/>
          <w:sz w:val="22"/>
          <w:szCs w:val="22"/>
        </w:rPr>
        <w:t>.333</w:t>
      </w:r>
      <w:r w:rsidR="00782FAF">
        <w:rPr>
          <w:rFonts w:ascii="Arial" w:hAnsi="Arial" w:cs="Arial"/>
          <w:color w:val="000000"/>
          <w:sz w:val="22"/>
          <w:szCs w:val="22"/>
        </w:rPr>
        <w:t xml:space="preserve"> </w:t>
      </w:r>
      <w:r w:rsidR="00D95A10">
        <w:rPr>
          <w:rFonts w:ascii="Arial" w:hAnsi="Arial" w:cs="Arial"/>
          <w:color w:val="000000"/>
          <w:sz w:val="22"/>
          <w:szCs w:val="22"/>
        </w:rPr>
        <w:t>annual submissions under 50.69.  I</w:t>
      </w:r>
      <w:r w:rsidR="00782FAF">
        <w:rPr>
          <w:rFonts w:ascii="Arial" w:hAnsi="Arial" w:cs="Arial"/>
          <w:color w:val="000000"/>
          <w:sz w:val="22"/>
          <w:szCs w:val="22"/>
        </w:rPr>
        <w:t xml:space="preserve">n the </w:t>
      </w:r>
      <w:r w:rsidR="00D95A10">
        <w:rPr>
          <w:rFonts w:ascii="Arial" w:hAnsi="Arial" w:cs="Arial"/>
          <w:color w:val="000000"/>
          <w:sz w:val="22"/>
          <w:szCs w:val="22"/>
        </w:rPr>
        <w:t xml:space="preserve">current cycle, the staff </w:t>
      </w:r>
      <w:r w:rsidR="00782FAF">
        <w:rPr>
          <w:rFonts w:ascii="Arial" w:hAnsi="Arial" w:cs="Arial"/>
          <w:color w:val="000000"/>
          <w:sz w:val="22"/>
          <w:szCs w:val="22"/>
        </w:rPr>
        <w:t>expect</w:t>
      </w:r>
      <w:r w:rsidR="00D95A10">
        <w:rPr>
          <w:rFonts w:ascii="Arial" w:hAnsi="Arial" w:cs="Arial"/>
          <w:color w:val="000000"/>
          <w:sz w:val="22"/>
          <w:szCs w:val="22"/>
        </w:rPr>
        <w:t>s</w:t>
      </w:r>
      <w:r w:rsidR="00782FAF">
        <w:rPr>
          <w:rFonts w:ascii="Arial" w:hAnsi="Arial" w:cs="Arial"/>
          <w:color w:val="000000"/>
          <w:sz w:val="22"/>
          <w:szCs w:val="22"/>
        </w:rPr>
        <w:t xml:space="preserve"> submission of </w:t>
      </w:r>
      <w:r w:rsidR="00FC12B1">
        <w:rPr>
          <w:rFonts w:ascii="Arial" w:hAnsi="Arial" w:cs="Arial"/>
          <w:color w:val="000000"/>
          <w:sz w:val="22"/>
          <w:szCs w:val="22"/>
        </w:rPr>
        <w:t>10</w:t>
      </w:r>
      <w:r w:rsidR="00782FAF">
        <w:rPr>
          <w:rFonts w:ascii="Arial" w:hAnsi="Arial" w:cs="Arial"/>
          <w:color w:val="000000"/>
          <w:sz w:val="22"/>
          <w:szCs w:val="22"/>
        </w:rPr>
        <w:t xml:space="preserve"> applications</w:t>
      </w:r>
      <w:r w:rsidR="00CF178D">
        <w:rPr>
          <w:rFonts w:ascii="Arial" w:hAnsi="Arial" w:cs="Arial"/>
          <w:color w:val="000000"/>
          <w:sz w:val="22"/>
          <w:szCs w:val="22"/>
        </w:rPr>
        <w:t xml:space="preserve"> annually</w:t>
      </w:r>
      <w:r w:rsidR="00EC27BA">
        <w:rPr>
          <w:rFonts w:ascii="Arial" w:hAnsi="Arial" w:cs="Arial"/>
          <w:color w:val="000000"/>
          <w:sz w:val="22"/>
          <w:szCs w:val="22"/>
        </w:rPr>
        <w:t>,</w:t>
      </w:r>
      <w:r w:rsidR="00782FAF">
        <w:rPr>
          <w:rFonts w:ascii="Arial" w:hAnsi="Arial" w:cs="Arial"/>
          <w:color w:val="000000"/>
          <w:sz w:val="22"/>
          <w:szCs w:val="22"/>
        </w:rPr>
        <w:t xml:space="preserve"> according to industry expressed interest</w:t>
      </w:r>
      <w:r w:rsidR="00EC27BA">
        <w:rPr>
          <w:rFonts w:ascii="Arial" w:hAnsi="Arial" w:cs="Arial"/>
          <w:color w:val="000000"/>
          <w:sz w:val="22"/>
          <w:szCs w:val="22"/>
        </w:rPr>
        <w:t>, during this clearance cycle</w:t>
      </w:r>
      <w:r w:rsidR="00D95A10">
        <w:rPr>
          <w:rFonts w:ascii="Arial" w:hAnsi="Arial" w:cs="Arial"/>
          <w:color w:val="000000"/>
          <w:sz w:val="22"/>
          <w:szCs w:val="22"/>
        </w:rPr>
        <w:t xml:space="preserve">.  </w:t>
      </w:r>
      <w:r w:rsidR="00CF178D">
        <w:rPr>
          <w:rFonts w:ascii="Arial" w:hAnsi="Arial" w:cs="Arial"/>
          <w:color w:val="000000"/>
          <w:sz w:val="22"/>
          <w:szCs w:val="22"/>
        </w:rPr>
        <w:t xml:space="preserve">This resulted in a change in burden for this requirement from 889 hours </w:t>
      </w:r>
      <w:r w:rsidR="00CF178D" w:rsidRPr="00CF178D">
        <w:rPr>
          <w:rFonts w:ascii="Arial" w:hAnsi="Arial" w:cs="Arial"/>
          <w:color w:val="000000"/>
          <w:sz w:val="22"/>
          <w:szCs w:val="22"/>
        </w:rPr>
        <w:t>(200 hrs. reporting + 689 hrs. recordkeeping)</w:t>
      </w:r>
      <w:r w:rsidR="00CF178D">
        <w:rPr>
          <w:rFonts w:ascii="Arial" w:hAnsi="Arial" w:cs="Arial"/>
          <w:color w:val="000000"/>
          <w:sz w:val="22"/>
          <w:szCs w:val="22"/>
        </w:rPr>
        <w:t xml:space="preserve"> to 26,700 hours (6,000 hours reporting + 20,700 hours recordkeeping)</w:t>
      </w:r>
    </w:p>
    <w:p w14:paraId="518C4CA4" w14:textId="77777777" w:rsidR="00D95A10" w:rsidRDefault="00D95A10" w:rsidP="002F2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color w:val="000000"/>
          <w:sz w:val="22"/>
          <w:szCs w:val="22"/>
        </w:rPr>
      </w:pPr>
    </w:p>
    <w:p w14:paraId="0A716A3E" w14:textId="42084001" w:rsidR="002F250A" w:rsidRDefault="002F250A" w:rsidP="002F2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color w:val="000000"/>
          <w:sz w:val="22"/>
          <w:szCs w:val="22"/>
        </w:rPr>
        <w:t xml:space="preserve">Changes in reporting are attributed to </w:t>
      </w:r>
      <w:r>
        <w:rPr>
          <w:rFonts w:ascii="Arial" w:hAnsi="Arial" w:cs="Arial"/>
          <w:sz w:val="22"/>
          <w:szCs w:val="22"/>
        </w:rPr>
        <w:t>the number of operating reactor licensees required to report and maintain records during this clearance period.  In the prior clearance cycles, the agency received information on average from 100 operating reactor licensees, in the previous cycle, this number was calculated at 104.  For this clearance period, that number has been reduced to a projection of 94 operating reactors due to industry not seeking to renew their operating licensee.  This significant reduction in the number of operating reactors has a direct overall effect on the number of respondents and responses operating in accordance with 10 CFR Part 50.</w:t>
      </w:r>
    </w:p>
    <w:p w14:paraId="0B6FBC95" w14:textId="77777777" w:rsidR="00D14883" w:rsidRPr="0026636D" w:rsidRDefault="00D14883" w:rsidP="00D1488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8A264F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14:paraId="690914F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14:paraId="0C93A4A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14:paraId="6C0FD1CB" w14:textId="77777777" w:rsidR="00171CB3" w:rsidRPr="0026636D"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14:paraId="3402FC08" w14:textId="77777777" w:rsidR="009E5CD7" w:rsidRPr="0026636D"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26636D"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00171CB3" w:rsidRPr="0026636D">
        <w:rPr>
          <w:rFonts w:ascii="Arial" w:hAnsi="Arial"/>
          <w:sz w:val="22"/>
        </w:rPr>
        <w:t>18.</w:t>
      </w:r>
      <w:r w:rsidR="00171CB3" w:rsidRPr="0026636D">
        <w:rPr>
          <w:rFonts w:ascii="Arial" w:hAnsi="Arial"/>
          <w:sz w:val="22"/>
        </w:rPr>
        <w:tab/>
      </w:r>
      <w:r w:rsidR="00171CB3" w:rsidRPr="0026636D">
        <w:rPr>
          <w:rFonts w:ascii="Arial" w:hAnsi="Arial"/>
          <w:sz w:val="22"/>
          <w:u w:val="single"/>
        </w:rPr>
        <w:t>Exceptions to the Certification Statement</w:t>
      </w:r>
    </w:p>
    <w:p w14:paraId="1365E78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14:paraId="491E42B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14:paraId="046057B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F1200B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14:paraId="70B242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B100D47" w14:textId="77777777" w:rsidR="00E92362" w:rsidRDefault="00E92362">
      <w:pPr>
        <w:rPr>
          <w:rFonts w:ascii="Arial" w:hAnsi="Arial"/>
          <w:sz w:val="22"/>
        </w:rPr>
      </w:pPr>
      <w:r>
        <w:rPr>
          <w:rFonts w:ascii="Arial" w:hAnsi="Arial"/>
          <w:sz w:val="22"/>
        </w:rPr>
        <w:br w:type="page"/>
      </w:r>
    </w:p>
    <w:p w14:paraId="2D2CCB86" w14:textId="77777777" w:rsidR="00736A10" w:rsidRDefault="00736A10" w:rsidP="00736A10">
      <w:pPr>
        <w:rPr>
          <w:rFonts w:ascii="Arial" w:hAnsi="Arial" w:cs="Arial"/>
          <w:b/>
          <w:sz w:val="22"/>
          <w:szCs w:val="22"/>
          <w:u w:val="single"/>
        </w:rPr>
      </w:pPr>
      <w:r w:rsidRPr="007D394D">
        <w:rPr>
          <w:rFonts w:ascii="Arial" w:hAnsi="Arial" w:cs="Arial"/>
          <w:b/>
          <w:sz w:val="22"/>
          <w:szCs w:val="22"/>
          <w:u w:val="single"/>
        </w:rPr>
        <w:t>Appendix A – Description Requirements</w:t>
      </w:r>
      <w:r>
        <w:rPr>
          <w:rFonts w:ascii="Arial" w:hAnsi="Arial" w:cs="Arial"/>
          <w:b/>
          <w:sz w:val="22"/>
          <w:szCs w:val="22"/>
          <w:u w:val="single"/>
        </w:rPr>
        <w:t xml:space="preserve"> </w:t>
      </w:r>
    </w:p>
    <w:p w14:paraId="2A88B0F8" w14:textId="77777777" w:rsidR="00736A10" w:rsidRDefault="00736A10" w:rsidP="00736A10">
      <w:pPr>
        <w:rPr>
          <w:rFonts w:ascii="Arial" w:hAnsi="Arial" w:cs="Arial"/>
          <w:b/>
          <w:sz w:val="22"/>
          <w:szCs w:val="22"/>
          <w:u w:val="single"/>
        </w:rPr>
      </w:pPr>
    </w:p>
    <w:p w14:paraId="5E91CF29" w14:textId="19DE0D4D" w:rsidR="00736A10" w:rsidRPr="00736A10" w:rsidRDefault="00736A10" w:rsidP="00736A10">
      <w:pPr>
        <w:tabs>
          <w:tab w:val="center" w:pos="4680"/>
        </w:tabs>
        <w:rPr>
          <w:rFonts w:ascii="Arial" w:hAnsi="Arial" w:cs="Arial"/>
          <w:b/>
          <w:color w:val="000000"/>
          <w:sz w:val="22"/>
          <w:szCs w:val="22"/>
          <w:u w:val="single"/>
        </w:rPr>
      </w:pPr>
      <w:r w:rsidRPr="00736A10">
        <w:rPr>
          <w:rFonts w:ascii="Arial" w:hAnsi="Arial" w:cs="Arial"/>
          <w:b/>
          <w:color w:val="000000"/>
          <w:sz w:val="22"/>
          <w:szCs w:val="22"/>
          <w:u w:val="single"/>
        </w:rPr>
        <w:t>Inspections, Records, Reports, Notifications</w:t>
      </w:r>
    </w:p>
    <w:p w14:paraId="638BFD79" w14:textId="77777777" w:rsidR="005D7D2A" w:rsidRDefault="005D7D2A"/>
    <w:p w14:paraId="0C880864" w14:textId="0E067D05" w:rsidR="005D7D2A" w:rsidRDefault="0037412E" w:rsidP="009B0D5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10 CFR 50.68(b)(8) requires licensees to comply with eight specific criticality accident requirements as an alternative to maintaining a monitoring system capable of detecting a criticality as described in 10 CFR 70.24.  Should licensees elect to comply with 10 CFR 50.68(b), they are required to indicate that it has chosen to comply with 10 CFR 50.68 in lieu of 10 CFR 50.74 as part of its FSAR update (in accordance with 10 CFR 50.71(e)).  Burden for this requirement is included in 50.71 for FSAR updates.</w:t>
      </w:r>
    </w:p>
    <w:p w14:paraId="232FBD8D" w14:textId="77777777" w:rsidR="0037412E" w:rsidRDefault="0037412E" w:rsidP="009B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EA70B76" w14:textId="77777777" w:rsidR="00DA4871" w:rsidRDefault="00DA4871" w:rsidP="00DA4871">
      <w:pPr>
        <w:ind w:left="720"/>
        <w:rPr>
          <w:rFonts w:ascii="Arial" w:hAnsi="Arial" w:cs="Arial"/>
          <w:sz w:val="22"/>
          <w:szCs w:val="22"/>
        </w:rPr>
      </w:pPr>
      <w:r>
        <w:rPr>
          <w:rFonts w:ascii="Arial" w:hAnsi="Arial" w:cs="Arial"/>
          <w:sz w:val="22"/>
          <w:szCs w:val="22"/>
        </w:rPr>
        <w:t xml:space="preserve">Section 10 CFR 50.69 provides a voluntary alternative set of requirements under which a licensee may obtain relief from some unnecessary regulatory burden for those SSCs that are determined through a risk-informed categorization process to be of low safety-significance.  The regulation is intended to provide more flexibility to licensees in the application of treatment requirements for low safety-significant SSCs, by replacing some of the prescriptive programmatic requirements with more general performance requirements.  Requirements are included to specify the process for obtaining the Nuclear Regulatory Commission (NRC) approval for implementing the alternative requirements and for licensee preparation of ongoing SSC performance evaluations against established standards.  Recordkeeping and reporting requirements are modified only for those licensees or applicants who voluntarily choose to implement the alternative requirements of 10 CFR 50.69. </w:t>
      </w:r>
    </w:p>
    <w:p w14:paraId="496FA886" w14:textId="77777777" w:rsidR="00DA4871" w:rsidRDefault="00DA4871" w:rsidP="00DA4871">
      <w:pPr>
        <w:ind w:left="720"/>
        <w:rPr>
          <w:rFonts w:ascii="Arial" w:hAnsi="Arial" w:cs="Arial"/>
          <w:sz w:val="22"/>
          <w:szCs w:val="22"/>
        </w:rPr>
      </w:pPr>
    </w:p>
    <w:p w14:paraId="5BA103C8" w14:textId="77777777" w:rsidR="00DA4871" w:rsidRDefault="00DA4871" w:rsidP="00DA4871">
      <w:pPr>
        <w:ind w:left="720"/>
        <w:rPr>
          <w:rFonts w:ascii="Arial" w:hAnsi="Arial" w:cs="Arial"/>
          <w:sz w:val="22"/>
          <w:szCs w:val="22"/>
        </w:rPr>
      </w:pPr>
      <w:r>
        <w:rPr>
          <w:rFonts w:ascii="Arial" w:hAnsi="Arial" w:cs="Arial"/>
          <w:sz w:val="22"/>
          <w:szCs w:val="22"/>
        </w:rPr>
        <w:t>To use the alternative provisions of 10 CFR 50.69, a licensee or applicant must evaluate the safety significance of SSCs and categorize each SSC into one of four categories defined as risk</w:t>
      </w:r>
      <w:r>
        <w:rPr>
          <w:rFonts w:ascii="Arial" w:hAnsi="Arial" w:cs="Arial"/>
          <w:sz w:val="22"/>
          <w:szCs w:val="22"/>
        </w:rPr>
        <w:noBreakHyphen/>
        <w:t>informed safety class (RISC)-1, RISC-2, RISC-3, and RISC-4.  Section 10 CFR 50.69 establishes revised treatment and less prescriptive and burdensome information collection requirements for safety and non-safety SSCs categorized as performing low safety-significant functions (RISC-3 and RISC-4), but also contains requirements for on-going evaluations to ensure safety standards are maintained and that records of categorization decisions are maintained.</w:t>
      </w:r>
    </w:p>
    <w:p w14:paraId="3D869E72" w14:textId="77777777" w:rsidR="00DA4871" w:rsidRDefault="00DA4871" w:rsidP="00DA4871">
      <w:pPr>
        <w:widowControl w:val="0"/>
        <w:ind w:left="720"/>
        <w:rPr>
          <w:rFonts w:ascii="Arial" w:hAnsi="Arial" w:cs="Arial"/>
          <w:sz w:val="22"/>
          <w:szCs w:val="22"/>
        </w:rPr>
      </w:pPr>
    </w:p>
    <w:p w14:paraId="40466524" w14:textId="77777777" w:rsidR="00DA4871" w:rsidRDefault="00DA4871" w:rsidP="00DA4871">
      <w:pPr>
        <w:widowControl w:val="0"/>
        <w:ind w:left="720"/>
        <w:rPr>
          <w:rFonts w:ascii="Arial" w:hAnsi="Arial" w:cs="Arial"/>
          <w:sz w:val="22"/>
          <w:szCs w:val="22"/>
        </w:rPr>
      </w:pPr>
      <w:r>
        <w:rPr>
          <w:rFonts w:ascii="Arial" w:hAnsi="Arial" w:cs="Arial"/>
          <w:sz w:val="22"/>
          <w:szCs w:val="22"/>
        </w:rPr>
        <w:t xml:space="preserve">Section </w:t>
      </w:r>
      <w:r w:rsidRPr="00FC4CCA">
        <w:rPr>
          <w:rFonts w:ascii="Arial" w:hAnsi="Arial" w:cs="Arial"/>
          <w:sz w:val="22"/>
          <w:szCs w:val="22"/>
        </w:rPr>
        <w:t>10 CFR 50.70</w:t>
      </w:r>
      <w:r w:rsidRPr="00960C69">
        <w:rPr>
          <w:rFonts w:ascii="Arial" w:hAnsi="Arial" w:cs="Arial"/>
          <w:sz w:val="22"/>
          <w:szCs w:val="22"/>
        </w:rPr>
        <w:t xml:space="preserve"> requires power-reactor licensees to permit inspection of licensee records, premises, activities, and licensed material as necessary for the NRC to ensure public health and safety.</w:t>
      </w:r>
    </w:p>
    <w:p w14:paraId="11871BBE" w14:textId="77777777" w:rsidR="00DA4871" w:rsidRDefault="00DA4871" w:rsidP="00431894">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74013DB" w14:textId="77777777" w:rsidR="00DA4871" w:rsidRDefault="00DA4871" w:rsidP="00431894">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1EE24DB5" w14:textId="6C673B2F" w:rsidR="00431894" w:rsidRPr="00E624BE" w:rsidRDefault="00431894" w:rsidP="00431894">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E624BE">
        <w:rPr>
          <w:rFonts w:ascii="Arial" w:hAnsi="Arial" w:cs="Arial"/>
          <w:sz w:val="22"/>
          <w:szCs w:val="22"/>
        </w:rPr>
        <w:t>Section 50.71(b) of 10 CFR requires licensees and holders of construction permits to file with the Commission annual financial reports, including certified financial statements.  This requirement is also specified in 10 CFR 50 Appendix C, Section III, for holders of construction permits.  The fundamental purpose of the financial qualifications provision is the protection of public health and safety and the common defense and security.  A licensee's or holder's (including a co-owner's) financial resources may affect its ability to meet its responsibilities on safety matters.</w:t>
      </w:r>
    </w:p>
    <w:p w14:paraId="2D6277AD" w14:textId="77777777" w:rsidR="009230DF" w:rsidRDefault="009230DF"/>
    <w:p w14:paraId="2D61617D" w14:textId="76B0F373" w:rsidR="009230DF" w:rsidRDefault="00736A1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Pr>
          <w:rFonts w:ascii="Arial" w:hAnsi="Arial" w:cs="Arial"/>
          <w:sz w:val="22"/>
          <w:szCs w:val="22"/>
        </w:rPr>
        <w:t xml:space="preserve">10 CFR 50.71(e)(1) requires licensees to submit revisions containing the updated FSAR information on a replacement-page basis, accompanied by a list which identifies the current pages of the FSAR following page replacement.  </w:t>
      </w:r>
    </w:p>
    <w:p w14:paraId="0BE5CEA8" w14:textId="77777777" w:rsidR="009230DF"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35B922" w14:textId="1456864F" w:rsidR="009230DF" w:rsidRDefault="00D21D2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Pr>
          <w:rFonts w:ascii="Arial" w:hAnsi="Arial" w:cs="Arial"/>
          <w:sz w:val="22"/>
          <w:szCs w:val="22"/>
        </w:rPr>
        <w:t>10 CFR 50.71(e)(2) requires that FSAR-update submittals include a certification by a duly authorized official of the licensee that either the information accurately presents changes made since the previous submittal, necessary to reflect information and analyses submitted to or required by the Commission, or that no such changes were made; and an identification of changes made under the provisions of 10 CFR 50.59 but not previously submitted to the Commission.</w:t>
      </w:r>
    </w:p>
    <w:p w14:paraId="4A0C065F" w14:textId="77777777" w:rsidR="009230DF"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A5D4D1E" w14:textId="566B3DCB" w:rsidR="009230DF" w:rsidRDefault="00D21D2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Pr>
          <w:rFonts w:ascii="Arial" w:hAnsi="Arial" w:cs="Arial"/>
          <w:sz w:val="22"/>
          <w:szCs w:val="22"/>
        </w:rPr>
        <w:t>10 CFR 50.71(e)(3) requires a revision of the original FSAR containing those original pages that are still applicable plus new replacement pages to be filed with 24 months of either July 22, 1980, or the date of issuance of the operating license, whichever is later, and shall bring the FSAR up to date as of a maximum of 6 months prior to the date of filing the revision.</w:t>
      </w:r>
    </w:p>
    <w:p w14:paraId="7864533C" w14:textId="77777777" w:rsidR="009230DF"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DA0EBF" w14:textId="6B2E7E51" w:rsidR="009230DF" w:rsidRDefault="00D21D2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Pr>
          <w:rFonts w:ascii="Arial" w:hAnsi="Arial" w:cs="Arial"/>
          <w:sz w:val="22"/>
          <w:szCs w:val="22"/>
        </w:rPr>
        <w:t xml:space="preserve">10 CFR 50.71(e)(4) requires the filing of revisions annually or 6 months after each refueling outage provided the interval between successive updates to the FSAR does not exceed 24 months.  The revisions must reflect all changes up to a maximum of 6 months prior to the date of filing.  For nuclear power reactor facilities that have submitted 10 CFR 50.82(a)(1) certifications, subsequent revisions must be filed every 24 months.  </w:t>
      </w:r>
    </w:p>
    <w:p w14:paraId="35966E8A" w14:textId="77777777" w:rsidR="00DA4871" w:rsidRDefault="00DA4871"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194CF79" w14:textId="77777777" w:rsidR="00DA4871" w:rsidRDefault="00DA4871" w:rsidP="00DA487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10 CFR 50.71(e)(5) requires each replacement page to include both a change indicator for the area changed, e.g., a bold line vertically drawn in the margin adjacent to the portion actually changed, and a page change identification (date of change or change number or both).</w:t>
      </w:r>
    </w:p>
    <w:p w14:paraId="64E80F19" w14:textId="77777777" w:rsidR="00DA4871" w:rsidRDefault="00DA4871" w:rsidP="00DA487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598307D" w14:textId="77777777" w:rsidR="00DA4871" w:rsidRDefault="00DA4871" w:rsidP="00DA487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10 CFR 50.71(e)(6) requires licensees to retain the updated FSAR until termination of the license.</w:t>
      </w:r>
    </w:p>
    <w:p w14:paraId="671B68EA" w14:textId="77777777" w:rsidR="00DA4871" w:rsidRDefault="00DA4871"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774893B" w14:textId="77777777" w:rsidR="009230DF"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D68CC1A" w14:textId="24C897A8" w:rsidR="009230DF" w:rsidRPr="00EB2774" w:rsidRDefault="00D21D2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21D20">
        <w:rPr>
          <w:rFonts w:ascii="Arial" w:hAnsi="Arial" w:cs="Arial"/>
          <w:sz w:val="22"/>
          <w:szCs w:val="22"/>
        </w:rPr>
        <w:t xml:space="preserve">Section </w:t>
      </w:r>
      <w:r w:rsidR="009230DF" w:rsidRPr="00D21D20">
        <w:rPr>
          <w:rFonts w:ascii="Arial" w:hAnsi="Arial" w:cs="Arial"/>
          <w:sz w:val="22"/>
          <w:szCs w:val="22"/>
        </w:rPr>
        <w:t xml:space="preserve">10 </w:t>
      </w:r>
      <w:r w:rsidRPr="00D21D20">
        <w:rPr>
          <w:rFonts w:ascii="Arial" w:hAnsi="Arial" w:cs="Arial"/>
          <w:sz w:val="22"/>
          <w:szCs w:val="22"/>
        </w:rPr>
        <w:t>CFR</w:t>
      </w:r>
      <w:r w:rsidR="009230DF" w:rsidRPr="00D21D20">
        <w:rPr>
          <w:rFonts w:ascii="Arial" w:hAnsi="Arial" w:cs="Arial"/>
          <w:sz w:val="22"/>
          <w:szCs w:val="22"/>
        </w:rPr>
        <w:t xml:space="preserve"> 50.54(z)</w:t>
      </w:r>
      <w:r w:rsidR="009230DF" w:rsidRPr="00EB2774">
        <w:rPr>
          <w:rFonts w:ascii="Arial" w:hAnsi="Arial" w:cs="Arial"/>
          <w:sz w:val="22"/>
          <w:szCs w:val="22"/>
        </w:rPr>
        <w:t xml:space="preserve"> makes it a license condition that each licensee licensed under Sections 103 or 104b of the Atomic Energy Act shall make the notifications specified in 10 CFR 50.72.</w:t>
      </w:r>
    </w:p>
    <w:p w14:paraId="586AB18C" w14:textId="77777777" w:rsidR="009230DF" w:rsidRPr="00EB2774"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2A393B" w14:textId="3E6EDAAD" w:rsidR="009230DF" w:rsidRDefault="00D21D20"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D21D20">
        <w:rPr>
          <w:rFonts w:ascii="Arial" w:hAnsi="Arial" w:cs="Arial"/>
          <w:sz w:val="22"/>
          <w:szCs w:val="22"/>
        </w:rPr>
        <w:t>10 CFR 50.72(a)(1)</w:t>
      </w:r>
      <w:r w:rsidR="009230DF" w:rsidRPr="00EB2774">
        <w:rPr>
          <w:rFonts w:ascii="Arial" w:hAnsi="Arial" w:cs="Arial"/>
          <w:sz w:val="22"/>
          <w:szCs w:val="22"/>
        </w:rPr>
        <w:t xml:space="preserve"> and </w:t>
      </w:r>
      <w:r w:rsidR="009230DF" w:rsidRPr="00D21D20">
        <w:rPr>
          <w:rFonts w:ascii="Arial" w:hAnsi="Arial" w:cs="Arial"/>
          <w:sz w:val="22"/>
          <w:szCs w:val="22"/>
        </w:rPr>
        <w:t>10 CFR 50.72(a)(2)</w:t>
      </w:r>
      <w:r w:rsidR="009230DF" w:rsidRPr="00EB2774">
        <w:rPr>
          <w:rFonts w:ascii="Arial" w:hAnsi="Arial" w:cs="Arial"/>
          <w:sz w:val="22"/>
          <w:szCs w:val="22"/>
        </w:rPr>
        <w:t xml:space="preserve"> require that each power reactor licensee notify the NRC of specified events via the Emergency Notification System (ENS).  If the ENS is inoperable, the licensee shall make the notifications via commercial telephone or other means.  Many of these events are also subject to follow-up written reports as required by 10 CFR 50.73.  These written follow-up reports are covered by a separate </w:t>
      </w:r>
      <w:r w:rsidR="009230DF" w:rsidRPr="00EB2774">
        <w:rPr>
          <w:rFonts w:ascii="Arial" w:hAnsi="Arial" w:cs="Arial"/>
          <w:color w:val="000000"/>
          <w:sz w:val="22"/>
          <w:szCs w:val="22"/>
        </w:rPr>
        <w:t>Office of Management and Budget</w:t>
      </w:r>
      <w:r w:rsidR="009230DF" w:rsidRPr="00EB2774">
        <w:rPr>
          <w:rFonts w:ascii="Arial" w:hAnsi="Arial" w:cs="Arial"/>
          <w:sz w:val="22"/>
          <w:szCs w:val="22"/>
        </w:rPr>
        <w:t xml:space="preserve"> clearance, 3150-0104.</w:t>
      </w:r>
    </w:p>
    <w:p w14:paraId="16DB7130" w14:textId="77777777" w:rsidR="00DA4871" w:rsidRDefault="00DA4871"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D52F4A3" w14:textId="77777777" w:rsidR="00DA4871" w:rsidRDefault="00DA4871" w:rsidP="00DA4871">
      <w:pPr>
        <w:widowControl w:val="0"/>
        <w:ind w:left="720"/>
        <w:rPr>
          <w:rFonts w:ascii="Arial" w:hAnsi="Arial" w:cs="Arial"/>
          <w:sz w:val="22"/>
          <w:szCs w:val="22"/>
        </w:rPr>
      </w:pPr>
      <w:r>
        <w:rPr>
          <w:rFonts w:ascii="Arial" w:hAnsi="Arial"/>
          <w:sz w:val="22"/>
        </w:rPr>
        <w:t xml:space="preserve">Section </w:t>
      </w:r>
      <w:r w:rsidRPr="00FC4CCA">
        <w:rPr>
          <w:rFonts w:ascii="Arial" w:hAnsi="Arial"/>
          <w:sz w:val="22"/>
        </w:rPr>
        <w:t>10 CFR 50.72(a)(ii)(4)</w:t>
      </w:r>
      <w:r>
        <w:rPr>
          <w:rFonts w:ascii="Arial" w:hAnsi="Arial"/>
          <w:sz w:val="22"/>
        </w:rPr>
        <w:t xml:space="preserve"> requires the licensee to activate the ERDS as soon as possible but not later than one hour after declaring an emergency class of alert, site area emergency, or general emergency.</w:t>
      </w:r>
      <w:r w:rsidRPr="003E52A8">
        <w:rPr>
          <w:rFonts w:ascii="Arial" w:hAnsi="Arial" w:cs="Arial"/>
          <w:sz w:val="22"/>
          <w:szCs w:val="22"/>
        </w:rPr>
        <w:t xml:space="preserve"> </w:t>
      </w:r>
    </w:p>
    <w:p w14:paraId="3EE23917" w14:textId="77777777" w:rsidR="009230DF" w:rsidRPr="00EB2774"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B50B17" w14:textId="250BCD15" w:rsidR="009230DF" w:rsidRPr="00EB2774" w:rsidRDefault="00FC4CCA"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FC4CCA">
        <w:rPr>
          <w:rFonts w:ascii="Arial" w:hAnsi="Arial" w:cs="Arial"/>
          <w:sz w:val="22"/>
          <w:szCs w:val="22"/>
        </w:rPr>
        <w:t>10 CFR 50.72(a)(3)</w:t>
      </w:r>
      <w:r w:rsidR="009230DF" w:rsidRPr="00EB2774">
        <w:rPr>
          <w:rFonts w:ascii="Arial" w:hAnsi="Arial" w:cs="Arial"/>
          <w:sz w:val="22"/>
          <w:szCs w:val="22"/>
        </w:rPr>
        <w:t xml:space="preserve"> specifies notification immediately after notification of State and local authorities and not later than one hour after the licensee declares one of the Emergency Classes.  Activation of the ERDS, as required by 10 CFR 50.72(a)(4), is covered in Section </w:t>
      </w:r>
      <w:r>
        <w:rPr>
          <w:rFonts w:ascii="Arial" w:hAnsi="Arial" w:cs="Arial"/>
          <w:sz w:val="22"/>
          <w:szCs w:val="22"/>
        </w:rPr>
        <w:t>4</w:t>
      </w:r>
      <w:r w:rsidR="009230DF" w:rsidRPr="00EB2774">
        <w:rPr>
          <w:rFonts w:ascii="Arial" w:hAnsi="Arial" w:cs="Arial"/>
          <w:sz w:val="22"/>
          <w:szCs w:val="22"/>
        </w:rPr>
        <w:t xml:space="preserve"> of this clearance.</w:t>
      </w:r>
    </w:p>
    <w:p w14:paraId="47771BC4" w14:textId="77777777" w:rsidR="009230DF" w:rsidRPr="00EB2774"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F7100B3" w14:textId="50C758EC" w:rsidR="009230DF" w:rsidRPr="00EB2774" w:rsidRDefault="00FC4CCA"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FC4CCA">
        <w:rPr>
          <w:rFonts w:ascii="Arial" w:hAnsi="Arial" w:cs="Arial"/>
          <w:sz w:val="22"/>
          <w:szCs w:val="22"/>
        </w:rPr>
        <w:t>10 CFR 50.72(b)(1</w:t>
      </w:r>
      <w:r w:rsidR="009230DF" w:rsidRPr="00EB2774">
        <w:rPr>
          <w:rFonts w:ascii="Arial" w:hAnsi="Arial" w:cs="Arial"/>
          <w:sz w:val="22"/>
          <w:szCs w:val="22"/>
          <w:u w:val="single"/>
        </w:rPr>
        <w:t>)</w:t>
      </w:r>
      <w:r w:rsidR="009230DF" w:rsidRPr="00EB2774">
        <w:rPr>
          <w:rFonts w:ascii="Arial" w:hAnsi="Arial" w:cs="Arial"/>
          <w:sz w:val="22"/>
          <w:szCs w:val="22"/>
        </w:rPr>
        <w:t xml:space="preserve"> requires notification as soon as practical and in all cases within one hour of the occurrence of any deviation from the plant</w:t>
      </w:r>
      <w:r w:rsidR="009230DF">
        <w:rPr>
          <w:rFonts w:ascii="Arial" w:hAnsi="Arial" w:cs="Arial"/>
          <w:sz w:val="22"/>
          <w:szCs w:val="22"/>
        </w:rPr>
        <w:t>’</w:t>
      </w:r>
      <w:r w:rsidR="009230DF" w:rsidRPr="00EB2774">
        <w:rPr>
          <w:rFonts w:ascii="Arial" w:hAnsi="Arial" w:cs="Arial"/>
          <w:sz w:val="22"/>
          <w:szCs w:val="22"/>
        </w:rPr>
        <w:t>s Technical Specifications (TS) authorized pursuant to 10 CFR 50.54(x).</w:t>
      </w:r>
    </w:p>
    <w:p w14:paraId="6D34AC57" w14:textId="77777777" w:rsidR="009230DF" w:rsidRPr="00EB2774"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18C4733A" w14:textId="0AAB3BB7" w:rsidR="009230DF" w:rsidRPr="00EB2774" w:rsidRDefault="00FC4CCA"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FC4CCA">
        <w:rPr>
          <w:rFonts w:ascii="Arial" w:hAnsi="Arial" w:cs="Arial"/>
          <w:sz w:val="22"/>
          <w:szCs w:val="22"/>
        </w:rPr>
        <w:t>10 CFR 50.72(b)(2)</w:t>
      </w:r>
      <w:r w:rsidR="009230DF" w:rsidRPr="00EB2774">
        <w:rPr>
          <w:rFonts w:ascii="Arial" w:hAnsi="Arial" w:cs="Arial"/>
          <w:sz w:val="22"/>
          <w:szCs w:val="22"/>
        </w:rPr>
        <w:t xml:space="preserve"> requires notification as soon as practical and in all cases within 4 hours of events such as plant shutdown required by TS, an event that results or should have resulted in an emergency core cooling system discharge into the reactor coolant, an event that results in actuation of the reactor protection system, or any event or situation related to the health and safety of the public or protection of the environment for which a news release is planned. </w:t>
      </w:r>
    </w:p>
    <w:p w14:paraId="43854805" w14:textId="77777777" w:rsidR="009230DF" w:rsidRPr="00EB2774"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B28BA63" w14:textId="661E971F" w:rsidR="009230DF" w:rsidRDefault="00FC4CCA"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FC4CCA">
        <w:rPr>
          <w:rFonts w:ascii="Arial" w:hAnsi="Arial" w:cs="Arial"/>
          <w:sz w:val="22"/>
          <w:szCs w:val="22"/>
        </w:rPr>
        <w:t>10 CFR 50.72(b)(3)</w:t>
      </w:r>
      <w:r w:rsidR="009230DF" w:rsidRPr="00EB2774">
        <w:rPr>
          <w:rFonts w:ascii="Arial" w:hAnsi="Arial" w:cs="Arial"/>
          <w:sz w:val="22"/>
          <w:szCs w:val="22"/>
        </w:rPr>
        <w:t xml:space="preserve"> requires notification as soon as practical and in all cases within 8 hours of events such as (1) an event or condition that results in the nuclear power plant or any of its principal barriers being seriously degraded or the nuclear plant being in an unanalyzed condition that degrades plant safety; (2) events or conditions that result in valid actuation of specified safety systems; (3) events or conditions that could have prevented fulfillment of the safety condition of structures and systems needed to shut down and maintain the reactor in a safe condition, remove residual heat, control the release of radioactive material, and mitigate the consequences of an accident; (4) hospitalization of contaminated personnel; and (5) any event that results in a major loss of communications or emergency assessment capability.</w:t>
      </w:r>
    </w:p>
    <w:p w14:paraId="14834840" w14:textId="77777777" w:rsidR="009230DF" w:rsidRDefault="009230DF"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B778277" w14:textId="3E987094" w:rsidR="009230DF" w:rsidRDefault="00FC4CCA"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Section </w:t>
      </w:r>
      <w:r w:rsidR="009230DF" w:rsidRPr="00FC4CCA">
        <w:rPr>
          <w:rFonts w:ascii="Arial" w:hAnsi="Arial" w:cs="Arial"/>
          <w:sz w:val="22"/>
          <w:szCs w:val="22"/>
        </w:rPr>
        <w:t>10 CFR 50.72(c)</w:t>
      </w:r>
      <w:r w:rsidR="009230DF" w:rsidRPr="00EB2774">
        <w:rPr>
          <w:rFonts w:ascii="Arial" w:hAnsi="Arial" w:cs="Arial"/>
          <w:sz w:val="22"/>
          <w:szCs w:val="22"/>
        </w:rPr>
        <w:t xml:space="preserve"> requires that during the course of the event, the licensee shall: (1) immediately report any further degradation, any change of Emergency Class, (2) the results of ensuing evaluations, the effectiveness of response or protective measures, or plant behavior that is not understood; and (3) maintain an open, continuous communication channel with the NRC Operations Center upon request by the NRC.</w:t>
      </w:r>
    </w:p>
    <w:p w14:paraId="021A1B9C" w14:textId="77777777" w:rsidR="00DA4871" w:rsidRDefault="00DA4871"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EA1DDAE" w14:textId="5E9A7939" w:rsidR="00DA4871" w:rsidRDefault="00DA4871"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50.76 requires that a</w:t>
      </w:r>
      <w:r w:rsidRPr="00DA4871">
        <w:rPr>
          <w:rFonts w:ascii="Arial" w:hAnsi="Arial" w:cs="Arial"/>
          <w:sz w:val="22"/>
          <w:szCs w:val="22"/>
        </w:rPr>
        <w:t>n electric utility licensee holding an operating license (including a renewed licen</w:t>
      </w:r>
      <w:r>
        <w:rPr>
          <w:rFonts w:ascii="Arial" w:hAnsi="Arial" w:cs="Arial"/>
          <w:sz w:val="22"/>
          <w:szCs w:val="22"/>
        </w:rPr>
        <w:t>se) for a nuclear power reactor</w:t>
      </w:r>
      <w:r w:rsidRPr="00DA4871">
        <w:rPr>
          <w:rFonts w:ascii="Arial" w:hAnsi="Arial" w:cs="Arial"/>
          <w:sz w:val="22"/>
          <w:szCs w:val="22"/>
        </w:rPr>
        <w:t xml:space="preserve"> shall provide the NRC with the financial qualifications information that would be required for obtaining an initial operating license as specified in § 50.33(f)(2)</w:t>
      </w:r>
      <w:r>
        <w:rPr>
          <w:rFonts w:ascii="Arial" w:hAnsi="Arial" w:cs="Arial"/>
          <w:sz w:val="22"/>
          <w:szCs w:val="22"/>
        </w:rPr>
        <w:t xml:space="preserve"> within 75 </w:t>
      </w:r>
      <w:r w:rsidRPr="00DA4871">
        <w:rPr>
          <w:rFonts w:ascii="Arial" w:hAnsi="Arial" w:cs="Arial"/>
          <w:sz w:val="22"/>
          <w:szCs w:val="22"/>
        </w:rPr>
        <w:t>days prior to ceasing to be an electric utility in any manner not involving a license transfer under § 50.80. The financial qualifications information must address the first full five years of operation after the date the licensee ceases to be an electric utility.</w:t>
      </w:r>
    </w:p>
    <w:p w14:paraId="4B30B702" w14:textId="77777777" w:rsidR="008A46EC" w:rsidRDefault="008A46EC"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E5AAD27" w14:textId="77777777" w:rsidR="008A46EC" w:rsidRPr="00EB2774" w:rsidRDefault="008A46EC" w:rsidP="009B0D52">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EB2774">
        <w:rPr>
          <w:rFonts w:ascii="Arial" w:hAnsi="Arial" w:cs="Arial"/>
          <w:sz w:val="22"/>
          <w:szCs w:val="22"/>
          <w:u w:val="single"/>
        </w:rPr>
        <w:t>10 CFR Part 50, Appendix E, Paragraph E.9.d.</w:t>
      </w:r>
      <w:r w:rsidRPr="00EB2774">
        <w:rPr>
          <w:rFonts w:ascii="Arial" w:hAnsi="Arial" w:cs="Arial"/>
          <w:sz w:val="22"/>
          <w:szCs w:val="22"/>
        </w:rPr>
        <w:t>, requires each licensee to perform monthly testing from the control room, the technical support center and the emergency operations facility.  Additionally, the ENS system is exercised each morning, usually between the hours of 0400 and 0800 Eastern Time, by the Headquarters Operations Officer's (HOOs) placement of a call to each licensed facility to collect voluntary reactor status and grid information.</w:t>
      </w:r>
    </w:p>
    <w:p w14:paraId="26E9B1E7" w14:textId="77777777" w:rsidR="008A46EC" w:rsidRDefault="008A46EC" w:rsidP="009230D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137A475C" w14:textId="77777777" w:rsidR="00AC2D36" w:rsidRDefault="00AC2D36" w:rsidP="009B0D52">
      <w:pPr>
        <w:widowControl w:val="0"/>
        <w:ind w:left="720"/>
        <w:rPr>
          <w:rFonts w:ascii="Arial" w:hAnsi="Arial"/>
          <w:sz w:val="22"/>
        </w:rPr>
      </w:pPr>
      <w:r>
        <w:rPr>
          <w:rFonts w:ascii="Arial" w:hAnsi="Arial"/>
          <w:sz w:val="22"/>
          <w:u w:val="single"/>
        </w:rPr>
        <w:t>10 CFR 50 Appendix E.VI, Emergency Planning and Preparedness for Production and Utilization Facilities</w:t>
      </w:r>
    </w:p>
    <w:p w14:paraId="5510511D" w14:textId="77777777" w:rsidR="00AC2D36" w:rsidRDefault="00AC2D36" w:rsidP="009B0D52">
      <w:pPr>
        <w:widowControl w:val="0"/>
        <w:ind w:left="720"/>
        <w:rPr>
          <w:rFonts w:ascii="Arial" w:hAnsi="Arial"/>
          <w:sz w:val="22"/>
        </w:rPr>
      </w:pPr>
    </w:p>
    <w:p w14:paraId="6E04A451" w14:textId="77777777" w:rsidR="00AC2D36" w:rsidRDefault="00AC2D36" w:rsidP="009B0D52">
      <w:pPr>
        <w:widowControl w:val="0"/>
        <w:ind w:left="720"/>
        <w:rPr>
          <w:rFonts w:ascii="Arial" w:hAnsi="Arial"/>
          <w:sz w:val="22"/>
        </w:rPr>
      </w:pPr>
      <w:r>
        <w:rPr>
          <w:rFonts w:ascii="Arial" w:hAnsi="Arial"/>
          <w:sz w:val="22"/>
          <w:u w:val="single"/>
        </w:rPr>
        <w:t>10 CFR 50 Appendix E.VI.1</w:t>
      </w:r>
      <w:r>
        <w:rPr>
          <w:rFonts w:ascii="Arial" w:hAnsi="Arial"/>
          <w:sz w:val="22"/>
        </w:rPr>
        <w:t xml:space="preserve"> requires that licensees test the ERDS periodically to verify system availability and operability.  The frequency of ERDS testing is quarterly unless otherwise set by NRC based on demonstrated system performance.</w:t>
      </w:r>
    </w:p>
    <w:p w14:paraId="4320AF03" w14:textId="77777777" w:rsidR="00AC2D36" w:rsidRDefault="00AC2D36" w:rsidP="009B0D52">
      <w:pPr>
        <w:widowControl w:val="0"/>
        <w:ind w:left="720"/>
        <w:rPr>
          <w:rFonts w:ascii="Arial" w:hAnsi="Arial"/>
          <w:sz w:val="22"/>
        </w:rPr>
      </w:pPr>
    </w:p>
    <w:p w14:paraId="57E6DC08" w14:textId="77777777" w:rsidR="00AC2D36" w:rsidRDefault="00AC2D36" w:rsidP="009B0D52">
      <w:pPr>
        <w:widowControl w:val="0"/>
        <w:ind w:left="720"/>
        <w:rPr>
          <w:rFonts w:ascii="Arial" w:hAnsi="Arial"/>
          <w:sz w:val="22"/>
        </w:rPr>
      </w:pPr>
      <w:r>
        <w:rPr>
          <w:rFonts w:ascii="Arial" w:hAnsi="Arial"/>
          <w:sz w:val="22"/>
          <w:u w:val="single"/>
        </w:rPr>
        <w:t>10 CFR 50 Appendix E.VI.2.a</w:t>
      </w:r>
      <w:r>
        <w:rPr>
          <w:rFonts w:ascii="Arial" w:hAnsi="Arial"/>
          <w:sz w:val="22"/>
        </w:rPr>
        <w:t xml:space="preserve"> requires that computer systems transmit in-plant data points for pressurized water reactors or boiling water reactors if the data points are resident in the in-plant computer.</w:t>
      </w:r>
    </w:p>
    <w:p w14:paraId="4E9405DB" w14:textId="77777777" w:rsidR="00AC2D36" w:rsidRDefault="00AC2D36" w:rsidP="009B0D52">
      <w:pPr>
        <w:widowControl w:val="0"/>
        <w:ind w:left="720"/>
        <w:rPr>
          <w:rFonts w:ascii="Arial" w:hAnsi="Arial"/>
          <w:sz w:val="22"/>
        </w:rPr>
      </w:pPr>
    </w:p>
    <w:p w14:paraId="1FB1926E" w14:textId="77777777" w:rsidR="00AC2D36" w:rsidRDefault="00AC2D36" w:rsidP="009B0D52">
      <w:pPr>
        <w:widowControl w:val="0"/>
        <w:ind w:left="720"/>
        <w:rPr>
          <w:rFonts w:ascii="Arial" w:hAnsi="Arial"/>
          <w:sz w:val="22"/>
        </w:rPr>
      </w:pPr>
      <w:r>
        <w:rPr>
          <w:rFonts w:ascii="Arial" w:hAnsi="Arial"/>
          <w:sz w:val="22"/>
          <w:u w:val="single"/>
        </w:rPr>
        <w:t>10 CFR 50 Appendix E.VI.2.b</w:t>
      </w:r>
      <w:r>
        <w:rPr>
          <w:rFonts w:ascii="Arial" w:hAnsi="Arial"/>
          <w:sz w:val="22"/>
        </w:rPr>
        <w:t xml:space="preserve"> requires the selected parameter sets of data to be transmitted at time intervals of not less than 15 seconds or more than 60 seconds.</w:t>
      </w:r>
    </w:p>
    <w:p w14:paraId="7A4B40B4" w14:textId="77777777" w:rsidR="00AC2D36" w:rsidRDefault="00AC2D36" w:rsidP="009B0D52">
      <w:pPr>
        <w:widowControl w:val="0"/>
        <w:ind w:left="720"/>
        <w:rPr>
          <w:rFonts w:ascii="Arial" w:hAnsi="Arial"/>
          <w:sz w:val="22"/>
        </w:rPr>
      </w:pPr>
    </w:p>
    <w:p w14:paraId="33FE22D1" w14:textId="77777777" w:rsidR="00AC2D36" w:rsidRDefault="00AC2D36" w:rsidP="009B0D52">
      <w:pPr>
        <w:widowControl w:val="0"/>
        <w:ind w:left="720"/>
        <w:rPr>
          <w:rFonts w:ascii="Arial" w:hAnsi="Arial"/>
          <w:sz w:val="22"/>
        </w:rPr>
      </w:pPr>
      <w:r>
        <w:rPr>
          <w:rFonts w:ascii="Arial" w:hAnsi="Arial"/>
          <w:sz w:val="22"/>
          <w:u w:val="single"/>
        </w:rPr>
        <w:t>10 CFR 50 Appendix E.VI.2.c</w:t>
      </w:r>
      <w:r>
        <w:rPr>
          <w:rFonts w:ascii="Arial" w:hAnsi="Arial"/>
          <w:sz w:val="22"/>
        </w:rPr>
        <w:t xml:space="preserve"> requires all link control and data transmission be established in a format compatible with the NRC receiving system.</w:t>
      </w:r>
    </w:p>
    <w:p w14:paraId="378A7548" w14:textId="77777777" w:rsidR="00AC2D36" w:rsidRDefault="00AC2D36" w:rsidP="009B0D52">
      <w:pPr>
        <w:widowControl w:val="0"/>
        <w:ind w:left="720"/>
        <w:rPr>
          <w:rFonts w:ascii="Arial" w:hAnsi="Arial"/>
          <w:sz w:val="22"/>
        </w:rPr>
      </w:pPr>
      <w:r>
        <w:rPr>
          <w:rFonts w:ascii="Arial" w:hAnsi="Arial"/>
          <w:sz w:val="22"/>
        </w:rPr>
        <w:t xml:space="preserve">                                             </w:t>
      </w:r>
    </w:p>
    <w:p w14:paraId="55C21E53" w14:textId="77777777" w:rsidR="00AC2D36" w:rsidRDefault="00AC2D36" w:rsidP="009B0D52">
      <w:pPr>
        <w:widowControl w:val="0"/>
        <w:ind w:left="720"/>
        <w:rPr>
          <w:rFonts w:ascii="Arial" w:hAnsi="Arial"/>
          <w:sz w:val="22"/>
        </w:rPr>
      </w:pPr>
      <w:r>
        <w:rPr>
          <w:rFonts w:ascii="Arial" w:hAnsi="Arial"/>
          <w:sz w:val="22"/>
          <w:u w:val="single"/>
        </w:rPr>
        <w:t>10 CFR 50 Appendix E.VI.3.a</w:t>
      </w:r>
      <w:r>
        <w:rPr>
          <w:rFonts w:ascii="Arial" w:hAnsi="Arial"/>
          <w:sz w:val="22"/>
        </w:rPr>
        <w:t xml:space="preserve"> requires that any hardware or software changes that affect the transmitted data points identified in the ERDS Data Point Library (site specific data base residing on the ERDS computer) must be reported to the NRC within 30 days after changes are completed.</w:t>
      </w:r>
    </w:p>
    <w:p w14:paraId="131247D2" w14:textId="77777777" w:rsidR="00AC2D36" w:rsidRDefault="00AC2D36" w:rsidP="009B0D52">
      <w:pPr>
        <w:widowControl w:val="0"/>
        <w:rPr>
          <w:rFonts w:ascii="Arial" w:hAnsi="Arial"/>
          <w:sz w:val="22"/>
        </w:rPr>
      </w:pPr>
    </w:p>
    <w:p w14:paraId="3F5A0BD2" w14:textId="77777777" w:rsidR="00AC2D36" w:rsidRDefault="00AC2D36" w:rsidP="009B0D52">
      <w:pPr>
        <w:widowControl w:val="0"/>
        <w:ind w:left="720"/>
        <w:rPr>
          <w:rFonts w:ascii="Arial" w:hAnsi="Arial"/>
          <w:sz w:val="22"/>
        </w:rPr>
      </w:pPr>
      <w:r>
        <w:rPr>
          <w:rFonts w:ascii="Arial" w:hAnsi="Arial"/>
          <w:sz w:val="22"/>
          <w:u w:val="single"/>
        </w:rPr>
        <w:t>10 CFR 50 Appendix E.VI.3.b</w:t>
      </w:r>
      <w:r>
        <w:rPr>
          <w:rFonts w:ascii="Arial" w:hAnsi="Arial"/>
          <w:sz w:val="22"/>
        </w:rPr>
        <w:t xml:space="preserve"> requires that NRC be notified as soon as practicable and at least 30 days prior to any changes to computer hardware or software, with the exception of data point modifications, that could affect the transmission format and the ERDS computer communication protocol.</w:t>
      </w:r>
    </w:p>
    <w:p w14:paraId="7C844A88" w14:textId="77777777" w:rsidR="00AC2D36" w:rsidRDefault="00AC2D36" w:rsidP="009B0D52">
      <w:pPr>
        <w:widowControl w:val="0"/>
        <w:ind w:left="720"/>
        <w:rPr>
          <w:rFonts w:ascii="Arial" w:hAnsi="Arial"/>
          <w:sz w:val="22"/>
        </w:rPr>
      </w:pPr>
    </w:p>
    <w:p w14:paraId="7A2C3C0A" w14:textId="77777777" w:rsidR="00AC2D36" w:rsidRDefault="00AC2D36" w:rsidP="009B0D52">
      <w:pPr>
        <w:widowControl w:val="0"/>
        <w:ind w:left="720"/>
        <w:rPr>
          <w:rFonts w:ascii="Arial" w:hAnsi="Arial"/>
          <w:sz w:val="22"/>
        </w:rPr>
      </w:pPr>
      <w:r>
        <w:rPr>
          <w:rFonts w:ascii="Arial" w:hAnsi="Arial"/>
          <w:sz w:val="22"/>
          <w:u w:val="single"/>
        </w:rPr>
        <w:t>10 CFR 50 Appendix E.VI.4.a</w:t>
      </w:r>
      <w:r>
        <w:rPr>
          <w:rFonts w:ascii="Arial" w:hAnsi="Arial"/>
          <w:sz w:val="22"/>
        </w:rPr>
        <w:t xml:space="preserve"> required the licensees to develop and submit an ERDS implementation program plan to the NRC by October 28, 1991.</w:t>
      </w:r>
    </w:p>
    <w:p w14:paraId="4EC3C4DD" w14:textId="77777777" w:rsidR="004065E9" w:rsidRDefault="004065E9" w:rsidP="009B0D52">
      <w:pPr>
        <w:widowControl w:val="0"/>
        <w:ind w:left="720"/>
        <w:rPr>
          <w:rFonts w:ascii="Arial" w:hAnsi="Arial"/>
          <w:sz w:val="22"/>
        </w:rPr>
      </w:pPr>
    </w:p>
    <w:p w14:paraId="69DDCF35" w14:textId="77777777" w:rsidR="004065E9" w:rsidRPr="00960C69" w:rsidRDefault="004065E9" w:rsidP="004065E9">
      <w:pPr>
        <w:ind w:left="720"/>
        <w:rPr>
          <w:rFonts w:ascii="Arial" w:hAnsi="Arial"/>
          <w:sz w:val="22"/>
        </w:rPr>
      </w:pPr>
      <w:r w:rsidRPr="00960C69">
        <w:rPr>
          <w:rFonts w:ascii="Arial" w:hAnsi="Arial"/>
          <w:sz w:val="22"/>
        </w:rPr>
        <w:t>The Reactor Oversight Process (ROP) defines the inspection program for power reactors in</w:t>
      </w:r>
      <w:r>
        <w:rPr>
          <w:rFonts w:ascii="Arial" w:hAnsi="Arial"/>
          <w:sz w:val="22"/>
        </w:rPr>
        <w:t xml:space="preserve"> Inspection Manual Chapter </w:t>
      </w:r>
      <w:r w:rsidRPr="00960C69">
        <w:rPr>
          <w:rFonts w:ascii="Arial" w:hAnsi="Arial" w:cs="Arial"/>
          <w:sz w:val="22"/>
          <w:szCs w:val="22"/>
        </w:rPr>
        <w:t>2515</w:t>
      </w:r>
      <w:r w:rsidRPr="00960C69">
        <w:rPr>
          <w:rFonts w:ascii="Arial" w:hAnsi="Arial"/>
          <w:sz w:val="22"/>
        </w:rPr>
        <w:t>.  Within the ROP, three types of inspections require extensive planning and preparation due to their scope and depth.  In order to prevent inefficient use of licensee and NRC resources during these inspections certain relevant inspection information is need prior conducting on-site inspections.  The recordkeeping requirement for licensees to maintain this relevant inspection information is established in 10</w:t>
      </w:r>
      <w:r w:rsidRPr="00960C69">
        <w:rPr>
          <w:rFonts w:ascii="Arial" w:hAnsi="Arial" w:cs="Arial"/>
          <w:sz w:val="22"/>
          <w:szCs w:val="22"/>
        </w:rPr>
        <w:t> </w:t>
      </w:r>
      <w:r w:rsidRPr="00201C46">
        <w:rPr>
          <w:rFonts w:ascii="Arial" w:hAnsi="Arial" w:cs="Arial"/>
          <w:i/>
          <w:sz w:val="22"/>
          <w:szCs w:val="22"/>
        </w:rPr>
        <w:t>Code of Federal Regulations</w:t>
      </w:r>
      <w:r>
        <w:rPr>
          <w:rFonts w:ascii="Arial" w:hAnsi="Arial" w:cs="Arial"/>
          <w:sz w:val="22"/>
          <w:szCs w:val="22"/>
        </w:rPr>
        <w:t xml:space="preserve"> (</w:t>
      </w:r>
      <w:r w:rsidRPr="00960C69">
        <w:rPr>
          <w:rFonts w:ascii="Arial" w:hAnsi="Arial"/>
          <w:sz w:val="22"/>
        </w:rPr>
        <w:t>CFR</w:t>
      </w:r>
      <w:r>
        <w:rPr>
          <w:rFonts w:ascii="Arial" w:hAnsi="Arial"/>
          <w:sz w:val="22"/>
        </w:rPr>
        <w:t>)</w:t>
      </w:r>
      <w:r w:rsidRPr="00960C69">
        <w:rPr>
          <w:rFonts w:ascii="Arial" w:hAnsi="Arial" w:cs="Arial"/>
          <w:sz w:val="22"/>
          <w:szCs w:val="22"/>
        </w:rPr>
        <w:t> </w:t>
      </w:r>
      <w:r w:rsidRPr="00960C69">
        <w:rPr>
          <w:rFonts w:ascii="Arial" w:hAnsi="Arial"/>
          <w:sz w:val="22"/>
        </w:rPr>
        <w:t>50.71 and the burden is included in each relevant section of this clearance.  The three inspection procedures (IPs) are listed below along with a description of needed information.</w:t>
      </w:r>
    </w:p>
    <w:p w14:paraId="7D631578" w14:textId="77777777" w:rsidR="004065E9" w:rsidRPr="00960C69" w:rsidRDefault="004065E9" w:rsidP="004065E9">
      <w:pPr>
        <w:rPr>
          <w:rFonts w:ascii="Arial" w:hAnsi="Arial"/>
          <w:sz w:val="22"/>
        </w:rPr>
      </w:pPr>
    </w:p>
    <w:p w14:paraId="5D3B880A" w14:textId="77777777" w:rsidR="004065E9" w:rsidRDefault="004065E9" w:rsidP="009B0D52">
      <w:pPr>
        <w:ind w:left="1440"/>
        <w:rPr>
          <w:rFonts w:ascii="Arial" w:hAnsi="Arial"/>
          <w:sz w:val="22"/>
        </w:rPr>
      </w:pPr>
      <w:r w:rsidRPr="00E22E31">
        <w:rPr>
          <w:rFonts w:ascii="Arial" w:hAnsi="Arial"/>
          <w:sz w:val="22"/>
          <w:u w:val="single"/>
        </w:rPr>
        <w:t>IP 71111.05T Fire Protection (Triennial) and IP 71111.05XT Fire Protection – NPFA 805 (Triennial):</w:t>
      </w:r>
      <w:r>
        <w:rPr>
          <w:rFonts w:ascii="Arial" w:hAnsi="Arial"/>
          <w:sz w:val="22"/>
        </w:rPr>
        <w:t xml:space="preserve">  Fire Protection </w:t>
      </w:r>
      <w:r w:rsidRPr="00961027">
        <w:rPr>
          <w:rFonts w:ascii="Arial" w:hAnsi="Arial"/>
          <w:sz w:val="22"/>
        </w:rPr>
        <w:t>inspection is performed every three years</w:t>
      </w:r>
      <w:r>
        <w:rPr>
          <w:rFonts w:ascii="Arial" w:hAnsi="Arial"/>
          <w:sz w:val="22"/>
        </w:rPr>
        <w:t xml:space="preserve"> at all U.S. nuclear sites.  I</w:t>
      </w:r>
      <w:r w:rsidRPr="00961027">
        <w:rPr>
          <w:rFonts w:ascii="Arial" w:hAnsi="Arial"/>
          <w:sz w:val="22"/>
        </w:rPr>
        <w:t xml:space="preserve">nformation requested for this inspection includes copies of analyses, evaluations or documentation regarding the implementation and maintenance of the station fire protection program, including post-fire safe shutdown capability, fire protection compliance assessment documents, recent problems and corrective actions and risk-related documentation.  Also, documents requested include those implementing mitigating strategies and demonstrating the management of licensee commitments for the strategies.  There are two versions of this inspection </w:t>
      </w:r>
      <w:r>
        <w:rPr>
          <w:rFonts w:ascii="Arial" w:hAnsi="Arial"/>
          <w:sz w:val="22"/>
        </w:rPr>
        <w:t xml:space="preserve">(IP 71111.05T and IP 71111.05XT) </w:t>
      </w:r>
      <w:r w:rsidRPr="00961027">
        <w:rPr>
          <w:rFonts w:ascii="Arial" w:hAnsi="Arial"/>
          <w:sz w:val="22"/>
        </w:rPr>
        <w:t>depending on the fire protection licensing basis of the plant.  This information is needed to assess the licensee’s ability to safely shut</w:t>
      </w:r>
      <w:r>
        <w:rPr>
          <w:rFonts w:ascii="Arial" w:hAnsi="Arial"/>
          <w:sz w:val="22"/>
        </w:rPr>
        <w:t xml:space="preserve"> down the plant after a fire.</w:t>
      </w:r>
    </w:p>
    <w:p w14:paraId="4FDED3C1" w14:textId="77777777" w:rsidR="004065E9" w:rsidRPr="00960C69" w:rsidRDefault="004065E9" w:rsidP="009B0D52">
      <w:pPr>
        <w:ind w:left="1440"/>
        <w:rPr>
          <w:rFonts w:ascii="Arial" w:hAnsi="Arial"/>
          <w:sz w:val="22"/>
        </w:rPr>
      </w:pPr>
    </w:p>
    <w:p w14:paraId="326E7113" w14:textId="77777777" w:rsidR="004065E9" w:rsidRDefault="004065E9" w:rsidP="009B0D52">
      <w:pPr>
        <w:ind w:left="1440"/>
        <w:rPr>
          <w:rFonts w:ascii="Arial" w:hAnsi="Arial"/>
          <w:sz w:val="22"/>
          <w:szCs w:val="22"/>
        </w:rPr>
      </w:pPr>
      <w:r w:rsidRPr="00960C69">
        <w:rPr>
          <w:rFonts w:ascii="Arial" w:hAnsi="Arial"/>
          <w:sz w:val="22"/>
          <w:szCs w:val="22"/>
          <w:u w:val="single"/>
        </w:rPr>
        <w:t>IP</w:t>
      </w:r>
      <w:r w:rsidRPr="00960C69">
        <w:rPr>
          <w:rFonts w:ascii="Arial" w:hAnsi="Arial" w:cs="Arial"/>
          <w:i/>
          <w:sz w:val="22"/>
          <w:szCs w:val="22"/>
          <w:u w:val="single"/>
        </w:rPr>
        <w:t> </w:t>
      </w:r>
      <w:r>
        <w:rPr>
          <w:rFonts w:ascii="Arial" w:hAnsi="Arial"/>
          <w:sz w:val="22"/>
          <w:szCs w:val="22"/>
          <w:u w:val="single"/>
        </w:rPr>
        <w:t>71111.21M Design Bases Assurance Inspection (Team) and IP 71111.21N Design Bases Assurance Inspection (Program):</w:t>
      </w:r>
      <w:r>
        <w:rPr>
          <w:rFonts w:ascii="Arial" w:hAnsi="Arial"/>
          <w:sz w:val="22"/>
          <w:szCs w:val="22"/>
        </w:rPr>
        <w:t xml:space="preserve">  Design Bases Assurance (DBA) inspections are </w:t>
      </w:r>
      <w:r w:rsidRPr="00960C69">
        <w:rPr>
          <w:rFonts w:ascii="Arial" w:hAnsi="Arial"/>
          <w:sz w:val="22"/>
          <w:szCs w:val="22"/>
        </w:rPr>
        <w:t>performed every three years.  Information requested to prepare for this inspection includes a list of recent system performance problems</w:t>
      </w:r>
      <w:r>
        <w:rPr>
          <w:rFonts w:ascii="Arial" w:hAnsi="Arial"/>
          <w:sz w:val="22"/>
          <w:szCs w:val="22"/>
        </w:rPr>
        <w:t xml:space="preserve"> (includes recent corrective maintenance performed on safety-related equipment)</w:t>
      </w:r>
      <w:r w:rsidRPr="00960C69">
        <w:rPr>
          <w:rFonts w:ascii="Arial" w:hAnsi="Arial"/>
          <w:sz w:val="22"/>
          <w:szCs w:val="22"/>
        </w:rPr>
        <w:t>, corrective action</w:t>
      </w:r>
      <w:r>
        <w:rPr>
          <w:rFonts w:ascii="Arial" w:hAnsi="Arial"/>
          <w:sz w:val="22"/>
          <w:szCs w:val="22"/>
        </w:rPr>
        <w:t xml:space="preserve"> documents, </w:t>
      </w:r>
      <w:r w:rsidRPr="00960C69">
        <w:rPr>
          <w:rFonts w:ascii="Arial" w:hAnsi="Arial"/>
          <w:sz w:val="22"/>
          <w:szCs w:val="22"/>
        </w:rPr>
        <w:t xml:space="preserve">system modifications, and </w:t>
      </w:r>
      <w:r>
        <w:rPr>
          <w:rFonts w:ascii="Arial" w:hAnsi="Arial"/>
          <w:sz w:val="22"/>
          <w:szCs w:val="22"/>
        </w:rPr>
        <w:t xml:space="preserve">operability evaluations, self-assessments, </w:t>
      </w:r>
      <w:r w:rsidRPr="00960C69">
        <w:rPr>
          <w:rFonts w:ascii="Arial" w:hAnsi="Arial"/>
          <w:sz w:val="22"/>
          <w:szCs w:val="22"/>
        </w:rPr>
        <w:t xml:space="preserve">selected information related to </w:t>
      </w:r>
      <w:r w:rsidRPr="00960C69">
        <w:rPr>
          <w:rFonts w:ascii="Arial" w:hAnsi="Arial" w:cs="Arial"/>
          <w:sz w:val="22"/>
          <w:szCs w:val="22"/>
        </w:rPr>
        <w:t xml:space="preserve">component </w:t>
      </w:r>
      <w:r w:rsidRPr="00960C69">
        <w:rPr>
          <w:rFonts w:ascii="Arial" w:hAnsi="Arial"/>
          <w:sz w:val="22"/>
          <w:szCs w:val="22"/>
        </w:rPr>
        <w:t xml:space="preserve">design </w:t>
      </w:r>
      <w:r w:rsidRPr="00960C69">
        <w:rPr>
          <w:rFonts w:ascii="Arial" w:hAnsi="Arial" w:cs="Arial"/>
          <w:sz w:val="22"/>
          <w:szCs w:val="22"/>
        </w:rPr>
        <w:t>(design calculations, design basis)</w:t>
      </w:r>
      <w:r w:rsidRPr="00960C69">
        <w:rPr>
          <w:rFonts w:ascii="Arial" w:hAnsi="Arial"/>
          <w:sz w:val="22"/>
          <w:szCs w:val="22"/>
        </w:rPr>
        <w:t xml:space="preserve">, </w:t>
      </w:r>
      <w:r w:rsidRPr="00960C69">
        <w:rPr>
          <w:rFonts w:ascii="Arial" w:hAnsi="Arial" w:cs="Arial"/>
          <w:sz w:val="22"/>
          <w:szCs w:val="22"/>
        </w:rPr>
        <w:t xml:space="preserve">component and operator action </w:t>
      </w:r>
      <w:r w:rsidRPr="00960C69">
        <w:rPr>
          <w:rFonts w:ascii="Arial" w:hAnsi="Arial"/>
          <w:sz w:val="22"/>
          <w:szCs w:val="22"/>
        </w:rPr>
        <w:t>risk, a</w:t>
      </w:r>
      <w:r>
        <w:rPr>
          <w:rFonts w:ascii="Arial" w:hAnsi="Arial"/>
          <w:sz w:val="22"/>
          <w:szCs w:val="22"/>
        </w:rPr>
        <w:t xml:space="preserve">nd licensing basis information, </w:t>
      </w:r>
      <w:r w:rsidRPr="00960C69">
        <w:rPr>
          <w:rFonts w:ascii="Arial" w:hAnsi="Arial"/>
          <w:sz w:val="22"/>
          <w:szCs w:val="22"/>
        </w:rPr>
        <w:t xml:space="preserve">and a copy of selected system diagrams, operating and </w:t>
      </w:r>
      <w:r w:rsidRPr="00960C69">
        <w:rPr>
          <w:rFonts w:ascii="Arial" w:hAnsi="Arial" w:cs="Arial"/>
          <w:sz w:val="22"/>
          <w:szCs w:val="22"/>
        </w:rPr>
        <w:t>surveillance</w:t>
      </w:r>
      <w:r w:rsidRPr="00960C69">
        <w:rPr>
          <w:rFonts w:ascii="Arial" w:hAnsi="Arial"/>
          <w:sz w:val="22"/>
          <w:szCs w:val="22"/>
        </w:rPr>
        <w:t xml:space="preserve"> testing procedures.  </w:t>
      </w:r>
      <w:r>
        <w:rPr>
          <w:rFonts w:ascii="Arial" w:hAnsi="Arial"/>
          <w:sz w:val="22"/>
          <w:szCs w:val="22"/>
        </w:rPr>
        <w:t xml:space="preserve">Additionally, for inspection conducted using IP 71111.21N, information requested may include information needed to determine which components are within the scope of the engineering program selected for inspection as well as corrective and preventive maintenance associated with these components.  </w:t>
      </w:r>
      <w:r w:rsidRPr="00960C69">
        <w:rPr>
          <w:rFonts w:ascii="Arial" w:hAnsi="Arial"/>
          <w:sz w:val="22"/>
          <w:szCs w:val="22"/>
        </w:rPr>
        <w:t xml:space="preserve">This information is needed to assess whether a selected </w:t>
      </w:r>
      <w:r w:rsidRPr="00960C69">
        <w:rPr>
          <w:rFonts w:ascii="Arial" w:hAnsi="Arial" w:cs="Arial"/>
          <w:sz w:val="22"/>
          <w:szCs w:val="22"/>
        </w:rPr>
        <w:t xml:space="preserve">components or operator actions </w:t>
      </w:r>
      <w:r w:rsidRPr="00960C69">
        <w:rPr>
          <w:rFonts w:ascii="Arial" w:hAnsi="Arial"/>
          <w:sz w:val="22"/>
          <w:szCs w:val="22"/>
        </w:rPr>
        <w:t xml:space="preserve">used </w:t>
      </w:r>
      <w:r w:rsidRPr="00960C69">
        <w:rPr>
          <w:rFonts w:ascii="Arial" w:hAnsi="Arial" w:cs="Arial"/>
          <w:sz w:val="22"/>
          <w:szCs w:val="22"/>
        </w:rPr>
        <w:t>to</w:t>
      </w:r>
      <w:r w:rsidRPr="00960C69">
        <w:rPr>
          <w:rFonts w:ascii="Arial" w:hAnsi="Arial"/>
          <w:sz w:val="22"/>
          <w:szCs w:val="22"/>
        </w:rPr>
        <w:t xml:space="preserve"> mitigate risk-significant accident sequences can be relied upon to meet functional requirements that would prevent damage to the reactor core </w:t>
      </w:r>
      <w:r w:rsidRPr="00960C69">
        <w:rPr>
          <w:rFonts w:ascii="Arial" w:hAnsi="Arial" w:cs="Arial"/>
          <w:sz w:val="22"/>
          <w:szCs w:val="22"/>
        </w:rPr>
        <w:t>during design basis events</w:t>
      </w:r>
      <w:r w:rsidRPr="00960C69">
        <w:rPr>
          <w:rFonts w:ascii="Arial" w:hAnsi="Arial"/>
          <w:sz w:val="22"/>
          <w:szCs w:val="22"/>
        </w:rPr>
        <w:t>.</w:t>
      </w:r>
    </w:p>
    <w:p w14:paraId="51F4B733" w14:textId="77777777" w:rsidR="004065E9" w:rsidRPr="00960C69" w:rsidRDefault="004065E9" w:rsidP="009B0D52">
      <w:pPr>
        <w:ind w:left="1440"/>
        <w:rPr>
          <w:rFonts w:ascii="Arial" w:hAnsi="Arial"/>
          <w:sz w:val="22"/>
          <w:szCs w:val="22"/>
        </w:rPr>
      </w:pPr>
    </w:p>
    <w:p w14:paraId="3424FC71" w14:textId="77777777" w:rsidR="004065E9" w:rsidRPr="00960C69" w:rsidRDefault="004065E9" w:rsidP="009B0D52">
      <w:pPr>
        <w:ind w:left="1440"/>
        <w:rPr>
          <w:rFonts w:ascii="Arial" w:hAnsi="Arial"/>
          <w:sz w:val="22"/>
        </w:rPr>
      </w:pPr>
      <w:r w:rsidRPr="00960C69">
        <w:rPr>
          <w:rFonts w:ascii="Arial" w:hAnsi="Arial"/>
          <w:sz w:val="22"/>
          <w:u w:val="single"/>
        </w:rPr>
        <w:t>IP</w:t>
      </w:r>
      <w:r w:rsidRPr="00960C69">
        <w:rPr>
          <w:rFonts w:ascii="Arial" w:hAnsi="Arial" w:cs="Arial"/>
          <w:i/>
          <w:sz w:val="22"/>
          <w:szCs w:val="22"/>
          <w:u w:val="single"/>
        </w:rPr>
        <w:t> </w:t>
      </w:r>
      <w:r>
        <w:rPr>
          <w:rFonts w:ascii="Arial" w:hAnsi="Arial"/>
          <w:sz w:val="22"/>
          <w:u w:val="single"/>
        </w:rPr>
        <w:t xml:space="preserve">71152 Problem Identification and </w:t>
      </w:r>
      <w:r w:rsidRPr="00960C69">
        <w:rPr>
          <w:rFonts w:ascii="Arial" w:hAnsi="Arial"/>
          <w:sz w:val="22"/>
          <w:u w:val="single"/>
        </w:rPr>
        <w:t>Resolution</w:t>
      </w:r>
      <w:r>
        <w:rPr>
          <w:rFonts w:ascii="Arial" w:hAnsi="Arial"/>
          <w:sz w:val="22"/>
          <w:u w:val="single"/>
        </w:rPr>
        <w:t>:</w:t>
      </w:r>
      <w:r w:rsidRPr="00960C69">
        <w:rPr>
          <w:rFonts w:ascii="Arial" w:hAnsi="Arial"/>
          <w:sz w:val="22"/>
        </w:rPr>
        <w:t xml:space="preserve"> inspection is performed every two years.  However, an additional inspection may be performed at a site if warranted by either declining plant performance (typically this triggers one additional inspection per year) or the need to follow-up on an independent safety culture assessment.  Information requested to prepare for this inspection includes a list of recent equipment problems, self-assessments, </w:t>
      </w:r>
      <w:r>
        <w:rPr>
          <w:rFonts w:ascii="Arial" w:hAnsi="Arial"/>
          <w:sz w:val="22"/>
        </w:rPr>
        <w:t xml:space="preserve">licensee audits, </w:t>
      </w:r>
      <w:r w:rsidRPr="00960C69">
        <w:rPr>
          <w:rFonts w:ascii="Arial" w:hAnsi="Arial"/>
          <w:sz w:val="22"/>
        </w:rPr>
        <w:t>root cause evaluations, and corrective action documents; and a copy of the corrective action program and equipment monitoring program procedures.  This information is needed to gain insights regarding the licensee</w:t>
      </w:r>
      <w:r>
        <w:rPr>
          <w:rFonts w:ascii="Arial" w:hAnsi="Arial"/>
          <w:sz w:val="22"/>
        </w:rPr>
        <w:t>’</w:t>
      </w:r>
      <w:r w:rsidRPr="00960C69">
        <w:rPr>
          <w:rFonts w:ascii="Arial" w:hAnsi="Arial"/>
          <w:sz w:val="22"/>
        </w:rPr>
        <w:t>s ability to promptly identify and resolve problems.</w:t>
      </w:r>
    </w:p>
    <w:p w14:paraId="476431F8" w14:textId="77777777" w:rsidR="004065E9" w:rsidRDefault="004065E9" w:rsidP="009B0D52">
      <w:pPr>
        <w:widowControl w:val="0"/>
        <w:ind w:left="720"/>
        <w:rPr>
          <w:rFonts w:ascii="Arial" w:hAnsi="Arial"/>
          <w:sz w:val="22"/>
        </w:rPr>
      </w:pPr>
    </w:p>
    <w:p w14:paraId="58F5A8A6" w14:textId="77777777" w:rsidR="00EC444B" w:rsidRDefault="00EC444B" w:rsidP="000A2032">
      <w:pPr>
        <w:widowControl w:val="0"/>
        <w:ind w:left="720"/>
        <w:rPr>
          <w:rFonts w:ascii="Arial" w:hAnsi="Arial"/>
          <w:sz w:val="22"/>
        </w:rPr>
      </w:pPr>
    </w:p>
    <w:p w14:paraId="50A5959E" w14:textId="795F8108" w:rsidR="00A046C7" w:rsidRDefault="00A046C7" w:rsidP="00E83AF9">
      <w:r>
        <w:br w:type="page"/>
      </w:r>
    </w:p>
    <w:p w14:paraId="082AC0DD" w14:textId="77777777" w:rsidR="00A046C7" w:rsidRDefault="00A046C7" w:rsidP="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 INFORMATION COLLECTION REQUIREMENTS</w:t>
      </w:r>
    </w:p>
    <w:p w14:paraId="6B35A0F8" w14:textId="77777777" w:rsidR="00A046C7" w:rsidRDefault="00A046C7" w:rsidP="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CONTAINED IN</w:t>
      </w:r>
    </w:p>
    <w:p w14:paraId="2CD04E6A" w14:textId="77777777" w:rsidR="00A046C7" w:rsidRPr="00151C6A" w:rsidRDefault="00A046C7" w:rsidP="00A046C7">
      <w:pPr>
        <w:tabs>
          <w:tab w:val="center" w:pos="4680"/>
        </w:tabs>
        <w:jc w:val="center"/>
        <w:rPr>
          <w:rFonts w:ascii="Arial" w:hAnsi="Arial" w:cs="Arial"/>
          <w:color w:val="000000"/>
          <w:sz w:val="22"/>
          <w:szCs w:val="22"/>
        </w:rPr>
      </w:pPr>
      <w:r w:rsidRPr="00151C6A">
        <w:rPr>
          <w:rFonts w:ascii="Arial" w:hAnsi="Arial" w:cs="Arial"/>
          <w:color w:val="000000"/>
          <w:sz w:val="22"/>
          <w:szCs w:val="22"/>
        </w:rPr>
        <w:t>INSPECTIONS, RECORDS, REPORTS, NOTIFICATIONS</w:t>
      </w:r>
    </w:p>
    <w:p w14:paraId="4E5CFEDD" w14:textId="77777777" w:rsidR="00A046C7" w:rsidRDefault="00A046C7" w:rsidP="00A046C7">
      <w:pPr>
        <w:tabs>
          <w:tab w:val="center" w:pos="4680"/>
        </w:tabs>
        <w:jc w:val="center"/>
        <w:rPr>
          <w:rFonts w:ascii="Arial" w:hAnsi="Arial" w:cs="Arial"/>
          <w:sz w:val="22"/>
          <w:szCs w:val="22"/>
        </w:rPr>
      </w:pPr>
      <w:r>
        <w:rPr>
          <w:rFonts w:ascii="Arial" w:hAnsi="Arial" w:cs="Arial"/>
          <w:sz w:val="22"/>
          <w:szCs w:val="22"/>
        </w:rPr>
        <w:t>SECTION 4</w:t>
      </w:r>
    </w:p>
    <w:p w14:paraId="60AA53A0" w14:textId="77777777" w:rsidR="00A046C7" w:rsidRPr="00CB4CEA" w:rsidRDefault="00A046C7" w:rsidP="00A046C7">
      <w:pPr>
        <w:tabs>
          <w:tab w:val="center" w:pos="4680"/>
        </w:tabs>
        <w:jc w:val="center"/>
        <w:rPr>
          <w:rFonts w:ascii="Arial" w:hAnsi="Arial" w:cs="Arial"/>
          <w:sz w:val="22"/>
          <w:szCs w:val="22"/>
        </w:rPr>
      </w:pPr>
    </w:p>
    <w:p w14:paraId="01571E2F"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50.71(b) &amp; Appendix C, Financial</w:t>
      </w:r>
      <w:r>
        <w:rPr>
          <w:rFonts w:ascii="Arial" w:hAnsi="Arial" w:cs="Arial"/>
          <w:sz w:val="22"/>
          <w:szCs w:val="22"/>
        </w:rPr>
        <w:t>;</w:t>
      </w:r>
    </w:p>
    <w:p w14:paraId="062DAA9F"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50.71(e), Updated FSAR</w:t>
      </w:r>
      <w:r>
        <w:rPr>
          <w:rFonts w:ascii="Arial" w:hAnsi="Arial" w:cs="Arial"/>
          <w:sz w:val="22"/>
          <w:szCs w:val="22"/>
        </w:rPr>
        <w:t>;</w:t>
      </w:r>
    </w:p>
    <w:p w14:paraId="20F75C6C"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50.72 &amp; 50.54(z), Notification of Events</w:t>
      </w:r>
      <w:r>
        <w:rPr>
          <w:rFonts w:ascii="Arial" w:hAnsi="Arial" w:cs="Arial"/>
          <w:sz w:val="22"/>
          <w:szCs w:val="22"/>
        </w:rPr>
        <w:t>;</w:t>
      </w:r>
    </w:p>
    <w:p w14:paraId="4CA16539"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50.72(a), ERDS</w:t>
      </w:r>
      <w:r>
        <w:rPr>
          <w:rFonts w:ascii="Arial" w:hAnsi="Arial" w:cs="Arial"/>
          <w:sz w:val="22"/>
          <w:szCs w:val="22"/>
        </w:rPr>
        <w:t>;</w:t>
      </w:r>
    </w:p>
    <w:p w14:paraId="66B508EB"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50.73, (LERs) - (s</w:t>
      </w:r>
      <w:r>
        <w:rPr>
          <w:rFonts w:ascii="Arial" w:hAnsi="Arial" w:cs="Arial"/>
          <w:sz w:val="22"/>
          <w:szCs w:val="22"/>
        </w:rPr>
        <w:t>ee OMB Clearance No. 3150-0104);</w:t>
      </w:r>
    </w:p>
    <w:p w14:paraId="4A24135C" w14:textId="77777777" w:rsidR="00A046C7" w:rsidRPr="00151C6A"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50.70, Team Inspections</w:t>
      </w:r>
      <w:r>
        <w:rPr>
          <w:rFonts w:ascii="Arial" w:hAnsi="Arial" w:cs="Arial"/>
          <w:sz w:val="22"/>
          <w:szCs w:val="22"/>
        </w:rPr>
        <w:t>;</w:t>
      </w:r>
    </w:p>
    <w:p w14:paraId="65079127" w14:textId="77777777" w:rsidR="00A046C7" w:rsidRDefault="00A046C7" w:rsidP="00A046C7">
      <w:pPr>
        <w:widowControl w:val="0"/>
        <w:tabs>
          <w:tab w:val="center" w:pos="4680"/>
        </w:tabs>
        <w:jc w:val="center"/>
        <w:rPr>
          <w:rFonts w:ascii="Arial" w:hAnsi="Arial" w:cs="Arial"/>
          <w:sz w:val="22"/>
          <w:szCs w:val="22"/>
        </w:rPr>
      </w:pPr>
      <w:r w:rsidRPr="00151C6A">
        <w:rPr>
          <w:rFonts w:ascii="Arial" w:hAnsi="Arial" w:cs="Arial"/>
          <w:sz w:val="22"/>
          <w:szCs w:val="22"/>
        </w:rPr>
        <w:t>50.69, Risk-Informed Categorization of SSCs</w:t>
      </w:r>
    </w:p>
    <w:p w14:paraId="5120F710" w14:textId="77777777" w:rsidR="00A046C7" w:rsidRDefault="00A046C7" w:rsidP="00A046C7">
      <w:pPr>
        <w:tabs>
          <w:tab w:val="center" w:pos="4680"/>
        </w:tabs>
        <w:jc w:val="center"/>
        <w:rPr>
          <w:rFonts w:ascii="Arial" w:hAnsi="Arial" w:cs="Arial"/>
          <w:sz w:val="22"/>
          <w:szCs w:val="22"/>
        </w:rPr>
      </w:pPr>
    </w:p>
    <w:p w14:paraId="78B30CEE" w14:textId="77777777" w:rsidR="00A046C7" w:rsidRDefault="00A046C7" w:rsidP="00A046C7">
      <w:pPr>
        <w:tabs>
          <w:tab w:val="center" w:pos="4680"/>
        </w:tabs>
        <w:jc w:val="center"/>
        <w:rPr>
          <w:rFonts w:ascii="Arial" w:hAnsi="Arial"/>
          <w:sz w:val="22"/>
        </w:rPr>
      </w:pPr>
      <w:r>
        <w:rPr>
          <w:rFonts w:ascii="Arial" w:hAnsi="Arial"/>
          <w:sz w:val="22"/>
        </w:rPr>
        <w:t>3150-0011</w:t>
      </w:r>
    </w:p>
    <w:p w14:paraId="08040ACA" w14:textId="77777777" w:rsidR="00A046C7" w:rsidRDefault="00A046C7" w:rsidP="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810"/>
        <w:gridCol w:w="4810"/>
      </w:tblGrid>
      <w:tr w:rsidR="00A046C7" w14:paraId="2B863BDB" w14:textId="77777777" w:rsidTr="00A046C7">
        <w:tc>
          <w:tcPr>
            <w:tcW w:w="4810" w:type="dxa"/>
            <w:tcBorders>
              <w:top w:val="single" w:sz="4" w:space="0" w:color="auto"/>
              <w:left w:val="single" w:sz="4" w:space="0" w:color="auto"/>
              <w:bottom w:val="single" w:sz="4" w:space="0" w:color="auto"/>
              <w:right w:val="single" w:sz="4" w:space="0" w:color="auto"/>
            </w:tcBorders>
            <w:hideMark/>
          </w:tcPr>
          <w:p w14:paraId="1E1E9278"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Title</w:t>
            </w:r>
          </w:p>
        </w:tc>
        <w:tc>
          <w:tcPr>
            <w:tcW w:w="4810" w:type="dxa"/>
            <w:tcBorders>
              <w:top w:val="single" w:sz="4" w:space="0" w:color="auto"/>
              <w:left w:val="single" w:sz="4" w:space="0" w:color="auto"/>
              <w:bottom w:val="single" w:sz="4" w:space="0" w:color="auto"/>
              <w:right w:val="single" w:sz="4" w:space="0" w:color="auto"/>
            </w:tcBorders>
            <w:hideMark/>
          </w:tcPr>
          <w:p w14:paraId="15E5CA15"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Accession number</w:t>
            </w:r>
          </w:p>
        </w:tc>
      </w:tr>
      <w:tr w:rsidR="00A046C7" w14:paraId="03CB3F6E" w14:textId="77777777" w:rsidTr="00A046C7">
        <w:tc>
          <w:tcPr>
            <w:tcW w:w="4810" w:type="dxa"/>
            <w:tcBorders>
              <w:top w:val="single" w:sz="4" w:space="0" w:color="auto"/>
              <w:left w:val="single" w:sz="4" w:space="0" w:color="auto"/>
              <w:bottom w:val="single" w:sz="4" w:space="0" w:color="auto"/>
              <w:right w:val="single" w:sz="4" w:space="0" w:color="auto"/>
            </w:tcBorders>
            <w:hideMark/>
          </w:tcPr>
          <w:p w14:paraId="65DAD66E"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1.174, “An Approach for Using Probabilistic Risk Assessment in Risk-Informed Decisions on Plant-Specific Changes to the Licensing Basis”</w:t>
            </w:r>
          </w:p>
        </w:tc>
        <w:tc>
          <w:tcPr>
            <w:tcW w:w="4810" w:type="dxa"/>
            <w:tcBorders>
              <w:top w:val="single" w:sz="4" w:space="0" w:color="auto"/>
              <w:left w:val="single" w:sz="4" w:space="0" w:color="auto"/>
              <w:bottom w:val="single" w:sz="4" w:space="0" w:color="auto"/>
              <w:right w:val="single" w:sz="4" w:space="0" w:color="auto"/>
            </w:tcBorders>
            <w:hideMark/>
          </w:tcPr>
          <w:p w14:paraId="17611E11"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ML100910006</w:t>
            </w:r>
          </w:p>
        </w:tc>
      </w:tr>
      <w:tr w:rsidR="00A046C7" w14:paraId="20E69AB1" w14:textId="77777777" w:rsidTr="00A046C7">
        <w:tc>
          <w:tcPr>
            <w:tcW w:w="4810" w:type="dxa"/>
            <w:tcBorders>
              <w:top w:val="single" w:sz="4" w:space="0" w:color="auto"/>
              <w:left w:val="single" w:sz="4" w:space="0" w:color="auto"/>
              <w:bottom w:val="single" w:sz="4" w:space="0" w:color="auto"/>
              <w:right w:val="single" w:sz="4" w:space="0" w:color="auto"/>
            </w:tcBorders>
            <w:hideMark/>
          </w:tcPr>
          <w:p w14:paraId="0DD5A3FA"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1.200, “An Approach for Determining the Technical Adequacy of Probabilistic Risk Assessment Results for Risk-Informed Activities”</w:t>
            </w:r>
          </w:p>
        </w:tc>
        <w:tc>
          <w:tcPr>
            <w:tcW w:w="4810" w:type="dxa"/>
            <w:tcBorders>
              <w:top w:val="single" w:sz="4" w:space="0" w:color="auto"/>
              <w:left w:val="single" w:sz="4" w:space="0" w:color="auto"/>
              <w:bottom w:val="single" w:sz="4" w:space="0" w:color="auto"/>
              <w:right w:val="single" w:sz="4" w:space="0" w:color="auto"/>
            </w:tcBorders>
            <w:hideMark/>
          </w:tcPr>
          <w:p w14:paraId="58005C6D" w14:textId="77777777"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ML090410014</w:t>
            </w:r>
          </w:p>
        </w:tc>
      </w:tr>
      <w:tr w:rsidR="00A046C7" w14:paraId="6072A2C2" w14:textId="77777777" w:rsidTr="00A046C7">
        <w:tc>
          <w:tcPr>
            <w:tcW w:w="4810" w:type="dxa"/>
            <w:tcBorders>
              <w:top w:val="single" w:sz="4" w:space="0" w:color="auto"/>
              <w:left w:val="single" w:sz="4" w:space="0" w:color="auto"/>
              <w:bottom w:val="single" w:sz="4" w:space="0" w:color="auto"/>
              <w:right w:val="single" w:sz="4" w:space="0" w:color="auto"/>
            </w:tcBorders>
            <w:hideMark/>
          </w:tcPr>
          <w:p w14:paraId="49C92AA7" w14:textId="66266514" w:rsidR="00A046C7" w:rsidRDefault="00A046C7" w:rsidP="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1.201, “</w:t>
            </w:r>
            <w:r w:rsidRPr="00A046C7">
              <w:rPr>
                <w:rFonts w:ascii="Arial" w:hAnsi="Arial" w:cs="Arial"/>
                <w:sz w:val="22"/>
                <w:szCs w:val="22"/>
              </w:rPr>
              <w:t>Guidelines for Categorizing Structures, Systems, and Components in Nuclear Power Plants According to Their Safety Significance</w:t>
            </w:r>
            <w:r>
              <w:rPr>
                <w:rFonts w:ascii="Arial" w:hAnsi="Arial" w:cs="Arial"/>
                <w:sz w:val="22"/>
                <w:szCs w:val="22"/>
              </w:rPr>
              <w:t>”</w:t>
            </w:r>
          </w:p>
        </w:tc>
        <w:tc>
          <w:tcPr>
            <w:tcW w:w="4810" w:type="dxa"/>
            <w:tcBorders>
              <w:top w:val="single" w:sz="4" w:space="0" w:color="auto"/>
              <w:left w:val="single" w:sz="4" w:space="0" w:color="auto"/>
              <w:bottom w:val="single" w:sz="4" w:space="0" w:color="auto"/>
              <w:right w:val="single" w:sz="4" w:space="0" w:color="auto"/>
            </w:tcBorders>
            <w:hideMark/>
          </w:tcPr>
          <w:p w14:paraId="457624E8" w14:textId="760C5AE6" w:rsidR="00A046C7" w:rsidRDefault="00A046C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ML061090627</w:t>
            </w:r>
          </w:p>
        </w:tc>
      </w:tr>
    </w:tbl>
    <w:p w14:paraId="5FE61919" w14:textId="77777777" w:rsidR="003E2B01" w:rsidRDefault="003E2B01" w:rsidP="00E83AF9"/>
    <w:p w14:paraId="646A71FE" w14:textId="77777777" w:rsidR="00A035CA" w:rsidRPr="007334E7" w:rsidRDefault="00A035CA" w:rsidP="00A035CA">
      <w:pPr>
        <w:rPr>
          <w:rFonts w:ascii="Arial" w:hAnsi="Arial" w:cs="Arial"/>
          <w:sz w:val="22"/>
          <w:szCs w:val="22"/>
        </w:rPr>
      </w:pPr>
    </w:p>
    <w:p w14:paraId="4C7FF86E" w14:textId="77777777" w:rsidR="00A035CA"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R="00A035CA" w:rsidSect="000C72CB">
      <w:headerReference w:type="even" r:id="rId13"/>
      <w:headerReference w:type="default" r:id="rId14"/>
      <w:footerReference w:type="even" r:id="rId15"/>
      <w:footerReference w:type="default" r:id="rId16"/>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557F0" w14:textId="77777777" w:rsidR="00BB2DC6" w:rsidRDefault="00BB2DC6">
      <w:r>
        <w:separator/>
      </w:r>
    </w:p>
  </w:endnote>
  <w:endnote w:type="continuationSeparator" w:id="0">
    <w:p w14:paraId="240BC332" w14:textId="77777777" w:rsidR="00BB2DC6" w:rsidRDefault="00BB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404747" w:rsidRDefault="00404747">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DEBBD" w14:textId="77777777" w:rsidR="00BB2DC6" w:rsidRDefault="00BB2DC6">
      <w:r>
        <w:separator/>
      </w:r>
    </w:p>
  </w:footnote>
  <w:footnote w:type="continuationSeparator" w:id="0">
    <w:p w14:paraId="3531BD5D" w14:textId="77777777" w:rsidR="00BB2DC6" w:rsidRDefault="00BB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E1E1B"/>
    <w:multiLevelType w:val="hybridMultilevel"/>
    <w:tmpl w:val="5DCAA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E82EAA"/>
    <w:multiLevelType w:val="hybridMultilevel"/>
    <w:tmpl w:val="2216FD20"/>
    <w:lvl w:ilvl="0" w:tplc="5074E51C">
      <w:start w:val="1"/>
      <w:numFmt w:val="upperLetter"/>
      <w:lvlText w:val="%1."/>
      <w:lvlJc w:val="left"/>
      <w:pPr>
        <w:ind w:left="1200" w:hanging="60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num>
  <w:num w:numId="3">
    <w:abstractNumId w:val="13"/>
  </w:num>
  <w:num w:numId="4">
    <w:abstractNumId w:val="9"/>
  </w:num>
  <w:num w:numId="5">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6"/>
  </w:num>
  <w:num w:numId="7">
    <w:abstractNumId w:val="18"/>
  </w:num>
  <w:num w:numId="8">
    <w:abstractNumId w:val="12"/>
  </w:num>
  <w:num w:numId="9">
    <w:abstractNumId w:val="7"/>
  </w:num>
  <w:num w:numId="10">
    <w:abstractNumId w:val="11"/>
  </w:num>
  <w:num w:numId="11">
    <w:abstractNumId w:val="10"/>
  </w:num>
  <w:num w:numId="12">
    <w:abstractNumId w:val="8"/>
  </w:num>
  <w:num w:numId="13">
    <w:abstractNumId w:val="15"/>
  </w:num>
  <w:num w:numId="14">
    <w:abstractNumId w:val="2"/>
  </w:num>
  <w:num w:numId="15">
    <w:abstractNumId w:val="5"/>
  </w:num>
  <w:num w:numId="16">
    <w:abstractNumId w:val="14"/>
  </w:num>
  <w:num w:numId="17">
    <w:abstractNumId w:val="16"/>
  </w:num>
  <w:num w:numId="18">
    <w:abstractNumId w:val="1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02847"/>
    <w:rsid w:val="00017D67"/>
    <w:rsid w:val="00023444"/>
    <w:rsid w:val="00025B19"/>
    <w:rsid w:val="00075C82"/>
    <w:rsid w:val="00076A9F"/>
    <w:rsid w:val="000849BE"/>
    <w:rsid w:val="000A19D9"/>
    <w:rsid w:val="000A2032"/>
    <w:rsid w:val="000C09EB"/>
    <w:rsid w:val="000C72CB"/>
    <w:rsid w:val="000D3F95"/>
    <w:rsid w:val="000E5DC3"/>
    <w:rsid w:val="00100DB9"/>
    <w:rsid w:val="00101487"/>
    <w:rsid w:val="00107646"/>
    <w:rsid w:val="00114A81"/>
    <w:rsid w:val="00120BE7"/>
    <w:rsid w:val="001210C1"/>
    <w:rsid w:val="00135E7B"/>
    <w:rsid w:val="001414F8"/>
    <w:rsid w:val="0015068C"/>
    <w:rsid w:val="00156E98"/>
    <w:rsid w:val="001672FE"/>
    <w:rsid w:val="00171CB3"/>
    <w:rsid w:val="0017751B"/>
    <w:rsid w:val="00192040"/>
    <w:rsid w:val="001A25FB"/>
    <w:rsid w:val="001B404E"/>
    <w:rsid w:val="001C32A5"/>
    <w:rsid w:val="001D2FF8"/>
    <w:rsid w:val="001D446A"/>
    <w:rsid w:val="001E30FC"/>
    <w:rsid w:val="001E7FFA"/>
    <w:rsid w:val="001F011D"/>
    <w:rsid w:val="0020783E"/>
    <w:rsid w:val="00213B8C"/>
    <w:rsid w:val="002158F4"/>
    <w:rsid w:val="00220D8E"/>
    <w:rsid w:val="0024518B"/>
    <w:rsid w:val="0026636D"/>
    <w:rsid w:val="0027462E"/>
    <w:rsid w:val="00284AB7"/>
    <w:rsid w:val="002B3FA0"/>
    <w:rsid w:val="002B4177"/>
    <w:rsid w:val="002C6F66"/>
    <w:rsid w:val="002F1E6D"/>
    <w:rsid w:val="002F250A"/>
    <w:rsid w:val="002F4A06"/>
    <w:rsid w:val="00301A19"/>
    <w:rsid w:val="003164EE"/>
    <w:rsid w:val="00343EB9"/>
    <w:rsid w:val="0035196F"/>
    <w:rsid w:val="003528D6"/>
    <w:rsid w:val="00355FC3"/>
    <w:rsid w:val="003604AD"/>
    <w:rsid w:val="00362487"/>
    <w:rsid w:val="00370F9C"/>
    <w:rsid w:val="0037412E"/>
    <w:rsid w:val="003765CC"/>
    <w:rsid w:val="00384E03"/>
    <w:rsid w:val="00396E6B"/>
    <w:rsid w:val="003A012F"/>
    <w:rsid w:val="003A2058"/>
    <w:rsid w:val="003A7971"/>
    <w:rsid w:val="003B3F85"/>
    <w:rsid w:val="003D3C5D"/>
    <w:rsid w:val="003D4BDD"/>
    <w:rsid w:val="003E2B01"/>
    <w:rsid w:val="003E52A8"/>
    <w:rsid w:val="003F2ADF"/>
    <w:rsid w:val="00402509"/>
    <w:rsid w:val="00404747"/>
    <w:rsid w:val="004065E9"/>
    <w:rsid w:val="00414E3A"/>
    <w:rsid w:val="00431894"/>
    <w:rsid w:val="00455B9D"/>
    <w:rsid w:val="00462CF9"/>
    <w:rsid w:val="00470949"/>
    <w:rsid w:val="00472E3C"/>
    <w:rsid w:val="00480DBA"/>
    <w:rsid w:val="00494007"/>
    <w:rsid w:val="004A1459"/>
    <w:rsid w:val="004A1906"/>
    <w:rsid w:val="004C1729"/>
    <w:rsid w:val="004C7D1E"/>
    <w:rsid w:val="004D7766"/>
    <w:rsid w:val="004E5200"/>
    <w:rsid w:val="004F5088"/>
    <w:rsid w:val="0050026E"/>
    <w:rsid w:val="0050185A"/>
    <w:rsid w:val="00515AE1"/>
    <w:rsid w:val="00521C53"/>
    <w:rsid w:val="005275FE"/>
    <w:rsid w:val="00531E27"/>
    <w:rsid w:val="0054681E"/>
    <w:rsid w:val="00547779"/>
    <w:rsid w:val="005564A2"/>
    <w:rsid w:val="00584CA2"/>
    <w:rsid w:val="005C1BFD"/>
    <w:rsid w:val="005C2DF9"/>
    <w:rsid w:val="005D7D2A"/>
    <w:rsid w:val="005E3F3C"/>
    <w:rsid w:val="005F3D99"/>
    <w:rsid w:val="006046CF"/>
    <w:rsid w:val="00617E41"/>
    <w:rsid w:val="006A272E"/>
    <w:rsid w:val="006A6E74"/>
    <w:rsid w:val="006A706A"/>
    <w:rsid w:val="006B3E33"/>
    <w:rsid w:val="006E448A"/>
    <w:rsid w:val="00701969"/>
    <w:rsid w:val="00702DCD"/>
    <w:rsid w:val="00707EDA"/>
    <w:rsid w:val="00731006"/>
    <w:rsid w:val="0073637B"/>
    <w:rsid w:val="00736A10"/>
    <w:rsid w:val="0075498D"/>
    <w:rsid w:val="00775B24"/>
    <w:rsid w:val="007820A4"/>
    <w:rsid w:val="00782FAF"/>
    <w:rsid w:val="00791D39"/>
    <w:rsid w:val="007A2C38"/>
    <w:rsid w:val="007B4BCC"/>
    <w:rsid w:val="007C4BE8"/>
    <w:rsid w:val="007D4858"/>
    <w:rsid w:val="007D618F"/>
    <w:rsid w:val="007F2ABC"/>
    <w:rsid w:val="008002BA"/>
    <w:rsid w:val="00807C2B"/>
    <w:rsid w:val="00830F48"/>
    <w:rsid w:val="00857614"/>
    <w:rsid w:val="00866E17"/>
    <w:rsid w:val="00893741"/>
    <w:rsid w:val="008A46EC"/>
    <w:rsid w:val="008A6756"/>
    <w:rsid w:val="008B0AC7"/>
    <w:rsid w:val="008E3358"/>
    <w:rsid w:val="008E7E51"/>
    <w:rsid w:val="009157B6"/>
    <w:rsid w:val="00922C3A"/>
    <w:rsid w:val="009230DF"/>
    <w:rsid w:val="0094267D"/>
    <w:rsid w:val="009464DC"/>
    <w:rsid w:val="00975435"/>
    <w:rsid w:val="00995226"/>
    <w:rsid w:val="009A07BF"/>
    <w:rsid w:val="009A769C"/>
    <w:rsid w:val="009B0D52"/>
    <w:rsid w:val="009B224E"/>
    <w:rsid w:val="009D0C93"/>
    <w:rsid w:val="009E5CD7"/>
    <w:rsid w:val="009F2890"/>
    <w:rsid w:val="009F55C8"/>
    <w:rsid w:val="009F6579"/>
    <w:rsid w:val="00A01E7C"/>
    <w:rsid w:val="00A035CA"/>
    <w:rsid w:val="00A046C7"/>
    <w:rsid w:val="00A07E91"/>
    <w:rsid w:val="00A15A02"/>
    <w:rsid w:val="00A26337"/>
    <w:rsid w:val="00A65BFA"/>
    <w:rsid w:val="00A70F57"/>
    <w:rsid w:val="00A760AE"/>
    <w:rsid w:val="00A7679F"/>
    <w:rsid w:val="00A768F4"/>
    <w:rsid w:val="00A84498"/>
    <w:rsid w:val="00A864F2"/>
    <w:rsid w:val="00A92022"/>
    <w:rsid w:val="00A96775"/>
    <w:rsid w:val="00A96850"/>
    <w:rsid w:val="00AA5C68"/>
    <w:rsid w:val="00AC2D36"/>
    <w:rsid w:val="00AC629E"/>
    <w:rsid w:val="00AE4EF2"/>
    <w:rsid w:val="00AF2857"/>
    <w:rsid w:val="00B04941"/>
    <w:rsid w:val="00B2686F"/>
    <w:rsid w:val="00B31C3B"/>
    <w:rsid w:val="00B54F8D"/>
    <w:rsid w:val="00B70815"/>
    <w:rsid w:val="00B720E2"/>
    <w:rsid w:val="00B74C08"/>
    <w:rsid w:val="00B7510F"/>
    <w:rsid w:val="00BA1DFF"/>
    <w:rsid w:val="00BB2DC6"/>
    <w:rsid w:val="00BB47D9"/>
    <w:rsid w:val="00BD07AF"/>
    <w:rsid w:val="00BE1502"/>
    <w:rsid w:val="00C07E62"/>
    <w:rsid w:val="00C116A1"/>
    <w:rsid w:val="00C21D02"/>
    <w:rsid w:val="00C25A3B"/>
    <w:rsid w:val="00C27F67"/>
    <w:rsid w:val="00C3095D"/>
    <w:rsid w:val="00C50545"/>
    <w:rsid w:val="00C51149"/>
    <w:rsid w:val="00C617F5"/>
    <w:rsid w:val="00C859FA"/>
    <w:rsid w:val="00C92A41"/>
    <w:rsid w:val="00CC2B63"/>
    <w:rsid w:val="00CC56CC"/>
    <w:rsid w:val="00CD54B1"/>
    <w:rsid w:val="00CF178D"/>
    <w:rsid w:val="00D141DE"/>
    <w:rsid w:val="00D14883"/>
    <w:rsid w:val="00D20CF8"/>
    <w:rsid w:val="00D21D20"/>
    <w:rsid w:val="00D21ECE"/>
    <w:rsid w:val="00D3070B"/>
    <w:rsid w:val="00D34558"/>
    <w:rsid w:val="00D36011"/>
    <w:rsid w:val="00D65454"/>
    <w:rsid w:val="00D92FE9"/>
    <w:rsid w:val="00D93891"/>
    <w:rsid w:val="00D95A10"/>
    <w:rsid w:val="00DA0099"/>
    <w:rsid w:val="00DA4871"/>
    <w:rsid w:val="00DA5453"/>
    <w:rsid w:val="00DA5E34"/>
    <w:rsid w:val="00DC2ACA"/>
    <w:rsid w:val="00DD0DE1"/>
    <w:rsid w:val="00DF0C5E"/>
    <w:rsid w:val="00DF7CAB"/>
    <w:rsid w:val="00E00BE7"/>
    <w:rsid w:val="00E11D0B"/>
    <w:rsid w:val="00E207D8"/>
    <w:rsid w:val="00E276B3"/>
    <w:rsid w:val="00E42A10"/>
    <w:rsid w:val="00E45842"/>
    <w:rsid w:val="00E53A6A"/>
    <w:rsid w:val="00E7384E"/>
    <w:rsid w:val="00E83AF9"/>
    <w:rsid w:val="00E92362"/>
    <w:rsid w:val="00E93D1F"/>
    <w:rsid w:val="00E95A7C"/>
    <w:rsid w:val="00EA4943"/>
    <w:rsid w:val="00EB0B78"/>
    <w:rsid w:val="00EB6CAE"/>
    <w:rsid w:val="00EC27BA"/>
    <w:rsid w:val="00EC444B"/>
    <w:rsid w:val="00ED276E"/>
    <w:rsid w:val="00ED498F"/>
    <w:rsid w:val="00EF2408"/>
    <w:rsid w:val="00EF7FBC"/>
    <w:rsid w:val="00F2130B"/>
    <w:rsid w:val="00F51C1C"/>
    <w:rsid w:val="00F53709"/>
    <w:rsid w:val="00F638C6"/>
    <w:rsid w:val="00F72CDB"/>
    <w:rsid w:val="00F8327F"/>
    <w:rsid w:val="00FA4C84"/>
    <w:rsid w:val="00FB518E"/>
    <w:rsid w:val="00FC12B1"/>
    <w:rsid w:val="00FC4CCA"/>
    <w:rsid w:val="00FE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27565">
      <w:bodyDiv w:val="1"/>
      <w:marLeft w:val="0"/>
      <w:marRight w:val="0"/>
      <w:marTop w:val="0"/>
      <w:marBottom w:val="0"/>
      <w:divBdr>
        <w:top w:val="none" w:sz="0" w:space="0" w:color="auto"/>
        <w:left w:val="none" w:sz="0" w:space="0" w:color="auto"/>
        <w:bottom w:val="none" w:sz="0" w:space="0" w:color="auto"/>
        <w:right w:val="none" w:sz="0" w:space="0" w:color="auto"/>
      </w:divBdr>
    </w:div>
    <w:div w:id="420417315">
      <w:bodyDiv w:val="1"/>
      <w:marLeft w:val="0"/>
      <w:marRight w:val="0"/>
      <w:marTop w:val="0"/>
      <w:marBottom w:val="0"/>
      <w:divBdr>
        <w:top w:val="none" w:sz="0" w:space="0" w:color="auto"/>
        <w:left w:val="none" w:sz="0" w:space="0" w:color="auto"/>
        <w:bottom w:val="none" w:sz="0" w:space="0" w:color="auto"/>
        <w:right w:val="none" w:sz="0" w:space="0" w:color="auto"/>
      </w:divBdr>
    </w:div>
    <w:div w:id="801969128">
      <w:bodyDiv w:val="1"/>
      <w:marLeft w:val="0"/>
      <w:marRight w:val="0"/>
      <w:marTop w:val="0"/>
      <w:marBottom w:val="0"/>
      <w:divBdr>
        <w:top w:val="none" w:sz="0" w:space="0" w:color="auto"/>
        <w:left w:val="none" w:sz="0" w:space="0" w:color="auto"/>
        <w:bottom w:val="none" w:sz="0" w:space="0" w:color="auto"/>
        <w:right w:val="none" w:sz="0" w:space="0" w:color="auto"/>
      </w:divBdr>
    </w:div>
    <w:div w:id="857738864">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063142236">
      <w:bodyDiv w:val="1"/>
      <w:marLeft w:val="0"/>
      <w:marRight w:val="0"/>
      <w:marTop w:val="0"/>
      <w:marBottom w:val="0"/>
      <w:divBdr>
        <w:top w:val="none" w:sz="0" w:space="0" w:color="auto"/>
        <w:left w:val="none" w:sz="0" w:space="0" w:color="auto"/>
        <w:bottom w:val="none" w:sz="0" w:space="0" w:color="auto"/>
        <w:right w:val="none" w:sz="0" w:space="0" w:color="auto"/>
      </w:divBdr>
    </w:div>
    <w:div w:id="1141458490">
      <w:bodyDiv w:val="1"/>
      <w:marLeft w:val="0"/>
      <w:marRight w:val="0"/>
      <w:marTop w:val="0"/>
      <w:marBottom w:val="0"/>
      <w:divBdr>
        <w:top w:val="none" w:sz="0" w:space="0" w:color="auto"/>
        <w:left w:val="none" w:sz="0" w:space="0" w:color="auto"/>
        <w:bottom w:val="none" w:sz="0" w:space="0" w:color="auto"/>
        <w:right w:val="none" w:sz="0" w:space="0" w:color="auto"/>
      </w:divBdr>
    </w:div>
    <w:div w:id="1160002042">
      <w:bodyDiv w:val="1"/>
      <w:marLeft w:val="0"/>
      <w:marRight w:val="0"/>
      <w:marTop w:val="0"/>
      <w:marBottom w:val="0"/>
      <w:divBdr>
        <w:top w:val="none" w:sz="0" w:space="0" w:color="auto"/>
        <w:left w:val="none" w:sz="0" w:space="0" w:color="auto"/>
        <w:bottom w:val="none" w:sz="0" w:space="0" w:color="auto"/>
        <w:right w:val="none" w:sz="0" w:space="0" w:color="auto"/>
      </w:divBdr>
    </w:div>
    <w:div w:id="1225678803">
      <w:bodyDiv w:val="1"/>
      <w:marLeft w:val="0"/>
      <w:marRight w:val="0"/>
      <w:marTop w:val="0"/>
      <w:marBottom w:val="0"/>
      <w:divBdr>
        <w:top w:val="none" w:sz="0" w:space="0" w:color="auto"/>
        <w:left w:val="none" w:sz="0" w:space="0" w:color="auto"/>
        <w:bottom w:val="none" w:sz="0" w:space="0" w:color="auto"/>
        <w:right w:val="none" w:sz="0" w:space="0" w:color="auto"/>
      </w:divBdr>
    </w:div>
    <w:div w:id="1625380883">
      <w:bodyDiv w:val="1"/>
      <w:marLeft w:val="0"/>
      <w:marRight w:val="0"/>
      <w:marTop w:val="0"/>
      <w:marBottom w:val="0"/>
      <w:divBdr>
        <w:top w:val="none" w:sz="0" w:space="0" w:color="auto"/>
        <w:left w:val="none" w:sz="0" w:space="0" w:color="auto"/>
        <w:bottom w:val="none" w:sz="0" w:space="0" w:color="auto"/>
        <w:right w:val="none" w:sz="0" w:space="0" w:color="auto"/>
      </w:divBdr>
    </w:div>
    <w:div w:id="20875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WF3D534FWZTE-2140536802-657</_dlc_DocId>
    <_dlc_DocIdUrl xmlns="1b5472cd-acd4-40a2-847f-9f330b2894d1">
      <Url>http://fusion.nrc.gov/OCIO/team/GEMS/ISB/ICT/_layouts/DocIdRedir.aspx?ID=WF3D534FWZTE-2140536802-657</Url>
      <Description>WF3D534FWZTE-2140536802-657</Description>
    </_dlc_DocIdUrl>
  </documentManagement>
</p:properties>
</file>

<file path=customXml/itemProps1.xml><?xml version="1.0" encoding="utf-8"?>
<ds:datastoreItem xmlns:ds="http://schemas.openxmlformats.org/officeDocument/2006/customXml" ds:itemID="{B4A1143B-DF82-4EC1-8980-6B7E7FE1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A2886-2AB4-4D8E-81B0-F02CCF0A63E1}">
  <ds:schemaRefs>
    <ds:schemaRef ds:uri="http://schemas.microsoft.com/sharepoint/events"/>
  </ds:schemaRefs>
</ds:datastoreItem>
</file>

<file path=customXml/itemProps3.xml><?xml version="1.0" encoding="utf-8"?>
<ds:datastoreItem xmlns:ds="http://schemas.openxmlformats.org/officeDocument/2006/customXml" ds:itemID="{23516F6B-92ED-421E-9078-EA69024AE618}">
  <ds:schemaRefs>
    <ds:schemaRef ds:uri="http://schemas.microsoft.com/sharepoint/v3/contenttype/forms"/>
  </ds:schemaRefs>
</ds:datastoreItem>
</file>

<file path=customXml/itemProps4.xml><?xml version="1.0" encoding="utf-8"?>
<ds:datastoreItem xmlns:ds="http://schemas.openxmlformats.org/officeDocument/2006/customXml" ds:itemID="{9946BCE0-41B7-4318-8ABB-32373AF4E3E1}">
  <ds:schemaRefs>
    <ds:schemaRef ds:uri="http://schemas.microsoft.com/office/2006/metadata/properties"/>
    <ds:schemaRef ds:uri="http://schemas.microsoft.com/office/infopath/2007/PartnerControls"/>
    <ds:schemaRef ds:uri="1b5472cd-acd4-40a2-847f-9f330b2894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7</vt:lpstr>
    </vt:vector>
  </TitlesOfParts>
  <Company>USNRC</Company>
  <LinksUpToDate>false</LinksUpToDate>
  <CharactersWithSpaces>27955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Leslie A. Hill</dc:creator>
  <cp:keywords/>
  <cp:lastModifiedBy>SYSTEM</cp:lastModifiedBy>
  <cp:revision>2</cp:revision>
  <cp:lastPrinted>2012-11-19T19:20:00Z</cp:lastPrinted>
  <dcterms:created xsi:type="dcterms:W3CDTF">2018-01-30T20:40:00Z</dcterms:created>
  <dcterms:modified xsi:type="dcterms:W3CDTF">2018-01-30T20:40:00Z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4a0b766f-0af7-406d-859a-e3e3ac3422f2</vt:lpwstr>
  </property>
</Properties>
</file>